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22E" w:rsidRPr="006A4A8C" w:rsidRDefault="00FE122E" w:rsidP="00FE122E">
      <w:pPr>
        <w:jc w:val="both"/>
        <w:rPr>
          <w:b/>
          <w:sz w:val="20"/>
          <w:szCs w:val="20"/>
        </w:rPr>
      </w:pPr>
      <w:r w:rsidRPr="006A4A8C">
        <w:rPr>
          <w:b/>
          <w:sz w:val="20"/>
          <w:szCs w:val="20"/>
        </w:rPr>
        <w:t>“ANÁLISIS ESTADÍSTICO MULTIVARIADO DE LOS FACTORES QUE INFLUYEN EN EL CONTROL Y TRATAMIENTO DE LOS PACIENTES CON ASMA BRONQUIAL. CASO: HOSPITAL DE LA CIUDAD DE GUAYAQUIL. AÑO 2003-2004”</w:t>
      </w:r>
    </w:p>
    <w:p w:rsidR="00FE122E" w:rsidRDefault="00FE122E" w:rsidP="000D0741">
      <w:pPr>
        <w:jc w:val="center"/>
        <w:rPr>
          <w:b/>
          <w:sz w:val="20"/>
          <w:szCs w:val="20"/>
          <w:lang w:val="es-EC"/>
        </w:rPr>
      </w:pPr>
    </w:p>
    <w:p w:rsidR="008D0C35" w:rsidRDefault="000D0741" w:rsidP="000D0741">
      <w:pPr>
        <w:jc w:val="center"/>
        <w:rPr>
          <w:b/>
          <w:sz w:val="20"/>
          <w:szCs w:val="20"/>
          <w:lang w:val="es-EC"/>
        </w:rPr>
      </w:pPr>
      <w:r>
        <w:rPr>
          <w:b/>
          <w:sz w:val="20"/>
          <w:szCs w:val="20"/>
          <w:lang w:val="es-EC"/>
        </w:rPr>
        <w:t>Jorge Gómez</w:t>
      </w:r>
      <w:r w:rsidR="00CE765E">
        <w:rPr>
          <w:b/>
          <w:sz w:val="20"/>
          <w:szCs w:val="20"/>
          <w:lang w:val="es-EC"/>
        </w:rPr>
        <w:t xml:space="preserve"> Palacios</w:t>
      </w:r>
      <w:r w:rsidR="00503E33" w:rsidRPr="00503E33">
        <w:rPr>
          <w:b/>
          <w:sz w:val="20"/>
          <w:szCs w:val="20"/>
          <w:vertAlign w:val="superscript"/>
          <w:lang w:val="es-EC"/>
        </w:rPr>
        <w:t>1</w:t>
      </w:r>
      <w:r w:rsidR="008D0C35">
        <w:rPr>
          <w:b/>
          <w:sz w:val="20"/>
          <w:szCs w:val="20"/>
          <w:lang w:val="es-EC"/>
        </w:rPr>
        <w:t xml:space="preserve">, </w:t>
      </w:r>
      <w:r>
        <w:rPr>
          <w:b/>
          <w:sz w:val="20"/>
          <w:szCs w:val="20"/>
          <w:lang w:val="es-EC"/>
        </w:rPr>
        <w:t>John</w:t>
      </w:r>
      <w:r w:rsidR="009600F4">
        <w:rPr>
          <w:b/>
          <w:sz w:val="20"/>
          <w:szCs w:val="20"/>
          <w:lang w:val="es-EC"/>
        </w:rPr>
        <w:t xml:space="preserve"> </w:t>
      </w:r>
      <w:r w:rsidR="00CE765E">
        <w:rPr>
          <w:b/>
          <w:sz w:val="20"/>
          <w:szCs w:val="20"/>
          <w:lang w:val="es-EC"/>
        </w:rPr>
        <w:t>Ramírez  Figueroa</w:t>
      </w:r>
      <w:r w:rsidR="00503E33" w:rsidRPr="00503E33">
        <w:rPr>
          <w:b/>
          <w:sz w:val="20"/>
          <w:szCs w:val="20"/>
          <w:vertAlign w:val="superscript"/>
          <w:lang w:val="es-EC"/>
        </w:rPr>
        <w:t>2</w:t>
      </w:r>
    </w:p>
    <w:p w:rsidR="00415CF4" w:rsidRPr="00415CF4" w:rsidRDefault="00415CF4" w:rsidP="00B73337">
      <w:pPr>
        <w:jc w:val="center"/>
        <w:rPr>
          <w:b/>
          <w:sz w:val="12"/>
          <w:szCs w:val="20"/>
          <w:lang w:val="es-EC"/>
        </w:rPr>
      </w:pPr>
    </w:p>
    <w:p w:rsidR="00B73337" w:rsidRDefault="00B73337" w:rsidP="00B73337">
      <w:pPr>
        <w:jc w:val="center"/>
        <w:rPr>
          <w:b/>
          <w:sz w:val="20"/>
          <w:szCs w:val="20"/>
          <w:lang w:val="es-EC"/>
        </w:rPr>
      </w:pPr>
      <w:r w:rsidRPr="00922575">
        <w:rPr>
          <w:b/>
          <w:sz w:val="20"/>
          <w:szCs w:val="20"/>
          <w:lang w:val="es-EC"/>
        </w:rPr>
        <w:t>RESUMEN</w:t>
      </w:r>
    </w:p>
    <w:p w:rsidR="00B32A00" w:rsidRDefault="00B32A00" w:rsidP="00B73337">
      <w:pPr>
        <w:jc w:val="center"/>
        <w:rPr>
          <w:b/>
          <w:sz w:val="20"/>
          <w:szCs w:val="20"/>
          <w:lang w:val="es-EC"/>
        </w:rPr>
      </w:pPr>
    </w:p>
    <w:p w:rsidR="00F56999" w:rsidRPr="006248B9" w:rsidRDefault="00B32A00" w:rsidP="00BE6575">
      <w:pPr>
        <w:jc w:val="both"/>
        <w:rPr>
          <w:sz w:val="20"/>
          <w:szCs w:val="20"/>
          <w:lang w:val="es-EC"/>
        </w:rPr>
      </w:pPr>
      <w:r>
        <w:rPr>
          <w:sz w:val="20"/>
          <w:szCs w:val="20"/>
        </w:rPr>
        <w:t>Esta investigación</w:t>
      </w:r>
      <w:r w:rsidRPr="00E81AD2">
        <w:rPr>
          <w:sz w:val="20"/>
          <w:szCs w:val="20"/>
        </w:rPr>
        <w:t xml:space="preserve"> tiene como objetivo determinar cuales son los factores que influyen en el abandono del control y tratamiento del asma en pacientes del Hospital Militar de División II D.E. “Libertad” diagnosticados con esta enfermedad  durante el periodo 2004 – 2005</w:t>
      </w:r>
      <w:r>
        <w:rPr>
          <w:sz w:val="20"/>
          <w:szCs w:val="20"/>
        </w:rPr>
        <w:t>, de forma específica se investiga cuales son los factores que causan que el paciente abandone el control y tratamiento del asma</w:t>
      </w:r>
      <w:r w:rsidR="00FE122E">
        <w:rPr>
          <w:sz w:val="20"/>
          <w:szCs w:val="20"/>
        </w:rPr>
        <w:t>.</w:t>
      </w:r>
      <w:r w:rsidR="00FE122E" w:rsidRPr="006248B9">
        <w:rPr>
          <w:sz w:val="20"/>
          <w:szCs w:val="20"/>
          <w:lang w:val="es-EC"/>
        </w:rPr>
        <w:t xml:space="preserve"> </w:t>
      </w:r>
      <w:r w:rsidR="00BE6575">
        <w:rPr>
          <w:sz w:val="20"/>
          <w:szCs w:val="20"/>
          <w:lang w:val="es-EC"/>
        </w:rPr>
        <w:t>S</w:t>
      </w:r>
      <w:r w:rsidR="000A37EF">
        <w:rPr>
          <w:sz w:val="20"/>
          <w:szCs w:val="20"/>
          <w:lang w:val="es-EC"/>
        </w:rPr>
        <w:t xml:space="preserve">e utilizó  como fuente </w:t>
      </w:r>
      <w:r w:rsidR="0045696A">
        <w:rPr>
          <w:sz w:val="20"/>
          <w:szCs w:val="20"/>
          <w:lang w:val="es-EC"/>
        </w:rPr>
        <w:t xml:space="preserve">principal </w:t>
      </w:r>
      <w:r w:rsidR="000A37EF">
        <w:rPr>
          <w:sz w:val="20"/>
          <w:szCs w:val="20"/>
          <w:lang w:val="es-EC"/>
        </w:rPr>
        <w:t>de datos la historia clínica neumológica</w:t>
      </w:r>
      <w:r w:rsidR="006503C3">
        <w:rPr>
          <w:sz w:val="20"/>
          <w:szCs w:val="20"/>
          <w:lang w:val="es-EC"/>
        </w:rPr>
        <w:t>.</w:t>
      </w:r>
      <w:r w:rsidR="007A3D0C">
        <w:rPr>
          <w:sz w:val="20"/>
          <w:szCs w:val="20"/>
          <w:lang w:val="es-EC"/>
        </w:rPr>
        <w:t xml:space="preserve"> Se conoce</w:t>
      </w:r>
      <w:r w:rsidR="0045696A">
        <w:rPr>
          <w:sz w:val="20"/>
          <w:szCs w:val="20"/>
          <w:lang w:val="es-EC"/>
        </w:rPr>
        <w:t xml:space="preserve"> que un total de 366 pacientes presentaron asma del total de pacientes que acudieron al área de neumología</w:t>
      </w:r>
      <w:r w:rsidR="002A7789">
        <w:rPr>
          <w:sz w:val="20"/>
          <w:szCs w:val="20"/>
          <w:lang w:val="es-EC"/>
        </w:rPr>
        <w:t xml:space="preserve"> durante este periodo</w:t>
      </w:r>
      <w:r w:rsidR="00BE6575">
        <w:rPr>
          <w:sz w:val="20"/>
          <w:szCs w:val="20"/>
          <w:lang w:val="es-EC"/>
        </w:rPr>
        <w:t>.</w:t>
      </w:r>
      <w:r w:rsidR="006503C3">
        <w:rPr>
          <w:sz w:val="20"/>
          <w:szCs w:val="20"/>
          <w:lang w:val="es-EC"/>
        </w:rPr>
        <w:t xml:space="preserve"> Se muestra  los Análisis </w:t>
      </w:r>
      <w:r w:rsidR="0045696A">
        <w:rPr>
          <w:sz w:val="20"/>
          <w:szCs w:val="20"/>
          <w:lang w:val="es-EC"/>
        </w:rPr>
        <w:t xml:space="preserve">  </w:t>
      </w:r>
      <w:r w:rsidR="006503C3">
        <w:rPr>
          <w:sz w:val="20"/>
          <w:szCs w:val="20"/>
          <w:lang w:val="es-EC"/>
        </w:rPr>
        <w:t>Univariados</w:t>
      </w:r>
      <w:r w:rsidR="0045696A">
        <w:rPr>
          <w:sz w:val="20"/>
          <w:szCs w:val="20"/>
          <w:lang w:val="es-EC"/>
        </w:rPr>
        <w:t xml:space="preserve">   </w:t>
      </w:r>
      <w:r w:rsidR="006503C3">
        <w:rPr>
          <w:sz w:val="20"/>
          <w:szCs w:val="20"/>
          <w:lang w:val="es-EC"/>
        </w:rPr>
        <w:t xml:space="preserve"> y </w:t>
      </w:r>
      <w:r w:rsidR="0045696A">
        <w:rPr>
          <w:sz w:val="20"/>
          <w:szCs w:val="20"/>
          <w:lang w:val="es-EC"/>
        </w:rPr>
        <w:t xml:space="preserve"> </w:t>
      </w:r>
      <w:r w:rsidR="006503C3">
        <w:rPr>
          <w:sz w:val="20"/>
          <w:szCs w:val="20"/>
          <w:lang w:val="es-EC"/>
        </w:rPr>
        <w:t xml:space="preserve">Bivariados, Análisis de Correspondencias Múltiples o Análisis de Homogeneidad y el Análisis de Regresión Logística.  </w:t>
      </w:r>
    </w:p>
    <w:p w:rsidR="00B32A00" w:rsidRPr="00B32A00" w:rsidRDefault="00B32A00" w:rsidP="00B73337">
      <w:pPr>
        <w:jc w:val="center"/>
        <w:rPr>
          <w:b/>
          <w:sz w:val="20"/>
          <w:szCs w:val="20"/>
          <w:lang w:val="es-EC"/>
        </w:rPr>
      </w:pPr>
    </w:p>
    <w:p w:rsidR="00475844" w:rsidRPr="00415CF4" w:rsidRDefault="00475844" w:rsidP="00B73337">
      <w:pPr>
        <w:jc w:val="both"/>
        <w:rPr>
          <w:i/>
          <w:sz w:val="6"/>
          <w:szCs w:val="20"/>
          <w:lang w:val="es-EC"/>
        </w:rPr>
      </w:pPr>
    </w:p>
    <w:p w:rsidR="00475844" w:rsidRDefault="00113198" w:rsidP="00113198">
      <w:pPr>
        <w:jc w:val="center"/>
        <w:rPr>
          <w:b/>
          <w:sz w:val="20"/>
          <w:szCs w:val="20"/>
          <w:lang w:val="en-US"/>
        </w:rPr>
      </w:pPr>
      <w:r w:rsidRPr="00B32A00">
        <w:rPr>
          <w:b/>
          <w:sz w:val="20"/>
          <w:szCs w:val="20"/>
          <w:lang w:val="en-US"/>
        </w:rPr>
        <w:t>SUM</w:t>
      </w:r>
      <w:r w:rsidR="009B7318" w:rsidRPr="00B32A00">
        <w:rPr>
          <w:b/>
          <w:sz w:val="20"/>
          <w:szCs w:val="20"/>
          <w:lang w:val="en-US"/>
        </w:rPr>
        <w:t>M</w:t>
      </w:r>
      <w:r w:rsidRPr="00B32A00">
        <w:rPr>
          <w:b/>
          <w:sz w:val="20"/>
          <w:szCs w:val="20"/>
          <w:lang w:val="en-US"/>
        </w:rPr>
        <w:t>ARY</w:t>
      </w:r>
    </w:p>
    <w:p w:rsidR="00CE765E" w:rsidRPr="00B32A00" w:rsidRDefault="00CE765E" w:rsidP="00113198">
      <w:pPr>
        <w:jc w:val="center"/>
        <w:rPr>
          <w:i/>
          <w:sz w:val="20"/>
          <w:szCs w:val="20"/>
          <w:lang w:val="en-US"/>
        </w:rPr>
      </w:pPr>
    </w:p>
    <w:p w:rsidR="00B32A00" w:rsidRPr="00AB5A4E" w:rsidRDefault="0010299F" w:rsidP="00B32A00">
      <w:pPr>
        <w:jc w:val="both"/>
        <w:rPr>
          <w:i/>
          <w:sz w:val="20"/>
          <w:szCs w:val="20"/>
          <w:lang w:val="en-US"/>
        </w:rPr>
      </w:pPr>
      <w:r w:rsidRPr="00AB5A4E">
        <w:rPr>
          <w:i/>
          <w:sz w:val="20"/>
          <w:szCs w:val="20"/>
          <w:lang w:val="en-US"/>
        </w:rPr>
        <w:t xml:space="preserve">This </w:t>
      </w:r>
      <w:r w:rsidR="00457582" w:rsidRPr="00AB5A4E">
        <w:rPr>
          <w:i/>
          <w:sz w:val="20"/>
          <w:szCs w:val="20"/>
          <w:lang w:val="en-US"/>
        </w:rPr>
        <w:t>research</w:t>
      </w:r>
      <w:r w:rsidRPr="00AB5A4E">
        <w:rPr>
          <w:i/>
          <w:sz w:val="20"/>
          <w:szCs w:val="20"/>
          <w:lang w:val="en-US"/>
        </w:rPr>
        <w:t xml:space="preserve"> has as objective to determine which are the factors that influence the abandonment of the control a</w:t>
      </w:r>
      <w:r w:rsidR="00457582" w:rsidRPr="00AB5A4E">
        <w:rPr>
          <w:i/>
          <w:sz w:val="20"/>
          <w:szCs w:val="20"/>
          <w:lang w:val="en-US"/>
        </w:rPr>
        <w:t xml:space="preserve">nd </w:t>
      </w:r>
      <w:r w:rsidR="00CE765E" w:rsidRPr="00AB5A4E">
        <w:rPr>
          <w:i/>
          <w:sz w:val="20"/>
          <w:szCs w:val="20"/>
          <w:lang w:val="en-US"/>
        </w:rPr>
        <w:t>treatment</w:t>
      </w:r>
      <w:r w:rsidR="00457582" w:rsidRPr="00AB5A4E">
        <w:rPr>
          <w:i/>
          <w:sz w:val="20"/>
          <w:szCs w:val="20"/>
          <w:lang w:val="en-US"/>
        </w:rPr>
        <w:t xml:space="preserve"> of the asthma </w:t>
      </w:r>
      <w:r w:rsidR="00CE765E" w:rsidRPr="00AB5A4E">
        <w:rPr>
          <w:i/>
          <w:sz w:val="20"/>
          <w:szCs w:val="20"/>
          <w:lang w:val="en-US"/>
        </w:rPr>
        <w:t>i</w:t>
      </w:r>
      <w:r w:rsidR="00457582" w:rsidRPr="00AB5A4E">
        <w:rPr>
          <w:i/>
          <w:sz w:val="20"/>
          <w:szCs w:val="20"/>
          <w:lang w:val="en-US"/>
        </w:rPr>
        <w:t xml:space="preserve">n </w:t>
      </w:r>
      <w:r w:rsidRPr="00AB5A4E">
        <w:rPr>
          <w:i/>
          <w:sz w:val="20"/>
          <w:szCs w:val="20"/>
          <w:lang w:val="en-US"/>
        </w:rPr>
        <w:t>patient</w:t>
      </w:r>
      <w:r w:rsidR="00CE765E" w:rsidRPr="00AB5A4E">
        <w:rPr>
          <w:i/>
          <w:sz w:val="20"/>
          <w:szCs w:val="20"/>
          <w:lang w:val="en-US"/>
        </w:rPr>
        <w:t>s</w:t>
      </w:r>
      <w:r w:rsidRPr="00AB5A4E">
        <w:rPr>
          <w:i/>
          <w:sz w:val="20"/>
          <w:szCs w:val="20"/>
          <w:lang w:val="en-US"/>
        </w:rPr>
        <w:t xml:space="preserve"> of the </w:t>
      </w:r>
      <w:smartTag w:uri="urn:schemas-microsoft-com:office:smarttags" w:element="place">
        <w:smartTag w:uri="urn:schemas-microsoft-com:office:smarttags" w:element="PlaceName">
          <w:r w:rsidRPr="00AB5A4E">
            <w:rPr>
              <w:i/>
              <w:sz w:val="20"/>
              <w:szCs w:val="20"/>
              <w:lang w:val="en-US"/>
            </w:rPr>
            <w:t>Milita</w:t>
          </w:r>
          <w:r w:rsidR="00457582" w:rsidRPr="00AB5A4E">
            <w:rPr>
              <w:i/>
              <w:sz w:val="20"/>
              <w:szCs w:val="20"/>
              <w:lang w:val="en-US"/>
            </w:rPr>
            <w:t>ry</w:t>
          </w:r>
        </w:smartTag>
        <w:r w:rsidR="00457582" w:rsidRPr="00AB5A4E">
          <w:rPr>
            <w:i/>
            <w:sz w:val="20"/>
            <w:szCs w:val="20"/>
            <w:lang w:val="en-US"/>
          </w:rPr>
          <w:t xml:space="preserve"> </w:t>
        </w:r>
        <w:smartTag w:uri="urn:schemas-microsoft-com:office:smarttags" w:element="PlaceType">
          <w:r w:rsidR="00457582" w:rsidRPr="00AB5A4E">
            <w:rPr>
              <w:i/>
              <w:sz w:val="20"/>
              <w:szCs w:val="20"/>
              <w:lang w:val="en-US"/>
            </w:rPr>
            <w:t>Hospital</w:t>
          </w:r>
        </w:smartTag>
      </w:smartTag>
      <w:r w:rsidR="00457582" w:rsidRPr="00AB5A4E">
        <w:rPr>
          <w:i/>
          <w:sz w:val="20"/>
          <w:szCs w:val="20"/>
          <w:lang w:val="en-US"/>
        </w:rPr>
        <w:t xml:space="preserve"> of Division II D.E.  “Libertad</w:t>
      </w:r>
      <w:r w:rsidR="00CE765E" w:rsidRPr="00AB5A4E">
        <w:rPr>
          <w:i/>
          <w:sz w:val="20"/>
          <w:szCs w:val="20"/>
          <w:lang w:val="en-US"/>
        </w:rPr>
        <w:t>” diagnosed with this disease</w:t>
      </w:r>
      <w:r w:rsidR="00513C81">
        <w:rPr>
          <w:i/>
          <w:sz w:val="20"/>
          <w:szCs w:val="20"/>
          <w:lang w:val="en-US"/>
        </w:rPr>
        <w:t>,</w:t>
      </w:r>
      <w:r w:rsidRPr="00AB5A4E">
        <w:rPr>
          <w:i/>
          <w:sz w:val="20"/>
          <w:szCs w:val="20"/>
          <w:lang w:val="en-US"/>
        </w:rPr>
        <w:t xml:space="preserve"> during </w:t>
      </w:r>
      <w:r w:rsidR="00513C81">
        <w:rPr>
          <w:i/>
          <w:sz w:val="20"/>
          <w:szCs w:val="20"/>
          <w:lang w:val="en-US"/>
        </w:rPr>
        <w:t xml:space="preserve">the period 2004 – </w:t>
      </w:r>
      <w:smartTag w:uri="urn:schemas-microsoft-com:office:smarttags" w:element="metricconverter">
        <w:smartTagPr>
          <w:attr w:name="ProductID" w:val="2005, in"/>
        </w:smartTagPr>
        <w:r w:rsidR="00513C81">
          <w:rPr>
            <w:i/>
            <w:sz w:val="20"/>
            <w:szCs w:val="20"/>
            <w:lang w:val="en-US"/>
          </w:rPr>
          <w:t>2005, in</w:t>
        </w:r>
      </w:smartTag>
      <w:r w:rsidR="00513C81">
        <w:rPr>
          <w:i/>
          <w:sz w:val="20"/>
          <w:szCs w:val="20"/>
          <w:lang w:val="en-US"/>
        </w:rPr>
        <w:t xml:space="preserve"> a</w:t>
      </w:r>
      <w:r w:rsidRPr="00AB5A4E">
        <w:rPr>
          <w:i/>
          <w:sz w:val="20"/>
          <w:szCs w:val="20"/>
          <w:lang w:val="en-US"/>
        </w:rPr>
        <w:t xml:space="preserve"> specific </w:t>
      </w:r>
      <w:r w:rsidR="00513C81">
        <w:rPr>
          <w:i/>
          <w:sz w:val="20"/>
          <w:szCs w:val="20"/>
          <w:lang w:val="en-US"/>
        </w:rPr>
        <w:t xml:space="preserve">way we </w:t>
      </w:r>
      <w:r w:rsidR="00CE765E" w:rsidRPr="00AB5A4E">
        <w:rPr>
          <w:i/>
          <w:sz w:val="20"/>
          <w:szCs w:val="20"/>
          <w:lang w:val="en-US"/>
        </w:rPr>
        <w:t>are investigated</w:t>
      </w:r>
      <w:r w:rsidRPr="00AB5A4E">
        <w:rPr>
          <w:i/>
          <w:sz w:val="20"/>
          <w:szCs w:val="20"/>
          <w:lang w:val="en-US"/>
        </w:rPr>
        <w:t xml:space="preserve"> </w:t>
      </w:r>
      <w:r w:rsidR="00513C81">
        <w:rPr>
          <w:i/>
          <w:sz w:val="20"/>
          <w:szCs w:val="20"/>
          <w:lang w:val="en-US"/>
        </w:rPr>
        <w:t>which</w:t>
      </w:r>
      <w:r w:rsidR="00CE765E" w:rsidRPr="00AB5A4E">
        <w:rPr>
          <w:i/>
          <w:sz w:val="20"/>
          <w:szCs w:val="20"/>
          <w:lang w:val="en-US"/>
        </w:rPr>
        <w:t xml:space="preserve"> are </w:t>
      </w:r>
      <w:r w:rsidRPr="00AB5A4E">
        <w:rPr>
          <w:i/>
          <w:sz w:val="20"/>
          <w:szCs w:val="20"/>
          <w:lang w:val="en-US"/>
        </w:rPr>
        <w:t>the factors tha</w:t>
      </w:r>
      <w:r w:rsidR="00CE765E" w:rsidRPr="00AB5A4E">
        <w:rPr>
          <w:i/>
          <w:sz w:val="20"/>
          <w:szCs w:val="20"/>
          <w:lang w:val="en-US"/>
        </w:rPr>
        <w:t>t cause that the patient leaves</w:t>
      </w:r>
      <w:r w:rsidRPr="00AB5A4E">
        <w:rPr>
          <w:i/>
          <w:sz w:val="20"/>
          <w:szCs w:val="20"/>
          <w:lang w:val="en-US"/>
        </w:rPr>
        <w:t xml:space="preserve"> the control and </w:t>
      </w:r>
      <w:r w:rsidR="00CE765E" w:rsidRPr="00AB5A4E">
        <w:rPr>
          <w:i/>
          <w:sz w:val="20"/>
          <w:szCs w:val="20"/>
          <w:lang w:val="en-US"/>
        </w:rPr>
        <w:t>treatment</w:t>
      </w:r>
      <w:r w:rsidRPr="00AB5A4E">
        <w:rPr>
          <w:i/>
          <w:sz w:val="20"/>
          <w:szCs w:val="20"/>
          <w:lang w:val="en-US"/>
        </w:rPr>
        <w:t xml:space="preserve"> of the asthma.  </w:t>
      </w:r>
      <w:r w:rsidR="00CE765E" w:rsidRPr="00AB5A4E">
        <w:rPr>
          <w:i/>
          <w:sz w:val="20"/>
          <w:szCs w:val="20"/>
          <w:lang w:val="en-US"/>
        </w:rPr>
        <w:t>Neu</w:t>
      </w:r>
      <w:r w:rsidR="00513C81">
        <w:rPr>
          <w:i/>
          <w:sz w:val="20"/>
          <w:szCs w:val="20"/>
          <w:lang w:val="en-US"/>
        </w:rPr>
        <w:t>m</w:t>
      </w:r>
      <w:r w:rsidR="00CE765E" w:rsidRPr="00AB5A4E">
        <w:rPr>
          <w:i/>
          <w:sz w:val="20"/>
          <w:szCs w:val="20"/>
          <w:lang w:val="en-US"/>
        </w:rPr>
        <w:t>o</w:t>
      </w:r>
      <w:r w:rsidR="00513C81">
        <w:rPr>
          <w:i/>
          <w:sz w:val="20"/>
          <w:szCs w:val="20"/>
          <w:lang w:val="en-US"/>
        </w:rPr>
        <w:t>l</w:t>
      </w:r>
      <w:r w:rsidR="00CE765E" w:rsidRPr="00AB5A4E">
        <w:rPr>
          <w:i/>
          <w:sz w:val="20"/>
          <w:szCs w:val="20"/>
          <w:lang w:val="en-US"/>
        </w:rPr>
        <w:t xml:space="preserve">ogical clinical history </w:t>
      </w:r>
      <w:r w:rsidR="00513C81">
        <w:rPr>
          <w:i/>
          <w:sz w:val="20"/>
          <w:szCs w:val="20"/>
          <w:lang w:val="en-US"/>
        </w:rPr>
        <w:t>has been</w:t>
      </w:r>
      <w:r w:rsidR="00CE765E" w:rsidRPr="00AB5A4E">
        <w:rPr>
          <w:i/>
          <w:sz w:val="20"/>
          <w:szCs w:val="20"/>
          <w:lang w:val="en-US"/>
        </w:rPr>
        <w:t xml:space="preserve"> used like</w:t>
      </w:r>
      <w:r w:rsidR="00513C81">
        <w:rPr>
          <w:i/>
          <w:sz w:val="20"/>
          <w:szCs w:val="20"/>
          <w:lang w:val="en-US"/>
        </w:rPr>
        <w:t xml:space="preserve"> a</w:t>
      </w:r>
      <w:r w:rsidR="00CE765E" w:rsidRPr="00AB5A4E">
        <w:rPr>
          <w:i/>
          <w:sz w:val="20"/>
          <w:szCs w:val="20"/>
          <w:lang w:val="en-US"/>
        </w:rPr>
        <w:t xml:space="preserve"> main source of data</w:t>
      </w:r>
      <w:r w:rsidR="00457582" w:rsidRPr="00AB5A4E">
        <w:rPr>
          <w:i/>
          <w:sz w:val="20"/>
          <w:szCs w:val="20"/>
          <w:lang w:val="en-US"/>
        </w:rPr>
        <w:t xml:space="preserve">.  </w:t>
      </w:r>
      <w:r w:rsidR="00AB5A4E" w:rsidRPr="00AB5A4E">
        <w:rPr>
          <w:i/>
          <w:sz w:val="20"/>
          <w:szCs w:val="20"/>
          <w:lang w:val="en-US"/>
        </w:rPr>
        <w:t xml:space="preserve">It is known that a total </w:t>
      </w:r>
      <w:r w:rsidRPr="00AB5A4E">
        <w:rPr>
          <w:i/>
          <w:sz w:val="20"/>
          <w:szCs w:val="20"/>
          <w:lang w:val="en-US"/>
        </w:rPr>
        <w:t>of 3</w:t>
      </w:r>
      <w:r w:rsidR="00FB4383">
        <w:rPr>
          <w:i/>
          <w:sz w:val="20"/>
          <w:szCs w:val="20"/>
          <w:lang w:val="en-US"/>
        </w:rPr>
        <w:t>3</w:t>
      </w:r>
      <w:r w:rsidRPr="00AB5A4E">
        <w:rPr>
          <w:i/>
          <w:sz w:val="20"/>
          <w:szCs w:val="20"/>
          <w:lang w:val="en-US"/>
        </w:rPr>
        <w:t xml:space="preserve">6 patients  presented asthma of the total of patients </w:t>
      </w:r>
      <w:r w:rsidR="00AB5A4E" w:rsidRPr="00AB5A4E">
        <w:rPr>
          <w:i/>
          <w:sz w:val="20"/>
          <w:szCs w:val="20"/>
          <w:lang w:val="en-US"/>
        </w:rPr>
        <w:t>who went to the neumologi</w:t>
      </w:r>
      <w:r w:rsidRPr="00AB5A4E">
        <w:rPr>
          <w:i/>
          <w:sz w:val="20"/>
          <w:szCs w:val="20"/>
          <w:lang w:val="en-US"/>
        </w:rPr>
        <w:t>a</w:t>
      </w:r>
      <w:r w:rsidR="00AB5A4E" w:rsidRPr="00AB5A4E">
        <w:rPr>
          <w:i/>
          <w:sz w:val="20"/>
          <w:szCs w:val="20"/>
          <w:lang w:val="en-US"/>
        </w:rPr>
        <w:t xml:space="preserve"> area </w:t>
      </w:r>
      <w:r w:rsidRPr="00AB5A4E">
        <w:rPr>
          <w:i/>
          <w:sz w:val="20"/>
          <w:szCs w:val="20"/>
          <w:lang w:val="en-US"/>
        </w:rPr>
        <w:t>during this period.</w:t>
      </w:r>
      <w:r w:rsidR="00AB5A4E" w:rsidRPr="00AB5A4E">
        <w:rPr>
          <w:i/>
          <w:sz w:val="20"/>
          <w:szCs w:val="20"/>
          <w:lang w:val="en-US"/>
        </w:rPr>
        <w:t xml:space="preserve"> In the following lines we present</w:t>
      </w:r>
      <w:r w:rsidRPr="00AB5A4E">
        <w:rPr>
          <w:i/>
          <w:sz w:val="20"/>
          <w:szCs w:val="20"/>
          <w:lang w:val="en-US"/>
        </w:rPr>
        <w:t xml:space="preserve"> </w:t>
      </w:r>
      <w:r w:rsidR="00AB5A4E">
        <w:rPr>
          <w:i/>
          <w:sz w:val="20"/>
          <w:szCs w:val="20"/>
          <w:lang w:val="en-US"/>
        </w:rPr>
        <w:t>the</w:t>
      </w:r>
      <w:r w:rsidR="00457582" w:rsidRPr="00AB5A4E">
        <w:rPr>
          <w:i/>
          <w:sz w:val="20"/>
          <w:szCs w:val="20"/>
          <w:lang w:val="en-US"/>
        </w:rPr>
        <w:t xml:space="preserve"> Univariate</w:t>
      </w:r>
      <w:r w:rsidRPr="00AB5A4E">
        <w:rPr>
          <w:i/>
          <w:sz w:val="20"/>
          <w:szCs w:val="20"/>
          <w:lang w:val="en-US"/>
        </w:rPr>
        <w:t xml:space="preserve"> and Bivaria</w:t>
      </w:r>
      <w:r w:rsidR="00457582" w:rsidRPr="00AB5A4E">
        <w:rPr>
          <w:i/>
          <w:sz w:val="20"/>
          <w:szCs w:val="20"/>
          <w:lang w:val="en-US"/>
        </w:rPr>
        <w:t>te Analysis</w:t>
      </w:r>
      <w:r w:rsidR="00AB5A4E">
        <w:rPr>
          <w:i/>
          <w:sz w:val="20"/>
          <w:szCs w:val="20"/>
          <w:lang w:val="en-US"/>
        </w:rPr>
        <w:t xml:space="preserve">, </w:t>
      </w:r>
      <w:r w:rsidRPr="00AB5A4E">
        <w:rPr>
          <w:i/>
          <w:sz w:val="20"/>
          <w:szCs w:val="20"/>
          <w:lang w:val="en-US"/>
        </w:rPr>
        <w:t>Multiple Correspondences</w:t>
      </w:r>
      <w:r w:rsidR="00AB5A4E">
        <w:rPr>
          <w:i/>
          <w:sz w:val="20"/>
          <w:szCs w:val="20"/>
          <w:lang w:val="en-US"/>
        </w:rPr>
        <w:t xml:space="preserve"> Analysis or </w:t>
      </w:r>
      <w:r w:rsidRPr="00AB5A4E">
        <w:rPr>
          <w:i/>
          <w:sz w:val="20"/>
          <w:szCs w:val="20"/>
          <w:lang w:val="en-US"/>
        </w:rPr>
        <w:t>Homogeneity</w:t>
      </w:r>
      <w:r w:rsidR="00AB5A4E">
        <w:rPr>
          <w:i/>
          <w:sz w:val="20"/>
          <w:szCs w:val="20"/>
          <w:lang w:val="en-US"/>
        </w:rPr>
        <w:t xml:space="preserve"> Analysis </w:t>
      </w:r>
      <w:r w:rsidRPr="00AB5A4E">
        <w:rPr>
          <w:i/>
          <w:sz w:val="20"/>
          <w:szCs w:val="20"/>
          <w:lang w:val="en-US"/>
        </w:rPr>
        <w:t xml:space="preserve"> and the </w:t>
      </w:r>
      <w:r w:rsidR="00FB4383" w:rsidRPr="00AB5A4E">
        <w:rPr>
          <w:i/>
          <w:sz w:val="20"/>
          <w:szCs w:val="20"/>
          <w:lang w:val="en-US"/>
        </w:rPr>
        <w:t>R</w:t>
      </w:r>
      <w:r w:rsidR="00FB4383">
        <w:rPr>
          <w:i/>
          <w:sz w:val="20"/>
          <w:szCs w:val="20"/>
          <w:lang w:val="en-US"/>
        </w:rPr>
        <w:t>egression</w:t>
      </w:r>
      <w:r w:rsidRPr="00AB5A4E">
        <w:rPr>
          <w:i/>
          <w:sz w:val="20"/>
          <w:szCs w:val="20"/>
          <w:lang w:val="en-US"/>
        </w:rPr>
        <w:t xml:space="preserve"> Logistic</w:t>
      </w:r>
      <w:r w:rsidR="00AB5A4E">
        <w:rPr>
          <w:i/>
          <w:sz w:val="20"/>
          <w:szCs w:val="20"/>
          <w:lang w:val="en-US"/>
        </w:rPr>
        <w:t xml:space="preserve"> Analysis</w:t>
      </w:r>
      <w:r w:rsidRPr="00AB5A4E">
        <w:rPr>
          <w:i/>
          <w:sz w:val="20"/>
          <w:szCs w:val="20"/>
          <w:lang w:val="en-US"/>
        </w:rPr>
        <w:t xml:space="preserve">.  </w:t>
      </w:r>
    </w:p>
    <w:p w:rsidR="0010299F" w:rsidRDefault="0010299F" w:rsidP="00B32A00">
      <w:pPr>
        <w:jc w:val="both"/>
        <w:rPr>
          <w:sz w:val="20"/>
          <w:szCs w:val="20"/>
          <w:lang w:val="en-US"/>
        </w:rPr>
      </w:pPr>
    </w:p>
    <w:p w:rsidR="000108BD" w:rsidRPr="00B80E3E" w:rsidRDefault="000108BD" w:rsidP="00B73337">
      <w:pPr>
        <w:jc w:val="both"/>
        <w:rPr>
          <w:i/>
          <w:sz w:val="8"/>
          <w:szCs w:val="20"/>
          <w:lang w:val="en-US"/>
        </w:rPr>
        <w:sectPr w:rsidR="000108BD" w:rsidRPr="00B80E3E" w:rsidSect="007E1B45">
          <w:footerReference w:type="default" r:id="rId7"/>
          <w:type w:val="continuous"/>
          <w:pgSz w:w="11906" w:h="16838"/>
          <w:pgMar w:top="1417" w:right="1701" w:bottom="1417" w:left="1701" w:header="708" w:footer="708" w:gutter="0"/>
          <w:cols w:space="708"/>
          <w:docGrid w:linePitch="360"/>
        </w:sectPr>
      </w:pPr>
    </w:p>
    <w:p w:rsidR="00264B97" w:rsidRPr="000108BD" w:rsidRDefault="0055635F" w:rsidP="00B73337">
      <w:pPr>
        <w:jc w:val="both"/>
        <w:rPr>
          <w:b/>
          <w:sz w:val="20"/>
          <w:szCs w:val="20"/>
        </w:rPr>
      </w:pPr>
      <w:r w:rsidRPr="000108BD">
        <w:rPr>
          <w:b/>
          <w:sz w:val="20"/>
          <w:szCs w:val="20"/>
        </w:rPr>
        <w:lastRenderedPageBreak/>
        <w:t>1. INTRODUCCIÓN</w:t>
      </w:r>
    </w:p>
    <w:p w:rsidR="0055635F" w:rsidRPr="003255A5" w:rsidRDefault="0055635F" w:rsidP="003255A5">
      <w:pPr>
        <w:jc w:val="both"/>
        <w:rPr>
          <w:sz w:val="20"/>
          <w:szCs w:val="20"/>
        </w:rPr>
      </w:pPr>
    </w:p>
    <w:p w:rsidR="00142C64" w:rsidRPr="003255A5" w:rsidRDefault="00142C64" w:rsidP="00142C64">
      <w:pPr>
        <w:pStyle w:val="Textoindependiente"/>
        <w:jc w:val="both"/>
        <w:rPr>
          <w:b w:val="0"/>
          <w:bCs w:val="0"/>
          <w:sz w:val="20"/>
          <w:szCs w:val="20"/>
        </w:rPr>
      </w:pPr>
      <w:r>
        <w:rPr>
          <w:b w:val="0"/>
          <w:bCs w:val="0"/>
          <w:sz w:val="20"/>
          <w:szCs w:val="20"/>
        </w:rPr>
        <w:t xml:space="preserve">El paciente con asma al igual que cualquier otra enfermedad  descuida el control y tratamiento de la misma sin considerar las consecuencias posteriores  para su salud. </w:t>
      </w:r>
    </w:p>
    <w:p w:rsidR="00142C64" w:rsidRDefault="00142C64" w:rsidP="003255A5">
      <w:pPr>
        <w:pStyle w:val="Textoindependiente"/>
        <w:jc w:val="both"/>
        <w:rPr>
          <w:b w:val="0"/>
          <w:bCs w:val="0"/>
          <w:sz w:val="20"/>
          <w:szCs w:val="20"/>
        </w:rPr>
      </w:pPr>
    </w:p>
    <w:p w:rsidR="00B74151" w:rsidRDefault="003255A5" w:rsidP="003255A5">
      <w:pPr>
        <w:pStyle w:val="Textoindependiente"/>
        <w:jc w:val="both"/>
        <w:rPr>
          <w:b w:val="0"/>
          <w:bCs w:val="0"/>
          <w:sz w:val="20"/>
          <w:szCs w:val="20"/>
        </w:rPr>
      </w:pPr>
      <w:r w:rsidRPr="003255A5">
        <w:rPr>
          <w:b w:val="0"/>
          <w:bCs w:val="0"/>
          <w:sz w:val="20"/>
          <w:szCs w:val="20"/>
        </w:rPr>
        <w:t>Este estudio es un análisis estadístico de los factores que influyen en el abandono del control y tratamiento del asma  bronquial, el mismo que se realiza por medio de los factores que se presentan durante la evolución de la enfermedad registrados en la historia clínica neumológica  de los pacientes asmáticos del Hospital  Militar de División II</w:t>
      </w:r>
      <w:r w:rsidRPr="003255A5">
        <w:rPr>
          <w:rFonts w:eastAsia="Batang"/>
          <w:b w:val="0"/>
          <w:bCs w:val="0"/>
          <w:sz w:val="20"/>
          <w:szCs w:val="20"/>
        </w:rPr>
        <w:t xml:space="preserve"> D. E. “Libertad”</w:t>
      </w:r>
      <w:r w:rsidRPr="003255A5">
        <w:rPr>
          <w:b w:val="0"/>
          <w:bCs w:val="0"/>
          <w:sz w:val="20"/>
          <w:szCs w:val="20"/>
        </w:rPr>
        <w:t>, en el periodo 2003-2004.</w:t>
      </w:r>
      <w:r w:rsidR="005164C9">
        <w:rPr>
          <w:b w:val="0"/>
          <w:bCs w:val="0"/>
          <w:sz w:val="20"/>
          <w:szCs w:val="20"/>
        </w:rPr>
        <w:t xml:space="preserve"> Se usa como fuente de datos la historia clínica neumológica</w:t>
      </w:r>
      <w:r w:rsidR="00B74151">
        <w:rPr>
          <w:b w:val="0"/>
          <w:bCs w:val="0"/>
          <w:sz w:val="20"/>
          <w:szCs w:val="20"/>
        </w:rPr>
        <w:t>.</w:t>
      </w:r>
    </w:p>
    <w:p w:rsidR="00315B11" w:rsidRDefault="00315B11" w:rsidP="003255A5">
      <w:pPr>
        <w:pStyle w:val="Textoindependiente"/>
        <w:jc w:val="both"/>
        <w:rPr>
          <w:b w:val="0"/>
          <w:bCs w:val="0"/>
          <w:sz w:val="20"/>
          <w:szCs w:val="20"/>
        </w:rPr>
      </w:pPr>
    </w:p>
    <w:p w:rsidR="00834431" w:rsidRPr="003255A5" w:rsidRDefault="00834431" w:rsidP="00834431">
      <w:pPr>
        <w:pStyle w:val="Textoindependiente"/>
        <w:jc w:val="both"/>
        <w:rPr>
          <w:b w:val="0"/>
          <w:bCs w:val="0"/>
          <w:sz w:val="20"/>
          <w:szCs w:val="20"/>
        </w:rPr>
      </w:pPr>
      <w:r>
        <w:rPr>
          <w:b w:val="0"/>
          <w:bCs w:val="0"/>
          <w:sz w:val="20"/>
          <w:szCs w:val="20"/>
        </w:rPr>
        <w:t>Para conseguir lo propuesto se realizará el análisis estadístico univariado y el análisis estadístico multivariado (análisis bivariado, análisis de regresión logística y  correspondencias múltiple), finalmente se presentan las conclusiones basadas en los resultados  anteriores.</w:t>
      </w:r>
    </w:p>
    <w:p w:rsidR="00315B11" w:rsidRPr="001C4FCC" w:rsidRDefault="00315B11" w:rsidP="00315B11">
      <w:pPr>
        <w:pStyle w:val="Textonotapie"/>
        <w:widowControl w:val="0"/>
        <w:rPr>
          <w:i/>
          <w:sz w:val="18"/>
        </w:rPr>
      </w:pPr>
      <w:r w:rsidRPr="001C4FCC">
        <w:rPr>
          <w:i/>
          <w:sz w:val="18"/>
        </w:rPr>
        <w:t>___________________________________</w:t>
      </w:r>
      <w:r>
        <w:rPr>
          <w:i/>
          <w:sz w:val="18"/>
        </w:rPr>
        <w:t>____</w:t>
      </w:r>
    </w:p>
    <w:p w:rsidR="00315B11" w:rsidRPr="001C4FCC" w:rsidRDefault="0032438F" w:rsidP="00315B11">
      <w:pPr>
        <w:pStyle w:val="Textonotapie"/>
        <w:widowControl w:val="0"/>
        <w:jc w:val="both"/>
        <w:rPr>
          <w:i/>
          <w:sz w:val="18"/>
          <w:lang w:val="es-EC"/>
        </w:rPr>
      </w:pPr>
      <w:r w:rsidRPr="0032438F">
        <w:rPr>
          <w:i/>
          <w:sz w:val="18"/>
          <w:szCs w:val="18"/>
          <w:vertAlign w:val="superscript"/>
        </w:rPr>
        <w:t>1</w:t>
      </w:r>
      <w:r w:rsidR="00315B11" w:rsidRPr="001C4FCC">
        <w:rPr>
          <w:i/>
          <w:sz w:val="18"/>
        </w:rPr>
        <w:t xml:space="preserve"> </w:t>
      </w:r>
      <w:r w:rsidR="00315B11">
        <w:rPr>
          <w:i/>
          <w:sz w:val="18"/>
          <w:lang w:val="es-EC"/>
        </w:rPr>
        <w:t>Ingeniero</w:t>
      </w:r>
      <w:r w:rsidR="00315B11" w:rsidRPr="001C4FCC">
        <w:rPr>
          <w:i/>
          <w:sz w:val="18"/>
          <w:lang w:val="es-EC"/>
        </w:rPr>
        <w:t xml:space="preserve"> en Estadística Informática.</w:t>
      </w:r>
    </w:p>
    <w:p w:rsidR="00315B11" w:rsidRDefault="00315B11" w:rsidP="00315B11">
      <w:pPr>
        <w:jc w:val="both"/>
        <w:rPr>
          <w:i/>
          <w:sz w:val="18"/>
          <w:szCs w:val="20"/>
          <w:lang w:val="es-EC"/>
        </w:rPr>
      </w:pPr>
      <w:r w:rsidRPr="001C4FCC">
        <w:rPr>
          <w:i/>
          <w:sz w:val="18"/>
          <w:szCs w:val="20"/>
          <w:vertAlign w:val="superscript"/>
          <w:lang w:val="es-EC"/>
        </w:rPr>
        <w:t>2</w:t>
      </w:r>
      <w:r>
        <w:rPr>
          <w:i/>
          <w:sz w:val="18"/>
          <w:szCs w:val="20"/>
          <w:lang w:val="es-EC"/>
        </w:rPr>
        <w:t>Matemático,</w:t>
      </w:r>
      <w:r w:rsidRPr="001C4FCC">
        <w:rPr>
          <w:i/>
          <w:sz w:val="18"/>
          <w:szCs w:val="20"/>
          <w:lang w:val="es-EC"/>
        </w:rPr>
        <w:t xml:space="preserve"> Profesor ICM, ESPOL</w:t>
      </w:r>
    </w:p>
    <w:p w:rsidR="00965B1D" w:rsidRDefault="00965B1D" w:rsidP="00315B11">
      <w:pPr>
        <w:jc w:val="both"/>
        <w:rPr>
          <w:i/>
          <w:sz w:val="18"/>
          <w:szCs w:val="20"/>
          <w:lang w:val="es-EC"/>
        </w:rPr>
      </w:pPr>
    </w:p>
    <w:p w:rsidR="00965B1D" w:rsidRDefault="00965B1D" w:rsidP="00315B11">
      <w:pPr>
        <w:jc w:val="both"/>
        <w:rPr>
          <w:i/>
          <w:sz w:val="18"/>
          <w:szCs w:val="20"/>
          <w:lang w:val="es-EC"/>
        </w:rPr>
      </w:pPr>
    </w:p>
    <w:p w:rsidR="00965B1D" w:rsidRDefault="00965B1D" w:rsidP="00315B11">
      <w:pPr>
        <w:jc w:val="both"/>
        <w:rPr>
          <w:i/>
          <w:sz w:val="18"/>
          <w:szCs w:val="20"/>
          <w:lang w:val="es-EC"/>
        </w:rPr>
      </w:pPr>
    </w:p>
    <w:p w:rsidR="00315B11" w:rsidRPr="00315B11" w:rsidRDefault="00315B11" w:rsidP="003255A5">
      <w:pPr>
        <w:pStyle w:val="Textoindependiente"/>
        <w:jc w:val="both"/>
        <w:rPr>
          <w:b w:val="0"/>
          <w:bCs w:val="0"/>
          <w:sz w:val="20"/>
          <w:szCs w:val="20"/>
          <w:lang w:val="es-EC"/>
        </w:rPr>
      </w:pPr>
    </w:p>
    <w:p w:rsidR="00142C64" w:rsidRDefault="00142C64" w:rsidP="003255A5">
      <w:pPr>
        <w:pStyle w:val="Textoindependiente"/>
        <w:jc w:val="both"/>
        <w:rPr>
          <w:b w:val="0"/>
          <w:bCs w:val="0"/>
          <w:sz w:val="20"/>
          <w:szCs w:val="20"/>
        </w:rPr>
      </w:pPr>
    </w:p>
    <w:p w:rsidR="004F1839" w:rsidRPr="00415CF4" w:rsidRDefault="004F1839" w:rsidP="00C402EC">
      <w:pPr>
        <w:jc w:val="both"/>
        <w:rPr>
          <w:sz w:val="8"/>
          <w:szCs w:val="20"/>
          <w:lang w:val="es-EC"/>
        </w:rPr>
      </w:pPr>
    </w:p>
    <w:p w:rsidR="002C1AB1" w:rsidRPr="00922575" w:rsidRDefault="002C1AB1" w:rsidP="00C402EC">
      <w:pPr>
        <w:jc w:val="both"/>
        <w:rPr>
          <w:b/>
          <w:sz w:val="20"/>
          <w:szCs w:val="20"/>
        </w:rPr>
      </w:pPr>
      <w:r w:rsidRPr="00922575">
        <w:rPr>
          <w:b/>
          <w:sz w:val="20"/>
          <w:szCs w:val="20"/>
        </w:rPr>
        <w:lastRenderedPageBreak/>
        <w:t>2. ANÁLISIS UNIVARIADO</w:t>
      </w:r>
    </w:p>
    <w:p w:rsidR="002C1AB1" w:rsidRPr="00415CF4" w:rsidRDefault="002C1AB1" w:rsidP="00C402EC">
      <w:pPr>
        <w:jc w:val="both"/>
        <w:rPr>
          <w:sz w:val="8"/>
          <w:szCs w:val="20"/>
          <w:lang w:val="es-EC"/>
        </w:rPr>
      </w:pPr>
    </w:p>
    <w:p w:rsidR="00315B11" w:rsidRDefault="002C1AB1" w:rsidP="002C1AB1">
      <w:pPr>
        <w:jc w:val="both"/>
        <w:rPr>
          <w:sz w:val="20"/>
          <w:szCs w:val="20"/>
        </w:rPr>
      </w:pPr>
      <w:r w:rsidRPr="00922575">
        <w:rPr>
          <w:sz w:val="20"/>
          <w:szCs w:val="20"/>
        </w:rPr>
        <w:t xml:space="preserve">En esta sección se presenta el análisis estadístico </w:t>
      </w:r>
      <w:r w:rsidR="00315B11">
        <w:rPr>
          <w:sz w:val="20"/>
          <w:szCs w:val="20"/>
        </w:rPr>
        <w:t>univariado de las variables más importantes para este estudio</w:t>
      </w:r>
      <w:r w:rsidR="00640FA1">
        <w:rPr>
          <w:sz w:val="20"/>
          <w:szCs w:val="20"/>
        </w:rPr>
        <w:t>, además de los</w:t>
      </w:r>
      <w:r w:rsidRPr="00922575">
        <w:rPr>
          <w:sz w:val="20"/>
          <w:szCs w:val="20"/>
        </w:rPr>
        <w:t xml:space="preserve"> estimadores de los parámetros de cada variable.</w:t>
      </w:r>
      <w:r w:rsidR="00315B11">
        <w:rPr>
          <w:sz w:val="20"/>
          <w:szCs w:val="20"/>
        </w:rPr>
        <w:t xml:space="preserve"> </w:t>
      </w:r>
    </w:p>
    <w:p w:rsidR="004F1839" w:rsidRPr="00922575" w:rsidRDefault="00315B11" w:rsidP="002C1AB1">
      <w:pPr>
        <w:jc w:val="both"/>
        <w:rPr>
          <w:sz w:val="20"/>
          <w:szCs w:val="20"/>
        </w:rPr>
      </w:pPr>
      <w:r>
        <w:rPr>
          <w:sz w:val="20"/>
          <w:szCs w:val="20"/>
        </w:rPr>
        <w:t>Para</w:t>
      </w:r>
      <w:r w:rsidR="002C1AB1" w:rsidRPr="00922575">
        <w:rPr>
          <w:sz w:val="20"/>
          <w:szCs w:val="20"/>
        </w:rPr>
        <w:t xml:space="preserve"> las variables cuantitativas, se estiman parámetros tales como media, curtosis, sesgo, varianza, desviación estándar, error estándar, cuartiles y moda</w:t>
      </w:r>
      <w:r w:rsidR="00FE6386" w:rsidRPr="00922575">
        <w:rPr>
          <w:sz w:val="20"/>
          <w:szCs w:val="20"/>
        </w:rPr>
        <w:t>.</w:t>
      </w:r>
    </w:p>
    <w:p w:rsidR="00E7305A" w:rsidRPr="00640FA1" w:rsidRDefault="00E7305A" w:rsidP="002C1AB1">
      <w:pPr>
        <w:jc w:val="both"/>
        <w:rPr>
          <w:sz w:val="12"/>
          <w:szCs w:val="20"/>
        </w:rPr>
      </w:pPr>
    </w:p>
    <w:p w:rsidR="00E7305A" w:rsidRPr="00922575" w:rsidRDefault="00E7305A" w:rsidP="002C1AB1">
      <w:pPr>
        <w:jc w:val="both"/>
        <w:rPr>
          <w:sz w:val="20"/>
          <w:szCs w:val="20"/>
        </w:rPr>
      </w:pPr>
      <w:r w:rsidRPr="00922575">
        <w:rPr>
          <w:b/>
          <w:sz w:val="20"/>
          <w:szCs w:val="20"/>
        </w:rPr>
        <w:t xml:space="preserve">Características </w:t>
      </w:r>
      <w:r w:rsidR="00BC22DB">
        <w:rPr>
          <w:b/>
          <w:sz w:val="20"/>
          <w:szCs w:val="20"/>
        </w:rPr>
        <w:t>Generale</w:t>
      </w:r>
      <w:r w:rsidR="005C2BC8">
        <w:rPr>
          <w:b/>
          <w:sz w:val="20"/>
          <w:szCs w:val="20"/>
        </w:rPr>
        <w:t xml:space="preserve">s </w:t>
      </w:r>
      <w:r w:rsidRPr="00922575">
        <w:rPr>
          <w:b/>
          <w:sz w:val="20"/>
          <w:szCs w:val="20"/>
        </w:rPr>
        <w:t xml:space="preserve">del </w:t>
      </w:r>
      <w:r w:rsidR="005C2BC8">
        <w:rPr>
          <w:b/>
          <w:sz w:val="20"/>
          <w:szCs w:val="20"/>
        </w:rPr>
        <w:t>Paciente</w:t>
      </w:r>
      <w:r w:rsidRPr="00922575">
        <w:rPr>
          <w:b/>
          <w:sz w:val="20"/>
          <w:szCs w:val="20"/>
        </w:rPr>
        <w:t>.-</w:t>
      </w:r>
      <w:r w:rsidRPr="00922575">
        <w:rPr>
          <w:sz w:val="20"/>
          <w:szCs w:val="20"/>
        </w:rPr>
        <w:t xml:space="preserve"> En esta sección se analiza</w:t>
      </w:r>
      <w:r w:rsidR="005C2BC8">
        <w:rPr>
          <w:sz w:val="20"/>
          <w:szCs w:val="20"/>
        </w:rPr>
        <w:t>n las características generales</w:t>
      </w:r>
      <w:r w:rsidRPr="00922575">
        <w:rPr>
          <w:sz w:val="20"/>
          <w:szCs w:val="20"/>
        </w:rPr>
        <w:t xml:space="preserve"> del </w:t>
      </w:r>
      <w:r w:rsidR="005C2BC8">
        <w:rPr>
          <w:sz w:val="20"/>
          <w:szCs w:val="20"/>
        </w:rPr>
        <w:t>paciente asmático</w:t>
      </w:r>
      <w:r w:rsidRPr="00922575">
        <w:rPr>
          <w:sz w:val="20"/>
          <w:szCs w:val="20"/>
        </w:rPr>
        <w:t xml:space="preserve">. </w:t>
      </w:r>
    </w:p>
    <w:p w:rsidR="00E7305A" w:rsidRPr="00415CF4" w:rsidRDefault="00E7305A" w:rsidP="002C1AB1">
      <w:pPr>
        <w:jc w:val="both"/>
        <w:rPr>
          <w:sz w:val="12"/>
          <w:szCs w:val="20"/>
        </w:rPr>
      </w:pPr>
    </w:p>
    <w:p w:rsidR="00E7305A" w:rsidRPr="00922575" w:rsidRDefault="00E7305A" w:rsidP="00E7305A">
      <w:pPr>
        <w:jc w:val="both"/>
        <w:rPr>
          <w:sz w:val="20"/>
          <w:szCs w:val="20"/>
        </w:rPr>
      </w:pPr>
      <w:r w:rsidRPr="00922575">
        <w:rPr>
          <w:sz w:val="20"/>
          <w:szCs w:val="20"/>
        </w:rPr>
        <w:t xml:space="preserve">Género.- </w:t>
      </w:r>
      <w:r w:rsidR="005C2BC8" w:rsidRPr="005C2BC8">
        <w:rPr>
          <w:sz w:val="20"/>
          <w:szCs w:val="20"/>
        </w:rPr>
        <w:t>De los 336 pacientes asmáticos,</w:t>
      </w:r>
      <w:r w:rsidR="005C2BC8">
        <w:rPr>
          <w:sz w:val="20"/>
          <w:szCs w:val="20"/>
        </w:rPr>
        <w:t xml:space="preserve"> la mayoría</w:t>
      </w:r>
      <w:r w:rsidR="002670CD">
        <w:rPr>
          <w:sz w:val="20"/>
          <w:szCs w:val="20"/>
        </w:rPr>
        <w:t>,</w:t>
      </w:r>
      <w:r w:rsidR="005C2BC8" w:rsidRPr="005C2BC8">
        <w:rPr>
          <w:sz w:val="20"/>
          <w:szCs w:val="20"/>
        </w:rPr>
        <w:t xml:space="preserve"> el  68% pe</w:t>
      </w:r>
      <w:r w:rsidR="005C2BC8">
        <w:rPr>
          <w:sz w:val="20"/>
          <w:szCs w:val="20"/>
        </w:rPr>
        <w:t>rtenecen al género femenino frente al</w:t>
      </w:r>
      <w:r w:rsidR="005C2BC8" w:rsidRPr="005C2BC8">
        <w:rPr>
          <w:sz w:val="20"/>
          <w:szCs w:val="20"/>
        </w:rPr>
        <w:t xml:space="preserve"> 32% </w:t>
      </w:r>
      <w:r w:rsidR="005C2BC8">
        <w:rPr>
          <w:sz w:val="20"/>
          <w:szCs w:val="20"/>
        </w:rPr>
        <w:t>del</w:t>
      </w:r>
      <w:r w:rsidR="005C2BC8" w:rsidRPr="005C2BC8">
        <w:rPr>
          <w:sz w:val="20"/>
          <w:szCs w:val="20"/>
        </w:rPr>
        <w:t xml:space="preserve"> género masculino</w:t>
      </w:r>
      <w:r w:rsidR="002670CD">
        <w:rPr>
          <w:sz w:val="20"/>
          <w:szCs w:val="20"/>
        </w:rPr>
        <w:t>.</w:t>
      </w:r>
      <w:r w:rsidRPr="00922575">
        <w:rPr>
          <w:sz w:val="20"/>
          <w:szCs w:val="20"/>
        </w:rPr>
        <w:t xml:space="preserve"> </w:t>
      </w:r>
    </w:p>
    <w:p w:rsidR="000114E4" w:rsidRPr="000114E4" w:rsidRDefault="00D44DF8" w:rsidP="000114E4">
      <w:pPr>
        <w:jc w:val="both"/>
        <w:rPr>
          <w:sz w:val="20"/>
          <w:szCs w:val="20"/>
        </w:rPr>
      </w:pPr>
      <w:r w:rsidRPr="00922575">
        <w:rPr>
          <w:sz w:val="20"/>
          <w:szCs w:val="20"/>
        </w:rPr>
        <w:t xml:space="preserve">Edad.- </w:t>
      </w:r>
      <w:r w:rsidR="000114E4" w:rsidRPr="000114E4">
        <w:rPr>
          <w:sz w:val="20"/>
          <w:szCs w:val="20"/>
        </w:rPr>
        <w:t>Variable que representa la edad de los pacientes con asma en el momento de la primera consulta en el área de neumología</w:t>
      </w:r>
      <w:r w:rsidR="000114E4">
        <w:rPr>
          <w:sz w:val="20"/>
          <w:szCs w:val="20"/>
        </w:rPr>
        <w:t>. L</w:t>
      </w:r>
      <w:r w:rsidR="000114E4" w:rsidRPr="000114E4">
        <w:rPr>
          <w:sz w:val="20"/>
          <w:szCs w:val="20"/>
        </w:rPr>
        <w:t>a edad promedio  de los pacientes con asma bronquial  es  50.91 años, la edad que con más frecuencia se repite es 77.02 años,  la distribución tiene una asimetría ligeramente positiva, indicada por la medida de sesgo de la distribución 0.02.</w:t>
      </w:r>
    </w:p>
    <w:p w:rsidR="00C95722" w:rsidRDefault="00DD7075" w:rsidP="000114E4">
      <w:pPr>
        <w:jc w:val="both"/>
        <w:rPr>
          <w:sz w:val="20"/>
          <w:szCs w:val="20"/>
        </w:rPr>
      </w:pPr>
      <w:r>
        <w:rPr>
          <w:sz w:val="20"/>
          <w:szCs w:val="20"/>
        </w:rPr>
        <w:t>L</w:t>
      </w:r>
      <w:r w:rsidR="000114E4" w:rsidRPr="000114E4">
        <w:rPr>
          <w:sz w:val="20"/>
          <w:szCs w:val="20"/>
        </w:rPr>
        <w:t xml:space="preserve">a varianza es alto  por lo tanto la dispersión de las edades es alta con respecto a la edad promedio. La distribución es platicúrtica, es decir  un poco más plana que la distribución normal, dado que su coeficiente de curtosis es  </w:t>
      </w:r>
      <w:r>
        <w:rPr>
          <w:sz w:val="20"/>
          <w:szCs w:val="20"/>
        </w:rPr>
        <w:t xml:space="preserve">  </w:t>
      </w:r>
      <w:r w:rsidR="000114E4" w:rsidRPr="000114E4">
        <w:rPr>
          <w:sz w:val="20"/>
          <w:szCs w:val="20"/>
        </w:rPr>
        <w:t>-0.84.</w:t>
      </w:r>
      <w:r w:rsidR="001A2F6F">
        <w:rPr>
          <w:sz w:val="20"/>
          <w:szCs w:val="20"/>
        </w:rPr>
        <w:t xml:space="preserve"> Ver Tabla I.</w:t>
      </w:r>
    </w:p>
    <w:p w:rsidR="00B340DA" w:rsidRDefault="00B340DA" w:rsidP="000114E4">
      <w:pPr>
        <w:jc w:val="both"/>
        <w:rPr>
          <w:sz w:val="20"/>
          <w:szCs w:val="20"/>
        </w:rPr>
      </w:pPr>
    </w:p>
    <w:p w:rsidR="00B340DA" w:rsidRDefault="00B340DA" w:rsidP="000114E4">
      <w:pPr>
        <w:jc w:val="both"/>
        <w:rPr>
          <w:sz w:val="20"/>
          <w:szCs w:val="20"/>
        </w:rPr>
      </w:pPr>
    </w:p>
    <w:tbl>
      <w:tblPr>
        <w:tblW w:w="0" w:type="auto"/>
        <w:jc w:val="center"/>
        <w:tblInd w:w="40" w:type="dxa"/>
        <w:tblLayout w:type="fixed"/>
        <w:tblCellMar>
          <w:left w:w="70" w:type="dxa"/>
          <w:right w:w="70" w:type="dxa"/>
        </w:tblCellMar>
        <w:tblLook w:val="0000"/>
      </w:tblPr>
      <w:tblGrid>
        <w:gridCol w:w="2086"/>
        <w:gridCol w:w="474"/>
        <w:gridCol w:w="863"/>
      </w:tblGrid>
      <w:tr w:rsidR="00C95722" w:rsidRPr="00900952">
        <w:tblPrEx>
          <w:tblCellMar>
            <w:top w:w="0" w:type="dxa"/>
            <w:bottom w:w="0" w:type="dxa"/>
          </w:tblCellMar>
        </w:tblPrEx>
        <w:trPr>
          <w:trHeight w:val="250"/>
          <w:jc w:val="center"/>
        </w:trPr>
        <w:tc>
          <w:tcPr>
            <w:tcW w:w="3423" w:type="dxa"/>
            <w:gridSpan w:val="3"/>
            <w:tcBorders>
              <w:top w:val="single" w:sz="12" w:space="0" w:color="auto"/>
              <w:left w:val="single" w:sz="12" w:space="0" w:color="auto"/>
              <w:bottom w:val="single" w:sz="6" w:space="0" w:color="auto"/>
              <w:right w:val="single" w:sz="12" w:space="0" w:color="auto"/>
            </w:tcBorders>
          </w:tcPr>
          <w:p w:rsidR="001A2F6F" w:rsidRPr="00DD7075" w:rsidRDefault="001A2F6F" w:rsidP="001A2F6F">
            <w:pPr>
              <w:autoSpaceDE w:val="0"/>
              <w:autoSpaceDN w:val="0"/>
              <w:adjustRightInd w:val="0"/>
              <w:jc w:val="center"/>
              <w:rPr>
                <w:b/>
                <w:color w:val="000000"/>
                <w:sz w:val="20"/>
                <w:szCs w:val="20"/>
              </w:rPr>
            </w:pPr>
            <w:r>
              <w:rPr>
                <w:b/>
                <w:color w:val="000000"/>
                <w:sz w:val="20"/>
                <w:szCs w:val="20"/>
              </w:rPr>
              <w:lastRenderedPageBreak/>
              <w:t>Tabla  I</w:t>
            </w:r>
          </w:p>
          <w:p w:rsidR="00C95722" w:rsidRPr="00DD7075" w:rsidRDefault="00C95722" w:rsidP="00DD7075">
            <w:pPr>
              <w:autoSpaceDE w:val="0"/>
              <w:autoSpaceDN w:val="0"/>
              <w:adjustRightInd w:val="0"/>
              <w:jc w:val="center"/>
              <w:rPr>
                <w:color w:val="000000"/>
                <w:sz w:val="16"/>
                <w:szCs w:val="16"/>
              </w:rPr>
            </w:pPr>
            <w:r w:rsidRPr="00DD7075">
              <w:rPr>
                <w:color w:val="000000"/>
                <w:sz w:val="16"/>
                <w:szCs w:val="16"/>
              </w:rPr>
              <w:t>Estadística Descriptiva</w:t>
            </w:r>
            <w:r w:rsidR="00DD7075" w:rsidRPr="00DD7075">
              <w:rPr>
                <w:color w:val="000000"/>
                <w:sz w:val="16"/>
                <w:szCs w:val="16"/>
              </w:rPr>
              <w:t>:</w:t>
            </w:r>
            <w:r w:rsidR="00DD7075">
              <w:rPr>
                <w:color w:val="000000"/>
                <w:sz w:val="16"/>
                <w:szCs w:val="16"/>
              </w:rPr>
              <w:t xml:space="preserve"> </w:t>
            </w:r>
            <w:r w:rsidR="00DD7075" w:rsidRPr="00DD7075">
              <w:rPr>
                <w:color w:val="000000"/>
                <w:sz w:val="16"/>
                <w:szCs w:val="16"/>
              </w:rPr>
              <w:t>Edad</w:t>
            </w:r>
          </w:p>
        </w:tc>
      </w:tr>
      <w:tr w:rsidR="00C95722" w:rsidRPr="00900952">
        <w:tblPrEx>
          <w:tblCellMar>
            <w:top w:w="0" w:type="dxa"/>
            <w:bottom w:w="0" w:type="dxa"/>
          </w:tblCellMar>
        </w:tblPrEx>
        <w:trPr>
          <w:trHeight w:val="250"/>
          <w:jc w:val="center"/>
        </w:trPr>
        <w:tc>
          <w:tcPr>
            <w:tcW w:w="2086" w:type="dxa"/>
            <w:tcBorders>
              <w:top w:val="single" w:sz="12" w:space="0" w:color="auto"/>
              <w:left w:val="single" w:sz="12" w:space="0" w:color="auto"/>
              <w:bottom w:val="single" w:sz="6" w:space="0" w:color="auto"/>
              <w:right w:val="nil"/>
            </w:tcBorders>
          </w:tcPr>
          <w:p w:rsidR="00C95722" w:rsidRPr="00DD7075" w:rsidRDefault="00C95722" w:rsidP="00940F1C">
            <w:pPr>
              <w:autoSpaceDE w:val="0"/>
              <w:autoSpaceDN w:val="0"/>
              <w:adjustRightInd w:val="0"/>
              <w:rPr>
                <w:color w:val="000000"/>
                <w:sz w:val="16"/>
                <w:szCs w:val="16"/>
              </w:rPr>
            </w:pPr>
            <w:r w:rsidRPr="00DD7075">
              <w:rPr>
                <w:color w:val="000000"/>
                <w:sz w:val="16"/>
                <w:szCs w:val="16"/>
              </w:rPr>
              <w:t>Media</w:t>
            </w:r>
          </w:p>
        </w:tc>
        <w:tc>
          <w:tcPr>
            <w:tcW w:w="474" w:type="dxa"/>
            <w:tcBorders>
              <w:top w:val="single" w:sz="12" w:space="0" w:color="auto"/>
              <w:left w:val="nil"/>
              <w:bottom w:val="single" w:sz="6" w:space="0" w:color="auto"/>
              <w:right w:val="single" w:sz="12" w:space="0" w:color="auto"/>
            </w:tcBorders>
          </w:tcPr>
          <w:p w:rsidR="00C95722" w:rsidRPr="00DD7075" w:rsidRDefault="00C95722" w:rsidP="00940F1C">
            <w:pPr>
              <w:autoSpaceDE w:val="0"/>
              <w:autoSpaceDN w:val="0"/>
              <w:adjustRightInd w:val="0"/>
              <w:rPr>
                <w:color w:val="000000"/>
                <w:sz w:val="16"/>
                <w:szCs w:val="16"/>
              </w:rPr>
            </w:pPr>
          </w:p>
        </w:tc>
        <w:tc>
          <w:tcPr>
            <w:tcW w:w="863" w:type="dxa"/>
            <w:tcBorders>
              <w:top w:val="single" w:sz="12" w:space="0" w:color="auto"/>
              <w:left w:val="single" w:sz="12" w:space="0" w:color="auto"/>
              <w:bottom w:val="single" w:sz="6" w:space="0" w:color="auto"/>
              <w:right w:val="single" w:sz="12" w:space="0" w:color="auto"/>
            </w:tcBorders>
            <w:vAlign w:val="bottom"/>
          </w:tcPr>
          <w:p w:rsidR="00C95722" w:rsidRPr="00DD7075" w:rsidRDefault="00C95722" w:rsidP="00940F1C">
            <w:pPr>
              <w:autoSpaceDE w:val="0"/>
              <w:autoSpaceDN w:val="0"/>
              <w:adjustRightInd w:val="0"/>
              <w:jc w:val="right"/>
              <w:rPr>
                <w:color w:val="000000"/>
                <w:sz w:val="16"/>
                <w:szCs w:val="16"/>
              </w:rPr>
            </w:pPr>
            <w:r w:rsidRPr="00DD7075">
              <w:rPr>
                <w:color w:val="000000"/>
                <w:sz w:val="16"/>
                <w:szCs w:val="16"/>
              </w:rPr>
              <w:t>50.91</w:t>
            </w:r>
          </w:p>
        </w:tc>
      </w:tr>
      <w:tr w:rsidR="00C95722" w:rsidRPr="00900952">
        <w:tblPrEx>
          <w:tblCellMar>
            <w:top w:w="0" w:type="dxa"/>
            <w:bottom w:w="0" w:type="dxa"/>
          </w:tblCellMar>
        </w:tblPrEx>
        <w:trPr>
          <w:trHeight w:val="250"/>
          <w:jc w:val="center"/>
        </w:trPr>
        <w:tc>
          <w:tcPr>
            <w:tcW w:w="2086" w:type="dxa"/>
            <w:tcBorders>
              <w:top w:val="single" w:sz="6" w:space="0" w:color="auto"/>
              <w:left w:val="single" w:sz="12" w:space="0" w:color="auto"/>
              <w:bottom w:val="single" w:sz="6" w:space="0" w:color="auto"/>
              <w:right w:val="nil"/>
            </w:tcBorders>
          </w:tcPr>
          <w:p w:rsidR="00C95722" w:rsidRPr="00DD7075" w:rsidRDefault="00C95722" w:rsidP="00940F1C">
            <w:pPr>
              <w:autoSpaceDE w:val="0"/>
              <w:autoSpaceDN w:val="0"/>
              <w:adjustRightInd w:val="0"/>
              <w:rPr>
                <w:color w:val="000000"/>
                <w:sz w:val="16"/>
                <w:szCs w:val="16"/>
              </w:rPr>
            </w:pPr>
            <w:r w:rsidRPr="00DD7075">
              <w:rPr>
                <w:color w:val="000000"/>
                <w:sz w:val="16"/>
                <w:szCs w:val="16"/>
              </w:rPr>
              <w:t>Mediana</w:t>
            </w:r>
          </w:p>
        </w:tc>
        <w:tc>
          <w:tcPr>
            <w:tcW w:w="474" w:type="dxa"/>
            <w:tcBorders>
              <w:top w:val="single" w:sz="6" w:space="0" w:color="auto"/>
              <w:left w:val="nil"/>
              <w:bottom w:val="single" w:sz="6" w:space="0" w:color="auto"/>
              <w:right w:val="single" w:sz="12" w:space="0" w:color="auto"/>
            </w:tcBorders>
          </w:tcPr>
          <w:p w:rsidR="00C95722" w:rsidRPr="00DD7075" w:rsidRDefault="00C95722" w:rsidP="00940F1C">
            <w:pPr>
              <w:autoSpaceDE w:val="0"/>
              <w:autoSpaceDN w:val="0"/>
              <w:adjustRightInd w:val="0"/>
              <w:rPr>
                <w:color w:val="000000"/>
                <w:sz w:val="16"/>
                <w:szCs w:val="16"/>
              </w:rPr>
            </w:pPr>
          </w:p>
        </w:tc>
        <w:tc>
          <w:tcPr>
            <w:tcW w:w="863" w:type="dxa"/>
            <w:tcBorders>
              <w:top w:val="single" w:sz="6" w:space="0" w:color="auto"/>
              <w:left w:val="single" w:sz="12" w:space="0" w:color="auto"/>
              <w:bottom w:val="single" w:sz="6" w:space="0" w:color="auto"/>
              <w:right w:val="single" w:sz="12" w:space="0" w:color="auto"/>
            </w:tcBorders>
            <w:vAlign w:val="bottom"/>
          </w:tcPr>
          <w:p w:rsidR="00C95722" w:rsidRPr="00DD7075" w:rsidRDefault="00C95722" w:rsidP="00940F1C">
            <w:pPr>
              <w:autoSpaceDE w:val="0"/>
              <w:autoSpaceDN w:val="0"/>
              <w:adjustRightInd w:val="0"/>
              <w:jc w:val="right"/>
              <w:rPr>
                <w:color w:val="000000"/>
                <w:sz w:val="16"/>
                <w:szCs w:val="16"/>
              </w:rPr>
            </w:pPr>
            <w:r w:rsidRPr="00DD7075">
              <w:rPr>
                <w:color w:val="000000"/>
                <w:sz w:val="16"/>
                <w:szCs w:val="16"/>
              </w:rPr>
              <w:t>50.43</w:t>
            </w:r>
          </w:p>
        </w:tc>
      </w:tr>
      <w:tr w:rsidR="00C95722" w:rsidRPr="00900952">
        <w:tblPrEx>
          <w:tblCellMar>
            <w:top w:w="0" w:type="dxa"/>
            <w:bottom w:w="0" w:type="dxa"/>
          </w:tblCellMar>
        </w:tblPrEx>
        <w:trPr>
          <w:trHeight w:val="250"/>
          <w:jc w:val="center"/>
        </w:trPr>
        <w:tc>
          <w:tcPr>
            <w:tcW w:w="2086" w:type="dxa"/>
            <w:tcBorders>
              <w:top w:val="single" w:sz="6" w:space="0" w:color="auto"/>
              <w:left w:val="single" w:sz="12" w:space="0" w:color="auto"/>
              <w:bottom w:val="single" w:sz="6" w:space="0" w:color="auto"/>
              <w:right w:val="nil"/>
            </w:tcBorders>
          </w:tcPr>
          <w:p w:rsidR="00C95722" w:rsidRPr="00DD7075" w:rsidRDefault="00C95722" w:rsidP="00940F1C">
            <w:pPr>
              <w:autoSpaceDE w:val="0"/>
              <w:autoSpaceDN w:val="0"/>
              <w:adjustRightInd w:val="0"/>
              <w:rPr>
                <w:color w:val="000000"/>
                <w:sz w:val="16"/>
                <w:szCs w:val="16"/>
              </w:rPr>
            </w:pPr>
            <w:r w:rsidRPr="00DD7075">
              <w:rPr>
                <w:color w:val="000000"/>
                <w:sz w:val="16"/>
                <w:szCs w:val="16"/>
              </w:rPr>
              <w:t>Moda</w:t>
            </w:r>
          </w:p>
        </w:tc>
        <w:tc>
          <w:tcPr>
            <w:tcW w:w="474" w:type="dxa"/>
            <w:tcBorders>
              <w:top w:val="single" w:sz="6" w:space="0" w:color="auto"/>
              <w:left w:val="nil"/>
              <w:bottom w:val="single" w:sz="6" w:space="0" w:color="auto"/>
              <w:right w:val="single" w:sz="12" w:space="0" w:color="auto"/>
            </w:tcBorders>
          </w:tcPr>
          <w:p w:rsidR="00C95722" w:rsidRPr="00DD7075" w:rsidRDefault="00C95722" w:rsidP="00940F1C">
            <w:pPr>
              <w:autoSpaceDE w:val="0"/>
              <w:autoSpaceDN w:val="0"/>
              <w:adjustRightInd w:val="0"/>
              <w:rPr>
                <w:color w:val="000000"/>
                <w:sz w:val="16"/>
                <w:szCs w:val="16"/>
              </w:rPr>
            </w:pPr>
          </w:p>
        </w:tc>
        <w:tc>
          <w:tcPr>
            <w:tcW w:w="863" w:type="dxa"/>
            <w:tcBorders>
              <w:top w:val="single" w:sz="6" w:space="0" w:color="auto"/>
              <w:left w:val="single" w:sz="12" w:space="0" w:color="auto"/>
              <w:bottom w:val="single" w:sz="6" w:space="0" w:color="auto"/>
              <w:right w:val="single" w:sz="12" w:space="0" w:color="auto"/>
            </w:tcBorders>
            <w:vAlign w:val="bottom"/>
          </w:tcPr>
          <w:p w:rsidR="00C95722" w:rsidRPr="00DD7075" w:rsidRDefault="00C95722" w:rsidP="00940F1C">
            <w:pPr>
              <w:autoSpaceDE w:val="0"/>
              <w:autoSpaceDN w:val="0"/>
              <w:adjustRightInd w:val="0"/>
              <w:jc w:val="right"/>
              <w:rPr>
                <w:color w:val="000000"/>
                <w:sz w:val="16"/>
                <w:szCs w:val="16"/>
              </w:rPr>
            </w:pPr>
            <w:r w:rsidRPr="00DD7075">
              <w:rPr>
                <w:color w:val="000000"/>
                <w:sz w:val="16"/>
                <w:szCs w:val="16"/>
              </w:rPr>
              <w:t>77.02</w:t>
            </w:r>
          </w:p>
        </w:tc>
      </w:tr>
      <w:tr w:rsidR="00C95722" w:rsidRPr="00900952">
        <w:tblPrEx>
          <w:tblCellMar>
            <w:top w:w="0" w:type="dxa"/>
            <w:bottom w:w="0" w:type="dxa"/>
          </w:tblCellMar>
        </w:tblPrEx>
        <w:trPr>
          <w:trHeight w:val="250"/>
          <w:jc w:val="center"/>
        </w:trPr>
        <w:tc>
          <w:tcPr>
            <w:tcW w:w="2086" w:type="dxa"/>
            <w:tcBorders>
              <w:top w:val="single" w:sz="6" w:space="0" w:color="auto"/>
              <w:left w:val="single" w:sz="12" w:space="0" w:color="auto"/>
              <w:bottom w:val="single" w:sz="6" w:space="0" w:color="auto"/>
              <w:right w:val="nil"/>
            </w:tcBorders>
          </w:tcPr>
          <w:p w:rsidR="00C95722" w:rsidRPr="00DD7075" w:rsidRDefault="00C95722" w:rsidP="00940F1C">
            <w:pPr>
              <w:autoSpaceDE w:val="0"/>
              <w:autoSpaceDN w:val="0"/>
              <w:adjustRightInd w:val="0"/>
              <w:rPr>
                <w:color w:val="000000"/>
                <w:sz w:val="16"/>
                <w:szCs w:val="16"/>
              </w:rPr>
            </w:pPr>
            <w:r w:rsidRPr="00DD7075">
              <w:rPr>
                <w:color w:val="000000"/>
                <w:sz w:val="16"/>
                <w:szCs w:val="16"/>
              </w:rPr>
              <w:t>Desviación Estándar</w:t>
            </w:r>
          </w:p>
        </w:tc>
        <w:tc>
          <w:tcPr>
            <w:tcW w:w="474" w:type="dxa"/>
            <w:tcBorders>
              <w:top w:val="single" w:sz="6" w:space="0" w:color="auto"/>
              <w:left w:val="nil"/>
              <w:bottom w:val="single" w:sz="6" w:space="0" w:color="auto"/>
              <w:right w:val="single" w:sz="12" w:space="0" w:color="auto"/>
            </w:tcBorders>
          </w:tcPr>
          <w:p w:rsidR="00C95722" w:rsidRPr="00DD7075" w:rsidRDefault="00C95722" w:rsidP="00940F1C">
            <w:pPr>
              <w:autoSpaceDE w:val="0"/>
              <w:autoSpaceDN w:val="0"/>
              <w:adjustRightInd w:val="0"/>
              <w:rPr>
                <w:color w:val="000000"/>
                <w:sz w:val="16"/>
                <w:szCs w:val="16"/>
              </w:rPr>
            </w:pPr>
          </w:p>
        </w:tc>
        <w:tc>
          <w:tcPr>
            <w:tcW w:w="863" w:type="dxa"/>
            <w:tcBorders>
              <w:top w:val="single" w:sz="6" w:space="0" w:color="auto"/>
              <w:left w:val="single" w:sz="12" w:space="0" w:color="auto"/>
              <w:bottom w:val="single" w:sz="6" w:space="0" w:color="auto"/>
              <w:right w:val="single" w:sz="12" w:space="0" w:color="auto"/>
            </w:tcBorders>
            <w:vAlign w:val="bottom"/>
          </w:tcPr>
          <w:p w:rsidR="00C95722" w:rsidRPr="00DD7075" w:rsidRDefault="00C95722" w:rsidP="00940F1C">
            <w:pPr>
              <w:autoSpaceDE w:val="0"/>
              <w:autoSpaceDN w:val="0"/>
              <w:adjustRightInd w:val="0"/>
              <w:jc w:val="right"/>
              <w:rPr>
                <w:color w:val="000000"/>
                <w:sz w:val="16"/>
                <w:szCs w:val="16"/>
              </w:rPr>
            </w:pPr>
            <w:r w:rsidRPr="00DD7075">
              <w:rPr>
                <w:color w:val="000000"/>
                <w:sz w:val="16"/>
                <w:szCs w:val="16"/>
              </w:rPr>
              <w:t>19.61</w:t>
            </w:r>
          </w:p>
        </w:tc>
      </w:tr>
      <w:tr w:rsidR="00C95722" w:rsidRPr="00900952">
        <w:tblPrEx>
          <w:tblCellMar>
            <w:top w:w="0" w:type="dxa"/>
            <w:bottom w:w="0" w:type="dxa"/>
          </w:tblCellMar>
        </w:tblPrEx>
        <w:trPr>
          <w:trHeight w:val="250"/>
          <w:jc w:val="center"/>
        </w:trPr>
        <w:tc>
          <w:tcPr>
            <w:tcW w:w="2086" w:type="dxa"/>
            <w:tcBorders>
              <w:top w:val="single" w:sz="6" w:space="0" w:color="auto"/>
              <w:left w:val="single" w:sz="12" w:space="0" w:color="auto"/>
              <w:bottom w:val="single" w:sz="6" w:space="0" w:color="auto"/>
              <w:right w:val="nil"/>
            </w:tcBorders>
          </w:tcPr>
          <w:p w:rsidR="00C95722" w:rsidRPr="00DD7075" w:rsidRDefault="00C95722" w:rsidP="00940F1C">
            <w:pPr>
              <w:autoSpaceDE w:val="0"/>
              <w:autoSpaceDN w:val="0"/>
              <w:adjustRightInd w:val="0"/>
              <w:rPr>
                <w:color w:val="000000"/>
                <w:sz w:val="16"/>
                <w:szCs w:val="16"/>
              </w:rPr>
            </w:pPr>
            <w:r w:rsidRPr="00DD7075">
              <w:rPr>
                <w:color w:val="000000"/>
                <w:sz w:val="16"/>
                <w:szCs w:val="16"/>
              </w:rPr>
              <w:t>Varianza</w:t>
            </w:r>
          </w:p>
        </w:tc>
        <w:tc>
          <w:tcPr>
            <w:tcW w:w="474" w:type="dxa"/>
            <w:tcBorders>
              <w:top w:val="single" w:sz="6" w:space="0" w:color="auto"/>
              <w:left w:val="nil"/>
              <w:bottom w:val="single" w:sz="6" w:space="0" w:color="auto"/>
              <w:right w:val="single" w:sz="12" w:space="0" w:color="auto"/>
            </w:tcBorders>
          </w:tcPr>
          <w:p w:rsidR="00C95722" w:rsidRPr="00DD7075" w:rsidRDefault="00C95722" w:rsidP="00940F1C">
            <w:pPr>
              <w:autoSpaceDE w:val="0"/>
              <w:autoSpaceDN w:val="0"/>
              <w:adjustRightInd w:val="0"/>
              <w:rPr>
                <w:color w:val="000000"/>
                <w:sz w:val="16"/>
                <w:szCs w:val="16"/>
              </w:rPr>
            </w:pPr>
          </w:p>
        </w:tc>
        <w:tc>
          <w:tcPr>
            <w:tcW w:w="863" w:type="dxa"/>
            <w:tcBorders>
              <w:top w:val="single" w:sz="6" w:space="0" w:color="auto"/>
              <w:left w:val="single" w:sz="12" w:space="0" w:color="auto"/>
              <w:bottom w:val="single" w:sz="6" w:space="0" w:color="auto"/>
              <w:right w:val="single" w:sz="12" w:space="0" w:color="auto"/>
            </w:tcBorders>
            <w:vAlign w:val="bottom"/>
          </w:tcPr>
          <w:p w:rsidR="00C95722" w:rsidRPr="00DD7075" w:rsidRDefault="00C95722" w:rsidP="00940F1C">
            <w:pPr>
              <w:autoSpaceDE w:val="0"/>
              <w:autoSpaceDN w:val="0"/>
              <w:adjustRightInd w:val="0"/>
              <w:jc w:val="right"/>
              <w:rPr>
                <w:color w:val="000000"/>
                <w:sz w:val="16"/>
                <w:szCs w:val="16"/>
              </w:rPr>
            </w:pPr>
            <w:r w:rsidRPr="00DD7075">
              <w:rPr>
                <w:color w:val="000000"/>
                <w:sz w:val="16"/>
                <w:szCs w:val="16"/>
              </w:rPr>
              <w:t>384.40</w:t>
            </w:r>
          </w:p>
        </w:tc>
      </w:tr>
      <w:tr w:rsidR="00C95722" w:rsidRPr="00900952">
        <w:tblPrEx>
          <w:tblCellMar>
            <w:top w:w="0" w:type="dxa"/>
            <w:bottom w:w="0" w:type="dxa"/>
          </w:tblCellMar>
        </w:tblPrEx>
        <w:trPr>
          <w:trHeight w:val="250"/>
          <w:jc w:val="center"/>
        </w:trPr>
        <w:tc>
          <w:tcPr>
            <w:tcW w:w="2086" w:type="dxa"/>
            <w:tcBorders>
              <w:top w:val="single" w:sz="6" w:space="0" w:color="auto"/>
              <w:left w:val="single" w:sz="12" w:space="0" w:color="auto"/>
              <w:bottom w:val="single" w:sz="6" w:space="0" w:color="auto"/>
              <w:right w:val="nil"/>
            </w:tcBorders>
          </w:tcPr>
          <w:p w:rsidR="00C95722" w:rsidRPr="00DD7075" w:rsidRDefault="00C95722" w:rsidP="00940F1C">
            <w:pPr>
              <w:autoSpaceDE w:val="0"/>
              <w:autoSpaceDN w:val="0"/>
              <w:adjustRightInd w:val="0"/>
              <w:rPr>
                <w:color w:val="000000"/>
                <w:sz w:val="16"/>
                <w:szCs w:val="16"/>
              </w:rPr>
            </w:pPr>
            <w:r w:rsidRPr="00DD7075">
              <w:rPr>
                <w:color w:val="000000"/>
                <w:sz w:val="16"/>
                <w:szCs w:val="16"/>
              </w:rPr>
              <w:t>Sesgo</w:t>
            </w:r>
          </w:p>
        </w:tc>
        <w:tc>
          <w:tcPr>
            <w:tcW w:w="474" w:type="dxa"/>
            <w:tcBorders>
              <w:top w:val="single" w:sz="6" w:space="0" w:color="auto"/>
              <w:left w:val="nil"/>
              <w:bottom w:val="single" w:sz="6" w:space="0" w:color="auto"/>
              <w:right w:val="single" w:sz="12" w:space="0" w:color="auto"/>
            </w:tcBorders>
          </w:tcPr>
          <w:p w:rsidR="00C95722" w:rsidRPr="00DD7075" w:rsidRDefault="00C95722" w:rsidP="00940F1C">
            <w:pPr>
              <w:autoSpaceDE w:val="0"/>
              <w:autoSpaceDN w:val="0"/>
              <w:adjustRightInd w:val="0"/>
              <w:rPr>
                <w:color w:val="000000"/>
                <w:sz w:val="16"/>
                <w:szCs w:val="16"/>
              </w:rPr>
            </w:pPr>
          </w:p>
        </w:tc>
        <w:tc>
          <w:tcPr>
            <w:tcW w:w="863" w:type="dxa"/>
            <w:tcBorders>
              <w:top w:val="single" w:sz="6" w:space="0" w:color="auto"/>
              <w:left w:val="single" w:sz="12" w:space="0" w:color="auto"/>
              <w:bottom w:val="single" w:sz="6" w:space="0" w:color="auto"/>
              <w:right w:val="single" w:sz="12" w:space="0" w:color="auto"/>
            </w:tcBorders>
            <w:vAlign w:val="bottom"/>
          </w:tcPr>
          <w:p w:rsidR="00C95722" w:rsidRPr="00DD7075" w:rsidRDefault="00C95722" w:rsidP="00940F1C">
            <w:pPr>
              <w:autoSpaceDE w:val="0"/>
              <w:autoSpaceDN w:val="0"/>
              <w:adjustRightInd w:val="0"/>
              <w:jc w:val="right"/>
              <w:rPr>
                <w:color w:val="000000"/>
                <w:sz w:val="16"/>
                <w:szCs w:val="16"/>
              </w:rPr>
            </w:pPr>
            <w:r w:rsidRPr="00DD7075">
              <w:rPr>
                <w:color w:val="000000"/>
                <w:sz w:val="16"/>
                <w:szCs w:val="16"/>
              </w:rPr>
              <w:t>0.02</w:t>
            </w:r>
          </w:p>
        </w:tc>
      </w:tr>
      <w:tr w:rsidR="00C95722" w:rsidRPr="00900952">
        <w:tblPrEx>
          <w:tblCellMar>
            <w:top w:w="0" w:type="dxa"/>
            <w:bottom w:w="0" w:type="dxa"/>
          </w:tblCellMar>
        </w:tblPrEx>
        <w:trPr>
          <w:trHeight w:val="250"/>
          <w:jc w:val="center"/>
        </w:trPr>
        <w:tc>
          <w:tcPr>
            <w:tcW w:w="2086" w:type="dxa"/>
            <w:tcBorders>
              <w:top w:val="single" w:sz="6" w:space="0" w:color="auto"/>
              <w:left w:val="single" w:sz="12" w:space="0" w:color="auto"/>
              <w:bottom w:val="single" w:sz="6" w:space="0" w:color="auto"/>
              <w:right w:val="nil"/>
            </w:tcBorders>
          </w:tcPr>
          <w:p w:rsidR="00C95722" w:rsidRPr="00DD7075" w:rsidRDefault="00C95722" w:rsidP="00940F1C">
            <w:pPr>
              <w:autoSpaceDE w:val="0"/>
              <w:autoSpaceDN w:val="0"/>
              <w:adjustRightInd w:val="0"/>
              <w:rPr>
                <w:color w:val="000000"/>
                <w:sz w:val="16"/>
                <w:szCs w:val="16"/>
              </w:rPr>
            </w:pPr>
            <w:r w:rsidRPr="00DD7075">
              <w:rPr>
                <w:color w:val="000000"/>
                <w:sz w:val="16"/>
                <w:szCs w:val="16"/>
              </w:rPr>
              <w:t>Curtosis</w:t>
            </w:r>
          </w:p>
        </w:tc>
        <w:tc>
          <w:tcPr>
            <w:tcW w:w="474" w:type="dxa"/>
            <w:tcBorders>
              <w:top w:val="single" w:sz="6" w:space="0" w:color="auto"/>
              <w:left w:val="nil"/>
              <w:bottom w:val="single" w:sz="6" w:space="0" w:color="auto"/>
              <w:right w:val="single" w:sz="12" w:space="0" w:color="auto"/>
            </w:tcBorders>
          </w:tcPr>
          <w:p w:rsidR="00C95722" w:rsidRPr="00DD7075" w:rsidRDefault="00C95722" w:rsidP="00940F1C">
            <w:pPr>
              <w:autoSpaceDE w:val="0"/>
              <w:autoSpaceDN w:val="0"/>
              <w:adjustRightInd w:val="0"/>
              <w:rPr>
                <w:color w:val="000000"/>
                <w:sz w:val="16"/>
                <w:szCs w:val="16"/>
              </w:rPr>
            </w:pPr>
          </w:p>
        </w:tc>
        <w:tc>
          <w:tcPr>
            <w:tcW w:w="863" w:type="dxa"/>
            <w:tcBorders>
              <w:top w:val="single" w:sz="6" w:space="0" w:color="auto"/>
              <w:left w:val="single" w:sz="12" w:space="0" w:color="auto"/>
              <w:bottom w:val="single" w:sz="6" w:space="0" w:color="auto"/>
              <w:right w:val="single" w:sz="12" w:space="0" w:color="auto"/>
            </w:tcBorders>
            <w:vAlign w:val="bottom"/>
          </w:tcPr>
          <w:p w:rsidR="00C95722" w:rsidRPr="00DD7075" w:rsidRDefault="00C95722" w:rsidP="00940F1C">
            <w:pPr>
              <w:autoSpaceDE w:val="0"/>
              <w:autoSpaceDN w:val="0"/>
              <w:adjustRightInd w:val="0"/>
              <w:jc w:val="right"/>
              <w:rPr>
                <w:color w:val="000000"/>
                <w:sz w:val="16"/>
                <w:szCs w:val="16"/>
              </w:rPr>
            </w:pPr>
            <w:r w:rsidRPr="00DD7075">
              <w:rPr>
                <w:color w:val="000000"/>
                <w:sz w:val="16"/>
                <w:szCs w:val="16"/>
              </w:rPr>
              <w:t>-0.84</w:t>
            </w:r>
          </w:p>
        </w:tc>
      </w:tr>
      <w:tr w:rsidR="00C95722" w:rsidRPr="00900952">
        <w:tblPrEx>
          <w:tblCellMar>
            <w:top w:w="0" w:type="dxa"/>
            <w:bottom w:w="0" w:type="dxa"/>
          </w:tblCellMar>
        </w:tblPrEx>
        <w:trPr>
          <w:trHeight w:val="250"/>
          <w:jc w:val="center"/>
        </w:trPr>
        <w:tc>
          <w:tcPr>
            <w:tcW w:w="2086" w:type="dxa"/>
            <w:tcBorders>
              <w:top w:val="single" w:sz="6" w:space="0" w:color="auto"/>
              <w:left w:val="single" w:sz="12" w:space="0" w:color="auto"/>
              <w:bottom w:val="single" w:sz="6" w:space="0" w:color="auto"/>
              <w:right w:val="nil"/>
            </w:tcBorders>
          </w:tcPr>
          <w:p w:rsidR="00C95722" w:rsidRPr="00DD7075" w:rsidRDefault="00C95722" w:rsidP="00940F1C">
            <w:pPr>
              <w:autoSpaceDE w:val="0"/>
              <w:autoSpaceDN w:val="0"/>
              <w:adjustRightInd w:val="0"/>
              <w:rPr>
                <w:color w:val="000000"/>
                <w:sz w:val="16"/>
                <w:szCs w:val="16"/>
              </w:rPr>
            </w:pPr>
            <w:r w:rsidRPr="00DD7075">
              <w:rPr>
                <w:color w:val="000000"/>
                <w:sz w:val="16"/>
                <w:szCs w:val="16"/>
              </w:rPr>
              <w:t>Mínimo</w:t>
            </w:r>
          </w:p>
        </w:tc>
        <w:tc>
          <w:tcPr>
            <w:tcW w:w="474" w:type="dxa"/>
            <w:tcBorders>
              <w:top w:val="single" w:sz="6" w:space="0" w:color="auto"/>
              <w:left w:val="nil"/>
              <w:bottom w:val="single" w:sz="6" w:space="0" w:color="auto"/>
              <w:right w:val="single" w:sz="12" w:space="0" w:color="auto"/>
            </w:tcBorders>
          </w:tcPr>
          <w:p w:rsidR="00C95722" w:rsidRPr="00DD7075" w:rsidRDefault="00C95722" w:rsidP="00940F1C">
            <w:pPr>
              <w:autoSpaceDE w:val="0"/>
              <w:autoSpaceDN w:val="0"/>
              <w:adjustRightInd w:val="0"/>
              <w:rPr>
                <w:color w:val="000000"/>
                <w:sz w:val="16"/>
                <w:szCs w:val="16"/>
              </w:rPr>
            </w:pPr>
          </w:p>
        </w:tc>
        <w:tc>
          <w:tcPr>
            <w:tcW w:w="863" w:type="dxa"/>
            <w:tcBorders>
              <w:top w:val="single" w:sz="6" w:space="0" w:color="auto"/>
              <w:left w:val="single" w:sz="12" w:space="0" w:color="auto"/>
              <w:bottom w:val="single" w:sz="6" w:space="0" w:color="auto"/>
              <w:right w:val="single" w:sz="12" w:space="0" w:color="auto"/>
            </w:tcBorders>
            <w:vAlign w:val="bottom"/>
          </w:tcPr>
          <w:p w:rsidR="00C95722" w:rsidRPr="00DD7075" w:rsidRDefault="00C95722" w:rsidP="00940F1C">
            <w:pPr>
              <w:autoSpaceDE w:val="0"/>
              <w:autoSpaceDN w:val="0"/>
              <w:adjustRightInd w:val="0"/>
              <w:jc w:val="right"/>
              <w:rPr>
                <w:color w:val="000000"/>
                <w:sz w:val="16"/>
                <w:szCs w:val="16"/>
              </w:rPr>
            </w:pPr>
            <w:r w:rsidRPr="00DD7075">
              <w:rPr>
                <w:color w:val="000000"/>
                <w:sz w:val="16"/>
                <w:szCs w:val="16"/>
              </w:rPr>
              <w:t>15.23</w:t>
            </w:r>
          </w:p>
        </w:tc>
      </w:tr>
      <w:tr w:rsidR="00C95722" w:rsidRPr="00900952">
        <w:tblPrEx>
          <w:tblCellMar>
            <w:top w:w="0" w:type="dxa"/>
            <w:bottom w:w="0" w:type="dxa"/>
          </w:tblCellMar>
        </w:tblPrEx>
        <w:trPr>
          <w:trHeight w:val="264"/>
          <w:jc w:val="center"/>
        </w:trPr>
        <w:tc>
          <w:tcPr>
            <w:tcW w:w="2086" w:type="dxa"/>
            <w:tcBorders>
              <w:top w:val="single" w:sz="6" w:space="0" w:color="auto"/>
              <w:left w:val="single" w:sz="12" w:space="0" w:color="auto"/>
              <w:bottom w:val="single" w:sz="12" w:space="0" w:color="000000"/>
              <w:right w:val="nil"/>
            </w:tcBorders>
          </w:tcPr>
          <w:p w:rsidR="00C95722" w:rsidRPr="00DD7075" w:rsidRDefault="00C95722" w:rsidP="00940F1C">
            <w:pPr>
              <w:autoSpaceDE w:val="0"/>
              <w:autoSpaceDN w:val="0"/>
              <w:adjustRightInd w:val="0"/>
              <w:rPr>
                <w:color w:val="000000"/>
                <w:sz w:val="16"/>
                <w:szCs w:val="16"/>
              </w:rPr>
            </w:pPr>
            <w:r w:rsidRPr="00DD7075">
              <w:rPr>
                <w:color w:val="000000"/>
                <w:sz w:val="16"/>
                <w:szCs w:val="16"/>
              </w:rPr>
              <w:t>Máximo</w:t>
            </w:r>
          </w:p>
        </w:tc>
        <w:tc>
          <w:tcPr>
            <w:tcW w:w="474" w:type="dxa"/>
            <w:tcBorders>
              <w:top w:val="single" w:sz="6" w:space="0" w:color="auto"/>
              <w:left w:val="nil"/>
              <w:bottom w:val="single" w:sz="12" w:space="0" w:color="000000"/>
              <w:right w:val="single" w:sz="12" w:space="0" w:color="auto"/>
            </w:tcBorders>
          </w:tcPr>
          <w:p w:rsidR="00C95722" w:rsidRPr="00DD7075" w:rsidRDefault="00C95722" w:rsidP="00940F1C">
            <w:pPr>
              <w:autoSpaceDE w:val="0"/>
              <w:autoSpaceDN w:val="0"/>
              <w:adjustRightInd w:val="0"/>
              <w:rPr>
                <w:color w:val="000000"/>
                <w:sz w:val="16"/>
                <w:szCs w:val="16"/>
              </w:rPr>
            </w:pPr>
          </w:p>
        </w:tc>
        <w:tc>
          <w:tcPr>
            <w:tcW w:w="863" w:type="dxa"/>
            <w:tcBorders>
              <w:top w:val="single" w:sz="6" w:space="0" w:color="auto"/>
              <w:left w:val="single" w:sz="12" w:space="0" w:color="auto"/>
              <w:bottom w:val="single" w:sz="12" w:space="0" w:color="auto"/>
              <w:right w:val="single" w:sz="12" w:space="0" w:color="auto"/>
            </w:tcBorders>
            <w:vAlign w:val="bottom"/>
          </w:tcPr>
          <w:p w:rsidR="00C95722" w:rsidRPr="00DD7075" w:rsidRDefault="00C95722" w:rsidP="00940F1C">
            <w:pPr>
              <w:autoSpaceDE w:val="0"/>
              <w:autoSpaceDN w:val="0"/>
              <w:adjustRightInd w:val="0"/>
              <w:jc w:val="right"/>
              <w:rPr>
                <w:color w:val="000000"/>
                <w:sz w:val="16"/>
                <w:szCs w:val="16"/>
              </w:rPr>
            </w:pPr>
            <w:r w:rsidRPr="00DD7075">
              <w:rPr>
                <w:color w:val="000000"/>
                <w:sz w:val="16"/>
                <w:szCs w:val="16"/>
              </w:rPr>
              <w:t>105.00</w:t>
            </w:r>
          </w:p>
        </w:tc>
      </w:tr>
    </w:tbl>
    <w:p w:rsidR="00D44DF8" w:rsidRPr="00754416" w:rsidRDefault="00D44DF8" w:rsidP="00C402EC">
      <w:pPr>
        <w:jc w:val="both"/>
        <w:rPr>
          <w:sz w:val="6"/>
        </w:rPr>
      </w:pPr>
    </w:p>
    <w:p w:rsidR="00B57A21" w:rsidRDefault="005779B1" w:rsidP="005779B1">
      <w:pPr>
        <w:jc w:val="both"/>
        <w:rPr>
          <w:sz w:val="20"/>
        </w:rPr>
      </w:pPr>
      <w:r w:rsidRPr="00922575">
        <w:rPr>
          <w:sz w:val="20"/>
        </w:rPr>
        <w:t xml:space="preserve">Mediante </w:t>
      </w:r>
      <w:smartTag w:uri="urn:schemas-microsoft-com:office:smarttags" w:element="PersonName">
        <w:smartTagPr>
          <w:attr w:name="ProductID" w:val="la Prueba"/>
        </w:smartTagPr>
        <w:r w:rsidRPr="00922575">
          <w:rPr>
            <w:sz w:val="20"/>
          </w:rPr>
          <w:t>la Prueba</w:t>
        </w:r>
      </w:smartTag>
      <w:r w:rsidRPr="00922575">
        <w:rPr>
          <w:sz w:val="20"/>
        </w:rPr>
        <w:t xml:space="preserve"> de Kolmogorov-Smirnov, se verifica si la función de densidad de la variable edad puede ser modelada como una normal con media </w:t>
      </w:r>
      <w:r w:rsidR="00DD7075" w:rsidRPr="00922575">
        <w:rPr>
          <w:position w:val="-10"/>
          <w:sz w:val="20"/>
        </w:rPr>
        <w:object w:dxaOrig="99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15.75pt" o:ole="">
            <v:imagedata r:id="rId8" o:title=""/>
          </v:shape>
          <o:OLEObject Type="Embed" ProgID="Equation.3" ShapeID="_x0000_i1025" DrawAspect="Content" ObjectID="_1346835844" r:id="rId9"/>
        </w:object>
      </w:r>
      <w:r w:rsidRPr="00922575">
        <w:rPr>
          <w:sz w:val="20"/>
        </w:rPr>
        <w:t xml:space="preserve"> y varianza </w:t>
      </w:r>
      <w:r w:rsidR="007520E2" w:rsidRPr="00922575">
        <w:rPr>
          <w:position w:val="-6"/>
          <w:sz w:val="20"/>
        </w:rPr>
        <w:object w:dxaOrig="1260" w:dyaOrig="320">
          <v:shape id="_x0000_i1026" type="#_x0000_t75" style="width:63pt;height:15.75pt" o:ole="">
            <v:imagedata r:id="rId10" o:title=""/>
          </v:shape>
          <o:OLEObject Type="Embed" ProgID="Equation.3" ShapeID="_x0000_i1026" DrawAspect="Content" ObjectID="_1346835845" r:id="rId11"/>
        </w:object>
      </w:r>
      <w:r w:rsidR="00DD7075">
        <w:rPr>
          <w:sz w:val="20"/>
        </w:rPr>
        <w:t>. (Véase Tabla</w:t>
      </w:r>
      <w:r w:rsidRPr="00922575">
        <w:rPr>
          <w:sz w:val="20"/>
        </w:rPr>
        <w:t xml:space="preserve"> II)</w:t>
      </w:r>
      <w:r w:rsidR="00837547">
        <w:rPr>
          <w:sz w:val="20"/>
        </w:rPr>
        <w:t>.</w:t>
      </w:r>
    </w:p>
    <w:p w:rsidR="007520E2" w:rsidRDefault="007520E2" w:rsidP="005779B1">
      <w:pPr>
        <w:jc w:val="both"/>
        <w:rPr>
          <w:sz w:val="20"/>
        </w:rPr>
      </w:pPr>
    </w:p>
    <w:tbl>
      <w:tblPr>
        <w:tblW w:w="0" w:type="auto"/>
        <w:jc w:val="center"/>
        <w:tblInd w:w="4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423"/>
      </w:tblGrid>
      <w:tr w:rsidR="007520E2" w:rsidRPr="00DD7075">
        <w:tblPrEx>
          <w:tblCellMar>
            <w:top w:w="0" w:type="dxa"/>
            <w:bottom w:w="0" w:type="dxa"/>
          </w:tblCellMar>
        </w:tblPrEx>
        <w:trPr>
          <w:trHeight w:val="250"/>
          <w:jc w:val="center"/>
        </w:trPr>
        <w:tc>
          <w:tcPr>
            <w:tcW w:w="3423" w:type="dxa"/>
          </w:tcPr>
          <w:p w:rsidR="007520E2" w:rsidRPr="00922575" w:rsidRDefault="007520E2" w:rsidP="007520E2">
            <w:pPr>
              <w:jc w:val="center"/>
              <w:rPr>
                <w:b/>
                <w:sz w:val="20"/>
                <w:szCs w:val="22"/>
              </w:rPr>
            </w:pPr>
            <w:r>
              <w:rPr>
                <w:b/>
                <w:sz w:val="20"/>
                <w:szCs w:val="22"/>
              </w:rPr>
              <w:t>Tabla</w:t>
            </w:r>
            <w:r w:rsidRPr="00922575">
              <w:rPr>
                <w:b/>
                <w:sz w:val="20"/>
                <w:szCs w:val="22"/>
              </w:rPr>
              <w:t xml:space="preserve"> II</w:t>
            </w:r>
          </w:p>
          <w:p w:rsidR="007520E2" w:rsidRPr="00DD7075" w:rsidRDefault="007520E2" w:rsidP="007520E2">
            <w:pPr>
              <w:autoSpaceDE w:val="0"/>
              <w:autoSpaceDN w:val="0"/>
              <w:adjustRightInd w:val="0"/>
              <w:jc w:val="center"/>
              <w:rPr>
                <w:color w:val="000000"/>
                <w:sz w:val="16"/>
                <w:szCs w:val="16"/>
              </w:rPr>
            </w:pPr>
            <w:r w:rsidRPr="007520E2">
              <w:rPr>
                <w:b/>
                <w:bCs/>
                <w:sz w:val="16"/>
                <w:szCs w:val="16"/>
              </w:rPr>
              <w:t>Prueba de Bondad de Ajuste, Kolmogorov-Smirnov: Edad</w:t>
            </w:r>
          </w:p>
        </w:tc>
      </w:tr>
      <w:tr w:rsidR="007520E2" w:rsidRPr="00DD7075">
        <w:tblPrEx>
          <w:tblCellMar>
            <w:top w:w="0" w:type="dxa"/>
            <w:bottom w:w="0" w:type="dxa"/>
          </w:tblCellMar>
        </w:tblPrEx>
        <w:trPr>
          <w:trHeight w:val="528"/>
          <w:jc w:val="center"/>
        </w:trPr>
        <w:tc>
          <w:tcPr>
            <w:tcW w:w="3423" w:type="dxa"/>
          </w:tcPr>
          <w:p w:rsidR="007520E2" w:rsidRPr="007520E2" w:rsidRDefault="007520E2" w:rsidP="007520E2">
            <w:pPr>
              <w:autoSpaceDE w:val="0"/>
              <w:autoSpaceDN w:val="0"/>
              <w:adjustRightInd w:val="0"/>
              <w:jc w:val="center"/>
              <w:rPr>
                <w:color w:val="000000"/>
                <w:sz w:val="16"/>
                <w:szCs w:val="16"/>
              </w:rPr>
            </w:pPr>
            <w:r w:rsidRPr="007520E2">
              <w:rPr>
                <w:color w:val="000000"/>
                <w:sz w:val="16"/>
                <w:szCs w:val="16"/>
              </w:rPr>
              <w:t>H</w:t>
            </w:r>
            <w:r w:rsidRPr="007520E2">
              <w:rPr>
                <w:color w:val="000000"/>
                <w:sz w:val="16"/>
                <w:szCs w:val="16"/>
                <w:vertAlign w:val="subscript"/>
              </w:rPr>
              <w:t>0</w:t>
            </w:r>
            <w:r w:rsidRPr="007520E2">
              <w:rPr>
                <w:color w:val="000000"/>
                <w:sz w:val="16"/>
                <w:szCs w:val="16"/>
              </w:rPr>
              <w:t>: La edad de los pacientes asmáticos tiene un distribución que es N (µ= 50.91, σ2 = 384.40).</w:t>
            </w:r>
          </w:p>
          <w:p w:rsidR="007520E2" w:rsidRPr="007520E2" w:rsidRDefault="007520E2" w:rsidP="007520E2">
            <w:pPr>
              <w:autoSpaceDE w:val="0"/>
              <w:autoSpaceDN w:val="0"/>
              <w:adjustRightInd w:val="0"/>
              <w:jc w:val="center"/>
              <w:rPr>
                <w:color w:val="000000"/>
                <w:sz w:val="16"/>
                <w:szCs w:val="16"/>
              </w:rPr>
            </w:pPr>
            <w:r w:rsidRPr="007520E2">
              <w:rPr>
                <w:color w:val="000000"/>
                <w:sz w:val="16"/>
                <w:szCs w:val="16"/>
              </w:rPr>
              <w:t>Vs.</w:t>
            </w:r>
          </w:p>
          <w:p w:rsidR="007520E2" w:rsidRDefault="007520E2" w:rsidP="007520E2">
            <w:pPr>
              <w:autoSpaceDE w:val="0"/>
              <w:autoSpaceDN w:val="0"/>
              <w:adjustRightInd w:val="0"/>
              <w:jc w:val="center"/>
              <w:rPr>
                <w:color w:val="000000"/>
                <w:sz w:val="16"/>
                <w:szCs w:val="16"/>
              </w:rPr>
            </w:pPr>
            <w:r w:rsidRPr="007520E2">
              <w:rPr>
                <w:color w:val="000000"/>
                <w:sz w:val="16"/>
                <w:szCs w:val="16"/>
              </w:rPr>
              <w:t>H</w:t>
            </w:r>
            <w:r w:rsidRPr="007520E2">
              <w:rPr>
                <w:color w:val="000000"/>
                <w:sz w:val="16"/>
                <w:szCs w:val="16"/>
                <w:vertAlign w:val="subscript"/>
              </w:rPr>
              <w:t>1</w:t>
            </w:r>
            <w:r w:rsidRPr="007520E2">
              <w:rPr>
                <w:color w:val="000000"/>
                <w:sz w:val="16"/>
                <w:szCs w:val="16"/>
              </w:rPr>
              <w:t>: No es verdad H0</w:t>
            </w:r>
          </w:p>
          <w:p w:rsidR="007520E2" w:rsidRPr="007520E2" w:rsidRDefault="007520E2" w:rsidP="007520E2">
            <w:pPr>
              <w:autoSpaceDE w:val="0"/>
              <w:autoSpaceDN w:val="0"/>
              <w:adjustRightInd w:val="0"/>
              <w:jc w:val="center"/>
              <w:rPr>
                <w:color w:val="000000"/>
                <w:sz w:val="16"/>
                <w:szCs w:val="16"/>
              </w:rPr>
            </w:pPr>
            <w:r>
              <w:rPr>
                <w:color w:val="000000"/>
                <w:sz w:val="16"/>
                <w:szCs w:val="16"/>
              </w:rPr>
              <w:t>Valor p</w:t>
            </w:r>
            <w:r w:rsidRPr="003778CA">
              <w:rPr>
                <w:sz w:val="20"/>
                <w:szCs w:val="20"/>
              </w:rPr>
              <w:t>=</w:t>
            </w:r>
            <w:r w:rsidR="00837547">
              <w:rPr>
                <w:sz w:val="20"/>
                <w:szCs w:val="20"/>
              </w:rPr>
              <w:t>0.38</w:t>
            </w:r>
          </w:p>
        </w:tc>
      </w:tr>
    </w:tbl>
    <w:p w:rsidR="007520E2" w:rsidRPr="00922575" w:rsidRDefault="007520E2" w:rsidP="005779B1">
      <w:pPr>
        <w:jc w:val="both"/>
        <w:rPr>
          <w:sz w:val="20"/>
          <w:lang w:val="es-EC"/>
        </w:rPr>
      </w:pPr>
    </w:p>
    <w:p w:rsidR="005779B1" w:rsidRPr="00837547" w:rsidRDefault="00837547" w:rsidP="00837547">
      <w:pPr>
        <w:jc w:val="both"/>
        <w:rPr>
          <w:sz w:val="20"/>
          <w:szCs w:val="20"/>
        </w:rPr>
      </w:pPr>
      <w:r w:rsidRPr="00837547">
        <w:rPr>
          <w:sz w:val="20"/>
          <w:szCs w:val="20"/>
        </w:rPr>
        <w:t>El valor p es 0.38, por lo tanto se concluye con un 95% de confianza que no existe suficiente evidencia estadística para rechazar la hipótesis nula, es decir las edad de los pacientes asmáticos pueden ser modelada como un  distribución  normal con media 50.91 y varianza 384.40.</w:t>
      </w:r>
    </w:p>
    <w:p w:rsidR="00B80E3E" w:rsidRPr="00B80E3E" w:rsidRDefault="00837547" w:rsidP="00AE029E">
      <w:pPr>
        <w:jc w:val="both"/>
        <w:rPr>
          <w:sz w:val="12"/>
        </w:rPr>
      </w:pPr>
      <w:r>
        <w:rPr>
          <w:sz w:val="20"/>
        </w:rPr>
        <w:t>Instrucción</w:t>
      </w:r>
      <w:r w:rsidR="00AE029E" w:rsidRPr="00922575">
        <w:rPr>
          <w:sz w:val="20"/>
        </w:rPr>
        <w:t xml:space="preserve">.- </w:t>
      </w:r>
      <w:r>
        <w:rPr>
          <w:sz w:val="20"/>
        </w:rPr>
        <w:t>D</w:t>
      </w:r>
      <w:r w:rsidRPr="00837547">
        <w:rPr>
          <w:sz w:val="20"/>
        </w:rPr>
        <w:t>el total de pacientes con asma el 25 % tiene instrucción superior, el 40% instrucción secundaria, el 23% Instrucción primaria  y el 12% no tenía nivel de instrucción alguno.</w:t>
      </w:r>
      <w:r w:rsidRPr="00B80E3E">
        <w:rPr>
          <w:sz w:val="12"/>
        </w:rPr>
        <w:t xml:space="preserve"> </w:t>
      </w:r>
    </w:p>
    <w:p w:rsidR="007A4DE9" w:rsidRPr="00922575" w:rsidRDefault="00645797" w:rsidP="007A4DE9">
      <w:pPr>
        <w:jc w:val="both"/>
        <w:rPr>
          <w:rFonts w:ascii="Arial" w:hAnsi="Arial" w:cs="Arial"/>
          <w:sz w:val="20"/>
        </w:rPr>
      </w:pPr>
      <w:r>
        <w:rPr>
          <w:sz w:val="20"/>
        </w:rPr>
        <w:t>Seguro</w:t>
      </w:r>
      <w:r w:rsidR="007A4DE9" w:rsidRPr="00922575">
        <w:rPr>
          <w:sz w:val="20"/>
        </w:rPr>
        <w:t xml:space="preserve">.- </w:t>
      </w:r>
      <w:r>
        <w:rPr>
          <w:sz w:val="20"/>
        </w:rPr>
        <w:t>La mayoría de los pacientes que acuden al Hospital Militar no tienen seguro militar es decir el 91 %, frente al 9% de los pacientes que si poseen seguro militar.</w:t>
      </w:r>
      <w:r w:rsidR="007A4DE9" w:rsidRPr="00922575">
        <w:rPr>
          <w:rFonts w:ascii="Arial" w:hAnsi="Arial" w:cs="Arial"/>
          <w:sz w:val="20"/>
        </w:rPr>
        <w:t xml:space="preserve"> </w:t>
      </w:r>
    </w:p>
    <w:p w:rsidR="000C64EC" w:rsidRPr="00754416" w:rsidRDefault="000C64EC" w:rsidP="00AE029E">
      <w:pPr>
        <w:jc w:val="both"/>
        <w:rPr>
          <w:b/>
          <w:sz w:val="14"/>
          <w:szCs w:val="20"/>
        </w:rPr>
      </w:pPr>
    </w:p>
    <w:p w:rsidR="00E37A4C" w:rsidRDefault="00DB01AE" w:rsidP="00AE029E">
      <w:pPr>
        <w:jc w:val="both"/>
        <w:rPr>
          <w:sz w:val="20"/>
          <w:szCs w:val="20"/>
        </w:rPr>
      </w:pPr>
      <w:r>
        <w:rPr>
          <w:b/>
          <w:sz w:val="20"/>
          <w:szCs w:val="20"/>
        </w:rPr>
        <w:t>Hábitos Tóxicos</w:t>
      </w:r>
      <w:r w:rsidR="000B6B71" w:rsidRPr="00922575">
        <w:rPr>
          <w:b/>
          <w:sz w:val="20"/>
          <w:szCs w:val="20"/>
        </w:rPr>
        <w:t xml:space="preserve">.- </w:t>
      </w:r>
      <w:r w:rsidRPr="00DB01AE">
        <w:rPr>
          <w:sz w:val="20"/>
          <w:szCs w:val="20"/>
        </w:rPr>
        <w:t>Se define como hábito tóxico al consumo de alguna</w:t>
      </w:r>
      <w:r>
        <w:rPr>
          <w:sz w:val="20"/>
          <w:szCs w:val="20"/>
        </w:rPr>
        <w:t xml:space="preserve"> sustancia nociva para la salud</w:t>
      </w:r>
      <w:r w:rsidRPr="00DB01AE">
        <w:rPr>
          <w:sz w:val="20"/>
          <w:szCs w:val="20"/>
        </w:rPr>
        <w:t>; de manera particular se considera el hábito de consumo de cigarrillos para lo cual se determina si los pacientes son fumadores activos o fumadores pasivos</w:t>
      </w:r>
      <w:r>
        <w:rPr>
          <w:sz w:val="20"/>
          <w:szCs w:val="20"/>
        </w:rPr>
        <w:t>.</w:t>
      </w:r>
    </w:p>
    <w:p w:rsidR="00DB01AE" w:rsidRPr="00DB01AE" w:rsidRDefault="00DB01AE" w:rsidP="00AE029E">
      <w:pPr>
        <w:jc w:val="both"/>
        <w:rPr>
          <w:sz w:val="20"/>
          <w:szCs w:val="20"/>
        </w:rPr>
      </w:pPr>
      <w:r>
        <w:rPr>
          <w:sz w:val="20"/>
          <w:szCs w:val="20"/>
        </w:rPr>
        <w:t>Fumador Activo</w:t>
      </w:r>
      <w:r w:rsidR="00B81ADC" w:rsidRPr="00922575">
        <w:rPr>
          <w:sz w:val="20"/>
          <w:szCs w:val="20"/>
        </w:rPr>
        <w:t>.-</w:t>
      </w:r>
      <w:r w:rsidR="00B81ADC">
        <w:rPr>
          <w:sz w:val="20"/>
          <w:szCs w:val="20"/>
        </w:rPr>
        <w:t xml:space="preserve"> D</w:t>
      </w:r>
      <w:r w:rsidRPr="00DB01AE">
        <w:rPr>
          <w:sz w:val="20"/>
          <w:szCs w:val="20"/>
        </w:rPr>
        <w:t>e los 336 pacientes con asma, 120 pacientes es decir el 36% tienen el hábito de fumar</w:t>
      </w:r>
    </w:p>
    <w:p w:rsidR="00E37A4C" w:rsidRPr="00B80E3E" w:rsidRDefault="00E37A4C" w:rsidP="00AE029E">
      <w:pPr>
        <w:jc w:val="both"/>
        <w:rPr>
          <w:sz w:val="4"/>
        </w:rPr>
      </w:pPr>
    </w:p>
    <w:p w:rsidR="00B81ADC" w:rsidRDefault="00B81ADC" w:rsidP="00DA26CF">
      <w:pPr>
        <w:jc w:val="both"/>
        <w:rPr>
          <w:sz w:val="20"/>
        </w:rPr>
      </w:pPr>
      <w:r>
        <w:rPr>
          <w:sz w:val="20"/>
        </w:rPr>
        <w:t>Fumador Pasivo</w:t>
      </w:r>
      <w:r w:rsidRPr="00922575">
        <w:rPr>
          <w:sz w:val="20"/>
          <w:szCs w:val="20"/>
        </w:rPr>
        <w:t>.-</w:t>
      </w:r>
      <w:r w:rsidRPr="00B81ADC">
        <w:t xml:space="preserve"> </w:t>
      </w:r>
      <w:r>
        <w:rPr>
          <w:sz w:val="20"/>
        </w:rPr>
        <w:t>E</w:t>
      </w:r>
      <w:r w:rsidRPr="00B81ADC">
        <w:rPr>
          <w:sz w:val="20"/>
        </w:rPr>
        <w:t>l  13 % de los pacientes son fumadores  pasivos, es decir fumadores secundarios al estar expuestos al humo del tabaco.</w:t>
      </w:r>
    </w:p>
    <w:p w:rsidR="00B81ADC" w:rsidRDefault="00B81ADC" w:rsidP="00DA26CF">
      <w:pPr>
        <w:jc w:val="both"/>
        <w:rPr>
          <w:sz w:val="20"/>
        </w:rPr>
      </w:pPr>
    </w:p>
    <w:p w:rsidR="000448F2" w:rsidRDefault="00B81ADC" w:rsidP="00DA26CF">
      <w:pPr>
        <w:jc w:val="both"/>
        <w:rPr>
          <w:sz w:val="20"/>
        </w:rPr>
      </w:pPr>
      <w:r>
        <w:rPr>
          <w:b/>
          <w:sz w:val="20"/>
        </w:rPr>
        <w:t>Exposición a Contaminantes Ambientales</w:t>
      </w:r>
      <w:r w:rsidRPr="00922575">
        <w:rPr>
          <w:b/>
          <w:sz w:val="20"/>
          <w:szCs w:val="20"/>
        </w:rPr>
        <w:t>.-</w:t>
      </w:r>
      <w:r w:rsidR="000448F2">
        <w:rPr>
          <w:b/>
          <w:sz w:val="20"/>
          <w:szCs w:val="20"/>
        </w:rPr>
        <w:t xml:space="preserve"> </w:t>
      </w:r>
      <w:r w:rsidR="000448F2" w:rsidRPr="000448F2">
        <w:rPr>
          <w:sz w:val="20"/>
        </w:rPr>
        <w:t xml:space="preserve">El control ambiental es otro factor que influye en </w:t>
      </w:r>
      <w:r w:rsidR="000448F2" w:rsidRPr="000448F2">
        <w:rPr>
          <w:sz w:val="20"/>
        </w:rPr>
        <w:lastRenderedPageBreak/>
        <w:t>el asma</w:t>
      </w:r>
      <w:r w:rsidR="0036560A">
        <w:rPr>
          <w:sz w:val="20"/>
        </w:rPr>
        <w:t xml:space="preserve">, de los 336 pacientes asmáticos </w:t>
      </w:r>
      <w:r w:rsidR="0036560A" w:rsidRPr="0036560A">
        <w:rPr>
          <w:sz w:val="20"/>
        </w:rPr>
        <w:t>e</w:t>
      </w:r>
      <w:r w:rsidR="0036560A">
        <w:rPr>
          <w:sz w:val="20"/>
        </w:rPr>
        <w:t>l</w:t>
      </w:r>
      <w:r w:rsidR="0036560A" w:rsidRPr="0036560A">
        <w:rPr>
          <w:sz w:val="20"/>
        </w:rPr>
        <w:t xml:space="preserve"> 18% ha estado expuesto a contaminantes ambientales, tales  como humo de leña, polvo, tiza,</w:t>
      </w:r>
      <w:r w:rsidR="0036560A">
        <w:rPr>
          <w:sz w:val="20"/>
        </w:rPr>
        <w:t xml:space="preserve"> mientras que la mayoría</w:t>
      </w:r>
      <w:r w:rsidR="0036560A" w:rsidRPr="0036560A">
        <w:rPr>
          <w:sz w:val="20"/>
        </w:rPr>
        <w:t>, el 82% no tiene exposición ambiental alguna.</w:t>
      </w:r>
    </w:p>
    <w:p w:rsidR="0036560A" w:rsidRDefault="0036560A" w:rsidP="00DA26CF">
      <w:pPr>
        <w:jc w:val="both"/>
        <w:rPr>
          <w:sz w:val="20"/>
          <w:szCs w:val="20"/>
        </w:rPr>
      </w:pPr>
      <w:r>
        <w:rPr>
          <w:sz w:val="20"/>
          <w:szCs w:val="20"/>
        </w:rPr>
        <w:t>Humo</w:t>
      </w:r>
      <w:r w:rsidR="00C436EA">
        <w:rPr>
          <w:sz w:val="20"/>
          <w:szCs w:val="20"/>
        </w:rPr>
        <w:t xml:space="preserve"> d</w:t>
      </w:r>
      <w:r>
        <w:rPr>
          <w:sz w:val="20"/>
          <w:szCs w:val="20"/>
        </w:rPr>
        <w:t>e Leñ</w:t>
      </w:r>
      <w:r w:rsidR="00C436EA">
        <w:rPr>
          <w:sz w:val="20"/>
          <w:szCs w:val="20"/>
        </w:rPr>
        <w:t>a</w:t>
      </w:r>
      <w:r w:rsidRPr="00922575">
        <w:rPr>
          <w:sz w:val="20"/>
          <w:szCs w:val="20"/>
        </w:rPr>
        <w:t>.-</w:t>
      </w:r>
      <w:r w:rsidR="00C436EA">
        <w:rPr>
          <w:sz w:val="20"/>
          <w:szCs w:val="20"/>
        </w:rPr>
        <w:t xml:space="preserve"> Del total de pacientes </w:t>
      </w:r>
      <w:r w:rsidR="00C436EA" w:rsidRPr="00C436EA">
        <w:rPr>
          <w:sz w:val="20"/>
          <w:szCs w:val="20"/>
        </w:rPr>
        <w:t xml:space="preserve"> expuestos a contaminantes ambientales, el 77% estuvo expuesto al humo de leña.</w:t>
      </w:r>
    </w:p>
    <w:p w:rsidR="00C436EA" w:rsidRDefault="00C436EA" w:rsidP="00DA26CF">
      <w:pPr>
        <w:jc w:val="both"/>
        <w:rPr>
          <w:sz w:val="20"/>
          <w:szCs w:val="20"/>
        </w:rPr>
      </w:pPr>
      <w:r>
        <w:rPr>
          <w:sz w:val="20"/>
          <w:szCs w:val="20"/>
        </w:rPr>
        <w:t>Animales</w:t>
      </w:r>
      <w:r w:rsidRPr="00922575">
        <w:rPr>
          <w:sz w:val="20"/>
          <w:szCs w:val="20"/>
        </w:rPr>
        <w:t>.-</w:t>
      </w:r>
      <w:r>
        <w:rPr>
          <w:sz w:val="20"/>
          <w:szCs w:val="20"/>
        </w:rPr>
        <w:t xml:space="preserve">  De los </w:t>
      </w:r>
      <w:r w:rsidRPr="00C436EA">
        <w:rPr>
          <w:sz w:val="20"/>
          <w:szCs w:val="20"/>
        </w:rPr>
        <w:t>61 de pacientes asmáticos expuestos a contaminantes ambientales el  13% tiene contactos con animales domésticos.</w:t>
      </w:r>
    </w:p>
    <w:p w:rsidR="008B7DFF" w:rsidRDefault="00C436EA" w:rsidP="00C436EA">
      <w:pPr>
        <w:jc w:val="both"/>
        <w:rPr>
          <w:sz w:val="20"/>
          <w:szCs w:val="20"/>
        </w:rPr>
      </w:pPr>
      <w:r>
        <w:rPr>
          <w:sz w:val="20"/>
          <w:szCs w:val="20"/>
        </w:rPr>
        <w:t>Otras Exposiciones Ambientales</w:t>
      </w:r>
      <w:r w:rsidRPr="00922575">
        <w:rPr>
          <w:sz w:val="20"/>
          <w:szCs w:val="20"/>
        </w:rPr>
        <w:t>.-</w:t>
      </w:r>
      <w:r w:rsidRPr="00C436EA">
        <w:rPr>
          <w:sz w:val="20"/>
          <w:szCs w:val="20"/>
        </w:rPr>
        <w:t xml:space="preserve"> </w:t>
      </w:r>
      <w:r>
        <w:rPr>
          <w:sz w:val="20"/>
          <w:szCs w:val="20"/>
        </w:rPr>
        <w:t>C</w:t>
      </w:r>
      <w:r w:rsidRPr="00C436EA">
        <w:rPr>
          <w:sz w:val="20"/>
          <w:szCs w:val="20"/>
        </w:rPr>
        <w:t>ontaminantes que se presentan con menor frecuencia  tales como el polvo, tiza, pintura, etc.</w:t>
      </w:r>
      <w:r w:rsidR="004E4893">
        <w:rPr>
          <w:sz w:val="20"/>
          <w:szCs w:val="20"/>
        </w:rPr>
        <w:t xml:space="preserve"> </w:t>
      </w:r>
      <w:r w:rsidRPr="00C436EA">
        <w:rPr>
          <w:sz w:val="20"/>
          <w:szCs w:val="20"/>
        </w:rPr>
        <w:t xml:space="preserve">El  31 % de los pacientes asmáticos tienen  contactos con </w:t>
      </w:r>
      <w:r w:rsidR="004E4893">
        <w:rPr>
          <w:sz w:val="20"/>
          <w:szCs w:val="20"/>
        </w:rPr>
        <w:t xml:space="preserve">otros </w:t>
      </w:r>
      <w:r w:rsidRPr="00C436EA">
        <w:rPr>
          <w:sz w:val="20"/>
          <w:szCs w:val="20"/>
        </w:rPr>
        <w:t xml:space="preserve">contaminantes </w:t>
      </w:r>
      <w:r w:rsidR="004E4893">
        <w:rPr>
          <w:sz w:val="20"/>
          <w:szCs w:val="20"/>
        </w:rPr>
        <w:t>ambientale</w:t>
      </w:r>
    </w:p>
    <w:p w:rsidR="008B7DFF" w:rsidRDefault="008B7DFF" w:rsidP="00C436EA">
      <w:pPr>
        <w:jc w:val="both"/>
        <w:rPr>
          <w:b/>
          <w:sz w:val="20"/>
        </w:rPr>
      </w:pPr>
    </w:p>
    <w:p w:rsidR="00C436EA" w:rsidRPr="00C7749B" w:rsidRDefault="008B7DFF" w:rsidP="00C7749B">
      <w:pPr>
        <w:jc w:val="both"/>
        <w:rPr>
          <w:sz w:val="20"/>
          <w:szCs w:val="20"/>
        </w:rPr>
      </w:pPr>
      <w:r>
        <w:rPr>
          <w:b/>
          <w:sz w:val="20"/>
        </w:rPr>
        <w:t>Enfermedades Respiratorias Previas</w:t>
      </w:r>
      <w:r w:rsidRPr="00922575">
        <w:rPr>
          <w:b/>
          <w:sz w:val="20"/>
          <w:szCs w:val="20"/>
        </w:rPr>
        <w:t>.-</w:t>
      </w:r>
      <w:r>
        <w:rPr>
          <w:sz w:val="20"/>
          <w:szCs w:val="20"/>
        </w:rPr>
        <w:t xml:space="preserve"> </w:t>
      </w:r>
      <w:r w:rsidR="00C7749B">
        <w:rPr>
          <w:sz w:val="20"/>
          <w:szCs w:val="20"/>
        </w:rPr>
        <w:t>E</w:t>
      </w:r>
      <w:r w:rsidR="00C7749B" w:rsidRPr="00C7749B">
        <w:rPr>
          <w:sz w:val="20"/>
          <w:szCs w:val="20"/>
        </w:rPr>
        <w:t xml:space="preserve">nfermedades que se presentaron en el paciente antes de la aparición del asma </w:t>
      </w:r>
      <w:r w:rsidR="00C7749B">
        <w:rPr>
          <w:sz w:val="20"/>
          <w:szCs w:val="20"/>
        </w:rPr>
        <w:t xml:space="preserve">estas </w:t>
      </w:r>
      <w:r w:rsidR="00C7749B" w:rsidRPr="00C7749B">
        <w:rPr>
          <w:sz w:val="20"/>
          <w:szCs w:val="20"/>
        </w:rPr>
        <w:t>son: neumonía,  t</w:t>
      </w:r>
      <w:r w:rsidR="00C7749B">
        <w:rPr>
          <w:sz w:val="20"/>
          <w:szCs w:val="20"/>
        </w:rPr>
        <w:t>uberculosis, bronquitis y asma. L</w:t>
      </w:r>
      <w:r w:rsidR="00C7749B" w:rsidRPr="00C7749B">
        <w:rPr>
          <w:sz w:val="20"/>
          <w:szCs w:val="20"/>
        </w:rPr>
        <w:t>a  mayoría de los pacientes, el 81%  no presentó antecedentes de patologías respiratorias.</w:t>
      </w:r>
    </w:p>
    <w:p w:rsidR="00C7749B" w:rsidRDefault="00C7749B" w:rsidP="004647D3">
      <w:pPr>
        <w:jc w:val="both"/>
        <w:rPr>
          <w:sz w:val="20"/>
          <w:szCs w:val="20"/>
        </w:rPr>
      </w:pPr>
      <w:r>
        <w:rPr>
          <w:sz w:val="20"/>
        </w:rPr>
        <w:t>Asma</w:t>
      </w:r>
      <w:r w:rsidRPr="00922575">
        <w:rPr>
          <w:sz w:val="20"/>
          <w:szCs w:val="20"/>
        </w:rPr>
        <w:t>.-</w:t>
      </w:r>
      <w:r>
        <w:rPr>
          <w:sz w:val="20"/>
          <w:szCs w:val="20"/>
        </w:rPr>
        <w:t xml:space="preserve"> </w:t>
      </w:r>
      <w:r w:rsidRPr="00C7749B">
        <w:rPr>
          <w:sz w:val="20"/>
          <w:szCs w:val="20"/>
        </w:rPr>
        <w:t>De los 63 pacientes que tuvieron  enfermedades respiratorias, el 8%  tenía  asma bronquial como antecedente</w:t>
      </w:r>
      <w:r>
        <w:rPr>
          <w:sz w:val="20"/>
          <w:szCs w:val="20"/>
        </w:rPr>
        <w:t xml:space="preserve"> patológico.</w:t>
      </w:r>
    </w:p>
    <w:p w:rsidR="00C7749B" w:rsidRPr="00C7749B" w:rsidRDefault="00C7749B" w:rsidP="004647D3">
      <w:pPr>
        <w:jc w:val="both"/>
        <w:rPr>
          <w:sz w:val="20"/>
          <w:szCs w:val="20"/>
        </w:rPr>
      </w:pPr>
      <w:r>
        <w:rPr>
          <w:sz w:val="20"/>
          <w:szCs w:val="20"/>
        </w:rPr>
        <w:t>Neumonía</w:t>
      </w:r>
      <w:r w:rsidRPr="00922575">
        <w:rPr>
          <w:sz w:val="20"/>
          <w:szCs w:val="20"/>
        </w:rPr>
        <w:t>.-</w:t>
      </w:r>
      <w:r>
        <w:rPr>
          <w:sz w:val="20"/>
          <w:szCs w:val="20"/>
        </w:rPr>
        <w:t xml:space="preserve"> </w:t>
      </w:r>
      <w:r w:rsidRPr="00C7749B">
        <w:rPr>
          <w:sz w:val="20"/>
          <w:szCs w:val="20"/>
        </w:rPr>
        <w:t>El  25% de los pacientes asmáticos con registro de enfermedades respiratorias previas presentó neumonía</w:t>
      </w:r>
      <w:r>
        <w:rPr>
          <w:sz w:val="20"/>
          <w:szCs w:val="20"/>
        </w:rPr>
        <w:t xml:space="preserve"> </w:t>
      </w:r>
    </w:p>
    <w:p w:rsidR="00C7749B" w:rsidRDefault="00C7749B" w:rsidP="004647D3">
      <w:pPr>
        <w:jc w:val="both"/>
        <w:rPr>
          <w:sz w:val="20"/>
          <w:szCs w:val="20"/>
        </w:rPr>
      </w:pPr>
      <w:r>
        <w:rPr>
          <w:sz w:val="20"/>
          <w:szCs w:val="20"/>
        </w:rPr>
        <w:t>Tuberculosis</w:t>
      </w:r>
      <w:r w:rsidRPr="00922575">
        <w:rPr>
          <w:sz w:val="20"/>
          <w:szCs w:val="20"/>
        </w:rPr>
        <w:t>.-</w:t>
      </w:r>
      <w:r>
        <w:rPr>
          <w:sz w:val="20"/>
          <w:szCs w:val="20"/>
        </w:rPr>
        <w:t xml:space="preserve"> E</w:t>
      </w:r>
      <w:r w:rsidRPr="00C7749B">
        <w:rPr>
          <w:sz w:val="20"/>
          <w:szCs w:val="20"/>
        </w:rPr>
        <w:t>l 25% de los pacientes con enfermedades respiratorias previas presentó tuberculosis antes de tener asma.</w:t>
      </w:r>
    </w:p>
    <w:p w:rsidR="00C7749B" w:rsidRDefault="00C7749B" w:rsidP="004647D3">
      <w:pPr>
        <w:jc w:val="both"/>
        <w:rPr>
          <w:sz w:val="20"/>
          <w:szCs w:val="20"/>
        </w:rPr>
      </w:pPr>
      <w:r>
        <w:rPr>
          <w:sz w:val="20"/>
          <w:szCs w:val="20"/>
        </w:rPr>
        <w:t>Bronquitis</w:t>
      </w:r>
      <w:r w:rsidRPr="00C7749B">
        <w:rPr>
          <w:sz w:val="20"/>
          <w:szCs w:val="20"/>
        </w:rPr>
        <w:t>.-</w:t>
      </w:r>
      <w:r>
        <w:rPr>
          <w:sz w:val="20"/>
          <w:szCs w:val="20"/>
        </w:rPr>
        <w:t xml:space="preserve"> </w:t>
      </w:r>
      <w:r w:rsidRPr="00C7749B">
        <w:rPr>
          <w:sz w:val="20"/>
          <w:szCs w:val="20"/>
        </w:rPr>
        <w:t>Del total de pacientes con antecedentes de enfermedades respiratorias previas el  12% tuvo bronquitis.</w:t>
      </w:r>
    </w:p>
    <w:p w:rsidR="002E42E4" w:rsidRDefault="002E42E4" w:rsidP="004647D3">
      <w:pPr>
        <w:jc w:val="both"/>
        <w:rPr>
          <w:sz w:val="20"/>
          <w:szCs w:val="20"/>
        </w:rPr>
      </w:pPr>
    </w:p>
    <w:p w:rsidR="002E42E4" w:rsidRPr="002E42E4" w:rsidRDefault="002E42E4" w:rsidP="002E42E4">
      <w:pPr>
        <w:jc w:val="both"/>
        <w:rPr>
          <w:sz w:val="20"/>
          <w:szCs w:val="20"/>
        </w:rPr>
      </w:pPr>
      <w:r w:rsidRPr="002E42E4">
        <w:rPr>
          <w:b/>
          <w:sz w:val="20"/>
          <w:szCs w:val="20"/>
        </w:rPr>
        <w:t>Enfermedades Intercurrentes Asociadas.-</w:t>
      </w:r>
      <w:r w:rsidRPr="002E42E4">
        <w:rPr>
          <w:sz w:val="20"/>
          <w:szCs w:val="20"/>
        </w:rPr>
        <w:t>Variable que  describ</w:t>
      </w:r>
      <w:r>
        <w:rPr>
          <w:sz w:val="20"/>
          <w:szCs w:val="20"/>
        </w:rPr>
        <w:t>e si el paciente asmático tiene</w:t>
      </w:r>
      <w:r w:rsidRPr="002E42E4">
        <w:rPr>
          <w:sz w:val="20"/>
          <w:szCs w:val="20"/>
        </w:rPr>
        <w:t xml:space="preserve"> antecedentes de enfermedades no pulmonares, tales como hipertensión arterial, diabetes, gastritis y otras (afecciones respiratorias, gripe, artrosis, artritis, osteoporosis)</w:t>
      </w:r>
      <w:r w:rsidR="00F45400">
        <w:rPr>
          <w:sz w:val="20"/>
          <w:szCs w:val="20"/>
        </w:rPr>
        <w:t>.El</w:t>
      </w:r>
      <w:r w:rsidRPr="002E42E4">
        <w:rPr>
          <w:sz w:val="20"/>
          <w:szCs w:val="20"/>
        </w:rPr>
        <w:t xml:space="preserve"> 25 % de los pacientes  tuvo antecedentes de  enfermedades no pulmonares.</w:t>
      </w:r>
    </w:p>
    <w:p w:rsidR="002E42E4" w:rsidRPr="0092108C" w:rsidRDefault="0092108C" w:rsidP="004647D3">
      <w:pPr>
        <w:jc w:val="both"/>
        <w:rPr>
          <w:sz w:val="20"/>
          <w:szCs w:val="20"/>
        </w:rPr>
      </w:pPr>
      <w:r>
        <w:rPr>
          <w:sz w:val="20"/>
          <w:szCs w:val="20"/>
        </w:rPr>
        <w:t>Hipertensión Arterial</w:t>
      </w:r>
      <w:r w:rsidRPr="00C7749B">
        <w:rPr>
          <w:sz w:val="20"/>
          <w:szCs w:val="20"/>
        </w:rPr>
        <w:t>.-</w:t>
      </w:r>
      <w:r>
        <w:rPr>
          <w:sz w:val="20"/>
          <w:szCs w:val="20"/>
        </w:rPr>
        <w:t xml:space="preserve"> L</w:t>
      </w:r>
      <w:r w:rsidRPr="0092108C">
        <w:rPr>
          <w:sz w:val="20"/>
          <w:szCs w:val="20"/>
        </w:rPr>
        <w:t>a incidencia de esta enfermedad en los pacientes que presentaron  enfermedades no respiratorias  es el 56%.</w:t>
      </w:r>
    </w:p>
    <w:p w:rsidR="002E42E4" w:rsidRPr="0092108C" w:rsidRDefault="0092108C" w:rsidP="004647D3">
      <w:pPr>
        <w:jc w:val="both"/>
        <w:rPr>
          <w:sz w:val="20"/>
          <w:szCs w:val="20"/>
        </w:rPr>
      </w:pPr>
      <w:r>
        <w:rPr>
          <w:sz w:val="20"/>
          <w:szCs w:val="20"/>
        </w:rPr>
        <w:t>Diabetes</w:t>
      </w:r>
      <w:r w:rsidRPr="00C7749B">
        <w:rPr>
          <w:sz w:val="20"/>
          <w:szCs w:val="20"/>
        </w:rPr>
        <w:t>.-</w:t>
      </w:r>
      <w:r>
        <w:rPr>
          <w:sz w:val="20"/>
          <w:szCs w:val="20"/>
        </w:rPr>
        <w:t xml:space="preserve"> </w:t>
      </w:r>
      <w:r w:rsidRPr="0092108C">
        <w:rPr>
          <w:sz w:val="20"/>
          <w:szCs w:val="20"/>
        </w:rPr>
        <w:t>El 26%, del total de pacientes con antecedentes de enfermedades previas, tuvo esta enfermedad.</w:t>
      </w:r>
    </w:p>
    <w:p w:rsidR="002E42E4" w:rsidRDefault="0092108C" w:rsidP="004647D3">
      <w:pPr>
        <w:jc w:val="both"/>
        <w:rPr>
          <w:sz w:val="20"/>
          <w:szCs w:val="20"/>
        </w:rPr>
      </w:pPr>
      <w:r>
        <w:rPr>
          <w:sz w:val="20"/>
          <w:szCs w:val="20"/>
        </w:rPr>
        <w:t>Gastritis</w:t>
      </w:r>
      <w:r w:rsidRPr="00C7749B">
        <w:rPr>
          <w:sz w:val="20"/>
          <w:szCs w:val="20"/>
        </w:rPr>
        <w:t>.-</w:t>
      </w:r>
      <w:r>
        <w:rPr>
          <w:sz w:val="20"/>
          <w:szCs w:val="20"/>
        </w:rPr>
        <w:t xml:space="preserve"> D</w:t>
      </w:r>
      <w:r w:rsidRPr="0092108C">
        <w:rPr>
          <w:sz w:val="20"/>
          <w:szCs w:val="20"/>
        </w:rPr>
        <w:t>el tot</w:t>
      </w:r>
      <w:r>
        <w:rPr>
          <w:sz w:val="20"/>
          <w:szCs w:val="20"/>
        </w:rPr>
        <w:t>al</w:t>
      </w:r>
      <w:r w:rsidRPr="0092108C">
        <w:rPr>
          <w:sz w:val="20"/>
          <w:szCs w:val="20"/>
        </w:rPr>
        <w:t xml:space="preserve"> de asmáticos con antecedentes de enfermedades  no pulmonares, un reducido porcentaje, el 10%, presentó esta enfermedad.</w:t>
      </w:r>
    </w:p>
    <w:p w:rsidR="0092108C" w:rsidRDefault="0092108C" w:rsidP="004647D3">
      <w:pPr>
        <w:jc w:val="both"/>
        <w:rPr>
          <w:sz w:val="20"/>
          <w:szCs w:val="20"/>
        </w:rPr>
      </w:pPr>
      <w:r>
        <w:rPr>
          <w:sz w:val="20"/>
          <w:szCs w:val="20"/>
        </w:rPr>
        <w:t>Otras Enfermedades Intercurrentes Asociadas</w:t>
      </w:r>
      <w:r w:rsidRPr="00C7749B">
        <w:rPr>
          <w:sz w:val="20"/>
          <w:szCs w:val="20"/>
        </w:rPr>
        <w:t>.-</w:t>
      </w:r>
      <w:r w:rsidRPr="0092108C">
        <w:rPr>
          <w:sz w:val="20"/>
          <w:szCs w:val="20"/>
        </w:rPr>
        <w:t xml:space="preserve">Del total de pacientes </w:t>
      </w:r>
      <w:r>
        <w:rPr>
          <w:sz w:val="20"/>
          <w:szCs w:val="20"/>
        </w:rPr>
        <w:t>con enfermedades intercurrentes</w:t>
      </w:r>
      <w:r w:rsidRPr="0092108C">
        <w:rPr>
          <w:sz w:val="20"/>
          <w:szCs w:val="20"/>
        </w:rPr>
        <w:t>, el   27%  padeció de otras enfermedades</w:t>
      </w:r>
      <w:r>
        <w:rPr>
          <w:sz w:val="20"/>
          <w:szCs w:val="20"/>
        </w:rPr>
        <w:t xml:space="preserve"> (</w:t>
      </w:r>
      <w:r w:rsidRPr="0092108C">
        <w:rPr>
          <w:sz w:val="20"/>
          <w:szCs w:val="20"/>
        </w:rPr>
        <w:t>gripe, afecciones respiratorias, artritis, artrosis, osteoporosis</w:t>
      </w:r>
      <w:r>
        <w:rPr>
          <w:sz w:val="20"/>
          <w:szCs w:val="20"/>
        </w:rPr>
        <w:t>).</w:t>
      </w:r>
    </w:p>
    <w:p w:rsidR="0092108C" w:rsidRPr="0092108C" w:rsidRDefault="0092108C" w:rsidP="004647D3">
      <w:pPr>
        <w:jc w:val="both"/>
        <w:rPr>
          <w:sz w:val="20"/>
          <w:szCs w:val="20"/>
        </w:rPr>
      </w:pPr>
    </w:p>
    <w:p w:rsidR="00DB42B4" w:rsidRDefault="00DB42B4" w:rsidP="004647D3">
      <w:pPr>
        <w:jc w:val="both"/>
        <w:rPr>
          <w:sz w:val="20"/>
          <w:szCs w:val="20"/>
        </w:rPr>
      </w:pPr>
      <w:r w:rsidRPr="00DB42B4">
        <w:rPr>
          <w:b/>
          <w:sz w:val="20"/>
          <w:szCs w:val="20"/>
        </w:rPr>
        <w:lastRenderedPageBreak/>
        <w:t>Antecedentes de Atop</w:t>
      </w:r>
      <w:r>
        <w:rPr>
          <w:b/>
          <w:sz w:val="20"/>
          <w:szCs w:val="20"/>
        </w:rPr>
        <w:t>i</w:t>
      </w:r>
      <w:r w:rsidRPr="00DB42B4">
        <w:rPr>
          <w:b/>
          <w:sz w:val="20"/>
          <w:szCs w:val="20"/>
        </w:rPr>
        <w:t>a.-</w:t>
      </w:r>
      <w:r w:rsidRPr="00DB42B4">
        <w:rPr>
          <w:sz w:val="20"/>
          <w:szCs w:val="20"/>
        </w:rPr>
        <w:t>Esta variable mide si el paciente tiene algún tipo de sensibilidad alérgica como rinitis, alergia o eczema. El  54% de los pacientes asmáticos han</w:t>
      </w:r>
      <w:r>
        <w:rPr>
          <w:sz w:val="20"/>
          <w:szCs w:val="20"/>
        </w:rPr>
        <w:t xml:space="preserve"> tenido antecedentes de atopia.</w:t>
      </w:r>
    </w:p>
    <w:p w:rsidR="00531B35" w:rsidRDefault="00531B35" w:rsidP="004647D3">
      <w:pPr>
        <w:jc w:val="both"/>
        <w:rPr>
          <w:sz w:val="20"/>
          <w:szCs w:val="20"/>
        </w:rPr>
      </w:pPr>
      <w:r>
        <w:rPr>
          <w:sz w:val="20"/>
          <w:szCs w:val="20"/>
        </w:rPr>
        <w:t>Alergia</w:t>
      </w:r>
      <w:r w:rsidRPr="00C7749B">
        <w:rPr>
          <w:sz w:val="20"/>
          <w:szCs w:val="20"/>
        </w:rPr>
        <w:t>.-</w:t>
      </w:r>
      <w:r>
        <w:rPr>
          <w:sz w:val="20"/>
          <w:szCs w:val="20"/>
        </w:rPr>
        <w:t xml:space="preserve"> E</w:t>
      </w:r>
      <w:r w:rsidRPr="00531B35">
        <w:rPr>
          <w:sz w:val="20"/>
          <w:szCs w:val="20"/>
        </w:rPr>
        <w:t>l 58% de los pacientes con antecedentes de atopia refiere haber tenido alergia.</w:t>
      </w:r>
      <w:r>
        <w:rPr>
          <w:sz w:val="20"/>
          <w:szCs w:val="20"/>
        </w:rPr>
        <w:t xml:space="preserve"> </w:t>
      </w:r>
    </w:p>
    <w:p w:rsidR="00531B35" w:rsidRDefault="00531B35" w:rsidP="004647D3">
      <w:pPr>
        <w:jc w:val="both"/>
        <w:rPr>
          <w:sz w:val="20"/>
          <w:szCs w:val="20"/>
        </w:rPr>
      </w:pPr>
      <w:r>
        <w:rPr>
          <w:sz w:val="20"/>
          <w:szCs w:val="20"/>
        </w:rPr>
        <w:t>Rinitis</w:t>
      </w:r>
      <w:r w:rsidRPr="00C7749B">
        <w:rPr>
          <w:sz w:val="20"/>
          <w:szCs w:val="20"/>
        </w:rPr>
        <w:t>.-</w:t>
      </w:r>
      <w:r>
        <w:rPr>
          <w:sz w:val="20"/>
          <w:szCs w:val="20"/>
        </w:rPr>
        <w:t xml:space="preserve"> </w:t>
      </w:r>
      <w:r w:rsidRPr="00531B35">
        <w:rPr>
          <w:sz w:val="20"/>
          <w:szCs w:val="20"/>
        </w:rPr>
        <w:t>El 81% de los pacientes asmáticos con atopia ha tenido este proceso inflamatorio de la mucosa nasal</w:t>
      </w:r>
      <w:r>
        <w:rPr>
          <w:sz w:val="20"/>
          <w:szCs w:val="20"/>
        </w:rPr>
        <w:t>.</w:t>
      </w:r>
    </w:p>
    <w:p w:rsidR="00A42C53" w:rsidRPr="00A42C53" w:rsidRDefault="00A42C53" w:rsidP="004647D3">
      <w:pPr>
        <w:jc w:val="both"/>
        <w:rPr>
          <w:sz w:val="20"/>
          <w:szCs w:val="20"/>
        </w:rPr>
      </w:pPr>
      <w:r>
        <w:rPr>
          <w:sz w:val="20"/>
          <w:szCs w:val="20"/>
        </w:rPr>
        <w:t>Eczema</w:t>
      </w:r>
      <w:r w:rsidRPr="00C7749B">
        <w:rPr>
          <w:sz w:val="20"/>
          <w:szCs w:val="20"/>
        </w:rPr>
        <w:t>.-</w:t>
      </w:r>
      <w:r w:rsidRPr="00A42C53">
        <w:t xml:space="preserve"> </w:t>
      </w:r>
      <w:r>
        <w:rPr>
          <w:sz w:val="20"/>
          <w:szCs w:val="20"/>
        </w:rPr>
        <w:t>E</w:t>
      </w:r>
      <w:r w:rsidRPr="00A42C53">
        <w:rPr>
          <w:sz w:val="20"/>
          <w:szCs w:val="20"/>
        </w:rPr>
        <w:t>l 15% de los pacientes con atopia ha tenido eczema.</w:t>
      </w:r>
    </w:p>
    <w:p w:rsidR="00531B35" w:rsidRDefault="00531B35" w:rsidP="004647D3">
      <w:pPr>
        <w:jc w:val="both"/>
        <w:rPr>
          <w:sz w:val="20"/>
          <w:szCs w:val="20"/>
        </w:rPr>
      </w:pPr>
    </w:p>
    <w:p w:rsidR="00A42C53" w:rsidRDefault="00A42C53" w:rsidP="004647D3">
      <w:pPr>
        <w:jc w:val="both"/>
        <w:rPr>
          <w:sz w:val="20"/>
          <w:szCs w:val="20"/>
        </w:rPr>
      </w:pPr>
      <w:r>
        <w:rPr>
          <w:b/>
          <w:sz w:val="20"/>
          <w:szCs w:val="20"/>
        </w:rPr>
        <w:t>Sintomatología</w:t>
      </w:r>
      <w:r w:rsidRPr="00C7749B">
        <w:rPr>
          <w:sz w:val="20"/>
          <w:szCs w:val="20"/>
        </w:rPr>
        <w:t>.-</w:t>
      </w:r>
      <w:r>
        <w:rPr>
          <w:sz w:val="20"/>
          <w:szCs w:val="20"/>
        </w:rPr>
        <w:t xml:space="preserve"> </w:t>
      </w:r>
      <w:r w:rsidRPr="00A42C53">
        <w:rPr>
          <w:sz w:val="20"/>
          <w:szCs w:val="20"/>
        </w:rPr>
        <w:t>La sintomatología  ayuda a determinar  el nivel de severidad de acuerdo a la intensidad  en que se presentan en cada paciente, los principales síntomas del asma son: Tos, expectoración, disnea, fiebre, pérdida de peso, hemoptisis, cefalea dolor torácico, siendo  las más importantes los tres primeros síntomas.</w:t>
      </w:r>
      <w:r>
        <w:rPr>
          <w:sz w:val="20"/>
          <w:szCs w:val="20"/>
        </w:rPr>
        <w:t xml:space="preserve"> </w:t>
      </w:r>
    </w:p>
    <w:p w:rsidR="00A42C53" w:rsidRPr="00A42C53" w:rsidRDefault="00A42C53" w:rsidP="004647D3">
      <w:pPr>
        <w:jc w:val="both"/>
        <w:rPr>
          <w:sz w:val="20"/>
          <w:szCs w:val="20"/>
        </w:rPr>
      </w:pPr>
      <w:r>
        <w:rPr>
          <w:sz w:val="20"/>
          <w:szCs w:val="20"/>
        </w:rPr>
        <w:t>E</w:t>
      </w:r>
      <w:r w:rsidRPr="00A42C53">
        <w:rPr>
          <w:sz w:val="20"/>
          <w:szCs w:val="20"/>
        </w:rPr>
        <w:t>l 88%</w:t>
      </w:r>
      <w:r>
        <w:rPr>
          <w:sz w:val="20"/>
          <w:szCs w:val="20"/>
        </w:rPr>
        <w:t xml:space="preserve"> de los pacientes</w:t>
      </w:r>
      <w:r w:rsidRPr="00A42C53">
        <w:rPr>
          <w:sz w:val="20"/>
          <w:szCs w:val="20"/>
        </w:rPr>
        <w:t>, presentó por lo menos uno de los síntomas del asma</w:t>
      </w:r>
    </w:p>
    <w:p w:rsidR="00A42C53" w:rsidRDefault="00A42C53" w:rsidP="004647D3">
      <w:pPr>
        <w:jc w:val="both"/>
        <w:rPr>
          <w:sz w:val="20"/>
          <w:szCs w:val="20"/>
        </w:rPr>
      </w:pPr>
      <w:r>
        <w:rPr>
          <w:sz w:val="20"/>
          <w:szCs w:val="20"/>
        </w:rPr>
        <w:t>Tos</w:t>
      </w:r>
      <w:r w:rsidRPr="00C7749B">
        <w:rPr>
          <w:sz w:val="20"/>
          <w:szCs w:val="20"/>
        </w:rPr>
        <w:t>.-</w:t>
      </w:r>
      <w:r>
        <w:rPr>
          <w:sz w:val="20"/>
          <w:szCs w:val="20"/>
        </w:rPr>
        <w:t xml:space="preserve"> E</w:t>
      </w:r>
      <w:r w:rsidRPr="00A42C53">
        <w:rPr>
          <w:sz w:val="20"/>
          <w:szCs w:val="20"/>
        </w:rPr>
        <w:t>l  81% de los  pacientes  que presentaron sintomatología tuvo tos.</w:t>
      </w:r>
    </w:p>
    <w:p w:rsidR="007A59C0" w:rsidRDefault="00A42C53" w:rsidP="004647D3">
      <w:pPr>
        <w:jc w:val="both"/>
        <w:rPr>
          <w:sz w:val="20"/>
          <w:szCs w:val="20"/>
        </w:rPr>
      </w:pPr>
      <w:r>
        <w:rPr>
          <w:sz w:val="20"/>
          <w:szCs w:val="20"/>
        </w:rPr>
        <w:t>Expectoración</w:t>
      </w:r>
      <w:r w:rsidR="007A59C0" w:rsidRPr="00C7749B">
        <w:rPr>
          <w:sz w:val="20"/>
          <w:szCs w:val="20"/>
        </w:rPr>
        <w:t>.-</w:t>
      </w:r>
      <w:r w:rsidR="007A59C0" w:rsidRPr="007A59C0">
        <w:t xml:space="preserve"> </w:t>
      </w:r>
      <w:r w:rsidR="007A59C0" w:rsidRPr="007A59C0">
        <w:rPr>
          <w:sz w:val="20"/>
          <w:szCs w:val="20"/>
        </w:rPr>
        <w:t>Más de la mitad, el 55% de los pacientes asmáticos con sintomatología presentó expectoración</w:t>
      </w:r>
      <w:r w:rsidR="007A59C0">
        <w:rPr>
          <w:sz w:val="20"/>
          <w:szCs w:val="20"/>
        </w:rPr>
        <w:t>.</w:t>
      </w:r>
    </w:p>
    <w:p w:rsidR="007A59C0" w:rsidRDefault="007A59C0" w:rsidP="004647D3">
      <w:pPr>
        <w:jc w:val="both"/>
        <w:rPr>
          <w:sz w:val="20"/>
          <w:szCs w:val="20"/>
        </w:rPr>
      </w:pPr>
      <w:r>
        <w:rPr>
          <w:sz w:val="20"/>
          <w:szCs w:val="20"/>
        </w:rPr>
        <w:t>Fiebre</w:t>
      </w:r>
      <w:r w:rsidRPr="00C7749B">
        <w:rPr>
          <w:sz w:val="20"/>
          <w:szCs w:val="20"/>
        </w:rPr>
        <w:t>.-</w:t>
      </w:r>
      <w:r>
        <w:rPr>
          <w:sz w:val="20"/>
          <w:szCs w:val="20"/>
        </w:rPr>
        <w:t xml:space="preserve"> S</w:t>
      </w:r>
      <w:r w:rsidRPr="007A59C0">
        <w:rPr>
          <w:sz w:val="20"/>
          <w:szCs w:val="20"/>
        </w:rPr>
        <w:t>olo el 8% de los pacientes con alguna sintomatología, presento fiebre</w:t>
      </w:r>
      <w:r>
        <w:rPr>
          <w:sz w:val="20"/>
          <w:szCs w:val="20"/>
        </w:rPr>
        <w:t>.</w:t>
      </w:r>
    </w:p>
    <w:p w:rsidR="00A42C53" w:rsidRPr="00A42C53" w:rsidRDefault="007A59C0" w:rsidP="004647D3">
      <w:pPr>
        <w:jc w:val="both"/>
        <w:rPr>
          <w:sz w:val="20"/>
          <w:szCs w:val="20"/>
        </w:rPr>
      </w:pPr>
      <w:r>
        <w:rPr>
          <w:sz w:val="20"/>
          <w:szCs w:val="20"/>
        </w:rPr>
        <w:t>Pérdida de Peso</w:t>
      </w:r>
      <w:r w:rsidRPr="00C7749B">
        <w:rPr>
          <w:sz w:val="20"/>
          <w:szCs w:val="20"/>
        </w:rPr>
        <w:t>.-</w:t>
      </w:r>
      <w:r>
        <w:rPr>
          <w:sz w:val="20"/>
          <w:szCs w:val="20"/>
        </w:rPr>
        <w:t xml:space="preserve"> L</w:t>
      </w:r>
      <w:r w:rsidRPr="007A59C0">
        <w:rPr>
          <w:sz w:val="20"/>
          <w:szCs w:val="20"/>
        </w:rPr>
        <w:t xml:space="preserve">a incidencia de este  síntoma es baja, el 3% de los pacientes con sintomatología presentó pérdida de peso. </w:t>
      </w:r>
      <w:r w:rsidR="00A42C53">
        <w:rPr>
          <w:sz w:val="20"/>
          <w:szCs w:val="20"/>
        </w:rPr>
        <w:t xml:space="preserve"> </w:t>
      </w:r>
    </w:p>
    <w:p w:rsidR="007A59C0" w:rsidRPr="00E75B35" w:rsidRDefault="007A59C0" w:rsidP="0023409C">
      <w:pPr>
        <w:jc w:val="both"/>
        <w:rPr>
          <w:sz w:val="20"/>
        </w:rPr>
      </w:pPr>
      <w:r>
        <w:rPr>
          <w:sz w:val="20"/>
        </w:rPr>
        <w:t>Hemoptisis</w:t>
      </w:r>
      <w:r w:rsidR="00E75B35" w:rsidRPr="00C7749B">
        <w:rPr>
          <w:sz w:val="20"/>
          <w:szCs w:val="20"/>
        </w:rPr>
        <w:t>.-</w:t>
      </w:r>
      <w:r>
        <w:rPr>
          <w:sz w:val="20"/>
        </w:rPr>
        <w:t xml:space="preserve"> </w:t>
      </w:r>
      <w:r w:rsidR="00E75B35" w:rsidRPr="00E75B35">
        <w:rPr>
          <w:sz w:val="20"/>
        </w:rPr>
        <w:t>Del total de pacientes con sintomatología un reducido porcentaje, el 3% tuvo hemoptisis</w:t>
      </w:r>
      <w:r w:rsidR="00370472">
        <w:rPr>
          <w:sz w:val="20"/>
        </w:rPr>
        <w:t>.</w:t>
      </w:r>
    </w:p>
    <w:p w:rsidR="00370472" w:rsidRDefault="00370472" w:rsidP="0023409C">
      <w:pPr>
        <w:jc w:val="both"/>
        <w:rPr>
          <w:sz w:val="20"/>
        </w:rPr>
      </w:pPr>
      <w:r>
        <w:rPr>
          <w:sz w:val="20"/>
        </w:rPr>
        <w:t>Disnea</w:t>
      </w:r>
      <w:r w:rsidRPr="00C7749B">
        <w:rPr>
          <w:sz w:val="20"/>
          <w:szCs w:val="20"/>
        </w:rPr>
        <w:t>.-</w:t>
      </w:r>
      <w:r w:rsidRPr="00370472">
        <w:t xml:space="preserve"> </w:t>
      </w:r>
      <w:r w:rsidRPr="00370472">
        <w:rPr>
          <w:sz w:val="20"/>
        </w:rPr>
        <w:t>Del total de pacientes asmáticos con sintomatología, el 54%  tuvo disnea</w:t>
      </w:r>
      <w:r>
        <w:rPr>
          <w:sz w:val="20"/>
        </w:rPr>
        <w:t>.</w:t>
      </w:r>
    </w:p>
    <w:p w:rsidR="00370472" w:rsidRPr="00370472" w:rsidRDefault="00370472" w:rsidP="0023409C">
      <w:pPr>
        <w:jc w:val="both"/>
        <w:rPr>
          <w:sz w:val="20"/>
        </w:rPr>
      </w:pPr>
      <w:r>
        <w:rPr>
          <w:sz w:val="20"/>
        </w:rPr>
        <w:t>Cefalea</w:t>
      </w:r>
      <w:r w:rsidRPr="00C7749B">
        <w:rPr>
          <w:sz w:val="20"/>
          <w:szCs w:val="20"/>
        </w:rPr>
        <w:t>.-</w:t>
      </w:r>
      <w:r>
        <w:rPr>
          <w:sz w:val="20"/>
        </w:rPr>
        <w:t xml:space="preserve"> </w:t>
      </w:r>
      <w:r w:rsidRPr="00370472">
        <w:rPr>
          <w:sz w:val="20"/>
        </w:rPr>
        <w:t>La incidencia de cefalea es baja en los pacientes que presentaron sintomatología (4%)</w:t>
      </w:r>
    </w:p>
    <w:p w:rsidR="00370472" w:rsidRDefault="00370472" w:rsidP="0023409C">
      <w:pPr>
        <w:jc w:val="both"/>
        <w:rPr>
          <w:sz w:val="20"/>
        </w:rPr>
      </w:pPr>
      <w:r>
        <w:rPr>
          <w:sz w:val="20"/>
        </w:rPr>
        <w:t>Dolor Torácico</w:t>
      </w:r>
      <w:r w:rsidRPr="00C7749B">
        <w:rPr>
          <w:sz w:val="20"/>
          <w:szCs w:val="20"/>
        </w:rPr>
        <w:t>.-</w:t>
      </w:r>
      <w:r>
        <w:rPr>
          <w:sz w:val="20"/>
        </w:rPr>
        <w:t xml:space="preserve"> E</w:t>
      </w:r>
      <w:r w:rsidRPr="00370472">
        <w:rPr>
          <w:sz w:val="20"/>
        </w:rPr>
        <w:t>l 33% de los pacientes  asmáticos con sintomatología presentó dolor en le tórax.</w:t>
      </w:r>
    </w:p>
    <w:p w:rsidR="00370472" w:rsidRDefault="00370472" w:rsidP="0023409C">
      <w:pPr>
        <w:jc w:val="both"/>
        <w:rPr>
          <w:sz w:val="20"/>
        </w:rPr>
      </w:pPr>
    </w:p>
    <w:p w:rsidR="00370472" w:rsidRPr="00370472" w:rsidRDefault="00370472" w:rsidP="0023409C">
      <w:pPr>
        <w:jc w:val="both"/>
        <w:rPr>
          <w:sz w:val="20"/>
          <w:szCs w:val="20"/>
        </w:rPr>
      </w:pPr>
      <w:r>
        <w:rPr>
          <w:b/>
          <w:sz w:val="20"/>
        </w:rPr>
        <w:t>Examen Físico</w:t>
      </w:r>
      <w:r w:rsidRPr="00370472">
        <w:rPr>
          <w:b/>
          <w:sz w:val="20"/>
          <w:szCs w:val="20"/>
        </w:rPr>
        <w:t>.-</w:t>
      </w:r>
      <w:r w:rsidRPr="00370472">
        <w:t xml:space="preserve"> </w:t>
      </w:r>
      <w:r w:rsidRPr="00370472">
        <w:rPr>
          <w:sz w:val="20"/>
          <w:szCs w:val="20"/>
        </w:rPr>
        <w:t>En el examen físico se detecta la presencia de sonidos característicos del asma (roncus, sibilancias, estertores, disminución del murmullo vesicular y estridor)  por medio de la auscultación pulmonar.</w:t>
      </w:r>
      <w:r>
        <w:rPr>
          <w:sz w:val="20"/>
          <w:szCs w:val="20"/>
        </w:rPr>
        <w:t xml:space="preserve"> </w:t>
      </w:r>
      <w:r w:rsidRPr="00370472">
        <w:rPr>
          <w:sz w:val="20"/>
          <w:szCs w:val="20"/>
        </w:rPr>
        <w:t>Del total de pacientes asmático</w:t>
      </w:r>
      <w:r>
        <w:rPr>
          <w:sz w:val="20"/>
          <w:szCs w:val="20"/>
        </w:rPr>
        <w:t>s</w:t>
      </w:r>
      <w:r w:rsidRPr="00370472">
        <w:rPr>
          <w:sz w:val="20"/>
          <w:szCs w:val="20"/>
        </w:rPr>
        <w:t xml:space="preserve"> el 38%  presentó sonidos extraños en la auscultación pulmonar</w:t>
      </w:r>
      <w:r>
        <w:rPr>
          <w:sz w:val="20"/>
          <w:szCs w:val="20"/>
        </w:rPr>
        <w:t>.</w:t>
      </w:r>
    </w:p>
    <w:p w:rsidR="000206B9" w:rsidRDefault="000206B9" w:rsidP="0023409C">
      <w:pPr>
        <w:jc w:val="both"/>
        <w:rPr>
          <w:sz w:val="20"/>
          <w:szCs w:val="20"/>
        </w:rPr>
      </w:pPr>
      <w:r>
        <w:rPr>
          <w:sz w:val="20"/>
          <w:szCs w:val="20"/>
        </w:rPr>
        <w:t>Roncus</w:t>
      </w:r>
      <w:r w:rsidRPr="00C7749B">
        <w:rPr>
          <w:sz w:val="20"/>
          <w:szCs w:val="20"/>
        </w:rPr>
        <w:t>.-</w:t>
      </w:r>
      <w:r>
        <w:rPr>
          <w:sz w:val="20"/>
          <w:szCs w:val="20"/>
        </w:rPr>
        <w:t xml:space="preserve"> </w:t>
      </w:r>
      <w:r w:rsidRPr="000206B9">
        <w:rPr>
          <w:sz w:val="20"/>
          <w:szCs w:val="20"/>
        </w:rPr>
        <w:t>De los 126 pacientes  con examen físico  anormal, el  48%  presentó como anormalidad  roncus</w:t>
      </w:r>
      <w:r>
        <w:rPr>
          <w:sz w:val="20"/>
          <w:szCs w:val="20"/>
        </w:rPr>
        <w:t>.</w:t>
      </w:r>
    </w:p>
    <w:p w:rsidR="000206B9" w:rsidRDefault="000206B9" w:rsidP="0023409C">
      <w:pPr>
        <w:jc w:val="both"/>
        <w:rPr>
          <w:sz w:val="20"/>
          <w:szCs w:val="20"/>
        </w:rPr>
      </w:pPr>
      <w:r>
        <w:rPr>
          <w:sz w:val="20"/>
          <w:szCs w:val="20"/>
        </w:rPr>
        <w:t>Sibilancias</w:t>
      </w:r>
      <w:r w:rsidRPr="00C7749B">
        <w:rPr>
          <w:sz w:val="20"/>
          <w:szCs w:val="20"/>
        </w:rPr>
        <w:t>.-</w:t>
      </w:r>
      <w:r w:rsidR="00F45400">
        <w:rPr>
          <w:sz w:val="20"/>
          <w:szCs w:val="20"/>
        </w:rPr>
        <w:t xml:space="preserve"> </w:t>
      </w:r>
      <w:r>
        <w:rPr>
          <w:sz w:val="20"/>
          <w:szCs w:val="20"/>
        </w:rPr>
        <w:t>Se conoce que</w:t>
      </w:r>
      <w:r w:rsidRPr="000206B9">
        <w:t xml:space="preserve"> </w:t>
      </w:r>
      <w:r w:rsidRPr="000206B9">
        <w:rPr>
          <w:sz w:val="20"/>
          <w:szCs w:val="20"/>
        </w:rPr>
        <w:t>el   77% de los  pacientes con anormalidades en el examen físico, tuvo sibilancias.</w:t>
      </w:r>
    </w:p>
    <w:p w:rsidR="000206B9" w:rsidRDefault="000206B9" w:rsidP="0023409C">
      <w:pPr>
        <w:jc w:val="both"/>
        <w:rPr>
          <w:sz w:val="20"/>
        </w:rPr>
      </w:pPr>
      <w:r>
        <w:rPr>
          <w:sz w:val="20"/>
        </w:rPr>
        <w:t>Otras Anormalidades</w:t>
      </w:r>
      <w:r w:rsidRPr="00C7749B">
        <w:rPr>
          <w:sz w:val="20"/>
          <w:szCs w:val="20"/>
        </w:rPr>
        <w:t>.-</w:t>
      </w:r>
      <w:r>
        <w:rPr>
          <w:sz w:val="20"/>
        </w:rPr>
        <w:t xml:space="preserve"> </w:t>
      </w:r>
      <w:r w:rsidRPr="000206B9">
        <w:rPr>
          <w:sz w:val="20"/>
        </w:rPr>
        <w:t xml:space="preserve">Del total de pacientes con anormalidades en el tórax, el 3%  presentó </w:t>
      </w:r>
      <w:r w:rsidRPr="000206B9">
        <w:rPr>
          <w:sz w:val="20"/>
        </w:rPr>
        <w:lastRenderedPageBreak/>
        <w:t>otras anormalidades  (estertores, disminución del murmullo vesicular, estridor).</w:t>
      </w:r>
    </w:p>
    <w:p w:rsidR="000206B9" w:rsidRDefault="000206B9" w:rsidP="0023409C">
      <w:pPr>
        <w:jc w:val="both"/>
        <w:rPr>
          <w:sz w:val="20"/>
        </w:rPr>
      </w:pPr>
    </w:p>
    <w:p w:rsidR="000206B9" w:rsidRDefault="001A5AFE" w:rsidP="0023409C">
      <w:pPr>
        <w:jc w:val="both"/>
        <w:rPr>
          <w:b/>
          <w:sz w:val="20"/>
        </w:rPr>
      </w:pPr>
      <w:r w:rsidRPr="001A5AFE">
        <w:rPr>
          <w:b/>
          <w:sz w:val="20"/>
        </w:rPr>
        <w:t>Anormalidades en el Tórax</w:t>
      </w:r>
      <w:r w:rsidR="00A57122" w:rsidRPr="00C7749B">
        <w:rPr>
          <w:sz w:val="20"/>
          <w:szCs w:val="20"/>
        </w:rPr>
        <w:t>.-</w:t>
      </w:r>
      <w:r>
        <w:rPr>
          <w:b/>
          <w:sz w:val="20"/>
        </w:rPr>
        <w:t xml:space="preserve">  </w:t>
      </w:r>
      <w:r w:rsidR="00A57122" w:rsidRPr="00A57122">
        <w:rPr>
          <w:sz w:val="20"/>
        </w:rPr>
        <w:t xml:space="preserve">La presencia de anormalidades en la radiografía estándar de tórax es indicada por esta variable.  </w:t>
      </w:r>
      <w:r w:rsidR="00A57122">
        <w:rPr>
          <w:sz w:val="20"/>
        </w:rPr>
        <w:t>E</w:t>
      </w:r>
      <w:r w:rsidR="00A57122" w:rsidRPr="00A57122">
        <w:rPr>
          <w:sz w:val="20"/>
        </w:rPr>
        <w:t>l 40 % de los pacientes asmáticos  presentó anormalidades el tórax.</w:t>
      </w:r>
      <w:r w:rsidRPr="00A57122">
        <w:rPr>
          <w:sz w:val="20"/>
        </w:rPr>
        <w:t xml:space="preserve"> </w:t>
      </w:r>
    </w:p>
    <w:p w:rsidR="001A5AFE" w:rsidRDefault="001A5AFE" w:rsidP="0023409C">
      <w:pPr>
        <w:jc w:val="both"/>
        <w:rPr>
          <w:b/>
          <w:sz w:val="20"/>
        </w:rPr>
      </w:pPr>
    </w:p>
    <w:p w:rsidR="00A57122" w:rsidRPr="00A57122" w:rsidRDefault="00A57122" w:rsidP="0023409C">
      <w:pPr>
        <w:jc w:val="both"/>
        <w:rPr>
          <w:b/>
          <w:sz w:val="20"/>
          <w:szCs w:val="20"/>
        </w:rPr>
      </w:pPr>
      <w:r>
        <w:rPr>
          <w:b/>
          <w:sz w:val="20"/>
        </w:rPr>
        <w:t>Antecedentes Familiares de Asma</w:t>
      </w:r>
      <w:r w:rsidRPr="00C7749B">
        <w:rPr>
          <w:sz w:val="20"/>
          <w:szCs w:val="20"/>
        </w:rPr>
        <w:t>.-</w:t>
      </w:r>
      <w:r>
        <w:rPr>
          <w:sz w:val="20"/>
          <w:szCs w:val="20"/>
        </w:rPr>
        <w:t xml:space="preserve"> </w:t>
      </w:r>
      <w:r w:rsidRPr="00A57122">
        <w:rPr>
          <w:color w:val="000000"/>
          <w:sz w:val="20"/>
          <w:szCs w:val="20"/>
        </w:rPr>
        <w:t>Del total de pacientes con asma el  15%  tiene familiares cercanos con esta enfermedad</w:t>
      </w:r>
      <w:r w:rsidR="001F67B8">
        <w:rPr>
          <w:color w:val="000000"/>
          <w:sz w:val="20"/>
          <w:szCs w:val="20"/>
        </w:rPr>
        <w:t>.</w:t>
      </w:r>
    </w:p>
    <w:p w:rsidR="001F67B8" w:rsidRPr="001F67B8" w:rsidRDefault="001F67B8" w:rsidP="0023409C">
      <w:pPr>
        <w:jc w:val="both"/>
        <w:rPr>
          <w:sz w:val="20"/>
        </w:rPr>
      </w:pPr>
    </w:p>
    <w:p w:rsidR="00904B23" w:rsidRDefault="00904B23" w:rsidP="0023409C">
      <w:pPr>
        <w:jc w:val="both"/>
        <w:rPr>
          <w:sz w:val="20"/>
        </w:rPr>
      </w:pPr>
      <w:r w:rsidRPr="00904B23">
        <w:rPr>
          <w:b/>
          <w:sz w:val="20"/>
        </w:rPr>
        <w:t>Nivel de Severidad del Asma.-</w:t>
      </w:r>
      <w:r>
        <w:rPr>
          <w:b/>
          <w:sz w:val="20"/>
        </w:rPr>
        <w:t xml:space="preserve"> </w:t>
      </w:r>
      <w:r>
        <w:rPr>
          <w:sz w:val="20"/>
        </w:rPr>
        <w:t>E</w:t>
      </w:r>
      <w:r w:rsidR="004C58EC">
        <w:rPr>
          <w:sz w:val="20"/>
        </w:rPr>
        <w:t>xisten tres niveles de severidad del</w:t>
      </w:r>
      <w:r>
        <w:rPr>
          <w:sz w:val="20"/>
        </w:rPr>
        <w:t xml:space="preserve"> </w:t>
      </w:r>
      <w:r w:rsidR="004C58EC">
        <w:rPr>
          <w:sz w:val="20"/>
        </w:rPr>
        <w:t>asma leve, moderado y severo. El</w:t>
      </w:r>
      <w:r w:rsidR="004C58EC" w:rsidRPr="00904B23">
        <w:rPr>
          <w:sz w:val="20"/>
        </w:rPr>
        <w:t xml:space="preserve"> </w:t>
      </w:r>
      <w:r w:rsidRPr="00904B23">
        <w:rPr>
          <w:sz w:val="20"/>
        </w:rPr>
        <w:t>57% de los pacientes con asma tiene asma leve, mientras que  el asma moderado  y severo lo tienen el 22% de los pacientes en igual porcentaje.</w:t>
      </w:r>
    </w:p>
    <w:p w:rsidR="004C58EC" w:rsidRDefault="004C58EC" w:rsidP="0023409C">
      <w:pPr>
        <w:jc w:val="both"/>
        <w:rPr>
          <w:sz w:val="20"/>
        </w:rPr>
      </w:pPr>
    </w:p>
    <w:p w:rsidR="004C58EC" w:rsidRDefault="004C58EC" w:rsidP="0023409C">
      <w:pPr>
        <w:jc w:val="both"/>
        <w:rPr>
          <w:sz w:val="20"/>
        </w:rPr>
      </w:pPr>
      <w:r>
        <w:rPr>
          <w:b/>
          <w:sz w:val="20"/>
        </w:rPr>
        <w:t xml:space="preserve">Crisis en </w:t>
      </w:r>
      <w:smartTag w:uri="urn:schemas-microsoft-com:office:smarttags" w:element="PersonName">
        <w:smartTagPr>
          <w:attr w:name="ProductID" w:val="la Primera Consulta.-"/>
        </w:smartTagPr>
        <w:r>
          <w:rPr>
            <w:b/>
            <w:sz w:val="20"/>
          </w:rPr>
          <w:t>la Primera Consulta</w:t>
        </w:r>
        <w:r w:rsidRPr="00904B23">
          <w:rPr>
            <w:b/>
            <w:sz w:val="20"/>
          </w:rPr>
          <w:t>.-</w:t>
        </w:r>
      </w:smartTag>
      <w:r>
        <w:rPr>
          <w:b/>
          <w:sz w:val="20"/>
        </w:rPr>
        <w:t xml:space="preserve">  </w:t>
      </w:r>
      <w:r w:rsidR="00BB2AC6" w:rsidRPr="00BB2AC6">
        <w:rPr>
          <w:sz w:val="20"/>
        </w:rPr>
        <w:t>El  80% de  los pacientes con asma  no presentó crisis en la primera consulta frente a un 20% que si presentó crisis en la primera consulta</w:t>
      </w:r>
      <w:r w:rsidR="00BB2AC6">
        <w:rPr>
          <w:sz w:val="20"/>
        </w:rPr>
        <w:t>.</w:t>
      </w:r>
    </w:p>
    <w:p w:rsidR="00BB2AC6" w:rsidRDefault="00BB2AC6" w:rsidP="0023409C">
      <w:pPr>
        <w:jc w:val="both"/>
        <w:rPr>
          <w:sz w:val="20"/>
        </w:rPr>
      </w:pPr>
    </w:p>
    <w:p w:rsidR="00BB2AC6" w:rsidRPr="00BB2AC6" w:rsidRDefault="00BB2AC6" w:rsidP="0023409C">
      <w:pPr>
        <w:jc w:val="both"/>
        <w:rPr>
          <w:b/>
          <w:sz w:val="20"/>
        </w:rPr>
      </w:pPr>
      <w:r w:rsidRPr="00BB2AC6">
        <w:rPr>
          <w:b/>
          <w:sz w:val="20"/>
        </w:rPr>
        <w:t>Control  y Tratamiento del Asma</w:t>
      </w:r>
      <w:r w:rsidRPr="00904B23">
        <w:rPr>
          <w:b/>
          <w:sz w:val="20"/>
        </w:rPr>
        <w:t>.-</w:t>
      </w:r>
      <w:r>
        <w:rPr>
          <w:b/>
          <w:sz w:val="20"/>
        </w:rPr>
        <w:t xml:space="preserve">  </w:t>
      </w:r>
      <w:r w:rsidRPr="00BB2AC6">
        <w:rPr>
          <w:sz w:val="20"/>
        </w:rPr>
        <w:t>El   69% de los pacientes no continuó con el  control y  tratamiento  de asma.</w:t>
      </w:r>
    </w:p>
    <w:p w:rsidR="004C58EC" w:rsidRDefault="004C58EC" w:rsidP="0023409C">
      <w:pPr>
        <w:jc w:val="both"/>
        <w:rPr>
          <w:b/>
          <w:sz w:val="20"/>
        </w:rPr>
      </w:pPr>
    </w:p>
    <w:p w:rsidR="00175531" w:rsidRPr="00EF1699" w:rsidRDefault="00175531" w:rsidP="00175531">
      <w:pPr>
        <w:jc w:val="both"/>
        <w:rPr>
          <w:b/>
          <w:sz w:val="20"/>
        </w:rPr>
      </w:pPr>
      <w:r w:rsidRPr="00EF1699">
        <w:rPr>
          <w:b/>
          <w:sz w:val="20"/>
        </w:rPr>
        <w:t>3. ANÁLISIS MULTIVARIADO</w:t>
      </w:r>
    </w:p>
    <w:p w:rsidR="00E37A4C" w:rsidRPr="00675A5B" w:rsidRDefault="00E37A4C" w:rsidP="00AE029E">
      <w:pPr>
        <w:jc w:val="both"/>
        <w:rPr>
          <w:sz w:val="8"/>
        </w:rPr>
      </w:pPr>
    </w:p>
    <w:p w:rsidR="00697493" w:rsidRDefault="00145A86" w:rsidP="00AE029E">
      <w:pPr>
        <w:jc w:val="both"/>
        <w:rPr>
          <w:sz w:val="20"/>
        </w:rPr>
      </w:pPr>
      <w:r w:rsidRPr="00EF1699">
        <w:rPr>
          <w:sz w:val="20"/>
        </w:rPr>
        <w:t xml:space="preserve">En </w:t>
      </w:r>
      <w:r w:rsidR="00697493">
        <w:rPr>
          <w:sz w:val="20"/>
        </w:rPr>
        <w:t>el análisis multivariado se considera a las variables de forma simultánea.</w:t>
      </w:r>
    </w:p>
    <w:p w:rsidR="00675A5B" w:rsidRPr="00675A5B" w:rsidRDefault="00697493" w:rsidP="00AE029E">
      <w:pPr>
        <w:jc w:val="both"/>
        <w:rPr>
          <w:sz w:val="12"/>
        </w:rPr>
      </w:pPr>
      <w:r w:rsidRPr="00675A5B">
        <w:rPr>
          <w:sz w:val="12"/>
        </w:rPr>
        <w:t xml:space="preserve"> </w:t>
      </w:r>
    </w:p>
    <w:p w:rsidR="00A355BC" w:rsidRPr="00EF1699" w:rsidRDefault="00A355BC" w:rsidP="00A355BC">
      <w:pPr>
        <w:jc w:val="both"/>
        <w:rPr>
          <w:sz w:val="20"/>
        </w:rPr>
      </w:pPr>
      <w:r w:rsidRPr="00EF1699">
        <w:rPr>
          <w:b/>
          <w:sz w:val="20"/>
        </w:rPr>
        <w:t xml:space="preserve">Análisis Bivariado.- </w:t>
      </w:r>
      <w:r w:rsidR="00E21EA2" w:rsidRPr="00E21EA2">
        <w:rPr>
          <w:sz w:val="20"/>
        </w:rPr>
        <w:t>Para realizar este análisis se requiere la elaboración de las denominadas tablas bivariadas  donde se construye el  estimador de la distribución  de probabilidad conjunta  de dos variables. A continuación  se analizaran los principales pares de variables</w:t>
      </w:r>
      <w:r w:rsidR="00E21EA2">
        <w:rPr>
          <w:sz w:val="20"/>
        </w:rPr>
        <w:t>:</w:t>
      </w:r>
      <w:r w:rsidRPr="00EF1699">
        <w:rPr>
          <w:sz w:val="20"/>
        </w:rPr>
        <w:t xml:space="preserve"> </w:t>
      </w:r>
    </w:p>
    <w:p w:rsidR="00A355BC" w:rsidRPr="005D1862" w:rsidRDefault="00A355BC" w:rsidP="00A355BC">
      <w:pPr>
        <w:jc w:val="both"/>
        <w:rPr>
          <w:sz w:val="8"/>
        </w:rPr>
      </w:pPr>
    </w:p>
    <w:p w:rsidR="00A355BC" w:rsidRDefault="00A355BC" w:rsidP="00A355BC">
      <w:pPr>
        <w:jc w:val="both"/>
        <w:rPr>
          <w:sz w:val="20"/>
        </w:rPr>
      </w:pPr>
      <w:r w:rsidRPr="00EF1699">
        <w:rPr>
          <w:sz w:val="20"/>
        </w:rPr>
        <w:t xml:space="preserve">A continuación </w:t>
      </w:r>
      <w:r w:rsidR="00E21EA2">
        <w:rPr>
          <w:sz w:val="20"/>
        </w:rPr>
        <w:t xml:space="preserve">las principales tablas bivariadas: </w:t>
      </w:r>
    </w:p>
    <w:p w:rsidR="00A3363E" w:rsidRPr="005D1862" w:rsidRDefault="00A3363E" w:rsidP="00DD31B0">
      <w:pPr>
        <w:jc w:val="both"/>
        <w:rPr>
          <w:sz w:val="8"/>
        </w:rPr>
      </w:pPr>
    </w:p>
    <w:p w:rsidR="00D610CC" w:rsidRDefault="00D610CC" w:rsidP="00930AB0">
      <w:pPr>
        <w:jc w:val="both"/>
        <w:rPr>
          <w:sz w:val="20"/>
        </w:rPr>
      </w:pPr>
      <w:r>
        <w:rPr>
          <w:sz w:val="20"/>
        </w:rPr>
        <w:t>Atopia vs. Control y Tratamiento</w:t>
      </w:r>
      <w:r w:rsidRPr="00EF1699">
        <w:rPr>
          <w:sz w:val="20"/>
        </w:rPr>
        <w:t>.-</w:t>
      </w:r>
      <w:r>
        <w:rPr>
          <w:sz w:val="20"/>
        </w:rPr>
        <w:t xml:space="preserve"> E</w:t>
      </w:r>
      <w:r w:rsidRPr="00D610CC">
        <w:rPr>
          <w:sz w:val="20"/>
        </w:rPr>
        <w:t>l 34% del total de pacientes con atopia abandonaron el control y  tratamiento del asma, mientras que  el  46% del total de  pacientes  no tienen antecedentes de atopia de los cuales 76.28% abandonó el control y tratamiento.</w:t>
      </w:r>
    </w:p>
    <w:p w:rsidR="00D610CC" w:rsidRDefault="00D610CC" w:rsidP="00930AB0">
      <w:pPr>
        <w:jc w:val="both"/>
        <w:rPr>
          <w:sz w:val="20"/>
        </w:rPr>
      </w:pPr>
    </w:p>
    <w:tbl>
      <w:tblPr>
        <w:tblW w:w="0" w:type="auto"/>
        <w:jc w:val="center"/>
        <w:tblInd w:w="40" w:type="dxa"/>
        <w:tblLayout w:type="fixed"/>
        <w:tblCellMar>
          <w:left w:w="70" w:type="dxa"/>
          <w:right w:w="70" w:type="dxa"/>
        </w:tblCellMar>
        <w:tblLook w:val="0000"/>
      </w:tblPr>
      <w:tblGrid>
        <w:gridCol w:w="924"/>
        <w:gridCol w:w="798"/>
        <w:gridCol w:w="853"/>
        <w:gridCol w:w="1127"/>
      </w:tblGrid>
      <w:tr w:rsidR="00D610CC" w:rsidRPr="00697493">
        <w:tblPrEx>
          <w:tblCellMar>
            <w:top w:w="0" w:type="dxa"/>
            <w:bottom w:w="0" w:type="dxa"/>
          </w:tblCellMar>
        </w:tblPrEx>
        <w:trPr>
          <w:trHeight w:val="268"/>
          <w:jc w:val="center"/>
        </w:trPr>
        <w:tc>
          <w:tcPr>
            <w:tcW w:w="3702" w:type="dxa"/>
            <w:gridSpan w:val="4"/>
            <w:tcBorders>
              <w:top w:val="single" w:sz="12" w:space="0" w:color="auto"/>
              <w:left w:val="single" w:sz="12" w:space="0" w:color="auto"/>
              <w:bottom w:val="single" w:sz="12" w:space="0" w:color="auto"/>
              <w:right w:val="single" w:sz="12" w:space="0" w:color="auto"/>
            </w:tcBorders>
          </w:tcPr>
          <w:p w:rsidR="00D610CC" w:rsidRDefault="00D610CC" w:rsidP="00145ECE">
            <w:pPr>
              <w:autoSpaceDE w:val="0"/>
              <w:autoSpaceDN w:val="0"/>
              <w:adjustRightInd w:val="0"/>
              <w:jc w:val="center"/>
              <w:rPr>
                <w:color w:val="000000"/>
                <w:sz w:val="20"/>
                <w:szCs w:val="20"/>
                <w:lang w:eastAsia="es-EC"/>
              </w:rPr>
            </w:pPr>
            <w:r w:rsidRPr="00064086">
              <w:rPr>
                <w:b/>
                <w:color w:val="000000"/>
                <w:sz w:val="20"/>
                <w:szCs w:val="20"/>
                <w:lang w:eastAsia="es-EC"/>
              </w:rPr>
              <w:t xml:space="preserve">Tabla </w:t>
            </w:r>
            <w:r>
              <w:rPr>
                <w:b/>
                <w:color w:val="000000"/>
                <w:sz w:val="20"/>
                <w:szCs w:val="20"/>
                <w:lang w:eastAsia="es-EC"/>
              </w:rPr>
              <w:t>X</w:t>
            </w:r>
          </w:p>
          <w:p w:rsidR="00D610CC" w:rsidRPr="00064086" w:rsidRDefault="00D610CC" w:rsidP="00145ECE">
            <w:pPr>
              <w:autoSpaceDE w:val="0"/>
              <w:autoSpaceDN w:val="0"/>
              <w:adjustRightInd w:val="0"/>
              <w:jc w:val="center"/>
              <w:rPr>
                <w:color w:val="000000"/>
                <w:sz w:val="16"/>
                <w:szCs w:val="16"/>
                <w:lang w:eastAsia="es-EC"/>
              </w:rPr>
            </w:pPr>
            <w:r w:rsidRPr="00064086">
              <w:rPr>
                <w:color w:val="000000"/>
                <w:sz w:val="16"/>
                <w:szCs w:val="16"/>
                <w:lang w:eastAsia="es-EC"/>
              </w:rPr>
              <w:t xml:space="preserve">Tabla </w:t>
            </w:r>
            <w:r>
              <w:rPr>
                <w:color w:val="000000"/>
                <w:sz w:val="16"/>
                <w:szCs w:val="16"/>
                <w:lang w:eastAsia="es-EC"/>
              </w:rPr>
              <w:t>Bivariada: Atopia</w:t>
            </w:r>
            <w:r w:rsidRPr="00064086">
              <w:rPr>
                <w:color w:val="000000"/>
                <w:sz w:val="16"/>
                <w:szCs w:val="16"/>
                <w:lang w:eastAsia="es-EC"/>
              </w:rPr>
              <w:t xml:space="preserve"> vs Control y Tratamiento.</w:t>
            </w:r>
            <w:r>
              <w:rPr>
                <w:color w:val="000000"/>
                <w:sz w:val="16"/>
                <w:szCs w:val="16"/>
                <w:lang w:eastAsia="es-EC"/>
              </w:rPr>
              <w:t xml:space="preserve"> </w:t>
            </w:r>
          </w:p>
        </w:tc>
      </w:tr>
      <w:tr w:rsidR="00D610CC" w:rsidRPr="003268E6">
        <w:tblPrEx>
          <w:tblCellMar>
            <w:top w:w="0" w:type="dxa"/>
            <w:bottom w:w="0" w:type="dxa"/>
          </w:tblCellMar>
        </w:tblPrEx>
        <w:trPr>
          <w:trHeight w:val="212"/>
          <w:jc w:val="center"/>
        </w:trPr>
        <w:tc>
          <w:tcPr>
            <w:tcW w:w="924" w:type="dxa"/>
            <w:vMerge w:val="restart"/>
            <w:tcBorders>
              <w:top w:val="single" w:sz="12" w:space="0" w:color="auto"/>
              <w:left w:val="single" w:sz="12" w:space="0" w:color="auto"/>
              <w:right w:val="single" w:sz="6" w:space="0" w:color="auto"/>
            </w:tcBorders>
            <w:vAlign w:val="center"/>
          </w:tcPr>
          <w:p w:rsidR="00D610CC" w:rsidRPr="003268E6" w:rsidRDefault="00D610CC" w:rsidP="00145ECE">
            <w:pPr>
              <w:autoSpaceDE w:val="0"/>
              <w:autoSpaceDN w:val="0"/>
              <w:adjustRightInd w:val="0"/>
              <w:jc w:val="center"/>
              <w:rPr>
                <w:color w:val="000000"/>
                <w:sz w:val="16"/>
                <w:szCs w:val="16"/>
              </w:rPr>
            </w:pPr>
            <w:r>
              <w:rPr>
                <w:color w:val="000000"/>
                <w:sz w:val="16"/>
                <w:szCs w:val="16"/>
              </w:rPr>
              <w:t>Atopia</w:t>
            </w:r>
          </w:p>
        </w:tc>
        <w:tc>
          <w:tcPr>
            <w:tcW w:w="1651" w:type="dxa"/>
            <w:gridSpan w:val="2"/>
            <w:tcBorders>
              <w:top w:val="single" w:sz="12" w:space="0" w:color="auto"/>
              <w:left w:val="single" w:sz="6" w:space="0" w:color="auto"/>
              <w:bottom w:val="single" w:sz="6" w:space="0" w:color="auto"/>
              <w:right w:val="single" w:sz="6" w:space="0" w:color="auto"/>
            </w:tcBorders>
            <w:vAlign w:val="center"/>
          </w:tcPr>
          <w:p w:rsidR="00D610CC" w:rsidRPr="003268E6" w:rsidRDefault="00D610CC" w:rsidP="00145ECE">
            <w:pPr>
              <w:autoSpaceDE w:val="0"/>
              <w:autoSpaceDN w:val="0"/>
              <w:adjustRightInd w:val="0"/>
              <w:jc w:val="center"/>
              <w:rPr>
                <w:color w:val="000000"/>
                <w:sz w:val="16"/>
                <w:szCs w:val="16"/>
              </w:rPr>
            </w:pPr>
            <w:r w:rsidRPr="003268E6">
              <w:rPr>
                <w:color w:val="000000"/>
                <w:sz w:val="16"/>
                <w:szCs w:val="16"/>
              </w:rPr>
              <w:t>Control y Tratamiento</w:t>
            </w:r>
          </w:p>
        </w:tc>
        <w:tc>
          <w:tcPr>
            <w:tcW w:w="1127" w:type="dxa"/>
            <w:vMerge w:val="restart"/>
            <w:tcBorders>
              <w:top w:val="single" w:sz="12" w:space="0" w:color="auto"/>
              <w:left w:val="single" w:sz="6" w:space="0" w:color="auto"/>
              <w:right w:val="single" w:sz="12" w:space="0" w:color="auto"/>
            </w:tcBorders>
            <w:vAlign w:val="center"/>
          </w:tcPr>
          <w:p w:rsidR="00D610CC" w:rsidRPr="003268E6" w:rsidRDefault="00D610CC" w:rsidP="00145ECE">
            <w:pPr>
              <w:autoSpaceDE w:val="0"/>
              <w:autoSpaceDN w:val="0"/>
              <w:adjustRightInd w:val="0"/>
              <w:jc w:val="center"/>
              <w:rPr>
                <w:color w:val="000000"/>
                <w:sz w:val="16"/>
                <w:szCs w:val="16"/>
              </w:rPr>
            </w:pPr>
            <w:r w:rsidRPr="003268E6">
              <w:rPr>
                <w:color w:val="000000"/>
                <w:sz w:val="16"/>
                <w:szCs w:val="16"/>
              </w:rPr>
              <w:t>Marginal</w:t>
            </w:r>
          </w:p>
        </w:tc>
      </w:tr>
      <w:tr w:rsidR="00D610CC" w:rsidRPr="003268E6">
        <w:tblPrEx>
          <w:tblCellMar>
            <w:top w:w="0" w:type="dxa"/>
            <w:bottom w:w="0" w:type="dxa"/>
          </w:tblCellMar>
        </w:tblPrEx>
        <w:trPr>
          <w:trHeight w:val="128"/>
          <w:jc w:val="center"/>
        </w:trPr>
        <w:tc>
          <w:tcPr>
            <w:tcW w:w="924" w:type="dxa"/>
            <w:vMerge/>
            <w:tcBorders>
              <w:left w:val="single" w:sz="12" w:space="0" w:color="auto"/>
              <w:bottom w:val="single" w:sz="12" w:space="0" w:color="auto"/>
              <w:right w:val="single" w:sz="6" w:space="0" w:color="auto"/>
            </w:tcBorders>
            <w:vAlign w:val="center"/>
          </w:tcPr>
          <w:p w:rsidR="00D610CC" w:rsidRPr="003268E6" w:rsidRDefault="00D610CC" w:rsidP="00145ECE">
            <w:pPr>
              <w:autoSpaceDE w:val="0"/>
              <w:autoSpaceDN w:val="0"/>
              <w:adjustRightInd w:val="0"/>
              <w:jc w:val="center"/>
              <w:rPr>
                <w:color w:val="000000"/>
                <w:sz w:val="16"/>
                <w:szCs w:val="16"/>
                <w:lang w:eastAsia="es-EC"/>
              </w:rPr>
            </w:pPr>
          </w:p>
        </w:tc>
        <w:tc>
          <w:tcPr>
            <w:tcW w:w="798" w:type="dxa"/>
            <w:tcBorders>
              <w:top w:val="single" w:sz="6" w:space="0" w:color="auto"/>
              <w:left w:val="single" w:sz="6" w:space="0" w:color="auto"/>
              <w:bottom w:val="single" w:sz="12" w:space="0" w:color="auto"/>
              <w:right w:val="single" w:sz="6" w:space="0" w:color="auto"/>
            </w:tcBorders>
            <w:vAlign w:val="center"/>
          </w:tcPr>
          <w:p w:rsidR="00D610CC" w:rsidRPr="003268E6" w:rsidRDefault="00D610CC" w:rsidP="00145ECE">
            <w:pPr>
              <w:autoSpaceDE w:val="0"/>
              <w:autoSpaceDN w:val="0"/>
              <w:adjustRightInd w:val="0"/>
              <w:jc w:val="center"/>
              <w:rPr>
                <w:color w:val="000000"/>
                <w:sz w:val="16"/>
                <w:szCs w:val="16"/>
                <w:lang w:eastAsia="es-EC"/>
              </w:rPr>
            </w:pPr>
            <w:r w:rsidRPr="003268E6">
              <w:rPr>
                <w:color w:val="000000"/>
                <w:sz w:val="16"/>
                <w:szCs w:val="16"/>
              </w:rPr>
              <w:t>Sí</w:t>
            </w:r>
          </w:p>
        </w:tc>
        <w:tc>
          <w:tcPr>
            <w:tcW w:w="853" w:type="dxa"/>
            <w:tcBorders>
              <w:top w:val="single" w:sz="6" w:space="0" w:color="auto"/>
              <w:left w:val="single" w:sz="6" w:space="0" w:color="auto"/>
              <w:bottom w:val="single" w:sz="12" w:space="0" w:color="auto"/>
              <w:right w:val="single" w:sz="6" w:space="0" w:color="auto"/>
            </w:tcBorders>
            <w:vAlign w:val="center"/>
          </w:tcPr>
          <w:p w:rsidR="00D610CC" w:rsidRPr="003268E6" w:rsidRDefault="00D610CC" w:rsidP="00145ECE">
            <w:pPr>
              <w:autoSpaceDE w:val="0"/>
              <w:autoSpaceDN w:val="0"/>
              <w:adjustRightInd w:val="0"/>
              <w:jc w:val="center"/>
              <w:rPr>
                <w:color w:val="000000"/>
                <w:sz w:val="16"/>
                <w:szCs w:val="16"/>
                <w:lang w:eastAsia="es-EC"/>
              </w:rPr>
            </w:pPr>
            <w:r w:rsidRPr="003268E6">
              <w:rPr>
                <w:color w:val="000000"/>
                <w:sz w:val="16"/>
                <w:szCs w:val="16"/>
              </w:rPr>
              <w:t>No</w:t>
            </w:r>
          </w:p>
        </w:tc>
        <w:tc>
          <w:tcPr>
            <w:tcW w:w="1127" w:type="dxa"/>
            <w:vMerge/>
            <w:tcBorders>
              <w:left w:val="single" w:sz="6" w:space="0" w:color="auto"/>
              <w:bottom w:val="single" w:sz="12" w:space="0" w:color="auto"/>
              <w:right w:val="single" w:sz="12" w:space="0" w:color="auto"/>
            </w:tcBorders>
            <w:vAlign w:val="center"/>
          </w:tcPr>
          <w:p w:rsidR="00D610CC" w:rsidRPr="003268E6" w:rsidRDefault="00D610CC" w:rsidP="00145ECE">
            <w:pPr>
              <w:autoSpaceDE w:val="0"/>
              <w:autoSpaceDN w:val="0"/>
              <w:adjustRightInd w:val="0"/>
              <w:jc w:val="center"/>
              <w:rPr>
                <w:color w:val="000000"/>
                <w:sz w:val="16"/>
                <w:szCs w:val="16"/>
                <w:lang w:eastAsia="es-EC"/>
              </w:rPr>
            </w:pPr>
          </w:p>
        </w:tc>
      </w:tr>
      <w:tr w:rsidR="00D610CC" w:rsidRPr="003268E6">
        <w:tblPrEx>
          <w:tblCellMar>
            <w:top w:w="0" w:type="dxa"/>
            <w:bottom w:w="0" w:type="dxa"/>
          </w:tblCellMar>
        </w:tblPrEx>
        <w:trPr>
          <w:trHeight w:val="138"/>
          <w:jc w:val="center"/>
        </w:trPr>
        <w:tc>
          <w:tcPr>
            <w:tcW w:w="924" w:type="dxa"/>
            <w:tcBorders>
              <w:top w:val="single" w:sz="12" w:space="0" w:color="auto"/>
              <w:left w:val="single" w:sz="12" w:space="0" w:color="auto"/>
              <w:bottom w:val="single" w:sz="2" w:space="0" w:color="000000"/>
              <w:right w:val="single" w:sz="6"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Si</w:t>
            </w:r>
          </w:p>
        </w:tc>
        <w:tc>
          <w:tcPr>
            <w:tcW w:w="798" w:type="dxa"/>
            <w:tcBorders>
              <w:top w:val="single" w:sz="12" w:space="0" w:color="auto"/>
              <w:left w:val="single" w:sz="6" w:space="0" w:color="auto"/>
              <w:bottom w:val="single" w:sz="2" w:space="0" w:color="000000"/>
              <w:right w:val="single" w:sz="6"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0.34</w:t>
            </w:r>
          </w:p>
        </w:tc>
        <w:tc>
          <w:tcPr>
            <w:tcW w:w="853" w:type="dxa"/>
            <w:tcBorders>
              <w:top w:val="single" w:sz="12" w:space="0" w:color="auto"/>
              <w:left w:val="single" w:sz="6" w:space="0" w:color="auto"/>
              <w:bottom w:val="single" w:sz="2" w:space="0" w:color="000000"/>
              <w:right w:val="single" w:sz="6"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0.20</w:t>
            </w:r>
          </w:p>
        </w:tc>
        <w:tc>
          <w:tcPr>
            <w:tcW w:w="1127" w:type="dxa"/>
            <w:tcBorders>
              <w:top w:val="single" w:sz="12" w:space="0" w:color="auto"/>
              <w:left w:val="single" w:sz="6" w:space="0" w:color="auto"/>
              <w:bottom w:val="single" w:sz="2" w:space="0" w:color="000000"/>
              <w:right w:val="single" w:sz="12"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0.54</w:t>
            </w:r>
          </w:p>
        </w:tc>
      </w:tr>
      <w:tr w:rsidR="00D610CC" w:rsidRPr="003268E6">
        <w:tblPrEx>
          <w:tblCellMar>
            <w:top w:w="0" w:type="dxa"/>
            <w:bottom w:w="0" w:type="dxa"/>
          </w:tblCellMar>
        </w:tblPrEx>
        <w:trPr>
          <w:trHeight w:val="133"/>
          <w:jc w:val="center"/>
        </w:trPr>
        <w:tc>
          <w:tcPr>
            <w:tcW w:w="924" w:type="dxa"/>
            <w:tcBorders>
              <w:top w:val="single" w:sz="2" w:space="0" w:color="000000"/>
              <w:left w:val="single" w:sz="12" w:space="0" w:color="auto"/>
              <w:bottom w:val="single" w:sz="2" w:space="0" w:color="000000"/>
              <w:right w:val="single" w:sz="6"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No</w:t>
            </w:r>
          </w:p>
        </w:tc>
        <w:tc>
          <w:tcPr>
            <w:tcW w:w="798" w:type="dxa"/>
            <w:tcBorders>
              <w:top w:val="single" w:sz="2" w:space="0" w:color="000000"/>
              <w:left w:val="single" w:sz="6" w:space="0" w:color="auto"/>
              <w:bottom w:val="single" w:sz="2" w:space="0" w:color="000000"/>
              <w:right w:val="single" w:sz="6"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0.35</w:t>
            </w:r>
          </w:p>
        </w:tc>
        <w:tc>
          <w:tcPr>
            <w:tcW w:w="853" w:type="dxa"/>
            <w:tcBorders>
              <w:top w:val="single" w:sz="2" w:space="0" w:color="000000"/>
              <w:left w:val="single" w:sz="6" w:space="0" w:color="auto"/>
              <w:bottom w:val="single" w:sz="2" w:space="0" w:color="000000"/>
              <w:right w:val="single" w:sz="6"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0.11</w:t>
            </w:r>
          </w:p>
        </w:tc>
        <w:tc>
          <w:tcPr>
            <w:tcW w:w="1127" w:type="dxa"/>
            <w:tcBorders>
              <w:top w:val="single" w:sz="2" w:space="0" w:color="000000"/>
              <w:left w:val="single" w:sz="6" w:space="0" w:color="auto"/>
              <w:bottom w:val="single" w:sz="2" w:space="0" w:color="000000"/>
              <w:right w:val="single" w:sz="12"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0.46</w:t>
            </w:r>
          </w:p>
        </w:tc>
      </w:tr>
      <w:tr w:rsidR="00D610CC" w:rsidRPr="003268E6">
        <w:tblPrEx>
          <w:tblCellMar>
            <w:top w:w="0" w:type="dxa"/>
            <w:bottom w:w="0" w:type="dxa"/>
          </w:tblCellMar>
        </w:tblPrEx>
        <w:trPr>
          <w:trHeight w:val="118"/>
          <w:jc w:val="center"/>
        </w:trPr>
        <w:tc>
          <w:tcPr>
            <w:tcW w:w="924" w:type="dxa"/>
            <w:tcBorders>
              <w:top w:val="single" w:sz="2" w:space="0" w:color="000000"/>
              <w:left w:val="single" w:sz="12" w:space="0" w:color="auto"/>
              <w:bottom w:val="single" w:sz="12" w:space="0" w:color="auto"/>
              <w:right w:val="single" w:sz="6"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Marginal</w:t>
            </w:r>
          </w:p>
        </w:tc>
        <w:tc>
          <w:tcPr>
            <w:tcW w:w="798" w:type="dxa"/>
            <w:tcBorders>
              <w:top w:val="single" w:sz="2" w:space="0" w:color="000000"/>
              <w:left w:val="single" w:sz="6" w:space="0" w:color="auto"/>
              <w:bottom w:val="single" w:sz="12" w:space="0" w:color="auto"/>
              <w:right w:val="single" w:sz="6"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0.69</w:t>
            </w:r>
          </w:p>
        </w:tc>
        <w:tc>
          <w:tcPr>
            <w:tcW w:w="853" w:type="dxa"/>
            <w:tcBorders>
              <w:top w:val="single" w:sz="2" w:space="0" w:color="000000"/>
              <w:left w:val="single" w:sz="6" w:space="0" w:color="auto"/>
              <w:bottom w:val="single" w:sz="12" w:space="0" w:color="auto"/>
              <w:right w:val="single" w:sz="6"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0.31</w:t>
            </w:r>
          </w:p>
        </w:tc>
        <w:tc>
          <w:tcPr>
            <w:tcW w:w="1127" w:type="dxa"/>
            <w:tcBorders>
              <w:top w:val="single" w:sz="2" w:space="0" w:color="000000"/>
              <w:left w:val="single" w:sz="6" w:space="0" w:color="auto"/>
              <w:bottom w:val="single" w:sz="12" w:space="0" w:color="auto"/>
              <w:right w:val="single" w:sz="12" w:space="0" w:color="auto"/>
            </w:tcBorders>
            <w:vAlign w:val="center"/>
          </w:tcPr>
          <w:p w:rsidR="00D610CC" w:rsidRPr="00D610CC" w:rsidRDefault="00D610CC" w:rsidP="00145ECE">
            <w:pPr>
              <w:autoSpaceDE w:val="0"/>
              <w:autoSpaceDN w:val="0"/>
              <w:adjustRightInd w:val="0"/>
              <w:jc w:val="center"/>
              <w:rPr>
                <w:color w:val="000000"/>
                <w:sz w:val="16"/>
                <w:szCs w:val="16"/>
                <w:lang w:eastAsia="es-EC"/>
              </w:rPr>
            </w:pPr>
            <w:r w:rsidRPr="00D610CC">
              <w:rPr>
                <w:color w:val="000000"/>
                <w:sz w:val="16"/>
                <w:szCs w:val="16"/>
                <w:lang w:eastAsia="es-EC"/>
              </w:rPr>
              <w:t>1.00</w:t>
            </w:r>
          </w:p>
        </w:tc>
      </w:tr>
    </w:tbl>
    <w:p w:rsidR="00D610CC" w:rsidRPr="00D610CC" w:rsidRDefault="00D610CC" w:rsidP="00930AB0">
      <w:pPr>
        <w:jc w:val="both"/>
        <w:rPr>
          <w:sz w:val="20"/>
        </w:rPr>
      </w:pPr>
    </w:p>
    <w:p w:rsidR="00C31755" w:rsidRDefault="00F622C7" w:rsidP="00930AB0">
      <w:pPr>
        <w:jc w:val="both"/>
        <w:rPr>
          <w:sz w:val="20"/>
        </w:rPr>
      </w:pPr>
      <w:r>
        <w:rPr>
          <w:sz w:val="20"/>
        </w:rPr>
        <w:t>Anormalidades en el Tórax vs. Control y Tratamiento</w:t>
      </w:r>
      <w:r w:rsidR="00930AB0" w:rsidRPr="00EF1699">
        <w:rPr>
          <w:sz w:val="20"/>
        </w:rPr>
        <w:t xml:space="preserve">.- </w:t>
      </w:r>
      <w:r>
        <w:rPr>
          <w:sz w:val="20"/>
        </w:rPr>
        <w:t>S</w:t>
      </w:r>
      <w:r w:rsidRPr="00F622C7">
        <w:rPr>
          <w:sz w:val="20"/>
        </w:rPr>
        <w:t xml:space="preserve">e observa </w:t>
      </w:r>
      <w:r w:rsidR="00A45214">
        <w:rPr>
          <w:sz w:val="20"/>
        </w:rPr>
        <w:t xml:space="preserve">en </w:t>
      </w:r>
      <w:smartTag w:uri="urn:schemas-microsoft-com:office:smarttags" w:element="PersonName">
        <w:smartTagPr>
          <w:attr w:name="ProductID" w:val="la Tabla XI"/>
        </w:smartTagPr>
        <w:smartTag w:uri="urn:schemas-microsoft-com:office:smarttags" w:element="PersonName">
          <w:smartTagPr>
            <w:attr w:name="ProductID" w:val="la Tabla"/>
          </w:smartTagPr>
          <w:r w:rsidR="00A45214">
            <w:rPr>
              <w:sz w:val="20"/>
            </w:rPr>
            <w:t>la Tabla</w:t>
          </w:r>
        </w:smartTag>
        <w:r w:rsidR="00A45214">
          <w:rPr>
            <w:sz w:val="20"/>
          </w:rPr>
          <w:t xml:space="preserve"> XI</w:t>
        </w:r>
      </w:smartTag>
      <w:r w:rsidR="00A45214">
        <w:rPr>
          <w:sz w:val="20"/>
        </w:rPr>
        <w:t xml:space="preserve"> </w:t>
      </w:r>
      <w:r w:rsidRPr="00F622C7">
        <w:rPr>
          <w:sz w:val="20"/>
        </w:rPr>
        <w:t xml:space="preserve">que el 40% de pacientes con  asma  presentó anormalidades en el tórax  de este grupo el 55.14 %  abandono el control y  tratamiento  de </w:t>
      </w:r>
      <w:r w:rsidRPr="00F622C7">
        <w:rPr>
          <w:sz w:val="20"/>
        </w:rPr>
        <w:lastRenderedPageBreak/>
        <w:t xml:space="preserve">asma, del total de pacientes que no  presentaron anormalidades en  el tórax el 47% no continuó con  el control y tratamiento del asma. </w:t>
      </w:r>
    </w:p>
    <w:p w:rsidR="00C31755" w:rsidRDefault="00C31755" w:rsidP="00930AB0">
      <w:pPr>
        <w:jc w:val="both"/>
        <w:rPr>
          <w:sz w:val="20"/>
        </w:rPr>
      </w:pPr>
    </w:p>
    <w:tbl>
      <w:tblPr>
        <w:tblW w:w="0" w:type="auto"/>
        <w:jc w:val="center"/>
        <w:tblInd w:w="40" w:type="dxa"/>
        <w:tblLayout w:type="fixed"/>
        <w:tblCellMar>
          <w:left w:w="70" w:type="dxa"/>
          <w:right w:w="70" w:type="dxa"/>
        </w:tblCellMar>
        <w:tblLook w:val="0000"/>
      </w:tblPr>
      <w:tblGrid>
        <w:gridCol w:w="1522"/>
        <w:gridCol w:w="720"/>
        <w:gridCol w:w="720"/>
        <w:gridCol w:w="740"/>
      </w:tblGrid>
      <w:tr w:rsidR="00C31755" w:rsidRPr="00697493">
        <w:tblPrEx>
          <w:tblCellMar>
            <w:top w:w="0" w:type="dxa"/>
            <w:bottom w:w="0" w:type="dxa"/>
          </w:tblCellMar>
        </w:tblPrEx>
        <w:trPr>
          <w:trHeight w:val="268"/>
          <w:jc w:val="center"/>
        </w:trPr>
        <w:tc>
          <w:tcPr>
            <w:tcW w:w="3702" w:type="dxa"/>
            <w:gridSpan w:val="4"/>
            <w:tcBorders>
              <w:top w:val="single" w:sz="12" w:space="0" w:color="auto"/>
              <w:left w:val="single" w:sz="12" w:space="0" w:color="auto"/>
              <w:bottom w:val="single" w:sz="12" w:space="0" w:color="auto"/>
              <w:right w:val="single" w:sz="12" w:space="0" w:color="auto"/>
            </w:tcBorders>
          </w:tcPr>
          <w:p w:rsidR="00C31755" w:rsidRDefault="00C31755" w:rsidP="00145ECE">
            <w:pPr>
              <w:autoSpaceDE w:val="0"/>
              <w:autoSpaceDN w:val="0"/>
              <w:adjustRightInd w:val="0"/>
              <w:jc w:val="center"/>
              <w:rPr>
                <w:color w:val="000000"/>
                <w:sz w:val="20"/>
                <w:szCs w:val="20"/>
                <w:lang w:eastAsia="es-EC"/>
              </w:rPr>
            </w:pPr>
            <w:r w:rsidRPr="00064086">
              <w:rPr>
                <w:b/>
                <w:color w:val="000000"/>
                <w:sz w:val="20"/>
                <w:szCs w:val="20"/>
                <w:lang w:eastAsia="es-EC"/>
              </w:rPr>
              <w:t xml:space="preserve">Tabla </w:t>
            </w:r>
            <w:r>
              <w:rPr>
                <w:b/>
                <w:color w:val="000000"/>
                <w:sz w:val="20"/>
                <w:szCs w:val="20"/>
                <w:lang w:eastAsia="es-EC"/>
              </w:rPr>
              <w:t>X</w:t>
            </w:r>
            <w:r w:rsidR="00190A22">
              <w:rPr>
                <w:b/>
                <w:color w:val="000000"/>
                <w:sz w:val="20"/>
                <w:szCs w:val="20"/>
                <w:lang w:eastAsia="es-EC"/>
              </w:rPr>
              <w:t>I</w:t>
            </w:r>
          </w:p>
          <w:p w:rsidR="00C31755" w:rsidRPr="00064086" w:rsidRDefault="00C31755" w:rsidP="00145ECE">
            <w:pPr>
              <w:autoSpaceDE w:val="0"/>
              <w:autoSpaceDN w:val="0"/>
              <w:adjustRightInd w:val="0"/>
              <w:jc w:val="center"/>
              <w:rPr>
                <w:color w:val="000000"/>
                <w:sz w:val="16"/>
                <w:szCs w:val="16"/>
                <w:lang w:eastAsia="es-EC"/>
              </w:rPr>
            </w:pPr>
            <w:r w:rsidRPr="00064086">
              <w:rPr>
                <w:color w:val="000000"/>
                <w:sz w:val="16"/>
                <w:szCs w:val="16"/>
                <w:lang w:eastAsia="es-EC"/>
              </w:rPr>
              <w:t xml:space="preserve">Tabla </w:t>
            </w:r>
            <w:r>
              <w:rPr>
                <w:color w:val="000000"/>
                <w:sz w:val="16"/>
                <w:szCs w:val="16"/>
                <w:lang w:eastAsia="es-EC"/>
              </w:rPr>
              <w:t>Bivariada: Anormalidades en el Tórax</w:t>
            </w:r>
            <w:r w:rsidRPr="00064086">
              <w:rPr>
                <w:color w:val="000000"/>
                <w:sz w:val="16"/>
                <w:szCs w:val="16"/>
                <w:lang w:eastAsia="es-EC"/>
              </w:rPr>
              <w:t xml:space="preserve"> vs Control y Tratamiento.</w:t>
            </w:r>
            <w:r>
              <w:rPr>
                <w:color w:val="000000"/>
                <w:sz w:val="16"/>
                <w:szCs w:val="16"/>
                <w:lang w:eastAsia="es-EC"/>
              </w:rPr>
              <w:t xml:space="preserve"> </w:t>
            </w:r>
          </w:p>
        </w:tc>
      </w:tr>
      <w:tr w:rsidR="00C31755" w:rsidRPr="003268E6">
        <w:tblPrEx>
          <w:tblCellMar>
            <w:top w:w="0" w:type="dxa"/>
            <w:bottom w:w="0" w:type="dxa"/>
          </w:tblCellMar>
        </w:tblPrEx>
        <w:trPr>
          <w:trHeight w:val="212"/>
          <w:jc w:val="center"/>
        </w:trPr>
        <w:tc>
          <w:tcPr>
            <w:tcW w:w="1522" w:type="dxa"/>
            <w:vMerge w:val="restart"/>
            <w:tcBorders>
              <w:top w:val="single" w:sz="12" w:space="0" w:color="auto"/>
              <w:left w:val="single" w:sz="12" w:space="0" w:color="auto"/>
              <w:right w:val="single" w:sz="6" w:space="0" w:color="auto"/>
            </w:tcBorders>
            <w:vAlign w:val="center"/>
          </w:tcPr>
          <w:p w:rsidR="00C31755" w:rsidRPr="003268E6" w:rsidRDefault="00C31755" w:rsidP="00145ECE">
            <w:pPr>
              <w:autoSpaceDE w:val="0"/>
              <w:autoSpaceDN w:val="0"/>
              <w:adjustRightInd w:val="0"/>
              <w:jc w:val="center"/>
              <w:rPr>
                <w:color w:val="000000"/>
                <w:sz w:val="16"/>
                <w:szCs w:val="16"/>
              </w:rPr>
            </w:pPr>
            <w:r>
              <w:rPr>
                <w:color w:val="000000"/>
                <w:sz w:val="16"/>
                <w:szCs w:val="16"/>
                <w:lang w:eastAsia="es-EC"/>
              </w:rPr>
              <w:t>Anormalidades en el Tórax</w:t>
            </w:r>
            <w:r w:rsidRPr="00064086">
              <w:rPr>
                <w:color w:val="000000"/>
                <w:sz w:val="16"/>
                <w:szCs w:val="16"/>
                <w:lang w:eastAsia="es-EC"/>
              </w:rPr>
              <w:t xml:space="preserve"> </w:t>
            </w:r>
          </w:p>
        </w:tc>
        <w:tc>
          <w:tcPr>
            <w:tcW w:w="1440" w:type="dxa"/>
            <w:gridSpan w:val="2"/>
            <w:tcBorders>
              <w:top w:val="single" w:sz="12" w:space="0" w:color="auto"/>
              <w:left w:val="single" w:sz="6" w:space="0" w:color="auto"/>
              <w:bottom w:val="single" w:sz="6" w:space="0" w:color="auto"/>
              <w:right w:val="single" w:sz="6" w:space="0" w:color="auto"/>
            </w:tcBorders>
            <w:vAlign w:val="center"/>
          </w:tcPr>
          <w:p w:rsidR="00C31755" w:rsidRPr="003268E6" w:rsidRDefault="00C31755" w:rsidP="00145ECE">
            <w:pPr>
              <w:autoSpaceDE w:val="0"/>
              <w:autoSpaceDN w:val="0"/>
              <w:adjustRightInd w:val="0"/>
              <w:jc w:val="center"/>
              <w:rPr>
                <w:color w:val="000000"/>
                <w:sz w:val="16"/>
                <w:szCs w:val="16"/>
              </w:rPr>
            </w:pPr>
            <w:r w:rsidRPr="003268E6">
              <w:rPr>
                <w:color w:val="000000"/>
                <w:sz w:val="16"/>
                <w:szCs w:val="16"/>
              </w:rPr>
              <w:t>Control y Tratamiento</w:t>
            </w:r>
          </w:p>
        </w:tc>
        <w:tc>
          <w:tcPr>
            <w:tcW w:w="740" w:type="dxa"/>
            <w:vMerge w:val="restart"/>
            <w:tcBorders>
              <w:top w:val="single" w:sz="12" w:space="0" w:color="auto"/>
              <w:left w:val="single" w:sz="6" w:space="0" w:color="auto"/>
              <w:right w:val="single" w:sz="12" w:space="0" w:color="auto"/>
            </w:tcBorders>
            <w:vAlign w:val="center"/>
          </w:tcPr>
          <w:p w:rsidR="00C31755" w:rsidRPr="003268E6" w:rsidRDefault="00C31755" w:rsidP="00145ECE">
            <w:pPr>
              <w:autoSpaceDE w:val="0"/>
              <w:autoSpaceDN w:val="0"/>
              <w:adjustRightInd w:val="0"/>
              <w:jc w:val="center"/>
              <w:rPr>
                <w:color w:val="000000"/>
                <w:sz w:val="16"/>
                <w:szCs w:val="16"/>
              </w:rPr>
            </w:pPr>
            <w:r w:rsidRPr="003268E6">
              <w:rPr>
                <w:color w:val="000000"/>
                <w:sz w:val="16"/>
                <w:szCs w:val="16"/>
              </w:rPr>
              <w:t>Marginal</w:t>
            </w:r>
          </w:p>
        </w:tc>
      </w:tr>
      <w:tr w:rsidR="00C31755" w:rsidRPr="003268E6">
        <w:tblPrEx>
          <w:tblCellMar>
            <w:top w:w="0" w:type="dxa"/>
            <w:bottom w:w="0" w:type="dxa"/>
          </w:tblCellMar>
        </w:tblPrEx>
        <w:trPr>
          <w:trHeight w:val="128"/>
          <w:jc w:val="center"/>
        </w:trPr>
        <w:tc>
          <w:tcPr>
            <w:tcW w:w="1522" w:type="dxa"/>
            <w:vMerge/>
            <w:tcBorders>
              <w:left w:val="single" w:sz="12" w:space="0" w:color="auto"/>
              <w:bottom w:val="single" w:sz="12" w:space="0" w:color="auto"/>
              <w:right w:val="single" w:sz="6" w:space="0" w:color="auto"/>
            </w:tcBorders>
            <w:vAlign w:val="center"/>
          </w:tcPr>
          <w:p w:rsidR="00C31755" w:rsidRPr="003268E6" w:rsidRDefault="00C31755" w:rsidP="00145ECE">
            <w:pPr>
              <w:autoSpaceDE w:val="0"/>
              <w:autoSpaceDN w:val="0"/>
              <w:adjustRightInd w:val="0"/>
              <w:jc w:val="center"/>
              <w:rPr>
                <w:color w:val="000000"/>
                <w:sz w:val="16"/>
                <w:szCs w:val="16"/>
                <w:lang w:eastAsia="es-EC"/>
              </w:rPr>
            </w:pPr>
          </w:p>
        </w:tc>
        <w:tc>
          <w:tcPr>
            <w:tcW w:w="720" w:type="dxa"/>
            <w:tcBorders>
              <w:top w:val="single" w:sz="6" w:space="0" w:color="auto"/>
              <w:left w:val="single" w:sz="6" w:space="0" w:color="auto"/>
              <w:bottom w:val="single" w:sz="12" w:space="0" w:color="auto"/>
              <w:right w:val="single" w:sz="6" w:space="0" w:color="auto"/>
            </w:tcBorders>
            <w:vAlign w:val="center"/>
          </w:tcPr>
          <w:p w:rsidR="00C31755" w:rsidRPr="003268E6" w:rsidRDefault="00C31755" w:rsidP="00145ECE">
            <w:pPr>
              <w:autoSpaceDE w:val="0"/>
              <w:autoSpaceDN w:val="0"/>
              <w:adjustRightInd w:val="0"/>
              <w:jc w:val="center"/>
              <w:rPr>
                <w:color w:val="000000"/>
                <w:sz w:val="16"/>
                <w:szCs w:val="16"/>
                <w:lang w:eastAsia="es-EC"/>
              </w:rPr>
            </w:pPr>
            <w:r w:rsidRPr="003268E6">
              <w:rPr>
                <w:color w:val="000000"/>
                <w:sz w:val="16"/>
                <w:szCs w:val="16"/>
              </w:rPr>
              <w:t>Sí</w:t>
            </w:r>
          </w:p>
        </w:tc>
        <w:tc>
          <w:tcPr>
            <w:tcW w:w="720" w:type="dxa"/>
            <w:tcBorders>
              <w:top w:val="single" w:sz="6" w:space="0" w:color="auto"/>
              <w:left w:val="single" w:sz="6" w:space="0" w:color="auto"/>
              <w:bottom w:val="single" w:sz="12" w:space="0" w:color="auto"/>
              <w:right w:val="single" w:sz="6" w:space="0" w:color="auto"/>
            </w:tcBorders>
            <w:vAlign w:val="center"/>
          </w:tcPr>
          <w:p w:rsidR="00C31755" w:rsidRPr="003268E6" w:rsidRDefault="00C31755" w:rsidP="00145ECE">
            <w:pPr>
              <w:autoSpaceDE w:val="0"/>
              <w:autoSpaceDN w:val="0"/>
              <w:adjustRightInd w:val="0"/>
              <w:jc w:val="center"/>
              <w:rPr>
                <w:color w:val="000000"/>
                <w:sz w:val="16"/>
                <w:szCs w:val="16"/>
                <w:lang w:eastAsia="es-EC"/>
              </w:rPr>
            </w:pPr>
            <w:r w:rsidRPr="003268E6">
              <w:rPr>
                <w:color w:val="000000"/>
                <w:sz w:val="16"/>
                <w:szCs w:val="16"/>
              </w:rPr>
              <w:t>No</w:t>
            </w:r>
          </w:p>
        </w:tc>
        <w:tc>
          <w:tcPr>
            <w:tcW w:w="740" w:type="dxa"/>
            <w:vMerge/>
            <w:tcBorders>
              <w:left w:val="single" w:sz="6" w:space="0" w:color="auto"/>
              <w:bottom w:val="single" w:sz="12" w:space="0" w:color="auto"/>
              <w:right w:val="single" w:sz="12" w:space="0" w:color="auto"/>
            </w:tcBorders>
            <w:vAlign w:val="center"/>
          </w:tcPr>
          <w:p w:rsidR="00C31755" w:rsidRPr="003268E6" w:rsidRDefault="00C31755" w:rsidP="00145ECE">
            <w:pPr>
              <w:autoSpaceDE w:val="0"/>
              <w:autoSpaceDN w:val="0"/>
              <w:adjustRightInd w:val="0"/>
              <w:jc w:val="center"/>
              <w:rPr>
                <w:color w:val="000000"/>
                <w:sz w:val="16"/>
                <w:szCs w:val="16"/>
                <w:lang w:eastAsia="es-EC"/>
              </w:rPr>
            </w:pPr>
          </w:p>
        </w:tc>
      </w:tr>
      <w:tr w:rsidR="00190A22" w:rsidRPr="003268E6">
        <w:tblPrEx>
          <w:tblCellMar>
            <w:top w:w="0" w:type="dxa"/>
            <w:bottom w:w="0" w:type="dxa"/>
          </w:tblCellMar>
        </w:tblPrEx>
        <w:trPr>
          <w:trHeight w:val="138"/>
          <w:jc w:val="center"/>
        </w:trPr>
        <w:tc>
          <w:tcPr>
            <w:tcW w:w="1522" w:type="dxa"/>
            <w:tcBorders>
              <w:top w:val="single" w:sz="12" w:space="0" w:color="auto"/>
              <w:left w:val="single" w:sz="12" w:space="0" w:color="auto"/>
              <w:bottom w:val="single" w:sz="2" w:space="0" w:color="000000"/>
              <w:right w:val="single" w:sz="6"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Si</w:t>
            </w:r>
          </w:p>
        </w:tc>
        <w:tc>
          <w:tcPr>
            <w:tcW w:w="720" w:type="dxa"/>
            <w:tcBorders>
              <w:top w:val="single" w:sz="12" w:space="0" w:color="auto"/>
              <w:left w:val="single" w:sz="6" w:space="0" w:color="auto"/>
              <w:bottom w:val="single" w:sz="2" w:space="0" w:color="000000"/>
              <w:right w:val="single" w:sz="6"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0.22</w:t>
            </w:r>
          </w:p>
        </w:tc>
        <w:tc>
          <w:tcPr>
            <w:tcW w:w="720" w:type="dxa"/>
            <w:tcBorders>
              <w:top w:val="single" w:sz="12" w:space="0" w:color="auto"/>
              <w:left w:val="single" w:sz="6" w:space="0" w:color="auto"/>
              <w:bottom w:val="single" w:sz="2" w:space="0" w:color="000000"/>
              <w:right w:val="single" w:sz="6"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0.18</w:t>
            </w:r>
          </w:p>
        </w:tc>
        <w:tc>
          <w:tcPr>
            <w:tcW w:w="740" w:type="dxa"/>
            <w:tcBorders>
              <w:top w:val="single" w:sz="12" w:space="0" w:color="auto"/>
              <w:left w:val="single" w:sz="6" w:space="0" w:color="auto"/>
              <w:bottom w:val="single" w:sz="2" w:space="0" w:color="000000"/>
              <w:right w:val="single" w:sz="12"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0.40</w:t>
            </w:r>
          </w:p>
        </w:tc>
      </w:tr>
      <w:tr w:rsidR="00190A22" w:rsidRPr="003268E6">
        <w:tblPrEx>
          <w:tblCellMar>
            <w:top w:w="0" w:type="dxa"/>
            <w:bottom w:w="0" w:type="dxa"/>
          </w:tblCellMar>
        </w:tblPrEx>
        <w:trPr>
          <w:trHeight w:val="133"/>
          <w:jc w:val="center"/>
        </w:trPr>
        <w:tc>
          <w:tcPr>
            <w:tcW w:w="1522" w:type="dxa"/>
            <w:tcBorders>
              <w:top w:val="single" w:sz="2" w:space="0" w:color="000000"/>
              <w:left w:val="single" w:sz="12" w:space="0" w:color="auto"/>
              <w:bottom w:val="single" w:sz="2" w:space="0" w:color="000000"/>
              <w:right w:val="single" w:sz="6"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No</w:t>
            </w:r>
          </w:p>
        </w:tc>
        <w:tc>
          <w:tcPr>
            <w:tcW w:w="720" w:type="dxa"/>
            <w:tcBorders>
              <w:top w:val="single" w:sz="2" w:space="0" w:color="000000"/>
              <w:left w:val="single" w:sz="6" w:space="0" w:color="auto"/>
              <w:bottom w:val="single" w:sz="2" w:space="0" w:color="000000"/>
              <w:right w:val="single" w:sz="6"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0.47</w:t>
            </w:r>
          </w:p>
        </w:tc>
        <w:tc>
          <w:tcPr>
            <w:tcW w:w="720" w:type="dxa"/>
            <w:tcBorders>
              <w:top w:val="single" w:sz="2" w:space="0" w:color="000000"/>
              <w:left w:val="single" w:sz="6" w:space="0" w:color="auto"/>
              <w:bottom w:val="single" w:sz="2" w:space="0" w:color="000000"/>
              <w:right w:val="single" w:sz="6"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0.13</w:t>
            </w:r>
          </w:p>
        </w:tc>
        <w:tc>
          <w:tcPr>
            <w:tcW w:w="740" w:type="dxa"/>
            <w:tcBorders>
              <w:top w:val="single" w:sz="2" w:space="0" w:color="000000"/>
              <w:left w:val="single" w:sz="6" w:space="0" w:color="auto"/>
              <w:bottom w:val="single" w:sz="2" w:space="0" w:color="000000"/>
              <w:right w:val="single" w:sz="12"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0.60</w:t>
            </w:r>
          </w:p>
        </w:tc>
      </w:tr>
      <w:tr w:rsidR="00190A22" w:rsidRPr="003268E6">
        <w:tblPrEx>
          <w:tblCellMar>
            <w:top w:w="0" w:type="dxa"/>
            <w:bottom w:w="0" w:type="dxa"/>
          </w:tblCellMar>
        </w:tblPrEx>
        <w:trPr>
          <w:trHeight w:val="118"/>
          <w:jc w:val="center"/>
        </w:trPr>
        <w:tc>
          <w:tcPr>
            <w:tcW w:w="1522" w:type="dxa"/>
            <w:tcBorders>
              <w:top w:val="single" w:sz="2" w:space="0" w:color="000000"/>
              <w:left w:val="single" w:sz="12" w:space="0" w:color="auto"/>
              <w:bottom w:val="single" w:sz="12" w:space="0" w:color="auto"/>
              <w:right w:val="single" w:sz="6"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Marginal</w:t>
            </w:r>
          </w:p>
        </w:tc>
        <w:tc>
          <w:tcPr>
            <w:tcW w:w="720" w:type="dxa"/>
            <w:tcBorders>
              <w:top w:val="single" w:sz="2" w:space="0" w:color="000000"/>
              <w:left w:val="single" w:sz="6" w:space="0" w:color="auto"/>
              <w:bottom w:val="single" w:sz="12" w:space="0" w:color="auto"/>
              <w:right w:val="single" w:sz="6"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0.69</w:t>
            </w:r>
          </w:p>
        </w:tc>
        <w:tc>
          <w:tcPr>
            <w:tcW w:w="720" w:type="dxa"/>
            <w:tcBorders>
              <w:top w:val="single" w:sz="2" w:space="0" w:color="000000"/>
              <w:left w:val="single" w:sz="6" w:space="0" w:color="auto"/>
              <w:bottom w:val="single" w:sz="12" w:space="0" w:color="auto"/>
              <w:right w:val="single" w:sz="6"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0.31</w:t>
            </w:r>
          </w:p>
        </w:tc>
        <w:tc>
          <w:tcPr>
            <w:tcW w:w="740" w:type="dxa"/>
            <w:tcBorders>
              <w:top w:val="single" w:sz="2" w:space="0" w:color="000000"/>
              <w:left w:val="single" w:sz="6" w:space="0" w:color="auto"/>
              <w:bottom w:val="single" w:sz="12" w:space="0" w:color="auto"/>
              <w:right w:val="single" w:sz="12" w:space="0" w:color="auto"/>
            </w:tcBorders>
          </w:tcPr>
          <w:p w:rsidR="00190A22" w:rsidRPr="00190A22" w:rsidRDefault="00190A22" w:rsidP="00145ECE">
            <w:pPr>
              <w:autoSpaceDE w:val="0"/>
              <w:autoSpaceDN w:val="0"/>
              <w:adjustRightInd w:val="0"/>
              <w:jc w:val="center"/>
              <w:rPr>
                <w:color w:val="000000"/>
                <w:sz w:val="16"/>
                <w:szCs w:val="16"/>
                <w:lang w:eastAsia="es-EC"/>
              </w:rPr>
            </w:pPr>
            <w:r w:rsidRPr="00190A22">
              <w:rPr>
                <w:color w:val="000000"/>
                <w:sz w:val="16"/>
                <w:szCs w:val="16"/>
                <w:lang w:eastAsia="es-EC"/>
              </w:rPr>
              <w:t>1.00</w:t>
            </w:r>
          </w:p>
        </w:tc>
      </w:tr>
    </w:tbl>
    <w:p w:rsidR="00C31755" w:rsidRDefault="00C31755" w:rsidP="00930AB0">
      <w:pPr>
        <w:jc w:val="both"/>
        <w:rPr>
          <w:sz w:val="20"/>
        </w:rPr>
      </w:pPr>
    </w:p>
    <w:p w:rsidR="000D64F8" w:rsidRDefault="000D64F8" w:rsidP="00930AB0">
      <w:pPr>
        <w:jc w:val="both"/>
        <w:rPr>
          <w:sz w:val="20"/>
        </w:rPr>
      </w:pPr>
      <w:r>
        <w:rPr>
          <w:sz w:val="20"/>
        </w:rPr>
        <w:t>Crisis vs. Control y Tratamiento</w:t>
      </w:r>
      <w:r w:rsidRPr="00EF1699">
        <w:rPr>
          <w:sz w:val="20"/>
        </w:rPr>
        <w:t>.-</w:t>
      </w:r>
      <w:r>
        <w:rPr>
          <w:sz w:val="20"/>
        </w:rPr>
        <w:t xml:space="preserve"> E</w:t>
      </w:r>
      <w:r w:rsidRPr="000D64F8">
        <w:rPr>
          <w:sz w:val="20"/>
        </w:rPr>
        <w:t xml:space="preserve">l 20% del total de pacientes asmáticos presentaron crisis en la primera consulta, de este grupo de pacientes el 40.3% abandonó el control y tratamiento  del asma; del total de pacientes que no tuvieron crisis en la primera consulta el 19% continuó con  el </w:t>
      </w:r>
      <w:r w:rsidRPr="0088598A">
        <w:rPr>
          <w:sz w:val="20"/>
        </w:rPr>
        <w:t>control</w:t>
      </w:r>
      <w:r w:rsidRPr="000D64F8">
        <w:rPr>
          <w:sz w:val="20"/>
        </w:rPr>
        <w:t xml:space="preserve"> y  tratamiento  de asma.</w:t>
      </w:r>
    </w:p>
    <w:p w:rsidR="00133019" w:rsidRPr="000D64F8" w:rsidRDefault="00133019" w:rsidP="00930AB0">
      <w:pPr>
        <w:jc w:val="both"/>
        <w:rPr>
          <w:sz w:val="20"/>
        </w:rPr>
      </w:pPr>
    </w:p>
    <w:tbl>
      <w:tblPr>
        <w:tblW w:w="0" w:type="auto"/>
        <w:jc w:val="center"/>
        <w:tblInd w:w="40" w:type="dxa"/>
        <w:tblLayout w:type="fixed"/>
        <w:tblCellMar>
          <w:left w:w="70" w:type="dxa"/>
          <w:right w:w="70" w:type="dxa"/>
        </w:tblCellMar>
        <w:tblLook w:val="0000"/>
      </w:tblPr>
      <w:tblGrid>
        <w:gridCol w:w="1162"/>
        <w:gridCol w:w="1080"/>
        <w:gridCol w:w="720"/>
        <w:gridCol w:w="740"/>
      </w:tblGrid>
      <w:tr w:rsidR="000D64F8" w:rsidRPr="00697493">
        <w:tblPrEx>
          <w:tblCellMar>
            <w:top w:w="0" w:type="dxa"/>
            <w:bottom w:w="0" w:type="dxa"/>
          </w:tblCellMar>
        </w:tblPrEx>
        <w:trPr>
          <w:trHeight w:val="268"/>
          <w:jc w:val="center"/>
        </w:trPr>
        <w:tc>
          <w:tcPr>
            <w:tcW w:w="3702" w:type="dxa"/>
            <w:gridSpan w:val="4"/>
            <w:tcBorders>
              <w:top w:val="single" w:sz="12" w:space="0" w:color="auto"/>
              <w:left w:val="single" w:sz="12" w:space="0" w:color="auto"/>
              <w:bottom w:val="single" w:sz="12" w:space="0" w:color="auto"/>
              <w:right w:val="single" w:sz="12" w:space="0" w:color="auto"/>
            </w:tcBorders>
          </w:tcPr>
          <w:p w:rsidR="000D64F8" w:rsidRDefault="000D64F8" w:rsidP="00F5409B">
            <w:pPr>
              <w:autoSpaceDE w:val="0"/>
              <w:autoSpaceDN w:val="0"/>
              <w:adjustRightInd w:val="0"/>
              <w:jc w:val="center"/>
              <w:rPr>
                <w:color w:val="000000"/>
                <w:sz w:val="20"/>
                <w:szCs w:val="20"/>
                <w:lang w:eastAsia="es-EC"/>
              </w:rPr>
            </w:pPr>
            <w:r w:rsidRPr="00064086">
              <w:rPr>
                <w:b/>
                <w:color w:val="000000"/>
                <w:sz w:val="20"/>
                <w:szCs w:val="20"/>
                <w:lang w:eastAsia="es-EC"/>
              </w:rPr>
              <w:t xml:space="preserve">Tabla </w:t>
            </w:r>
            <w:r>
              <w:rPr>
                <w:b/>
                <w:color w:val="000000"/>
                <w:sz w:val="20"/>
                <w:szCs w:val="20"/>
                <w:lang w:eastAsia="es-EC"/>
              </w:rPr>
              <w:t>XII</w:t>
            </w:r>
          </w:p>
          <w:p w:rsidR="000D64F8" w:rsidRPr="00064086" w:rsidRDefault="000D64F8" w:rsidP="00F5409B">
            <w:pPr>
              <w:autoSpaceDE w:val="0"/>
              <w:autoSpaceDN w:val="0"/>
              <w:adjustRightInd w:val="0"/>
              <w:jc w:val="center"/>
              <w:rPr>
                <w:color w:val="000000"/>
                <w:sz w:val="16"/>
                <w:szCs w:val="16"/>
                <w:lang w:eastAsia="es-EC"/>
              </w:rPr>
            </w:pPr>
            <w:r w:rsidRPr="00064086">
              <w:rPr>
                <w:color w:val="000000"/>
                <w:sz w:val="16"/>
                <w:szCs w:val="16"/>
                <w:lang w:eastAsia="es-EC"/>
              </w:rPr>
              <w:t xml:space="preserve">Tabla </w:t>
            </w:r>
            <w:r>
              <w:rPr>
                <w:color w:val="000000"/>
                <w:sz w:val="16"/>
                <w:szCs w:val="16"/>
                <w:lang w:eastAsia="es-EC"/>
              </w:rPr>
              <w:t xml:space="preserve">Bivariada: </w:t>
            </w:r>
            <w:r w:rsidR="00EB6DC7">
              <w:rPr>
                <w:color w:val="000000"/>
                <w:sz w:val="16"/>
                <w:szCs w:val="16"/>
                <w:lang w:eastAsia="es-EC"/>
              </w:rPr>
              <w:t xml:space="preserve">Crisis </w:t>
            </w:r>
            <w:r w:rsidRPr="00064086">
              <w:rPr>
                <w:color w:val="000000"/>
                <w:sz w:val="16"/>
                <w:szCs w:val="16"/>
                <w:lang w:eastAsia="es-EC"/>
              </w:rPr>
              <w:t>vs Control y Tratamiento.</w:t>
            </w:r>
            <w:r>
              <w:rPr>
                <w:color w:val="000000"/>
                <w:sz w:val="16"/>
                <w:szCs w:val="16"/>
                <w:lang w:eastAsia="es-EC"/>
              </w:rPr>
              <w:t xml:space="preserve"> </w:t>
            </w:r>
          </w:p>
        </w:tc>
      </w:tr>
      <w:tr w:rsidR="000D64F8" w:rsidRPr="003268E6">
        <w:tblPrEx>
          <w:tblCellMar>
            <w:top w:w="0" w:type="dxa"/>
            <w:bottom w:w="0" w:type="dxa"/>
          </w:tblCellMar>
        </w:tblPrEx>
        <w:trPr>
          <w:trHeight w:val="212"/>
          <w:jc w:val="center"/>
        </w:trPr>
        <w:tc>
          <w:tcPr>
            <w:tcW w:w="1162" w:type="dxa"/>
            <w:vMerge w:val="restart"/>
            <w:tcBorders>
              <w:top w:val="single" w:sz="12" w:space="0" w:color="auto"/>
              <w:left w:val="single" w:sz="12" w:space="0" w:color="auto"/>
              <w:right w:val="single" w:sz="6" w:space="0" w:color="auto"/>
            </w:tcBorders>
            <w:vAlign w:val="center"/>
          </w:tcPr>
          <w:p w:rsidR="000D64F8" w:rsidRPr="003268E6" w:rsidRDefault="00EB6DC7" w:rsidP="00F5409B">
            <w:pPr>
              <w:autoSpaceDE w:val="0"/>
              <w:autoSpaceDN w:val="0"/>
              <w:adjustRightInd w:val="0"/>
              <w:jc w:val="center"/>
              <w:rPr>
                <w:color w:val="000000"/>
                <w:sz w:val="16"/>
                <w:szCs w:val="16"/>
              </w:rPr>
            </w:pPr>
            <w:r>
              <w:rPr>
                <w:color w:val="000000"/>
                <w:sz w:val="16"/>
                <w:szCs w:val="16"/>
              </w:rPr>
              <w:t>Crisis</w:t>
            </w:r>
          </w:p>
        </w:tc>
        <w:tc>
          <w:tcPr>
            <w:tcW w:w="1800" w:type="dxa"/>
            <w:gridSpan w:val="2"/>
            <w:tcBorders>
              <w:top w:val="single" w:sz="12" w:space="0" w:color="auto"/>
              <w:left w:val="single" w:sz="6" w:space="0" w:color="auto"/>
              <w:bottom w:val="single" w:sz="6" w:space="0" w:color="auto"/>
              <w:right w:val="single" w:sz="6" w:space="0" w:color="auto"/>
            </w:tcBorders>
            <w:vAlign w:val="center"/>
          </w:tcPr>
          <w:p w:rsidR="000D64F8" w:rsidRPr="003268E6" w:rsidRDefault="000D64F8" w:rsidP="00F5409B">
            <w:pPr>
              <w:autoSpaceDE w:val="0"/>
              <w:autoSpaceDN w:val="0"/>
              <w:adjustRightInd w:val="0"/>
              <w:jc w:val="center"/>
              <w:rPr>
                <w:color w:val="000000"/>
                <w:sz w:val="16"/>
                <w:szCs w:val="16"/>
              </w:rPr>
            </w:pPr>
            <w:r w:rsidRPr="003268E6">
              <w:rPr>
                <w:color w:val="000000"/>
                <w:sz w:val="16"/>
                <w:szCs w:val="16"/>
              </w:rPr>
              <w:t>Control y Tratamiento</w:t>
            </w:r>
          </w:p>
        </w:tc>
        <w:tc>
          <w:tcPr>
            <w:tcW w:w="740" w:type="dxa"/>
            <w:vMerge w:val="restart"/>
            <w:tcBorders>
              <w:top w:val="single" w:sz="12" w:space="0" w:color="auto"/>
              <w:left w:val="single" w:sz="6" w:space="0" w:color="auto"/>
              <w:right w:val="single" w:sz="12" w:space="0" w:color="auto"/>
            </w:tcBorders>
            <w:vAlign w:val="center"/>
          </w:tcPr>
          <w:p w:rsidR="000D64F8" w:rsidRPr="003268E6" w:rsidRDefault="000D64F8" w:rsidP="00F5409B">
            <w:pPr>
              <w:autoSpaceDE w:val="0"/>
              <w:autoSpaceDN w:val="0"/>
              <w:adjustRightInd w:val="0"/>
              <w:jc w:val="center"/>
              <w:rPr>
                <w:color w:val="000000"/>
                <w:sz w:val="16"/>
                <w:szCs w:val="16"/>
              </w:rPr>
            </w:pPr>
            <w:r w:rsidRPr="003268E6">
              <w:rPr>
                <w:color w:val="000000"/>
                <w:sz w:val="16"/>
                <w:szCs w:val="16"/>
              </w:rPr>
              <w:t>Marginal</w:t>
            </w:r>
          </w:p>
        </w:tc>
      </w:tr>
      <w:tr w:rsidR="000D64F8" w:rsidRPr="003268E6">
        <w:tblPrEx>
          <w:tblCellMar>
            <w:top w:w="0" w:type="dxa"/>
            <w:bottom w:w="0" w:type="dxa"/>
          </w:tblCellMar>
        </w:tblPrEx>
        <w:trPr>
          <w:trHeight w:val="55"/>
          <w:jc w:val="center"/>
        </w:trPr>
        <w:tc>
          <w:tcPr>
            <w:tcW w:w="1162" w:type="dxa"/>
            <w:vMerge/>
            <w:tcBorders>
              <w:left w:val="single" w:sz="12" w:space="0" w:color="auto"/>
              <w:bottom w:val="single" w:sz="12" w:space="0" w:color="auto"/>
              <w:right w:val="single" w:sz="6" w:space="0" w:color="auto"/>
            </w:tcBorders>
            <w:vAlign w:val="center"/>
          </w:tcPr>
          <w:p w:rsidR="000D64F8" w:rsidRPr="003268E6" w:rsidRDefault="000D64F8" w:rsidP="00F5409B">
            <w:pPr>
              <w:autoSpaceDE w:val="0"/>
              <w:autoSpaceDN w:val="0"/>
              <w:adjustRightInd w:val="0"/>
              <w:jc w:val="center"/>
              <w:rPr>
                <w:color w:val="000000"/>
                <w:sz w:val="16"/>
                <w:szCs w:val="16"/>
                <w:lang w:eastAsia="es-EC"/>
              </w:rPr>
            </w:pPr>
          </w:p>
        </w:tc>
        <w:tc>
          <w:tcPr>
            <w:tcW w:w="1080" w:type="dxa"/>
            <w:tcBorders>
              <w:top w:val="single" w:sz="6" w:space="0" w:color="auto"/>
              <w:left w:val="single" w:sz="6" w:space="0" w:color="auto"/>
              <w:bottom w:val="single" w:sz="12" w:space="0" w:color="auto"/>
              <w:right w:val="single" w:sz="6" w:space="0" w:color="auto"/>
            </w:tcBorders>
            <w:vAlign w:val="center"/>
          </w:tcPr>
          <w:p w:rsidR="000D64F8" w:rsidRPr="003268E6" w:rsidRDefault="000D64F8" w:rsidP="00F5409B">
            <w:pPr>
              <w:autoSpaceDE w:val="0"/>
              <w:autoSpaceDN w:val="0"/>
              <w:adjustRightInd w:val="0"/>
              <w:jc w:val="center"/>
              <w:rPr>
                <w:color w:val="000000"/>
                <w:sz w:val="16"/>
                <w:szCs w:val="16"/>
                <w:lang w:eastAsia="es-EC"/>
              </w:rPr>
            </w:pPr>
            <w:r w:rsidRPr="003268E6">
              <w:rPr>
                <w:color w:val="000000"/>
                <w:sz w:val="16"/>
                <w:szCs w:val="16"/>
              </w:rPr>
              <w:t>Sí</w:t>
            </w:r>
          </w:p>
        </w:tc>
        <w:tc>
          <w:tcPr>
            <w:tcW w:w="720" w:type="dxa"/>
            <w:tcBorders>
              <w:top w:val="single" w:sz="6" w:space="0" w:color="auto"/>
              <w:left w:val="single" w:sz="6" w:space="0" w:color="auto"/>
              <w:bottom w:val="single" w:sz="12" w:space="0" w:color="auto"/>
              <w:right w:val="single" w:sz="6" w:space="0" w:color="auto"/>
            </w:tcBorders>
            <w:vAlign w:val="center"/>
          </w:tcPr>
          <w:p w:rsidR="000D64F8" w:rsidRPr="003268E6" w:rsidRDefault="000D64F8" w:rsidP="00F5409B">
            <w:pPr>
              <w:autoSpaceDE w:val="0"/>
              <w:autoSpaceDN w:val="0"/>
              <w:adjustRightInd w:val="0"/>
              <w:jc w:val="center"/>
              <w:rPr>
                <w:color w:val="000000"/>
                <w:sz w:val="16"/>
                <w:szCs w:val="16"/>
                <w:lang w:eastAsia="es-EC"/>
              </w:rPr>
            </w:pPr>
            <w:r w:rsidRPr="003268E6">
              <w:rPr>
                <w:color w:val="000000"/>
                <w:sz w:val="16"/>
                <w:szCs w:val="16"/>
              </w:rPr>
              <w:t>No</w:t>
            </w:r>
          </w:p>
        </w:tc>
        <w:tc>
          <w:tcPr>
            <w:tcW w:w="740" w:type="dxa"/>
            <w:vMerge/>
            <w:tcBorders>
              <w:left w:val="single" w:sz="6" w:space="0" w:color="auto"/>
              <w:bottom w:val="single" w:sz="12" w:space="0" w:color="auto"/>
              <w:right w:val="single" w:sz="12" w:space="0" w:color="auto"/>
            </w:tcBorders>
            <w:vAlign w:val="center"/>
          </w:tcPr>
          <w:p w:rsidR="000D64F8" w:rsidRPr="003268E6" w:rsidRDefault="000D64F8" w:rsidP="00F5409B">
            <w:pPr>
              <w:autoSpaceDE w:val="0"/>
              <w:autoSpaceDN w:val="0"/>
              <w:adjustRightInd w:val="0"/>
              <w:jc w:val="center"/>
              <w:rPr>
                <w:color w:val="000000"/>
                <w:sz w:val="16"/>
                <w:szCs w:val="16"/>
                <w:lang w:eastAsia="es-EC"/>
              </w:rPr>
            </w:pPr>
          </w:p>
        </w:tc>
      </w:tr>
      <w:tr w:rsidR="00EB6DC7" w:rsidRPr="003268E6">
        <w:tblPrEx>
          <w:tblCellMar>
            <w:top w:w="0" w:type="dxa"/>
            <w:bottom w:w="0" w:type="dxa"/>
          </w:tblCellMar>
        </w:tblPrEx>
        <w:trPr>
          <w:trHeight w:val="138"/>
          <w:jc w:val="center"/>
        </w:trPr>
        <w:tc>
          <w:tcPr>
            <w:tcW w:w="1162" w:type="dxa"/>
            <w:tcBorders>
              <w:top w:val="single" w:sz="12" w:space="0" w:color="auto"/>
              <w:left w:val="single" w:sz="12" w:space="0" w:color="auto"/>
              <w:bottom w:val="single" w:sz="2" w:space="0" w:color="000000"/>
              <w:right w:val="single" w:sz="6"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Si</w:t>
            </w:r>
          </w:p>
        </w:tc>
        <w:tc>
          <w:tcPr>
            <w:tcW w:w="1080" w:type="dxa"/>
            <w:tcBorders>
              <w:top w:val="single" w:sz="12" w:space="0" w:color="auto"/>
              <w:left w:val="single" w:sz="6" w:space="0" w:color="auto"/>
              <w:bottom w:val="single" w:sz="2" w:space="0" w:color="000000"/>
              <w:right w:val="single" w:sz="6"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0.08</w:t>
            </w:r>
          </w:p>
        </w:tc>
        <w:tc>
          <w:tcPr>
            <w:tcW w:w="720" w:type="dxa"/>
            <w:tcBorders>
              <w:top w:val="single" w:sz="12" w:space="0" w:color="auto"/>
              <w:left w:val="single" w:sz="6" w:space="0" w:color="auto"/>
              <w:bottom w:val="single" w:sz="2" w:space="0" w:color="000000"/>
              <w:right w:val="single" w:sz="6"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0.12</w:t>
            </w:r>
          </w:p>
        </w:tc>
        <w:tc>
          <w:tcPr>
            <w:tcW w:w="740" w:type="dxa"/>
            <w:tcBorders>
              <w:top w:val="single" w:sz="12" w:space="0" w:color="auto"/>
              <w:left w:val="single" w:sz="6" w:space="0" w:color="auto"/>
              <w:bottom w:val="single" w:sz="2" w:space="0" w:color="000000"/>
              <w:right w:val="single" w:sz="12"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0.20</w:t>
            </w:r>
          </w:p>
        </w:tc>
      </w:tr>
      <w:tr w:rsidR="00EB6DC7" w:rsidRPr="003268E6">
        <w:tblPrEx>
          <w:tblCellMar>
            <w:top w:w="0" w:type="dxa"/>
            <w:bottom w:w="0" w:type="dxa"/>
          </w:tblCellMar>
        </w:tblPrEx>
        <w:trPr>
          <w:trHeight w:val="133"/>
          <w:jc w:val="center"/>
        </w:trPr>
        <w:tc>
          <w:tcPr>
            <w:tcW w:w="1162" w:type="dxa"/>
            <w:tcBorders>
              <w:top w:val="single" w:sz="2" w:space="0" w:color="000000"/>
              <w:left w:val="single" w:sz="12" w:space="0" w:color="auto"/>
              <w:bottom w:val="single" w:sz="2" w:space="0" w:color="000000"/>
              <w:right w:val="single" w:sz="6"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No</w:t>
            </w:r>
          </w:p>
        </w:tc>
        <w:tc>
          <w:tcPr>
            <w:tcW w:w="1080" w:type="dxa"/>
            <w:tcBorders>
              <w:top w:val="single" w:sz="2" w:space="0" w:color="000000"/>
              <w:left w:val="single" w:sz="6" w:space="0" w:color="auto"/>
              <w:bottom w:val="single" w:sz="2" w:space="0" w:color="000000"/>
              <w:right w:val="single" w:sz="6"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0.61</w:t>
            </w:r>
          </w:p>
        </w:tc>
        <w:tc>
          <w:tcPr>
            <w:tcW w:w="720" w:type="dxa"/>
            <w:tcBorders>
              <w:top w:val="single" w:sz="2" w:space="0" w:color="000000"/>
              <w:left w:val="single" w:sz="6" w:space="0" w:color="auto"/>
              <w:bottom w:val="single" w:sz="2" w:space="0" w:color="000000"/>
              <w:right w:val="single" w:sz="6"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0.19</w:t>
            </w:r>
          </w:p>
        </w:tc>
        <w:tc>
          <w:tcPr>
            <w:tcW w:w="740" w:type="dxa"/>
            <w:tcBorders>
              <w:top w:val="single" w:sz="2" w:space="0" w:color="000000"/>
              <w:left w:val="single" w:sz="6" w:space="0" w:color="auto"/>
              <w:bottom w:val="single" w:sz="2" w:space="0" w:color="000000"/>
              <w:right w:val="single" w:sz="12"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0.80</w:t>
            </w:r>
          </w:p>
        </w:tc>
      </w:tr>
      <w:tr w:rsidR="00EB6DC7" w:rsidRPr="003268E6">
        <w:tblPrEx>
          <w:tblCellMar>
            <w:top w:w="0" w:type="dxa"/>
            <w:bottom w:w="0" w:type="dxa"/>
          </w:tblCellMar>
        </w:tblPrEx>
        <w:trPr>
          <w:trHeight w:val="118"/>
          <w:jc w:val="center"/>
        </w:trPr>
        <w:tc>
          <w:tcPr>
            <w:tcW w:w="1162" w:type="dxa"/>
            <w:tcBorders>
              <w:top w:val="single" w:sz="2" w:space="0" w:color="000000"/>
              <w:left w:val="single" w:sz="12" w:space="0" w:color="auto"/>
              <w:bottom w:val="single" w:sz="12" w:space="0" w:color="auto"/>
              <w:right w:val="single" w:sz="6"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Marginal</w:t>
            </w:r>
          </w:p>
        </w:tc>
        <w:tc>
          <w:tcPr>
            <w:tcW w:w="1080" w:type="dxa"/>
            <w:tcBorders>
              <w:top w:val="single" w:sz="2" w:space="0" w:color="000000"/>
              <w:left w:val="single" w:sz="6" w:space="0" w:color="auto"/>
              <w:bottom w:val="single" w:sz="12" w:space="0" w:color="auto"/>
              <w:right w:val="single" w:sz="6"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0.69</w:t>
            </w:r>
          </w:p>
        </w:tc>
        <w:tc>
          <w:tcPr>
            <w:tcW w:w="720" w:type="dxa"/>
            <w:tcBorders>
              <w:top w:val="single" w:sz="2" w:space="0" w:color="000000"/>
              <w:left w:val="single" w:sz="6" w:space="0" w:color="auto"/>
              <w:bottom w:val="single" w:sz="12" w:space="0" w:color="auto"/>
              <w:right w:val="single" w:sz="6"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0.31</w:t>
            </w:r>
          </w:p>
        </w:tc>
        <w:tc>
          <w:tcPr>
            <w:tcW w:w="740" w:type="dxa"/>
            <w:tcBorders>
              <w:top w:val="single" w:sz="2" w:space="0" w:color="000000"/>
              <w:left w:val="single" w:sz="6" w:space="0" w:color="auto"/>
              <w:bottom w:val="single" w:sz="12" w:space="0" w:color="auto"/>
              <w:right w:val="single" w:sz="12" w:space="0" w:color="auto"/>
            </w:tcBorders>
            <w:vAlign w:val="center"/>
          </w:tcPr>
          <w:p w:rsidR="00EB6DC7" w:rsidRPr="00EB6DC7" w:rsidRDefault="00EB6DC7" w:rsidP="00F5409B">
            <w:pPr>
              <w:autoSpaceDE w:val="0"/>
              <w:autoSpaceDN w:val="0"/>
              <w:adjustRightInd w:val="0"/>
              <w:jc w:val="center"/>
              <w:rPr>
                <w:color w:val="000000"/>
                <w:sz w:val="16"/>
                <w:szCs w:val="16"/>
                <w:lang w:eastAsia="es-EC"/>
              </w:rPr>
            </w:pPr>
            <w:r w:rsidRPr="00EB6DC7">
              <w:rPr>
                <w:color w:val="000000"/>
                <w:sz w:val="16"/>
                <w:szCs w:val="16"/>
                <w:lang w:eastAsia="es-EC"/>
              </w:rPr>
              <w:t>1.00</w:t>
            </w:r>
          </w:p>
        </w:tc>
      </w:tr>
    </w:tbl>
    <w:p w:rsidR="000D64F8" w:rsidRDefault="000D64F8" w:rsidP="00930AB0">
      <w:pPr>
        <w:jc w:val="both"/>
        <w:rPr>
          <w:sz w:val="20"/>
        </w:rPr>
      </w:pPr>
    </w:p>
    <w:p w:rsidR="00191416" w:rsidRPr="00191416" w:rsidRDefault="00191416" w:rsidP="00930AB0">
      <w:pPr>
        <w:jc w:val="both"/>
        <w:rPr>
          <w:sz w:val="20"/>
        </w:rPr>
      </w:pPr>
      <w:r w:rsidRPr="00191416">
        <w:rPr>
          <w:b/>
          <w:sz w:val="20"/>
        </w:rPr>
        <w:t>Análisis de Contingencia.-</w:t>
      </w:r>
      <w:r>
        <w:rPr>
          <w:b/>
          <w:sz w:val="20"/>
        </w:rPr>
        <w:t xml:space="preserve"> </w:t>
      </w:r>
      <w:r w:rsidRPr="00191416">
        <w:rPr>
          <w:sz w:val="20"/>
        </w:rPr>
        <w:t>En el análisis de contingencia se determina si existe algún tipo de relación entre las características investigadas, de forma especial se</w:t>
      </w:r>
      <w:r w:rsidR="00F33B66">
        <w:rPr>
          <w:sz w:val="20"/>
        </w:rPr>
        <w:t xml:space="preserve"> </w:t>
      </w:r>
      <w:r w:rsidRPr="00191416">
        <w:rPr>
          <w:sz w:val="20"/>
        </w:rPr>
        <w:t>analiza la relación de la variable control y tratamiento de asma bronquial con el resto de variables consideradas de importancia para este estudio. Los resultados obtenidos en esta sección serán utilizados en el análisis de regresión logística.</w:t>
      </w:r>
    </w:p>
    <w:p w:rsidR="00695907" w:rsidRDefault="00695907" w:rsidP="00930AB0">
      <w:pPr>
        <w:jc w:val="both"/>
        <w:rPr>
          <w:b/>
          <w:sz w:val="20"/>
        </w:rPr>
      </w:pPr>
    </w:p>
    <w:p w:rsidR="00191416" w:rsidRPr="00695907" w:rsidRDefault="00695907" w:rsidP="00930AB0">
      <w:pPr>
        <w:jc w:val="both"/>
        <w:rPr>
          <w:b/>
          <w:sz w:val="20"/>
        </w:rPr>
      </w:pPr>
      <w:r w:rsidRPr="00695907">
        <w:rPr>
          <w:b/>
          <w:sz w:val="20"/>
        </w:rPr>
        <w:t>Control y Tratamiento vs. Género</w:t>
      </w:r>
    </w:p>
    <w:p w:rsidR="00695907" w:rsidRDefault="00695907" w:rsidP="00191416">
      <w:pPr>
        <w:jc w:val="both"/>
        <w:rPr>
          <w:sz w:val="20"/>
        </w:rPr>
      </w:pPr>
    </w:p>
    <w:p w:rsidR="00191416" w:rsidRPr="00191416" w:rsidRDefault="00191416" w:rsidP="00191416">
      <w:pPr>
        <w:jc w:val="both"/>
        <w:rPr>
          <w:sz w:val="20"/>
        </w:rPr>
      </w:pPr>
      <w:r w:rsidRPr="00191416">
        <w:rPr>
          <w:sz w:val="20"/>
        </w:rPr>
        <w:t>H</w:t>
      </w:r>
      <w:r w:rsidRPr="00695907">
        <w:rPr>
          <w:sz w:val="20"/>
          <w:szCs w:val="20"/>
          <w:vertAlign w:val="subscript"/>
        </w:rPr>
        <w:t>o</w:t>
      </w:r>
      <w:r w:rsidRPr="00191416">
        <w:rPr>
          <w:sz w:val="20"/>
        </w:rPr>
        <w:t>: El abandono del control y tratamiento del asma es independiente del género del paciente.</w:t>
      </w:r>
    </w:p>
    <w:p w:rsidR="00191416" w:rsidRPr="00191416" w:rsidRDefault="00191416" w:rsidP="00191416">
      <w:pPr>
        <w:jc w:val="both"/>
        <w:rPr>
          <w:sz w:val="20"/>
        </w:rPr>
      </w:pPr>
      <w:r w:rsidRPr="00191416">
        <w:rPr>
          <w:sz w:val="20"/>
        </w:rPr>
        <w:t>vs.</w:t>
      </w:r>
    </w:p>
    <w:p w:rsidR="00191416" w:rsidRPr="00191416" w:rsidRDefault="00191416" w:rsidP="00191416">
      <w:pPr>
        <w:jc w:val="both"/>
        <w:rPr>
          <w:sz w:val="20"/>
        </w:rPr>
      </w:pPr>
      <w:r w:rsidRPr="00191416">
        <w:rPr>
          <w:sz w:val="20"/>
        </w:rPr>
        <w:t>H</w:t>
      </w:r>
      <w:r w:rsidRPr="00A3635B">
        <w:rPr>
          <w:sz w:val="20"/>
          <w:szCs w:val="20"/>
          <w:vertAlign w:val="subscript"/>
        </w:rPr>
        <w:t>1</w:t>
      </w:r>
      <w:r w:rsidRPr="00191416">
        <w:rPr>
          <w:sz w:val="20"/>
        </w:rPr>
        <w:t>: No es verdad Ho</w:t>
      </w:r>
    </w:p>
    <w:p w:rsidR="00191416" w:rsidRDefault="00191416" w:rsidP="00191416">
      <w:pPr>
        <w:jc w:val="both"/>
        <w:rPr>
          <w:sz w:val="20"/>
        </w:rPr>
      </w:pPr>
      <w:r w:rsidRPr="00191416">
        <w:rPr>
          <w:sz w:val="20"/>
        </w:rPr>
        <w:t>El  estadístico de prueba  es  5.66 y el valor p  de la prueba  es de 0.017, por lo tanto existe suficiente evidencia estadística para rechazar la hipótesis nula a un nivel  de significancia de 0.05, es decir  el abandono del control y tratamiento del asma depende  del género del paciente.</w:t>
      </w:r>
    </w:p>
    <w:p w:rsidR="00695907" w:rsidRPr="00191416" w:rsidRDefault="00695907" w:rsidP="00191416">
      <w:pPr>
        <w:jc w:val="both"/>
        <w:rPr>
          <w:sz w:val="20"/>
        </w:rPr>
      </w:pPr>
    </w:p>
    <w:p w:rsidR="00695907" w:rsidRPr="00695907" w:rsidRDefault="00695907" w:rsidP="00695907">
      <w:pPr>
        <w:pStyle w:val="Textoindependiente"/>
        <w:jc w:val="both"/>
        <w:rPr>
          <w:sz w:val="20"/>
        </w:rPr>
      </w:pPr>
      <w:r w:rsidRPr="00695907">
        <w:rPr>
          <w:sz w:val="20"/>
        </w:rPr>
        <w:t>Control y Tratamiento vs. Atopia.</w:t>
      </w:r>
    </w:p>
    <w:p w:rsidR="00695907" w:rsidRPr="00695907" w:rsidRDefault="00695907" w:rsidP="00695907">
      <w:pPr>
        <w:pStyle w:val="Textoindependiente"/>
        <w:jc w:val="both"/>
        <w:rPr>
          <w:sz w:val="20"/>
        </w:rPr>
      </w:pPr>
    </w:p>
    <w:p w:rsidR="00695907" w:rsidRPr="00695907" w:rsidRDefault="00695907" w:rsidP="00695907">
      <w:pPr>
        <w:pStyle w:val="Textoindependiente"/>
        <w:jc w:val="both"/>
        <w:rPr>
          <w:b w:val="0"/>
          <w:sz w:val="20"/>
        </w:rPr>
      </w:pPr>
      <w:r w:rsidRPr="00695907">
        <w:rPr>
          <w:b w:val="0"/>
          <w:sz w:val="20"/>
        </w:rPr>
        <w:t>H</w:t>
      </w:r>
      <w:r w:rsidRPr="00A3635B">
        <w:rPr>
          <w:b w:val="0"/>
          <w:sz w:val="20"/>
          <w:szCs w:val="20"/>
          <w:vertAlign w:val="subscript"/>
        </w:rPr>
        <w:t>o</w:t>
      </w:r>
      <w:r w:rsidRPr="00695907">
        <w:rPr>
          <w:b w:val="0"/>
          <w:sz w:val="20"/>
        </w:rPr>
        <w:t>: El abandono del control y tratamiento de asma no depende  de los antecedentes de atopia</w:t>
      </w:r>
    </w:p>
    <w:p w:rsidR="00695907" w:rsidRPr="00695907" w:rsidRDefault="00695907" w:rsidP="00695907">
      <w:pPr>
        <w:pStyle w:val="Textoindependiente"/>
        <w:jc w:val="both"/>
        <w:rPr>
          <w:b w:val="0"/>
          <w:sz w:val="20"/>
        </w:rPr>
      </w:pPr>
      <w:r w:rsidRPr="00695907">
        <w:rPr>
          <w:b w:val="0"/>
          <w:sz w:val="20"/>
        </w:rPr>
        <w:t>vs.</w:t>
      </w:r>
    </w:p>
    <w:p w:rsidR="00695907" w:rsidRPr="00695907" w:rsidRDefault="00695907" w:rsidP="00695907">
      <w:pPr>
        <w:pStyle w:val="Textoindependiente"/>
        <w:jc w:val="both"/>
        <w:rPr>
          <w:b w:val="0"/>
          <w:sz w:val="20"/>
        </w:rPr>
      </w:pPr>
      <w:r w:rsidRPr="00695907">
        <w:rPr>
          <w:b w:val="0"/>
          <w:sz w:val="20"/>
        </w:rPr>
        <w:t>H</w:t>
      </w:r>
      <w:r w:rsidRPr="00A3635B">
        <w:rPr>
          <w:b w:val="0"/>
          <w:sz w:val="20"/>
          <w:szCs w:val="20"/>
          <w:vertAlign w:val="subscript"/>
        </w:rPr>
        <w:t>1</w:t>
      </w:r>
      <w:r w:rsidRPr="00695907">
        <w:rPr>
          <w:b w:val="0"/>
          <w:sz w:val="20"/>
        </w:rPr>
        <w:t>: No es verdad Ho</w:t>
      </w:r>
    </w:p>
    <w:p w:rsidR="00695907" w:rsidRPr="00695907" w:rsidRDefault="00695907" w:rsidP="00695907">
      <w:pPr>
        <w:pStyle w:val="Textoindependiente"/>
        <w:jc w:val="both"/>
        <w:rPr>
          <w:b w:val="0"/>
          <w:sz w:val="20"/>
        </w:rPr>
      </w:pPr>
      <w:r w:rsidRPr="00695907">
        <w:rPr>
          <w:b w:val="0"/>
          <w:sz w:val="20"/>
        </w:rPr>
        <w:t xml:space="preserve">El valor del estadístico de independencia es 6.59, el valor p  es 0.01, bajo un nivel de </w:t>
      </w:r>
      <w:r w:rsidRPr="00695907">
        <w:rPr>
          <w:b w:val="0"/>
          <w:sz w:val="20"/>
        </w:rPr>
        <w:lastRenderedPageBreak/>
        <w:t>significancia de 0.05 se concluye que existe suficiente evidencia estadística para rechazar la hipótesis nula, es decir el abandono del  control y tratamiento de asma es dependiente de los antecedentes de atopia del paciente.</w:t>
      </w:r>
    </w:p>
    <w:p w:rsidR="00F33B66" w:rsidRDefault="00F33B66" w:rsidP="00A90469">
      <w:pPr>
        <w:pStyle w:val="Textoindependiente"/>
        <w:jc w:val="both"/>
        <w:rPr>
          <w:sz w:val="20"/>
        </w:rPr>
      </w:pPr>
    </w:p>
    <w:p w:rsidR="00F33B66" w:rsidRPr="00F33B66" w:rsidRDefault="00F33B66" w:rsidP="00F33B66">
      <w:pPr>
        <w:pStyle w:val="Textoindependiente"/>
        <w:jc w:val="both"/>
        <w:rPr>
          <w:sz w:val="20"/>
        </w:rPr>
      </w:pPr>
      <w:r w:rsidRPr="00F33B66">
        <w:rPr>
          <w:sz w:val="20"/>
        </w:rPr>
        <w:t>Control y Tratamiento vs. Anormalidades en el Tórax</w:t>
      </w:r>
    </w:p>
    <w:p w:rsidR="00F33B66" w:rsidRPr="00F33B66" w:rsidRDefault="00F33B66" w:rsidP="00F33B66">
      <w:pPr>
        <w:pStyle w:val="Textoindependiente"/>
        <w:jc w:val="both"/>
        <w:rPr>
          <w:sz w:val="20"/>
        </w:rPr>
      </w:pPr>
    </w:p>
    <w:p w:rsidR="00F33B66" w:rsidRPr="00F33B66" w:rsidRDefault="00F33B66" w:rsidP="00F33B66">
      <w:pPr>
        <w:pStyle w:val="Textoindependiente"/>
        <w:jc w:val="both"/>
        <w:rPr>
          <w:b w:val="0"/>
          <w:sz w:val="20"/>
        </w:rPr>
      </w:pPr>
      <w:r w:rsidRPr="00F33B66">
        <w:rPr>
          <w:b w:val="0"/>
          <w:sz w:val="20"/>
        </w:rPr>
        <w:t xml:space="preserve">Ho: El abandono del control y tratamiento de asma es independiente de las anormalidades en el tórax del paciente. </w:t>
      </w:r>
    </w:p>
    <w:p w:rsidR="00F33B66" w:rsidRPr="00F33B66" w:rsidRDefault="00F33B66" w:rsidP="00F33B66">
      <w:pPr>
        <w:pStyle w:val="Textoindependiente"/>
        <w:jc w:val="both"/>
        <w:rPr>
          <w:b w:val="0"/>
          <w:sz w:val="20"/>
        </w:rPr>
      </w:pPr>
      <w:r w:rsidRPr="00F33B66">
        <w:rPr>
          <w:b w:val="0"/>
          <w:sz w:val="20"/>
        </w:rPr>
        <w:t>vs.</w:t>
      </w:r>
    </w:p>
    <w:p w:rsidR="00F33B66" w:rsidRPr="00F33B66" w:rsidRDefault="00F33B66" w:rsidP="00F33B66">
      <w:pPr>
        <w:pStyle w:val="Textoindependiente"/>
        <w:jc w:val="both"/>
        <w:rPr>
          <w:b w:val="0"/>
          <w:sz w:val="20"/>
        </w:rPr>
      </w:pPr>
      <w:r w:rsidRPr="00F33B66">
        <w:rPr>
          <w:b w:val="0"/>
          <w:sz w:val="20"/>
        </w:rPr>
        <w:t>H1: No es verdad Ho</w:t>
      </w:r>
    </w:p>
    <w:p w:rsidR="00F33B66" w:rsidRPr="00F33B66" w:rsidRDefault="00F33B66" w:rsidP="00F33B66">
      <w:pPr>
        <w:pStyle w:val="Textoindependiente"/>
        <w:jc w:val="both"/>
        <w:rPr>
          <w:b w:val="0"/>
          <w:sz w:val="20"/>
        </w:rPr>
      </w:pPr>
      <w:r w:rsidRPr="00F33B66">
        <w:rPr>
          <w:b w:val="0"/>
          <w:sz w:val="20"/>
        </w:rPr>
        <w:t>El valor del estadístico de independencia es 21.68, el valor p  de la prueba es 0.00, al ser este valor bajo  se concluye que existe suficiente evidencia estadística  para rechazar la hipótesis nula  por lo tanto el abandono del  control y tratamiento de asma es dependiente de las anormalidades en el tórax.</w:t>
      </w:r>
    </w:p>
    <w:p w:rsidR="00F33B66" w:rsidRDefault="00F33B66" w:rsidP="00A90469">
      <w:pPr>
        <w:pStyle w:val="Textoindependiente"/>
        <w:jc w:val="both"/>
        <w:rPr>
          <w:sz w:val="20"/>
        </w:rPr>
      </w:pPr>
    </w:p>
    <w:p w:rsidR="005469EC" w:rsidRPr="005469EC" w:rsidRDefault="005469EC" w:rsidP="005469EC">
      <w:pPr>
        <w:pStyle w:val="Textoindependiente"/>
        <w:jc w:val="both"/>
        <w:rPr>
          <w:sz w:val="20"/>
        </w:rPr>
      </w:pPr>
      <w:r w:rsidRPr="005469EC">
        <w:rPr>
          <w:sz w:val="20"/>
        </w:rPr>
        <w:t xml:space="preserve">Control y Tratamiento vs. Crisis </w:t>
      </w:r>
    </w:p>
    <w:p w:rsidR="005469EC" w:rsidRPr="005469EC" w:rsidRDefault="005469EC" w:rsidP="005469EC">
      <w:pPr>
        <w:pStyle w:val="Textoindependiente"/>
        <w:jc w:val="both"/>
        <w:rPr>
          <w:sz w:val="20"/>
        </w:rPr>
      </w:pPr>
    </w:p>
    <w:p w:rsidR="005469EC" w:rsidRPr="005469EC" w:rsidRDefault="005469EC" w:rsidP="005469EC">
      <w:pPr>
        <w:pStyle w:val="Textoindependiente"/>
        <w:jc w:val="both"/>
        <w:rPr>
          <w:b w:val="0"/>
          <w:sz w:val="20"/>
        </w:rPr>
      </w:pPr>
      <w:r w:rsidRPr="005469EC">
        <w:rPr>
          <w:b w:val="0"/>
          <w:sz w:val="20"/>
        </w:rPr>
        <w:t xml:space="preserve">Ho: El abandono del control y tratamiento del asma es independiente de la crisis en la primera consulta. </w:t>
      </w:r>
    </w:p>
    <w:p w:rsidR="005469EC" w:rsidRPr="005469EC" w:rsidRDefault="005469EC" w:rsidP="005469EC">
      <w:pPr>
        <w:pStyle w:val="Textoindependiente"/>
        <w:jc w:val="both"/>
        <w:rPr>
          <w:b w:val="0"/>
          <w:sz w:val="20"/>
        </w:rPr>
      </w:pPr>
      <w:r w:rsidRPr="005469EC">
        <w:rPr>
          <w:b w:val="0"/>
          <w:sz w:val="20"/>
        </w:rPr>
        <w:t xml:space="preserve"> vs.</w:t>
      </w:r>
    </w:p>
    <w:p w:rsidR="005469EC" w:rsidRPr="005469EC" w:rsidRDefault="005469EC" w:rsidP="005469EC">
      <w:pPr>
        <w:pStyle w:val="Textoindependiente"/>
        <w:jc w:val="both"/>
        <w:rPr>
          <w:b w:val="0"/>
          <w:sz w:val="20"/>
        </w:rPr>
      </w:pPr>
      <w:r w:rsidRPr="005469EC">
        <w:rPr>
          <w:b w:val="0"/>
          <w:sz w:val="20"/>
        </w:rPr>
        <w:t>H1: No es verdad Ho</w:t>
      </w:r>
    </w:p>
    <w:p w:rsidR="00F33B66" w:rsidRPr="005469EC" w:rsidRDefault="005469EC" w:rsidP="005469EC">
      <w:pPr>
        <w:pStyle w:val="Textoindependiente"/>
        <w:jc w:val="both"/>
        <w:rPr>
          <w:b w:val="0"/>
          <w:sz w:val="20"/>
        </w:rPr>
      </w:pPr>
      <w:r w:rsidRPr="005469EC">
        <w:rPr>
          <w:b w:val="0"/>
          <w:sz w:val="20"/>
        </w:rPr>
        <w:t>El valor del estadístico de independencia es 32.98, el valor p  de la prueba es 0.00, al ser este valor bajo  se concluye que existe suficiente evidencia estadística  para rechazar la hipótesis nula  por lo tanto el abandono del  control y tratamiento de asma es dependiente de la crisis en la primera consulta.</w:t>
      </w:r>
    </w:p>
    <w:p w:rsidR="005469EC" w:rsidRDefault="005469EC" w:rsidP="00A90469">
      <w:pPr>
        <w:pStyle w:val="Textoindependiente"/>
        <w:jc w:val="both"/>
        <w:rPr>
          <w:sz w:val="20"/>
        </w:rPr>
      </w:pPr>
    </w:p>
    <w:p w:rsidR="0004473B" w:rsidRDefault="00B5426E" w:rsidP="00A90469">
      <w:pPr>
        <w:pStyle w:val="Textoindependiente"/>
        <w:jc w:val="both"/>
        <w:rPr>
          <w:sz w:val="20"/>
        </w:rPr>
      </w:pPr>
      <w:r>
        <w:rPr>
          <w:sz w:val="20"/>
        </w:rPr>
        <w:t xml:space="preserve">Análisis </w:t>
      </w:r>
      <w:r w:rsidR="001E5781">
        <w:rPr>
          <w:sz w:val="20"/>
        </w:rPr>
        <w:t>de</w:t>
      </w:r>
      <w:r w:rsidR="0023227E">
        <w:rPr>
          <w:sz w:val="20"/>
        </w:rPr>
        <w:t xml:space="preserve"> </w:t>
      </w:r>
      <w:r w:rsidR="001E5781">
        <w:rPr>
          <w:sz w:val="20"/>
        </w:rPr>
        <w:t>Correspondencias</w:t>
      </w:r>
      <w:r w:rsidR="0023227E">
        <w:rPr>
          <w:sz w:val="20"/>
        </w:rPr>
        <w:t xml:space="preserve"> </w:t>
      </w:r>
      <w:r w:rsidR="001E5781">
        <w:rPr>
          <w:sz w:val="20"/>
        </w:rPr>
        <w:t>Múltiple</w:t>
      </w:r>
      <w:r w:rsidR="0023227E" w:rsidRPr="00EF1699">
        <w:rPr>
          <w:sz w:val="20"/>
        </w:rPr>
        <w:t>.-</w:t>
      </w:r>
      <w:r w:rsidR="0023227E">
        <w:rPr>
          <w:sz w:val="20"/>
        </w:rPr>
        <w:t xml:space="preserve"> </w:t>
      </w:r>
      <w:r w:rsidR="0004473B" w:rsidRPr="0004473B">
        <w:rPr>
          <w:b w:val="0"/>
          <w:sz w:val="20"/>
        </w:rPr>
        <w:t>Es una técnica multivariada que permite obtener lo más importante de la información  reduciendo la dimensionalidad   de la matriz de datos  con el propósito de eliminar la redundancia y expresar las relaciones que existen entre las categorías de las variables cualitativas utilizando  mapas perceptuales  basados  en la asociación entre objetos  y un conjunto de características o atributos.</w:t>
      </w:r>
    </w:p>
    <w:p w:rsidR="0004473B" w:rsidRDefault="0004473B" w:rsidP="00A90469">
      <w:pPr>
        <w:pStyle w:val="Textoindependiente"/>
        <w:jc w:val="both"/>
        <w:rPr>
          <w:b w:val="0"/>
          <w:sz w:val="20"/>
        </w:rPr>
      </w:pPr>
      <w:r w:rsidRPr="0004473B">
        <w:rPr>
          <w:b w:val="0"/>
          <w:sz w:val="20"/>
        </w:rPr>
        <w:t>El análisis de homogeneidad en una forma del análisis de correspondencias múltiples  por esa razón es conocido como análisis de correspondencias  múltiples.</w:t>
      </w:r>
    </w:p>
    <w:p w:rsidR="0004473B" w:rsidRPr="0004473B" w:rsidRDefault="0004473B" w:rsidP="0004473B">
      <w:pPr>
        <w:pStyle w:val="Textoindependiente"/>
        <w:jc w:val="both"/>
        <w:rPr>
          <w:b w:val="0"/>
          <w:sz w:val="20"/>
        </w:rPr>
      </w:pPr>
      <w:r w:rsidRPr="0004473B">
        <w:rPr>
          <w:b w:val="0"/>
          <w:sz w:val="20"/>
        </w:rPr>
        <w:t xml:space="preserve">Se considera  un conjunto de variables categóricas (J) tomadas de de  N individuos u objetos, donde la variable  j </w:t>
      </w:r>
      <w:r w:rsidR="003864E1" w:rsidRPr="003864E1">
        <w:rPr>
          <w:rFonts w:ascii="Arial" w:hAnsi="Arial"/>
          <w:b w:val="0"/>
          <w:bCs w:val="0"/>
          <w:sz w:val="24"/>
        </w:rPr>
        <w:sym w:font="Symbol" w:char="F065"/>
      </w:r>
      <w:r w:rsidR="003864E1">
        <w:rPr>
          <w:b w:val="0"/>
          <w:sz w:val="20"/>
        </w:rPr>
        <w:t xml:space="preserve"> J = 1,2,…,J </w:t>
      </w:r>
      <w:r w:rsidRPr="0004473B">
        <w:rPr>
          <w:b w:val="0"/>
          <w:sz w:val="20"/>
        </w:rPr>
        <w:t>tiene  lj  categorías . Se pretende representar a los individuos y a las variables en un espacio reducido  p&lt;J donde los  individuos o las variables cercanas son similares en perfil y en frecuencia  respectivamente.</w:t>
      </w:r>
    </w:p>
    <w:p w:rsidR="0004473B" w:rsidRDefault="0004473B" w:rsidP="0004473B">
      <w:pPr>
        <w:pStyle w:val="Textoindependiente"/>
        <w:jc w:val="both"/>
        <w:rPr>
          <w:b w:val="0"/>
          <w:sz w:val="20"/>
        </w:rPr>
      </w:pPr>
      <w:r w:rsidRPr="0004473B">
        <w:rPr>
          <w:b w:val="0"/>
          <w:sz w:val="20"/>
        </w:rPr>
        <w:lastRenderedPageBreak/>
        <w:t>Los datos son codificados usando una matriz indicadora Gj, con entradas G (i,t) = 1 , i=1,…,N, t=1,…,lj  si el individuo i posee la categoría t y G (i,t) = 0 si el individuo i tiene cualquier otra categoría.</w:t>
      </w:r>
    </w:p>
    <w:p w:rsidR="003864E1" w:rsidRDefault="003864E1" w:rsidP="0004473B">
      <w:pPr>
        <w:pStyle w:val="Textoindependiente"/>
        <w:jc w:val="both"/>
        <w:rPr>
          <w:b w:val="0"/>
          <w:sz w:val="20"/>
        </w:rPr>
      </w:pPr>
    </w:p>
    <w:p w:rsidR="0004473B" w:rsidRPr="0004473B" w:rsidRDefault="0004473B" w:rsidP="0004473B">
      <w:pPr>
        <w:pStyle w:val="Textoindependiente"/>
        <w:jc w:val="both"/>
        <w:rPr>
          <w:b w:val="0"/>
          <w:sz w:val="20"/>
        </w:rPr>
      </w:pPr>
      <w:r w:rsidRPr="0004473B">
        <w:rPr>
          <w:b w:val="0"/>
          <w:sz w:val="20"/>
        </w:rPr>
        <w:t>Sea la matriz X  de dimensión Nxp  que contiene las coordenadas de los individuos  en Rp  y  Yj de dimensión lj x p, (j</w:t>
      </w:r>
      <w:r w:rsidR="003864E1" w:rsidRPr="003864E1">
        <w:rPr>
          <w:rFonts w:ascii="Arial" w:hAnsi="Arial"/>
          <w:b w:val="0"/>
          <w:bCs w:val="0"/>
          <w:sz w:val="24"/>
        </w:rPr>
        <w:sym w:font="Symbol" w:char="F065"/>
      </w:r>
      <w:r w:rsidRPr="0004473B">
        <w:rPr>
          <w:b w:val="0"/>
          <w:sz w:val="20"/>
        </w:rPr>
        <w:t>J) la que posee las  coordenadas de las lj categorías de la variable j, se denomina a X como la matriz de los puntajes (frecuencias) de los objetos o individuos, mientras que las Yj’s  se denominan matrices de  cuantificaciones de las categorías. Se define la función de pérdida  como:</w:t>
      </w:r>
    </w:p>
    <w:p w:rsidR="003864E1" w:rsidRDefault="003864E1" w:rsidP="003864E1">
      <w:pPr>
        <w:pStyle w:val="Textoindependiente"/>
        <w:rPr>
          <w:b w:val="0"/>
          <w:sz w:val="20"/>
        </w:rPr>
      </w:pPr>
      <w:r w:rsidRPr="00B402BC">
        <w:rPr>
          <w:rFonts w:ascii="Arial" w:hAnsi="Arial"/>
          <w:bCs w:val="0"/>
          <w:position w:val="-50"/>
          <w:sz w:val="24"/>
        </w:rPr>
        <w:object w:dxaOrig="4819" w:dyaOrig="1120">
          <v:shape id="_x0000_i1027" type="#_x0000_t75" style="width:183pt;height:42.75pt" o:ole="">
            <v:imagedata r:id="rId12" o:title=""/>
          </v:shape>
          <o:OLEObject Type="Embed" ProgID="Equation.3" ShapeID="_x0000_i1027" DrawAspect="Content" ObjectID="_1346835846" r:id="rId13"/>
        </w:object>
      </w:r>
    </w:p>
    <w:p w:rsidR="001E5781" w:rsidRDefault="0004473B" w:rsidP="0004473B">
      <w:pPr>
        <w:pStyle w:val="Textoindependiente"/>
        <w:jc w:val="both"/>
        <w:rPr>
          <w:b w:val="0"/>
          <w:sz w:val="20"/>
        </w:rPr>
      </w:pPr>
      <w:r w:rsidRPr="0004473B">
        <w:rPr>
          <w:b w:val="0"/>
          <w:sz w:val="20"/>
        </w:rPr>
        <w:t xml:space="preserve">        </w:t>
      </w:r>
    </w:p>
    <w:p w:rsidR="003864E1" w:rsidRPr="003864E1" w:rsidRDefault="003864E1" w:rsidP="003864E1">
      <w:pPr>
        <w:pStyle w:val="Textoindependiente"/>
        <w:jc w:val="both"/>
        <w:rPr>
          <w:b w:val="0"/>
          <w:bCs w:val="0"/>
          <w:sz w:val="20"/>
        </w:rPr>
      </w:pPr>
      <w:r w:rsidRPr="003864E1">
        <w:rPr>
          <w:b w:val="0"/>
          <w:bCs w:val="0"/>
          <w:sz w:val="20"/>
        </w:rPr>
        <w:t>SSQ(H): Representa la suma de los cuadrados de los elementos de la matriz H., el objetivo es minimizar esta suma de cuadrados.</w:t>
      </w:r>
    </w:p>
    <w:p w:rsidR="003864E1" w:rsidRDefault="003864E1" w:rsidP="003864E1">
      <w:pPr>
        <w:pStyle w:val="Textoindependiente"/>
        <w:jc w:val="both"/>
        <w:rPr>
          <w:b w:val="0"/>
          <w:bCs w:val="0"/>
          <w:sz w:val="20"/>
        </w:rPr>
      </w:pPr>
      <w:r w:rsidRPr="003864E1">
        <w:rPr>
          <w:b w:val="0"/>
          <w:bCs w:val="0"/>
          <w:sz w:val="20"/>
        </w:rPr>
        <w:t>Para evitar una solución trivial se establece las siguientes restricciones:</w:t>
      </w:r>
    </w:p>
    <w:p w:rsidR="003864E1" w:rsidRPr="003864E1" w:rsidRDefault="003864E1" w:rsidP="003864E1">
      <w:pPr>
        <w:pStyle w:val="Textoindependiente"/>
        <w:rPr>
          <w:b w:val="0"/>
          <w:bCs w:val="0"/>
          <w:sz w:val="20"/>
        </w:rPr>
      </w:pPr>
      <w:r w:rsidRPr="000C3520">
        <w:rPr>
          <w:rFonts w:ascii="Arial" w:hAnsi="Arial"/>
          <w:bCs w:val="0"/>
          <w:position w:val="-14"/>
          <w:sz w:val="24"/>
        </w:rPr>
        <w:object w:dxaOrig="1200" w:dyaOrig="400">
          <v:shape id="_x0000_i1028" type="#_x0000_t75" style="width:60pt;height:20.25pt" o:ole="">
            <v:imagedata r:id="rId14" o:title=""/>
          </v:shape>
          <o:OLEObject Type="Embed" ProgID="Equation.3" ShapeID="_x0000_i1028" DrawAspect="Content" ObjectID="_1346835847" r:id="rId15"/>
        </w:object>
      </w:r>
    </w:p>
    <w:p w:rsidR="003864E1" w:rsidRDefault="003864E1" w:rsidP="00A90469">
      <w:pPr>
        <w:pStyle w:val="Textoindependiente"/>
        <w:jc w:val="both"/>
        <w:rPr>
          <w:b w:val="0"/>
          <w:bCs w:val="0"/>
          <w:sz w:val="20"/>
        </w:rPr>
      </w:pPr>
      <w:r w:rsidRPr="003864E1">
        <w:rPr>
          <w:b w:val="0"/>
          <w:bCs w:val="0"/>
          <w:sz w:val="20"/>
        </w:rPr>
        <w:t>La primera restricci</w:t>
      </w:r>
      <w:r>
        <w:rPr>
          <w:b w:val="0"/>
          <w:bCs w:val="0"/>
          <w:sz w:val="20"/>
        </w:rPr>
        <w:t>ón expresada en la ecuación anterior</w:t>
      </w:r>
      <w:r w:rsidRPr="003864E1">
        <w:rPr>
          <w:b w:val="0"/>
          <w:bCs w:val="0"/>
          <w:sz w:val="20"/>
        </w:rPr>
        <w:t xml:space="preserve"> normaliza la longitud cuadrada de los puntajes de los objetos  para que sea igual a N.</w:t>
      </w:r>
    </w:p>
    <w:p w:rsidR="003864E1" w:rsidRDefault="003864E1" w:rsidP="00A90469">
      <w:pPr>
        <w:pStyle w:val="Textoindependiente"/>
        <w:jc w:val="both"/>
        <w:rPr>
          <w:b w:val="0"/>
          <w:bCs w:val="0"/>
          <w:sz w:val="20"/>
        </w:rPr>
      </w:pPr>
    </w:p>
    <w:p w:rsidR="003864E1" w:rsidRPr="003864E1" w:rsidRDefault="00E952BD" w:rsidP="003864E1">
      <w:pPr>
        <w:pStyle w:val="Textoindependiente"/>
        <w:rPr>
          <w:b w:val="0"/>
          <w:bCs w:val="0"/>
          <w:sz w:val="20"/>
        </w:rPr>
      </w:pPr>
      <w:r w:rsidRPr="007C4232">
        <w:rPr>
          <w:rFonts w:ascii="Arial" w:hAnsi="Arial"/>
          <w:bCs w:val="0"/>
          <w:position w:val="-10"/>
          <w:sz w:val="24"/>
        </w:rPr>
        <w:object w:dxaOrig="1140" w:dyaOrig="360">
          <v:shape id="_x0000_i1029" type="#_x0000_t75" style="width:57pt;height:18pt" o:ole="">
            <v:imagedata r:id="rId16" o:title=""/>
          </v:shape>
          <o:OLEObject Type="Embed" ProgID="Equation.3" ShapeID="_x0000_i1029" DrawAspect="Content" ObjectID="_1346835848" r:id="rId17"/>
        </w:object>
      </w:r>
    </w:p>
    <w:p w:rsidR="003864E1" w:rsidRDefault="003864E1" w:rsidP="00A90469">
      <w:pPr>
        <w:pStyle w:val="Textoindependiente"/>
        <w:jc w:val="both"/>
        <w:rPr>
          <w:b w:val="0"/>
          <w:bCs w:val="0"/>
          <w:sz w:val="20"/>
        </w:rPr>
      </w:pPr>
    </w:p>
    <w:p w:rsidR="003864E1" w:rsidRPr="003864E1" w:rsidRDefault="003864E1" w:rsidP="003864E1">
      <w:pPr>
        <w:pStyle w:val="Textoindependiente"/>
        <w:jc w:val="both"/>
        <w:rPr>
          <w:b w:val="0"/>
          <w:bCs w:val="0"/>
          <w:sz w:val="20"/>
        </w:rPr>
      </w:pPr>
      <w:r w:rsidRPr="003864E1">
        <w:rPr>
          <w:b w:val="0"/>
          <w:bCs w:val="0"/>
          <w:sz w:val="20"/>
        </w:rPr>
        <w:t>La segunda restricción  indica  que las más altas dimensiones requieren  que las columnas de X sean en adición ortogonal.</w:t>
      </w:r>
    </w:p>
    <w:p w:rsidR="003864E1" w:rsidRPr="003864E1" w:rsidRDefault="003864E1" w:rsidP="003864E1">
      <w:pPr>
        <w:pStyle w:val="Textoindependiente"/>
        <w:jc w:val="both"/>
        <w:rPr>
          <w:b w:val="0"/>
          <w:bCs w:val="0"/>
          <w:sz w:val="20"/>
        </w:rPr>
      </w:pPr>
    </w:p>
    <w:p w:rsidR="003864E1" w:rsidRDefault="003864E1" w:rsidP="003864E1">
      <w:pPr>
        <w:pStyle w:val="Textoindependiente"/>
        <w:jc w:val="both"/>
        <w:rPr>
          <w:b w:val="0"/>
          <w:bCs w:val="0"/>
          <w:sz w:val="20"/>
        </w:rPr>
      </w:pPr>
      <w:r w:rsidRPr="003864E1">
        <w:rPr>
          <w:b w:val="0"/>
          <w:bCs w:val="0"/>
          <w:sz w:val="20"/>
        </w:rPr>
        <w:t xml:space="preserve">El problema de minimización de la </w:t>
      </w:r>
      <w:r w:rsidR="00E952BD">
        <w:rPr>
          <w:b w:val="0"/>
          <w:bCs w:val="0"/>
          <w:sz w:val="20"/>
        </w:rPr>
        <w:t xml:space="preserve">función </w:t>
      </w:r>
      <w:r w:rsidRPr="003864E1">
        <w:rPr>
          <w:b w:val="0"/>
          <w:bCs w:val="0"/>
          <w:sz w:val="20"/>
        </w:rPr>
        <w:t xml:space="preserve">  </w:t>
      </w:r>
      <w:r w:rsidR="00E952BD">
        <w:rPr>
          <w:b w:val="0"/>
          <w:bCs w:val="0"/>
          <w:sz w:val="20"/>
        </w:rPr>
        <w:t>de pérdida</w:t>
      </w:r>
      <w:r w:rsidRPr="003864E1">
        <w:rPr>
          <w:b w:val="0"/>
          <w:bCs w:val="0"/>
          <w:sz w:val="20"/>
        </w:rPr>
        <w:t xml:space="preserve"> esta sujeto a las restricciones de las ecuaciones </w:t>
      </w:r>
      <w:r w:rsidR="00E952BD">
        <w:rPr>
          <w:b w:val="0"/>
          <w:bCs w:val="0"/>
          <w:sz w:val="20"/>
        </w:rPr>
        <w:t>anteriores</w:t>
      </w:r>
      <w:r w:rsidRPr="003864E1">
        <w:rPr>
          <w:b w:val="0"/>
          <w:bCs w:val="0"/>
          <w:sz w:val="20"/>
        </w:rPr>
        <w:t>, para  resolver esto se utiliza el algoritmo de los mínimos cuadrados alternantes  que consiste  en tres pasos:</w:t>
      </w:r>
    </w:p>
    <w:p w:rsidR="003864E1" w:rsidRDefault="003864E1" w:rsidP="003864E1">
      <w:pPr>
        <w:pStyle w:val="Textoindependiente"/>
        <w:jc w:val="both"/>
        <w:rPr>
          <w:b w:val="0"/>
          <w:bCs w:val="0"/>
          <w:sz w:val="20"/>
        </w:rPr>
      </w:pPr>
    </w:p>
    <w:p w:rsidR="003864E1" w:rsidRDefault="00E952BD" w:rsidP="003864E1">
      <w:pPr>
        <w:pStyle w:val="Textoindependiente"/>
        <w:jc w:val="both"/>
        <w:rPr>
          <w:b w:val="0"/>
          <w:bCs w:val="0"/>
          <w:sz w:val="20"/>
        </w:rPr>
      </w:pPr>
      <w:r w:rsidRPr="00E952BD">
        <w:rPr>
          <w:b w:val="0"/>
          <w:bCs w:val="0"/>
          <w:sz w:val="20"/>
        </w:rPr>
        <w:t>Primero se minimiza Yj  fijando la matriz X, el conjunto de ecuaciones normales esta dada por:</w:t>
      </w:r>
    </w:p>
    <w:p w:rsidR="00E952BD" w:rsidRDefault="00E952BD" w:rsidP="003864E1">
      <w:pPr>
        <w:pStyle w:val="Textoindependiente"/>
        <w:jc w:val="both"/>
        <w:rPr>
          <w:b w:val="0"/>
          <w:bCs w:val="0"/>
          <w:sz w:val="20"/>
        </w:rPr>
      </w:pPr>
    </w:p>
    <w:p w:rsidR="00E952BD" w:rsidRDefault="00E952BD" w:rsidP="00E952BD">
      <w:pPr>
        <w:pStyle w:val="Textoindependiente"/>
        <w:rPr>
          <w:rFonts w:ascii="Arial" w:hAnsi="Arial"/>
          <w:bCs w:val="0"/>
          <w:sz w:val="24"/>
        </w:rPr>
      </w:pPr>
      <w:r w:rsidRPr="000746DA">
        <w:rPr>
          <w:rFonts w:ascii="Arial" w:hAnsi="Arial"/>
          <w:bCs w:val="0"/>
          <w:position w:val="-14"/>
          <w:sz w:val="24"/>
        </w:rPr>
        <w:object w:dxaOrig="2180" w:dyaOrig="420">
          <v:shape id="_x0000_i1030" type="#_x0000_t75" style="width:108.75pt;height:21pt" o:ole="">
            <v:imagedata r:id="rId18" o:title=""/>
          </v:shape>
          <o:OLEObject Type="Embed" ProgID="Equation.3" ShapeID="_x0000_i1030" DrawAspect="Content" ObjectID="_1346835849" r:id="rId19"/>
        </w:object>
      </w:r>
    </w:p>
    <w:p w:rsidR="00E952BD" w:rsidRDefault="00E952BD" w:rsidP="00E952BD">
      <w:pPr>
        <w:pStyle w:val="Textoindependiente"/>
        <w:jc w:val="both"/>
        <w:rPr>
          <w:b w:val="0"/>
          <w:bCs w:val="0"/>
          <w:sz w:val="20"/>
        </w:rPr>
      </w:pPr>
    </w:p>
    <w:p w:rsidR="00E952BD" w:rsidRPr="00E952BD" w:rsidRDefault="00E952BD" w:rsidP="00E952BD">
      <w:pPr>
        <w:pStyle w:val="Textoindependiente"/>
        <w:jc w:val="both"/>
        <w:rPr>
          <w:b w:val="0"/>
          <w:bCs w:val="0"/>
          <w:sz w:val="20"/>
        </w:rPr>
      </w:pPr>
      <w:r w:rsidRPr="00E952BD">
        <w:rPr>
          <w:b w:val="0"/>
          <w:bCs w:val="0"/>
          <w:sz w:val="20"/>
        </w:rPr>
        <w:t>Reemplazando Dj = GjT Gj  y despejando Yj se tiene:</w:t>
      </w:r>
    </w:p>
    <w:p w:rsidR="00E952BD" w:rsidRDefault="00E952BD" w:rsidP="003864E1">
      <w:pPr>
        <w:pStyle w:val="Textoindependiente"/>
        <w:jc w:val="both"/>
        <w:rPr>
          <w:b w:val="0"/>
          <w:bCs w:val="0"/>
          <w:sz w:val="20"/>
        </w:rPr>
      </w:pPr>
    </w:p>
    <w:p w:rsidR="00E952BD" w:rsidRDefault="00E952BD" w:rsidP="00E952BD">
      <w:pPr>
        <w:pStyle w:val="Textoindependiente"/>
        <w:rPr>
          <w:b w:val="0"/>
          <w:bCs w:val="0"/>
          <w:sz w:val="20"/>
        </w:rPr>
      </w:pPr>
      <w:r w:rsidRPr="000746DA">
        <w:rPr>
          <w:rFonts w:ascii="Arial" w:hAnsi="Arial"/>
          <w:bCs w:val="0"/>
          <w:position w:val="-14"/>
          <w:sz w:val="24"/>
        </w:rPr>
        <w:object w:dxaOrig="2240" w:dyaOrig="420">
          <v:shape id="_x0000_i1031" type="#_x0000_t75" style="width:111.75pt;height:21pt" o:ole="">
            <v:imagedata r:id="rId20" o:title=""/>
          </v:shape>
          <o:OLEObject Type="Embed" ProgID="Equation.3" ShapeID="_x0000_i1031" DrawAspect="Content" ObjectID="_1346835850" r:id="rId21"/>
        </w:object>
      </w:r>
    </w:p>
    <w:p w:rsidR="00E952BD" w:rsidRDefault="00E952BD" w:rsidP="00EB439D">
      <w:pPr>
        <w:pStyle w:val="Textoindependiente"/>
        <w:rPr>
          <w:b w:val="0"/>
          <w:bCs w:val="0"/>
          <w:sz w:val="20"/>
        </w:rPr>
      </w:pPr>
    </w:p>
    <w:p w:rsidR="00E952BD" w:rsidRDefault="001D7ABF" w:rsidP="00B340DA">
      <w:pPr>
        <w:pStyle w:val="Textoindependiente"/>
        <w:jc w:val="both"/>
        <w:rPr>
          <w:b w:val="0"/>
          <w:bCs w:val="0"/>
          <w:sz w:val="20"/>
        </w:rPr>
      </w:pPr>
      <w:r w:rsidRPr="00EF1699">
        <w:rPr>
          <w:b w:val="0"/>
          <w:bCs w:val="0"/>
          <w:sz w:val="20"/>
        </w:rPr>
        <w:t xml:space="preserve">  </w:t>
      </w:r>
      <w:r w:rsidR="00E952BD" w:rsidRPr="00E952BD">
        <w:rPr>
          <w:b w:val="0"/>
          <w:bCs w:val="0"/>
          <w:sz w:val="20"/>
        </w:rPr>
        <w:t>Luego  se minimiza con respecto a X  fijando los Yj’s, donde la ecuación normal esta dada por:</w:t>
      </w:r>
    </w:p>
    <w:p w:rsidR="00E952BD" w:rsidRDefault="00E952BD" w:rsidP="00E952BD">
      <w:pPr>
        <w:pStyle w:val="Textoindependiente"/>
        <w:tabs>
          <w:tab w:val="left" w:pos="8280"/>
        </w:tabs>
        <w:rPr>
          <w:b w:val="0"/>
          <w:bCs w:val="0"/>
          <w:sz w:val="20"/>
        </w:rPr>
      </w:pPr>
      <w:r w:rsidRPr="002806AD">
        <w:rPr>
          <w:rFonts w:ascii="Arial" w:hAnsi="Arial"/>
          <w:bCs w:val="0"/>
          <w:position w:val="-30"/>
          <w:sz w:val="24"/>
        </w:rPr>
        <w:object w:dxaOrig="1359" w:dyaOrig="700">
          <v:shape id="_x0000_i1032" type="#_x0000_t75" style="width:68.25pt;height:35.25pt" o:ole="">
            <v:imagedata r:id="rId22" o:title=""/>
          </v:shape>
          <o:OLEObject Type="Embed" ProgID="Equation.3" ShapeID="_x0000_i1032" DrawAspect="Content" ObjectID="_1346835851" r:id="rId23"/>
        </w:object>
      </w:r>
    </w:p>
    <w:p w:rsidR="00E952BD" w:rsidRDefault="00E952BD" w:rsidP="00A90469">
      <w:pPr>
        <w:pStyle w:val="Textoindependiente"/>
        <w:tabs>
          <w:tab w:val="left" w:pos="8280"/>
        </w:tabs>
        <w:jc w:val="both"/>
        <w:rPr>
          <w:b w:val="0"/>
          <w:bCs w:val="0"/>
          <w:sz w:val="20"/>
        </w:rPr>
      </w:pPr>
      <w:r w:rsidRPr="00E952BD">
        <w:rPr>
          <w:b w:val="0"/>
          <w:bCs w:val="0"/>
          <w:sz w:val="20"/>
        </w:rPr>
        <w:t>Así se obtiene:</w:t>
      </w:r>
    </w:p>
    <w:p w:rsidR="00E952BD" w:rsidRDefault="00E952BD" w:rsidP="00E952BD">
      <w:pPr>
        <w:pStyle w:val="Textoindependiente"/>
        <w:tabs>
          <w:tab w:val="left" w:pos="8280"/>
        </w:tabs>
        <w:rPr>
          <w:rFonts w:ascii="Arial" w:hAnsi="Arial"/>
          <w:bCs w:val="0"/>
          <w:sz w:val="24"/>
        </w:rPr>
      </w:pPr>
      <w:r w:rsidRPr="002806AD">
        <w:rPr>
          <w:rFonts w:ascii="Arial" w:hAnsi="Arial"/>
          <w:bCs w:val="0"/>
          <w:position w:val="-30"/>
          <w:sz w:val="24"/>
        </w:rPr>
        <w:object w:dxaOrig="1600" w:dyaOrig="700">
          <v:shape id="_x0000_i1033" type="#_x0000_t75" style="width:80.25pt;height:35.25pt" o:ole="">
            <v:imagedata r:id="rId24" o:title=""/>
          </v:shape>
          <o:OLEObject Type="Embed" ProgID="Equation.3" ShapeID="_x0000_i1033" DrawAspect="Content" ObjectID="_1346835852" r:id="rId25"/>
        </w:object>
      </w:r>
    </w:p>
    <w:p w:rsidR="00E952BD" w:rsidRPr="00E952BD" w:rsidRDefault="00E952BD" w:rsidP="00E952BD">
      <w:pPr>
        <w:jc w:val="both"/>
        <w:rPr>
          <w:sz w:val="20"/>
        </w:rPr>
      </w:pPr>
      <w:r w:rsidRPr="00E952BD">
        <w:rPr>
          <w:sz w:val="20"/>
        </w:rPr>
        <w:t>Finalmente el tercer paso  los puntajes de los objetos (frecuencias)  de los elementos  de X  son centrados con respecto a las columnas:</w:t>
      </w:r>
    </w:p>
    <w:p w:rsidR="00E952BD" w:rsidRPr="00E952BD" w:rsidRDefault="00E952BD" w:rsidP="00E952BD">
      <w:pPr>
        <w:pStyle w:val="Textoindependiente"/>
        <w:tabs>
          <w:tab w:val="left" w:pos="8280"/>
        </w:tabs>
        <w:rPr>
          <w:sz w:val="20"/>
        </w:rPr>
      </w:pPr>
      <w:r w:rsidRPr="00D747A2">
        <w:rPr>
          <w:rFonts w:ascii="Arial" w:hAnsi="Arial"/>
          <w:bCs w:val="0"/>
          <w:position w:val="-10"/>
          <w:sz w:val="24"/>
        </w:rPr>
        <w:object w:dxaOrig="2000" w:dyaOrig="380">
          <v:shape id="_x0000_i1034" type="#_x0000_t75" style="width:99.75pt;height:18.75pt" o:ole="">
            <v:imagedata r:id="rId26" o:title=""/>
          </v:shape>
          <o:OLEObject Type="Embed" ProgID="Equation.3" ShapeID="_x0000_i1034" DrawAspect="Content" ObjectID="_1346835853" r:id="rId27"/>
        </w:object>
      </w:r>
    </w:p>
    <w:p w:rsidR="00E952BD" w:rsidRDefault="00E952BD" w:rsidP="00E952BD">
      <w:pPr>
        <w:pStyle w:val="Textoindependiente"/>
        <w:tabs>
          <w:tab w:val="left" w:pos="8280"/>
        </w:tabs>
        <w:jc w:val="both"/>
        <w:rPr>
          <w:b w:val="0"/>
          <w:bCs w:val="0"/>
          <w:sz w:val="20"/>
        </w:rPr>
      </w:pPr>
      <w:r w:rsidRPr="00E952BD">
        <w:rPr>
          <w:b w:val="0"/>
          <w:bCs w:val="0"/>
          <w:sz w:val="20"/>
        </w:rPr>
        <w:t>Donde W es normalizada con el proceso de Grant Schimdt.</w:t>
      </w:r>
    </w:p>
    <w:p w:rsidR="00E952BD" w:rsidRDefault="00E952BD" w:rsidP="00E952BD">
      <w:pPr>
        <w:pStyle w:val="Textoindependiente"/>
        <w:tabs>
          <w:tab w:val="left" w:pos="8280"/>
        </w:tabs>
        <w:jc w:val="both"/>
        <w:rPr>
          <w:b w:val="0"/>
          <w:bCs w:val="0"/>
          <w:sz w:val="20"/>
        </w:rPr>
      </w:pPr>
      <w:r w:rsidRPr="00E952BD">
        <w:rPr>
          <w:b w:val="0"/>
          <w:bCs w:val="0"/>
          <w:sz w:val="20"/>
        </w:rPr>
        <w:t>El algoritmo de mínimos cuadrados alternantes converge cuando se cumple que:</w:t>
      </w:r>
    </w:p>
    <w:p w:rsidR="005E4ED0" w:rsidRPr="00E952BD" w:rsidRDefault="005E4ED0" w:rsidP="00E952BD">
      <w:pPr>
        <w:pStyle w:val="Textoindependiente"/>
        <w:tabs>
          <w:tab w:val="left" w:pos="8280"/>
        </w:tabs>
        <w:jc w:val="both"/>
        <w:rPr>
          <w:b w:val="0"/>
          <w:bCs w:val="0"/>
          <w:sz w:val="20"/>
        </w:rPr>
      </w:pPr>
    </w:p>
    <w:p w:rsidR="00E952BD" w:rsidRDefault="006F2667" w:rsidP="005E4ED0">
      <w:pPr>
        <w:pStyle w:val="Textoindependiente"/>
        <w:tabs>
          <w:tab w:val="left" w:pos="8280"/>
        </w:tabs>
        <w:rPr>
          <w:b w:val="0"/>
          <w:bCs w:val="0"/>
          <w:sz w:val="20"/>
        </w:rPr>
      </w:pPr>
      <w:r w:rsidRPr="00583B40">
        <w:rPr>
          <w:rFonts w:ascii="Arial" w:hAnsi="Arial"/>
          <w:bCs w:val="0"/>
          <w:position w:val="-14"/>
          <w:sz w:val="24"/>
        </w:rPr>
        <w:object w:dxaOrig="3800" w:dyaOrig="420">
          <v:shape id="_x0000_i1035" type="#_x0000_t75" style="width:166.5pt;height:18.75pt" o:ole="">
            <v:imagedata r:id="rId28" o:title=""/>
          </v:shape>
          <o:OLEObject Type="Embed" ProgID="Equation.3" ShapeID="_x0000_i1035" DrawAspect="Content" ObjectID="_1346835854" r:id="rId29"/>
        </w:object>
      </w:r>
    </w:p>
    <w:p w:rsidR="005E4ED0" w:rsidRPr="005E4ED0" w:rsidRDefault="005E4ED0" w:rsidP="00A90469">
      <w:pPr>
        <w:pStyle w:val="Textoindependiente"/>
        <w:tabs>
          <w:tab w:val="left" w:pos="8280"/>
        </w:tabs>
        <w:jc w:val="both"/>
        <w:rPr>
          <w:b w:val="0"/>
          <w:bCs w:val="0"/>
          <w:sz w:val="20"/>
        </w:rPr>
      </w:pPr>
      <w:r w:rsidRPr="005E4ED0">
        <w:rPr>
          <w:b w:val="0"/>
          <w:bCs w:val="0"/>
          <w:sz w:val="20"/>
        </w:rPr>
        <w:t>Se expresa la función de pérdida en términos de las cuantificaciones de las categorías:</w:t>
      </w:r>
    </w:p>
    <w:p w:rsidR="005E4ED0" w:rsidRDefault="005E4ED0" w:rsidP="00A90469">
      <w:pPr>
        <w:pStyle w:val="Textoindependiente"/>
        <w:tabs>
          <w:tab w:val="left" w:pos="8280"/>
        </w:tabs>
        <w:jc w:val="both"/>
        <w:rPr>
          <w:b w:val="0"/>
          <w:bCs w:val="0"/>
          <w:sz w:val="20"/>
        </w:rPr>
      </w:pPr>
    </w:p>
    <w:p w:rsidR="005E4ED0" w:rsidRDefault="006F2667" w:rsidP="00A90469">
      <w:pPr>
        <w:pStyle w:val="Textoindependiente"/>
        <w:tabs>
          <w:tab w:val="left" w:pos="8280"/>
        </w:tabs>
        <w:jc w:val="both"/>
        <w:rPr>
          <w:b w:val="0"/>
          <w:bCs w:val="0"/>
          <w:sz w:val="20"/>
        </w:rPr>
      </w:pPr>
      <w:r w:rsidRPr="00DB142A">
        <w:rPr>
          <w:rFonts w:ascii="Arial" w:hAnsi="Arial"/>
          <w:bCs w:val="0"/>
          <w:position w:val="-176"/>
          <w:sz w:val="24"/>
        </w:rPr>
        <w:object w:dxaOrig="5460" w:dyaOrig="3620">
          <v:shape id="_x0000_i1036" type="#_x0000_t75" style="width:195pt;height:129pt" o:ole="">
            <v:imagedata r:id="rId30" o:title=""/>
          </v:shape>
          <o:OLEObject Type="Embed" ProgID="Equation.3" ShapeID="_x0000_i1036" DrawAspect="Content" ObjectID="_1346835855" r:id="rId31"/>
        </w:object>
      </w:r>
    </w:p>
    <w:p w:rsidR="005E4ED0" w:rsidRDefault="006F2667" w:rsidP="00A90469">
      <w:pPr>
        <w:pStyle w:val="Textoindependiente"/>
        <w:tabs>
          <w:tab w:val="left" w:pos="8280"/>
        </w:tabs>
        <w:jc w:val="both"/>
        <w:rPr>
          <w:b w:val="0"/>
          <w:bCs w:val="0"/>
          <w:sz w:val="20"/>
        </w:rPr>
      </w:pPr>
      <w:r w:rsidRPr="006F2667">
        <w:rPr>
          <w:b w:val="0"/>
          <w:bCs w:val="0"/>
          <w:sz w:val="20"/>
        </w:rPr>
        <w:t>El ajuste de la solución es la suma de la diagonal de ŶjT Dj ŶjT. Las medidas  de discriminación de la variable j  en la dimensión s esta dado por:</w:t>
      </w:r>
    </w:p>
    <w:p w:rsidR="00552BD5" w:rsidRDefault="00552BD5" w:rsidP="00A90469">
      <w:pPr>
        <w:pStyle w:val="Textoindependiente"/>
        <w:tabs>
          <w:tab w:val="left" w:pos="8280"/>
        </w:tabs>
        <w:jc w:val="both"/>
        <w:rPr>
          <w:b w:val="0"/>
          <w:bCs w:val="0"/>
          <w:sz w:val="20"/>
        </w:rPr>
      </w:pPr>
    </w:p>
    <w:p w:rsidR="006F2667" w:rsidRPr="006F2667" w:rsidRDefault="006F2667" w:rsidP="00A90469">
      <w:pPr>
        <w:pStyle w:val="Textoindependiente"/>
        <w:tabs>
          <w:tab w:val="left" w:pos="8280"/>
        </w:tabs>
        <w:jc w:val="both"/>
        <w:rPr>
          <w:b w:val="0"/>
          <w:bCs w:val="0"/>
          <w:sz w:val="20"/>
        </w:rPr>
      </w:pPr>
      <w:r w:rsidRPr="00C232DF">
        <w:rPr>
          <w:rFonts w:ascii="Arial" w:hAnsi="Arial"/>
          <w:bCs w:val="0"/>
          <w:position w:val="-14"/>
          <w:sz w:val="24"/>
        </w:rPr>
        <w:object w:dxaOrig="4380" w:dyaOrig="420">
          <v:shape id="_x0000_i1037" type="#_x0000_t75" style="width:169.5pt;height:16.5pt" o:ole="">
            <v:imagedata r:id="rId32" o:title=""/>
          </v:shape>
          <o:OLEObject Type="Embed" ProgID="Equation.3" ShapeID="_x0000_i1037" DrawAspect="Content" ObjectID="_1346835856" r:id="rId33"/>
        </w:object>
      </w:r>
    </w:p>
    <w:p w:rsidR="006F2667" w:rsidRDefault="006F2667" w:rsidP="00A90469">
      <w:pPr>
        <w:pStyle w:val="Textoindependiente"/>
        <w:tabs>
          <w:tab w:val="left" w:pos="8280"/>
        </w:tabs>
        <w:jc w:val="both"/>
        <w:rPr>
          <w:b w:val="0"/>
          <w:bCs w:val="0"/>
          <w:sz w:val="20"/>
        </w:rPr>
      </w:pPr>
    </w:p>
    <w:p w:rsidR="006F2667" w:rsidRDefault="006F2667" w:rsidP="00A90469">
      <w:pPr>
        <w:pStyle w:val="Textoindependiente"/>
        <w:tabs>
          <w:tab w:val="left" w:pos="8280"/>
        </w:tabs>
        <w:jc w:val="both"/>
        <w:rPr>
          <w:b w:val="0"/>
          <w:bCs w:val="0"/>
          <w:sz w:val="20"/>
        </w:rPr>
      </w:pPr>
      <w:r w:rsidRPr="006F2667">
        <w:rPr>
          <w:b w:val="0"/>
          <w:bCs w:val="0"/>
          <w:sz w:val="20"/>
        </w:rPr>
        <w:t>Geométricamente las medidas de discriminación son el promedio de las distancias al cuadrado (pesadas por las frecuencias marginales) de las cuantificaciones de las categorías al origen del espacio p-dimensional. Se puede demostrar que las medidas de discriminación son iguales al cuadrado del la correlación entre     Gj Ŷj (.,s) en la dimensión s y la columna de frecuencias de objetos X(.,s),la función de pérdida  se expresa como:</w:t>
      </w:r>
    </w:p>
    <w:p w:rsidR="006F2667" w:rsidRDefault="006F2667" w:rsidP="00A90469">
      <w:pPr>
        <w:pStyle w:val="Textoindependiente"/>
        <w:tabs>
          <w:tab w:val="left" w:pos="8280"/>
        </w:tabs>
        <w:jc w:val="both"/>
        <w:rPr>
          <w:b w:val="0"/>
          <w:bCs w:val="0"/>
          <w:sz w:val="20"/>
        </w:rPr>
      </w:pPr>
    </w:p>
    <w:p w:rsidR="006F2667" w:rsidRDefault="006F2667" w:rsidP="006F2667">
      <w:pPr>
        <w:pStyle w:val="Textoindependiente"/>
        <w:tabs>
          <w:tab w:val="left" w:pos="8280"/>
        </w:tabs>
        <w:rPr>
          <w:b w:val="0"/>
          <w:bCs w:val="0"/>
          <w:sz w:val="20"/>
        </w:rPr>
      </w:pPr>
      <w:r w:rsidRPr="00380CB4">
        <w:rPr>
          <w:rFonts w:ascii="Arial" w:hAnsi="Arial"/>
          <w:bCs w:val="0"/>
          <w:position w:val="-30"/>
          <w:sz w:val="24"/>
        </w:rPr>
        <w:object w:dxaOrig="3340" w:dyaOrig="700">
          <v:shape id="_x0000_i1038" type="#_x0000_t75" style="width:160.5pt;height:33.75pt" o:ole="">
            <v:imagedata r:id="rId34" o:title=""/>
          </v:shape>
          <o:OLEObject Type="Embed" ProgID="Equation.3" ShapeID="_x0000_i1038" DrawAspect="Content" ObjectID="_1346835857" r:id="rId35"/>
        </w:object>
      </w:r>
    </w:p>
    <w:p w:rsidR="006F2667" w:rsidRDefault="006F2667" w:rsidP="00A90469">
      <w:pPr>
        <w:pStyle w:val="Textoindependiente"/>
        <w:tabs>
          <w:tab w:val="left" w:pos="8280"/>
        </w:tabs>
        <w:jc w:val="both"/>
        <w:rPr>
          <w:b w:val="0"/>
          <w:bCs w:val="0"/>
          <w:sz w:val="20"/>
        </w:rPr>
      </w:pPr>
    </w:p>
    <w:p w:rsidR="006F2667" w:rsidRDefault="006F2667" w:rsidP="00A90469">
      <w:pPr>
        <w:pStyle w:val="Textoindependiente"/>
        <w:tabs>
          <w:tab w:val="left" w:pos="8280"/>
        </w:tabs>
        <w:jc w:val="both"/>
        <w:rPr>
          <w:b w:val="0"/>
          <w:bCs w:val="0"/>
          <w:sz w:val="20"/>
        </w:rPr>
      </w:pPr>
      <w:r w:rsidRPr="006F2667">
        <w:rPr>
          <w:b w:val="0"/>
          <w:bCs w:val="0"/>
          <w:sz w:val="20"/>
        </w:rPr>
        <w:t xml:space="preserve">Donde las cantidades γs = J-1ΣJj=1η2js  son llamadas valores propios y son el promedio de las medidas de discriminación, son una medida de la información  explicada por la dimensión s de la nube de datos original  </w:t>
      </w:r>
    </w:p>
    <w:p w:rsidR="006F2667" w:rsidRDefault="006F2667" w:rsidP="00A90469">
      <w:pPr>
        <w:pStyle w:val="Textoindependiente"/>
        <w:tabs>
          <w:tab w:val="left" w:pos="8280"/>
        </w:tabs>
        <w:jc w:val="both"/>
        <w:rPr>
          <w:b w:val="0"/>
          <w:bCs w:val="0"/>
          <w:sz w:val="20"/>
        </w:rPr>
      </w:pPr>
    </w:p>
    <w:p w:rsidR="006F2667" w:rsidRDefault="006F2667" w:rsidP="00A90469">
      <w:pPr>
        <w:pStyle w:val="Textoindependiente"/>
        <w:tabs>
          <w:tab w:val="left" w:pos="8280"/>
        </w:tabs>
        <w:jc w:val="both"/>
        <w:rPr>
          <w:b w:val="0"/>
          <w:sz w:val="20"/>
        </w:rPr>
      </w:pPr>
      <w:r>
        <w:rPr>
          <w:b w:val="0"/>
          <w:bCs w:val="0"/>
          <w:sz w:val="20"/>
        </w:rPr>
        <w:t>Dimensiones</w:t>
      </w:r>
      <w:r w:rsidR="00552BD5" w:rsidRPr="00552BD5">
        <w:rPr>
          <w:b w:val="0"/>
          <w:sz w:val="20"/>
        </w:rPr>
        <w:t>.-</w:t>
      </w:r>
      <w:r w:rsidR="00552BD5">
        <w:rPr>
          <w:b w:val="0"/>
          <w:sz w:val="20"/>
        </w:rPr>
        <w:t xml:space="preserve"> </w:t>
      </w:r>
      <w:r w:rsidR="00552BD5" w:rsidRPr="00552BD5">
        <w:rPr>
          <w:b w:val="0"/>
          <w:sz w:val="20"/>
        </w:rPr>
        <w:t xml:space="preserve">Las  dimensiones son combinaciones lineales de las variables originales que resumen las relaciones existentes entre  </w:t>
      </w:r>
      <w:r w:rsidR="00552BD5">
        <w:rPr>
          <w:b w:val="0"/>
          <w:sz w:val="20"/>
        </w:rPr>
        <w:t>las categorías de las variables, la tabla XIII muestra la varianza total determinada por el número de variables y sus correspondientes categorías.</w:t>
      </w:r>
    </w:p>
    <w:p w:rsidR="007D55BF" w:rsidRDefault="007D55BF" w:rsidP="00A90469">
      <w:pPr>
        <w:pStyle w:val="Textoindependiente"/>
        <w:tabs>
          <w:tab w:val="left" w:pos="8280"/>
        </w:tabs>
        <w:jc w:val="both"/>
        <w:rPr>
          <w:b w:val="0"/>
          <w:sz w:val="20"/>
        </w:rPr>
      </w:pPr>
    </w:p>
    <w:tbl>
      <w:tblPr>
        <w:tblW w:w="0" w:type="auto"/>
        <w:jc w:val="center"/>
        <w:tblInd w:w="40" w:type="dxa"/>
        <w:tblLayout w:type="fixed"/>
        <w:tblCellMar>
          <w:left w:w="70" w:type="dxa"/>
          <w:right w:w="70" w:type="dxa"/>
        </w:tblCellMar>
        <w:tblLook w:val="0000"/>
      </w:tblPr>
      <w:tblGrid>
        <w:gridCol w:w="1261"/>
        <w:gridCol w:w="1030"/>
        <w:gridCol w:w="585"/>
      </w:tblGrid>
      <w:tr w:rsidR="007D55BF" w:rsidRPr="007D55BF">
        <w:tblPrEx>
          <w:tblCellMar>
            <w:top w:w="0" w:type="dxa"/>
            <w:bottom w:w="0" w:type="dxa"/>
          </w:tblCellMar>
        </w:tblPrEx>
        <w:trPr>
          <w:trHeight w:val="268"/>
          <w:jc w:val="center"/>
        </w:trPr>
        <w:tc>
          <w:tcPr>
            <w:tcW w:w="2876" w:type="dxa"/>
            <w:gridSpan w:val="3"/>
            <w:tcBorders>
              <w:top w:val="single" w:sz="12" w:space="0" w:color="auto"/>
              <w:left w:val="single" w:sz="12" w:space="0" w:color="auto"/>
              <w:bottom w:val="single" w:sz="12" w:space="0" w:color="auto"/>
              <w:right w:val="single" w:sz="12" w:space="0" w:color="auto"/>
            </w:tcBorders>
          </w:tcPr>
          <w:p w:rsidR="007D55BF" w:rsidRPr="00277722" w:rsidRDefault="007D55BF" w:rsidP="00FA63E6">
            <w:pPr>
              <w:autoSpaceDE w:val="0"/>
              <w:autoSpaceDN w:val="0"/>
              <w:adjustRightInd w:val="0"/>
              <w:jc w:val="center"/>
              <w:rPr>
                <w:b/>
                <w:color w:val="000000"/>
                <w:sz w:val="20"/>
                <w:szCs w:val="20"/>
                <w:lang w:eastAsia="es-EC"/>
              </w:rPr>
            </w:pPr>
            <w:r w:rsidRPr="00277722">
              <w:rPr>
                <w:b/>
                <w:color w:val="000000"/>
                <w:sz w:val="20"/>
                <w:szCs w:val="20"/>
                <w:lang w:eastAsia="es-EC"/>
              </w:rPr>
              <w:t>Tabla XIII</w:t>
            </w:r>
          </w:p>
          <w:p w:rsidR="007D55BF" w:rsidRPr="007D55BF" w:rsidRDefault="007D55BF" w:rsidP="00FA63E6">
            <w:pPr>
              <w:autoSpaceDE w:val="0"/>
              <w:autoSpaceDN w:val="0"/>
              <w:adjustRightInd w:val="0"/>
              <w:jc w:val="center"/>
              <w:rPr>
                <w:color w:val="000000"/>
                <w:sz w:val="16"/>
                <w:szCs w:val="16"/>
                <w:lang w:eastAsia="es-EC"/>
              </w:rPr>
            </w:pPr>
            <w:r>
              <w:rPr>
                <w:color w:val="000000"/>
                <w:sz w:val="16"/>
                <w:szCs w:val="16"/>
                <w:lang w:eastAsia="es-EC"/>
              </w:rPr>
              <w:t>Variables, Categorías y Varianza Total</w:t>
            </w:r>
          </w:p>
        </w:tc>
      </w:tr>
      <w:tr w:rsidR="007D55BF" w:rsidRPr="007D55BF">
        <w:tblPrEx>
          <w:tblCellMar>
            <w:top w:w="0" w:type="dxa"/>
            <w:bottom w:w="0" w:type="dxa"/>
          </w:tblCellMar>
        </w:tblPrEx>
        <w:trPr>
          <w:trHeight w:val="144"/>
          <w:jc w:val="center"/>
        </w:trPr>
        <w:tc>
          <w:tcPr>
            <w:tcW w:w="1261" w:type="dxa"/>
            <w:tcBorders>
              <w:top w:val="single" w:sz="12" w:space="0" w:color="auto"/>
              <w:left w:val="single" w:sz="12" w:space="0" w:color="auto"/>
              <w:bottom w:val="single" w:sz="12" w:space="0" w:color="auto"/>
              <w:right w:val="single" w:sz="6" w:space="0" w:color="auto"/>
            </w:tcBorders>
          </w:tcPr>
          <w:p w:rsidR="007D55BF" w:rsidRPr="007D55BF" w:rsidRDefault="007D55BF" w:rsidP="00FA63E6">
            <w:pPr>
              <w:autoSpaceDE w:val="0"/>
              <w:autoSpaceDN w:val="0"/>
              <w:adjustRightInd w:val="0"/>
              <w:jc w:val="center"/>
              <w:rPr>
                <w:color w:val="000000"/>
                <w:sz w:val="16"/>
                <w:szCs w:val="16"/>
                <w:lang w:eastAsia="es-EC"/>
              </w:rPr>
            </w:pPr>
            <w:r w:rsidRPr="007D55BF">
              <w:rPr>
                <w:color w:val="000000"/>
                <w:sz w:val="16"/>
                <w:szCs w:val="16"/>
                <w:lang w:eastAsia="es-EC"/>
              </w:rPr>
              <w:t>Descripción</w:t>
            </w:r>
          </w:p>
        </w:tc>
        <w:tc>
          <w:tcPr>
            <w:tcW w:w="1030" w:type="dxa"/>
            <w:tcBorders>
              <w:top w:val="single" w:sz="12" w:space="0" w:color="auto"/>
              <w:left w:val="single" w:sz="6" w:space="0" w:color="auto"/>
              <w:bottom w:val="single" w:sz="12" w:space="0" w:color="auto"/>
              <w:right w:val="single" w:sz="6" w:space="0" w:color="auto"/>
            </w:tcBorders>
          </w:tcPr>
          <w:p w:rsidR="007D55BF" w:rsidRPr="007D55BF" w:rsidRDefault="007D55BF" w:rsidP="00FA63E6">
            <w:pPr>
              <w:autoSpaceDE w:val="0"/>
              <w:autoSpaceDN w:val="0"/>
              <w:adjustRightInd w:val="0"/>
              <w:jc w:val="center"/>
              <w:rPr>
                <w:color w:val="000000"/>
                <w:sz w:val="16"/>
                <w:szCs w:val="16"/>
                <w:lang w:eastAsia="es-EC"/>
              </w:rPr>
            </w:pPr>
            <w:r w:rsidRPr="007D55BF">
              <w:rPr>
                <w:color w:val="000000"/>
                <w:sz w:val="16"/>
                <w:szCs w:val="16"/>
                <w:lang w:eastAsia="es-EC"/>
              </w:rPr>
              <w:t>Simbología</w:t>
            </w:r>
          </w:p>
        </w:tc>
        <w:tc>
          <w:tcPr>
            <w:tcW w:w="585" w:type="dxa"/>
            <w:tcBorders>
              <w:top w:val="single" w:sz="12" w:space="0" w:color="auto"/>
              <w:left w:val="single" w:sz="6" w:space="0" w:color="auto"/>
              <w:bottom w:val="single" w:sz="12" w:space="0" w:color="auto"/>
              <w:right w:val="single" w:sz="12" w:space="0" w:color="auto"/>
            </w:tcBorders>
          </w:tcPr>
          <w:p w:rsidR="007D55BF" w:rsidRPr="007D55BF" w:rsidRDefault="007D55BF" w:rsidP="00FA63E6">
            <w:pPr>
              <w:autoSpaceDE w:val="0"/>
              <w:autoSpaceDN w:val="0"/>
              <w:adjustRightInd w:val="0"/>
              <w:jc w:val="center"/>
              <w:rPr>
                <w:color w:val="000000"/>
                <w:sz w:val="16"/>
                <w:szCs w:val="16"/>
                <w:lang w:eastAsia="es-EC"/>
              </w:rPr>
            </w:pPr>
            <w:r w:rsidRPr="007D55BF">
              <w:rPr>
                <w:color w:val="000000"/>
                <w:sz w:val="16"/>
                <w:szCs w:val="16"/>
                <w:lang w:eastAsia="es-EC"/>
              </w:rPr>
              <w:t>Total</w:t>
            </w:r>
          </w:p>
        </w:tc>
      </w:tr>
      <w:tr w:rsidR="007D55BF" w:rsidRPr="007D55BF">
        <w:tblPrEx>
          <w:tblCellMar>
            <w:top w:w="0" w:type="dxa"/>
            <w:bottom w:w="0" w:type="dxa"/>
          </w:tblCellMar>
        </w:tblPrEx>
        <w:trPr>
          <w:trHeight w:val="100"/>
          <w:jc w:val="center"/>
        </w:trPr>
        <w:tc>
          <w:tcPr>
            <w:tcW w:w="1261" w:type="dxa"/>
            <w:tcBorders>
              <w:top w:val="single" w:sz="12" w:space="0" w:color="auto"/>
              <w:left w:val="single" w:sz="12" w:space="0" w:color="auto"/>
              <w:bottom w:val="single" w:sz="6" w:space="0" w:color="auto"/>
              <w:right w:val="single" w:sz="6" w:space="0" w:color="auto"/>
            </w:tcBorders>
          </w:tcPr>
          <w:p w:rsidR="007D55BF" w:rsidRPr="007D55BF" w:rsidRDefault="007D55BF" w:rsidP="00FA63E6">
            <w:pPr>
              <w:autoSpaceDE w:val="0"/>
              <w:autoSpaceDN w:val="0"/>
              <w:adjustRightInd w:val="0"/>
              <w:rPr>
                <w:color w:val="000000"/>
                <w:sz w:val="16"/>
                <w:szCs w:val="16"/>
                <w:lang w:eastAsia="es-EC"/>
              </w:rPr>
            </w:pPr>
            <w:r w:rsidRPr="007D55BF">
              <w:rPr>
                <w:color w:val="000000"/>
                <w:sz w:val="16"/>
                <w:szCs w:val="16"/>
                <w:lang w:eastAsia="es-EC"/>
              </w:rPr>
              <w:t>Variables</w:t>
            </w:r>
          </w:p>
        </w:tc>
        <w:tc>
          <w:tcPr>
            <w:tcW w:w="1030" w:type="dxa"/>
            <w:tcBorders>
              <w:top w:val="single" w:sz="12" w:space="0" w:color="auto"/>
              <w:left w:val="single" w:sz="6" w:space="0" w:color="auto"/>
              <w:bottom w:val="single" w:sz="6" w:space="0" w:color="auto"/>
              <w:right w:val="single" w:sz="6" w:space="0" w:color="auto"/>
            </w:tcBorders>
          </w:tcPr>
          <w:p w:rsidR="007D55BF" w:rsidRPr="007D55BF" w:rsidRDefault="007D55BF" w:rsidP="00FA63E6">
            <w:pPr>
              <w:autoSpaceDE w:val="0"/>
              <w:autoSpaceDN w:val="0"/>
              <w:adjustRightInd w:val="0"/>
              <w:jc w:val="center"/>
              <w:rPr>
                <w:color w:val="000000"/>
                <w:sz w:val="16"/>
                <w:szCs w:val="16"/>
                <w:lang w:eastAsia="es-EC"/>
              </w:rPr>
            </w:pPr>
            <w:r w:rsidRPr="007D55BF">
              <w:rPr>
                <w:color w:val="000000"/>
                <w:sz w:val="16"/>
                <w:szCs w:val="16"/>
                <w:lang w:eastAsia="es-EC"/>
              </w:rPr>
              <w:t>Q</w:t>
            </w:r>
          </w:p>
        </w:tc>
        <w:tc>
          <w:tcPr>
            <w:tcW w:w="585" w:type="dxa"/>
            <w:tcBorders>
              <w:top w:val="single" w:sz="12" w:space="0" w:color="auto"/>
              <w:left w:val="single" w:sz="6" w:space="0" w:color="auto"/>
              <w:bottom w:val="single" w:sz="6" w:space="0" w:color="auto"/>
              <w:right w:val="single" w:sz="12" w:space="0" w:color="auto"/>
            </w:tcBorders>
          </w:tcPr>
          <w:p w:rsidR="007D55BF" w:rsidRPr="007D55BF" w:rsidRDefault="007D55BF" w:rsidP="00FA63E6">
            <w:pPr>
              <w:autoSpaceDE w:val="0"/>
              <w:autoSpaceDN w:val="0"/>
              <w:adjustRightInd w:val="0"/>
              <w:jc w:val="center"/>
              <w:rPr>
                <w:color w:val="000000"/>
                <w:sz w:val="16"/>
                <w:szCs w:val="16"/>
                <w:lang w:eastAsia="es-EC"/>
              </w:rPr>
            </w:pPr>
            <w:r w:rsidRPr="007D55BF">
              <w:rPr>
                <w:color w:val="000000"/>
                <w:sz w:val="16"/>
                <w:szCs w:val="16"/>
                <w:lang w:eastAsia="es-EC"/>
              </w:rPr>
              <w:t>26</w:t>
            </w:r>
          </w:p>
        </w:tc>
      </w:tr>
      <w:tr w:rsidR="007D55BF" w:rsidRPr="007D55BF">
        <w:tblPrEx>
          <w:tblCellMar>
            <w:top w:w="0" w:type="dxa"/>
            <w:bottom w:w="0" w:type="dxa"/>
          </w:tblCellMar>
        </w:tblPrEx>
        <w:trPr>
          <w:trHeight w:val="71"/>
          <w:jc w:val="center"/>
        </w:trPr>
        <w:tc>
          <w:tcPr>
            <w:tcW w:w="1261" w:type="dxa"/>
            <w:tcBorders>
              <w:top w:val="single" w:sz="6" w:space="0" w:color="auto"/>
              <w:left w:val="single" w:sz="12" w:space="0" w:color="auto"/>
              <w:bottom w:val="single" w:sz="6" w:space="0" w:color="auto"/>
              <w:right w:val="single" w:sz="6" w:space="0" w:color="auto"/>
            </w:tcBorders>
          </w:tcPr>
          <w:p w:rsidR="007D55BF" w:rsidRPr="007D55BF" w:rsidRDefault="007D55BF" w:rsidP="00FA63E6">
            <w:pPr>
              <w:autoSpaceDE w:val="0"/>
              <w:autoSpaceDN w:val="0"/>
              <w:adjustRightInd w:val="0"/>
              <w:rPr>
                <w:color w:val="000000"/>
                <w:sz w:val="16"/>
                <w:szCs w:val="16"/>
                <w:lang w:eastAsia="es-EC"/>
              </w:rPr>
            </w:pPr>
            <w:r w:rsidRPr="007D55BF">
              <w:rPr>
                <w:color w:val="000000"/>
                <w:sz w:val="16"/>
                <w:szCs w:val="16"/>
                <w:lang w:eastAsia="es-EC"/>
              </w:rPr>
              <w:t>Categorías</w:t>
            </w:r>
          </w:p>
        </w:tc>
        <w:tc>
          <w:tcPr>
            <w:tcW w:w="1030" w:type="dxa"/>
            <w:tcBorders>
              <w:top w:val="single" w:sz="6" w:space="0" w:color="auto"/>
              <w:left w:val="single" w:sz="6" w:space="0" w:color="auto"/>
              <w:bottom w:val="single" w:sz="6" w:space="0" w:color="auto"/>
              <w:right w:val="single" w:sz="6" w:space="0" w:color="auto"/>
            </w:tcBorders>
          </w:tcPr>
          <w:p w:rsidR="007D55BF" w:rsidRPr="007D55BF" w:rsidRDefault="007D55BF" w:rsidP="00FA63E6">
            <w:pPr>
              <w:autoSpaceDE w:val="0"/>
              <w:autoSpaceDN w:val="0"/>
              <w:adjustRightInd w:val="0"/>
              <w:jc w:val="center"/>
              <w:rPr>
                <w:color w:val="000000"/>
                <w:sz w:val="16"/>
                <w:szCs w:val="16"/>
                <w:lang w:eastAsia="es-EC"/>
              </w:rPr>
            </w:pPr>
            <w:r w:rsidRPr="007D55BF">
              <w:rPr>
                <w:color w:val="000000"/>
                <w:sz w:val="16"/>
                <w:szCs w:val="16"/>
                <w:lang w:eastAsia="es-EC"/>
              </w:rPr>
              <w:t>J</w:t>
            </w:r>
          </w:p>
        </w:tc>
        <w:tc>
          <w:tcPr>
            <w:tcW w:w="585" w:type="dxa"/>
            <w:tcBorders>
              <w:top w:val="single" w:sz="6" w:space="0" w:color="auto"/>
              <w:left w:val="single" w:sz="6" w:space="0" w:color="auto"/>
              <w:bottom w:val="single" w:sz="6" w:space="0" w:color="auto"/>
              <w:right w:val="single" w:sz="12" w:space="0" w:color="auto"/>
            </w:tcBorders>
          </w:tcPr>
          <w:p w:rsidR="007D55BF" w:rsidRPr="007D55BF" w:rsidRDefault="007D55BF" w:rsidP="00FA63E6">
            <w:pPr>
              <w:autoSpaceDE w:val="0"/>
              <w:autoSpaceDN w:val="0"/>
              <w:adjustRightInd w:val="0"/>
              <w:jc w:val="center"/>
              <w:rPr>
                <w:color w:val="000000"/>
                <w:sz w:val="16"/>
                <w:szCs w:val="16"/>
                <w:lang w:eastAsia="es-EC"/>
              </w:rPr>
            </w:pPr>
            <w:r w:rsidRPr="007D55BF">
              <w:rPr>
                <w:color w:val="000000"/>
                <w:sz w:val="16"/>
                <w:szCs w:val="16"/>
                <w:lang w:eastAsia="es-EC"/>
              </w:rPr>
              <w:t>55</w:t>
            </w:r>
          </w:p>
        </w:tc>
      </w:tr>
      <w:tr w:rsidR="007D55BF" w:rsidRPr="007D55BF">
        <w:tblPrEx>
          <w:tblCellMar>
            <w:top w:w="0" w:type="dxa"/>
            <w:bottom w:w="0" w:type="dxa"/>
          </w:tblCellMar>
        </w:tblPrEx>
        <w:trPr>
          <w:trHeight w:val="69"/>
          <w:jc w:val="center"/>
        </w:trPr>
        <w:tc>
          <w:tcPr>
            <w:tcW w:w="1261" w:type="dxa"/>
            <w:tcBorders>
              <w:top w:val="single" w:sz="6" w:space="0" w:color="auto"/>
              <w:left w:val="single" w:sz="12" w:space="0" w:color="auto"/>
              <w:bottom w:val="single" w:sz="12" w:space="0" w:color="auto"/>
              <w:right w:val="single" w:sz="6" w:space="0" w:color="auto"/>
            </w:tcBorders>
          </w:tcPr>
          <w:p w:rsidR="007D55BF" w:rsidRPr="007D55BF" w:rsidRDefault="007D55BF" w:rsidP="00FA63E6">
            <w:pPr>
              <w:autoSpaceDE w:val="0"/>
              <w:autoSpaceDN w:val="0"/>
              <w:adjustRightInd w:val="0"/>
              <w:rPr>
                <w:color w:val="000000"/>
                <w:sz w:val="16"/>
                <w:szCs w:val="16"/>
                <w:lang w:eastAsia="es-EC"/>
              </w:rPr>
            </w:pPr>
            <w:r w:rsidRPr="007D55BF">
              <w:rPr>
                <w:color w:val="000000"/>
                <w:sz w:val="16"/>
                <w:szCs w:val="16"/>
                <w:lang w:eastAsia="es-EC"/>
              </w:rPr>
              <w:t>Varianza Total</w:t>
            </w:r>
          </w:p>
        </w:tc>
        <w:tc>
          <w:tcPr>
            <w:tcW w:w="1030" w:type="dxa"/>
            <w:tcBorders>
              <w:top w:val="single" w:sz="6" w:space="0" w:color="auto"/>
              <w:left w:val="single" w:sz="6" w:space="0" w:color="auto"/>
              <w:bottom w:val="single" w:sz="12" w:space="0" w:color="auto"/>
              <w:right w:val="single" w:sz="6" w:space="0" w:color="auto"/>
            </w:tcBorders>
          </w:tcPr>
          <w:p w:rsidR="007D55BF" w:rsidRPr="007D55BF" w:rsidRDefault="007D55BF" w:rsidP="00FA63E6">
            <w:pPr>
              <w:autoSpaceDE w:val="0"/>
              <w:autoSpaceDN w:val="0"/>
              <w:adjustRightInd w:val="0"/>
              <w:jc w:val="center"/>
              <w:rPr>
                <w:color w:val="000000"/>
                <w:sz w:val="16"/>
                <w:szCs w:val="16"/>
                <w:lang w:eastAsia="es-EC"/>
              </w:rPr>
            </w:pPr>
            <w:r w:rsidRPr="007D55BF">
              <w:rPr>
                <w:color w:val="000000"/>
                <w:sz w:val="16"/>
                <w:szCs w:val="16"/>
                <w:lang w:eastAsia="es-EC"/>
              </w:rPr>
              <w:t xml:space="preserve"> (J/Q) -1</w:t>
            </w:r>
          </w:p>
        </w:tc>
        <w:tc>
          <w:tcPr>
            <w:tcW w:w="585" w:type="dxa"/>
            <w:tcBorders>
              <w:top w:val="single" w:sz="6" w:space="0" w:color="auto"/>
              <w:left w:val="single" w:sz="6" w:space="0" w:color="auto"/>
              <w:bottom w:val="single" w:sz="12" w:space="0" w:color="auto"/>
              <w:right w:val="single" w:sz="12" w:space="0" w:color="auto"/>
            </w:tcBorders>
          </w:tcPr>
          <w:p w:rsidR="007D55BF" w:rsidRPr="007D55BF" w:rsidRDefault="007D55BF" w:rsidP="00FA63E6">
            <w:pPr>
              <w:autoSpaceDE w:val="0"/>
              <w:autoSpaceDN w:val="0"/>
              <w:adjustRightInd w:val="0"/>
              <w:jc w:val="center"/>
              <w:rPr>
                <w:color w:val="000000"/>
                <w:sz w:val="16"/>
                <w:szCs w:val="16"/>
                <w:lang w:eastAsia="es-EC"/>
              </w:rPr>
            </w:pPr>
            <w:r w:rsidRPr="007D55BF">
              <w:rPr>
                <w:color w:val="000000"/>
                <w:sz w:val="16"/>
                <w:szCs w:val="16"/>
                <w:lang w:eastAsia="es-EC"/>
              </w:rPr>
              <w:t>1.12</w:t>
            </w:r>
          </w:p>
        </w:tc>
      </w:tr>
    </w:tbl>
    <w:p w:rsidR="00552BD5" w:rsidRDefault="00552BD5" w:rsidP="00A90469">
      <w:pPr>
        <w:pStyle w:val="Textoindependiente"/>
        <w:tabs>
          <w:tab w:val="left" w:pos="8280"/>
        </w:tabs>
        <w:jc w:val="both"/>
        <w:rPr>
          <w:b w:val="0"/>
          <w:sz w:val="20"/>
        </w:rPr>
      </w:pPr>
    </w:p>
    <w:p w:rsidR="00552BD5" w:rsidRPr="00277722" w:rsidRDefault="00277722" w:rsidP="00A90469">
      <w:pPr>
        <w:pStyle w:val="Textoindependiente"/>
        <w:tabs>
          <w:tab w:val="left" w:pos="8280"/>
        </w:tabs>
        <w:jc w:val="both"/>
        <w:rPr>
          <w:b w:val="0"/>
          <w:sz w:val="20"/>
        </w:rPr>
      </w:pPr>
      <w:r w:rsidRPr="00277722">
        <w:rPr>
          <w:b w:val="0"/>
          <w:sz w:val="20"/>
        </w:rPr>
        <w:t>Los valores propios en el análisis de correspondencias múltiples  o análisis de homogeneidad indican el porcentaje de varianza de las variables consideradas en el análisis que es explicada por cada dimensión, es decir que porcentaje de información de las variables originales es resumida por cada dimensión.</w:t>
      </w:r>
      <w:r>
        <w:rPr>
          <w:b w:val="0"/>
          <w:sz w:val="20"/>
        </w:rPr>
        <w:t xml:space="preserve"> Véase Tabla XIV.</w:t>
      </w:r>
    </w:p>
    <w:p w:rsidR="006F2667" w:rsidRDefault="006F2667" w:rsidP="00A90469">
      <w:pPr>
        <w:pStyle w:val="Textoindependiente"/>
        <w:tabs>
          <w:tab w:val="left" w:pos="8280"/>
        </w:tabs>
        <w:jc w:val="both"/>
        <w:rPr>
          <w:b w:val="0"/>
          <w:bCs w:val="0"/>
          <w:sz w:val="20"/>
        </w:rPr>
      </w:pPr>
    </w:p>
    <w:tbl>
      <w:tblPr>
        <w:tblW w:w="0" w:type="auto"/>
        <w:jc w:val="center"/>
        <w:tblInd w:w="46" w:type="dxa"/>
        <w:tblLayout w:type="fixed"/>
        <w:tblCellMar>
          <w:left w:w="70" w:type="dxa"/>
          <w:right w:w="70" w:type="dxa"/>
        </w:tblCellMar>
        <w:tblLook w:val="0000"/>
      </w:tblPr>
      <w:tblGrid>
        <w:gridCol w:w="1148"/>
        <w:gridCol w:w="736"/>
        <w:gridCol w:w="1260"/>
      </w:tblGrid>
      <w:tr w:rsidR="007D55BF" w:rsidRPr="00552BD5">
        <w:tblPrEx>
          <w:tblCellMar>
            <w:top w:w="0" w:type="dxa"/>
            <w:bottom w:w="0" w:type="dxa"/>
          </w:tblCellMar>
        </w:tblPrEx>
        <w:trPr>
          <w:trHeight w:val="434"/>
          <w:jc w:val="center"/>
        </w:trPr>
        <w:tc>
          <w:tcPr>
            <w:tcW w:w="3144" w:type="dxa"/>
            <w:gridSpan w:val="3"/>
            <w:tcBorders>
              <w:top w:val="single" w:sz="12" w:space="0" w:color="auto"/>
              <w:left w:val="single" w:sz="12" w:space="0" w:color="auto"/>
              <w:bottom w:val="single" w:sz="12" w:space="0" w:color="auto"/>
              <w:right w:val="single" w:sz="12" w:space="0" w:color="auto"/>
            </w:tcBorders>
            <w:vAlign w:val="center"/>
          </w:tcPr>
          <w:p w:rsidR="007D55BF" w:rsidRPr="0031763D" w:rsidRDefault="007D55BF" w:rsidP="00FA63E6">
            <w:pPr>
              <w:autoSpaceDE w:val="0"/>
              <w:autoSpaceDN w:val="0"/>
              <w:adjustRightInd w:val="0"/>
              <w:jc w:val="center"/>
              <w:rPr>
                <w:b/>
                <w:color w:val="000000"/>
                <w:sz w:val="20"/>
                <w:szCs w:val="20"/>
                <w:lang w:eastAsia="es-EC"/>
              </w:rPr>
            </w:pPr>
            <w:r w:rsidRPr="0031763D">
              <w:rPr>
                <w:b/>
                <w:color w:val="000000"/>
                <w:sz w:val="20"/>
                <w:szCs w:val="20"/>
                <w:lang w:eastAsia="es-EC"/>
              </w:rPr>
              <w:t>Tabla XIV</w:t>
            </w:r>
          </w:p>
          <w:p w:rsidR="007D55BF" w:rsidRPr="0031763D" w:rsidRDefault="007D55BF" w:rsidP="00FA63E6">
            <w:pPr>
              <w:autoSpaceDE w:val="0"/>
              <w:autoSpaceDN w:val="0"/>
              <w:adjustRightInd w:val="0"/>
              <w:jc w:val="center"/>
              <w:rPr>
                <w:color w:val="000000"/>
                <w:sz w:val="16"/>
                <w:szCs w:val="16"/>
                <w:lang w:eastAsia="es-EC"/>
              </w:rPr>
            </w:pPr>
            <w:r w:rsidRPr="0031763D">
              <w:rPr>
                <w:color w:val="000000"/>
                <w:sz w:val="16"/>
                <w:szCs w:val="16"/>
                <w:lang w:eastAsia="es-EC"/>
              </w:rPr>
              <w:t>Valores Propios de las 2 Primeras Dimensiones</w:t>
            </w:r>
          </w:p>
        </w:tc>
      </w:tr>
      <w:tr w:rsidR="00552BD5" w:rsidRPr="00552BD5">
        <w:tblPrEx>
          <w:tblCellMar>
            <w:top w:w="0" w:type="dxa"/>
            <w:bottom w:w="0" w:type="dxa"/>
          </w:tblCellMar>
        </w:tblPrEx>
        <w:trPr>
          <w:trHeight w:val="425"/>
          <w:jc w:val="center"/>
        </w:trPr>
        <w:tc>
          <w:tcPr>
            <w:tcW w:w="1148" w:type="dxa"/>
            <w:tcBorders>
              <w:top w:val="single" w:sz="12" w:space="0" w:color="auto"/>
              <w:left w:val="single" w:sz="12" w:space="0" w:color="auto"/>
              <w:bottom w:val="single" w:sz="12" w:space="0" w:color="auto"/>
              <w:right w:val="single" w:sz="6" w:space="0" w:color="auto"/>
            </w:tcBorders>
            <w:vAlign w:val="center"/>
          </w:tcPr>
          <w:p w:rsidR="00552BD5" w:rsidRPr="00552BD5" w:rsidRDefault="00552BD5" w:rsidP="00FA63E6">
            <w:pPr>
              <w:autoSpaceDE w:val="0"/>
              <w:autoSpaceDN w:val="0"/>
              <w:adjustRightInd w:val="0"/>
              <w:jc w:val="center"/>
              <w:rPr>
                <w:color w:val="000000"/>
                <w:sz w:val="16"/>
                <w:szCs w:val="16"/>
                <w:lang w:eastAsia="es-EC"/>
              </w:rPr>
            </w:pPr>
            <w:r w:rsidRPr="00552BD5">
              <w:rPr>
                <w:color w:val="000000"/>
                <w:sz w:val="16"/>
                <w:szCs w:val="16"/>
                <w:lang w:eastAsia="es-EC"/>
              </w:rPr>
              <w:t>Dimensiones</w:t>
            </w:r>
          </w:p>
        </w:tc>
        <w:tc>
          <w:tcPr>
            <w:tcW w:w="736" w:type="dxa"/>
            <w:tcBorders>
              <w:top w:val="single" w:sz="12" w:space="0" w:color="auto"/>
              <w:left w:val="single" w:sz="6" w:space="0" w:color="auto"/>
              <w:bottom w:val="single" w:sz="12" w:space="0" w:color="auto"/>
              <w:right w:val="single" w:sz="12" w:space="0" w:color="auto"/>
            </w:tcBorders>
            <w:vAlign w:val="center"/>
          </w:tcPr>
          <w:p w:rsidR="00552BD5" w:rsidRPr="00552BD5" w:rsidRDefault="00552BD5" w:rsidP="00FA63E6">
            <w:pPr>
              <w:autoSpaceDE w:val="0"/>
              <w:autoSpaceDN w:val="0"/>
              <w:adjustRightInd w:val="0"/>
              <w:jc w:val="center"/>
              <w:rPr>
                <w:color w:val="000000"/>
                <w:sz w:val="16"/>
                <w:szCs w:val="16"/>
                <w:lang w:eastAsia="es-EC"/>
              </w:rPr>
            </w:pPr>
            <w:r w:rsidRPr="00552BD5">
              <w:rPr>
                <w:color w:val="000000"/>
                <w:sz w:val="16"/>
                <w:szCs w:val="16"/>
                <w:lang w:eastAsia="es-EC"/>
              </w:rPr>
              <w:t>Valores Propios</w:t>
            </w:r>
          </w:p>
        </w:tc>
        <w:tc>
          <w:tcPr>
            <w:tcW w:w="1260" w:type="dxa"/>
            <w:tcBorders>
              <w:top w:val="single" w:sz="12" w:space="0" w:color="auto"/>
              <w:left w:val="single" w:sz="12" w:space="0" w:color="auto"/>
              <w:bottom w:val="single" w:sz="12" w:space="0" w:color="auto"/>
              <w:right w:val="single" w:sz="12" w:space="0" w:color="auto"/>
            </w:tcBorders>
            <w:vAlign w:val="center"/>
          </w:tcPr>
          <w:p w:rsidR="00552BD5" w:rsidRPr="00552BD5" w:rsidRDefault="00552BD5" w:rsidP="00FA63E6">
            <w:pPr>
              <w:autoSpaceDE w:val="0"/>
              <w:autoSpaceDN w:val="0"/>
              <w:adjustRightInd w:val="0"/>
              <w:jc w:val="center"/>
              <w:rPr>
                <w:color w:val="000000"/>
                <w:sz w:val="16"/>
                <w:szCs w:val="16"/>
                <w:lang w:eastAsia="es-EC"/>
              </w:rPr>
            </w:pPr>
            <w:r w:rsidRPr="00552BD5">
              <w:rPr>
                <w:color w:val="000000"/>
                <w:sz w:val="16"/>
                <w:szCs w:val="16"/>
                <w:lang w:eastAsia="es-EC"/>
              </w:rPr>
              <w:t xml:space="preserve">% de </w:t>
            </w:r>
            <w:smartTag w:uri="urn:schemas-microsoft-com:office:smarttags" w:element="PersonName">
              <w:smartTagPr>
                <w:attr w:name="ProductID" w:val="la Varianza Total"/>
              </w:smartTagPr>
              <w:r w:rsidRPr="00552BD5">
                <w:rPr>
                  <w:color w:val="000000"/>
                  <w:sz w:val="16"/>
                  <w:szCs w:val="16"/>
                  <w:lang w:eastAsia="es-EC"/>
                </w:rPr>
                <w:t>la Varianza Total</w:t>
              </w:r>
            </w:smartTag>
            <w:r w:rsidRPr="00552BD5">
              <w:rPr>
                <w:color w:val="000000"/>
                <w:sz w:val="16"/>
                <w:szCs w:val="16"/>
                <w:lang w:eastAsia="es-EC"/>
              </w:rPr>
              <w:t xml:space="preserve"> Explicada</w:t>
            </w:r>
          </w:p>
        </w:tc>
      </w:tr>
      <w:tr w:rsidR="00552BD5" w:rsidRPr="00552BD5">
        <w:tblPrEx>
          <w:tblCellMar>
            <w:top w:w="0" w:type="dxa"/>
            <w:bottom w:w="0" w:type="dxa"/>
          </w:tblCellMar>
        </w:tblPrEx>
        <w:trPr>
          <w:trHeight w:val="59"/>
          <w:jc w:val="center"/>
        </w:trPr>
        <w:tc>
          <w:tcPr>
            <w:tcW w:w="1148" w:type="dxa"/>
            <w:tcBorders>
              <w:top w:val="single" w:sz="12" w:space="0" w:color="auto"/>
              <w:left w:val="single" w:sz="12" w:space="0" w:color="auto"/>
              <w:bottom w:val="single" w:sz="6" w:space="0" w:color="auto"/>
              <w:right w:val="single" w:sz="6" w:space="0" w:color="auto"/>
            </w:tcBorders>
            <w:vAlign w:val="center"/>
          </w:tcPr>
          <w:p w:rsidR="00552BD5" w:rsidRPr="00552BD5" w:rsidRDefault="00552BD5" w:rsidP="00FA63E6">
            <w:pPr>
              <w:autoSpaceDE w:val="0"/>
              <w:autoSpaceDN w:val="0"/>
              <w:adjustRightInd w:val="0"/>
              <w:jc w:val="center"/>
              <w:rPr>
                <w:color w:val="000000"/>
                <w:sz w:val="16"/>
                <w:szCs w:val="16"/>
                <w:lang w:eastAsia="es-EC"/>
              </w:rPr>
            </w:pPr>
            <w:r w:rsidRPr="00552BD5">
              <w:rPr>
                <w:color w:val="000000"/>
                <w:sz w:val="16"/>
                <w:szCs w:val="16"/>
                <w:lang w:eastAsia="es-EC"/>
              </w:rPr>
              <w:t>1</w:t>
            </w:r>
          </w:p>
        </w:tc>
        <w:tc>
          <w:tcPr>
            <w:tcW w:w="736" w:type="dxa"/>
            <w:tcBorders>
              <w:top w:val="single" w:sz="12" w:space="0" w:color="auto"/>
              <w:left w:val="single" w:sz="6" w:space="0" w:color="auto"/>
              <w:bottom w:val="single" w:sz="6" w:space="0" w:color="auto"/>
              <w:right w:val="single" w:sz="12" w:space="0" w:color="auto"/>
            </w:tcBorders>
            <w:vAlign w:val="bottom"/>
          </w:tcPr>
          <w:p w:rsidR="00552BD5" w:rsidRPr="00552BD5" w:rsidRDefault="00552BD5" w:rsidP="00FA63E6">
            <w:pPr>
              <w:jc w:val="center"/>
              <w:rPr>
                <w:sz w:val="16"/>
                <w:szCs w:val="16"/>
              </w:rPr>
            </w:pPr>
            <w:r w:rsidRPr="00552BD5">
              <w:rPr>
                <w:sz w:val="16"/>
                <w:szCs w:val="16"/>
              </w:rPr>
              <w:t>0.083</w:t>
            </w:r>
          </w:p>
        </w:tc>
        <w:tc>
          <w:tcPr>
            <w:tcW w:w="1260" w:type="dxa"/>
            <w:tcBorders>
              <w:top w:val="single" w:sz="12" w:space="0" w:color="auto"/>
              <w:left w:val="single" w:sz="12" w:space="0" w:color="auto"/>
              <w:bottom w:val="single" w:sz="6" w:space="0" w:color="auto"/>
              <w:right w:val="single" w:sz="12" w:space="0" w:color="auto"/>
            </w:tcBorders>
            <w:vAlign w:val="bottom"/>
          </w:tcPr>
          <w:p w:rsidR="00552BD5" w:rsidRPr="00552BD5" w:rsidRDefault="00552BD5" w:rsidP="00FA63E6">
            <w:pPr>
              <w:jc w:val="center"/>
              <w:rPr>
                <w:sz w:val="16"/>
                <w:szCs w:val="16"/>
              </w:rPr>
            </w:pPr>
            <w:r w:rsidRPr="00552BD5">
              <w:rPr>
                <w:sz w:val="16"/>
                <w:szCs w:val="16"/>
              </w:rPr>
              <w:t>7.247</w:t>
            </w:r>
          </w:p>
        </w:tc>
      </w:tr>
      <w:tr w:rsidR="00552BD5" w:rsidRPr="00552BD5">
        <w:tblPrEx>
          <w:tblCellMar>
            <w:top w:w="0" w:type="dxa"/>
            <w:bottom w:w="0" w:type="dxa"/>
          </w:tblCellMar>
        </w:tblPrEx>
        <w:trPr>
          <w:trHeight w:val="55"/>
          <w:jc w:val="center"/>
        </w:trPr>
        <w:tc>
          <w:tcPr>
            <w:tcW w:w="1148" w:type="dxa"/>
            <w:tcBorders>
              <w:top w:val="single" w:sz="6" w:space="0" w:color="auto"/>
              <w:left w:val="single" w:sz="12" w:space="0" w:color="auto"/>
              <w:bottom w:val="single" w:sz="12" w:space="0" w:color="auto"/>
              <w:right w:val="single" w:sz="6" w:space="0" w:color="auto"/>
            </w:tcBorders>
            <w:vAlign w:val="center"/>
          </w:tcPr>
          <w:p w:rsidR="00552BD5" w:rsidRPr="00552BD5" w:rsidRDefault="00552BD5" w:rsidP="00FA63E6">
            <w:pPr>
              <w:autoSpaceDE w:val="0"/>
              <w:autoSpaceDN w:val="0"/>
              <w:adjustRightInd w:val="0"/>
              <w:jc w:val="center"/>
              <w:rPr>
                <w:color w:val="000000"/>
                <w:sz w:val="16"/>
                <w:szCs w:val="16"/>
                <w:lang w:eastAsia="es-EC"/>
              </w:rPr>
            </w:pPr>
            <w:r w:rsidRPr="00552BD5">
              <w:rPr>
                <w:color w:val="000000"/>
                <w:sz w:val="16"/>
                <w:szCs w:val="16"/>
                <w:lang w:eastAsia="es-EC"/>
              </w:rPr>
              <w:t>2</w:t>
            </w:r>
          </w:p>
        </w:tc>
        <w:tc>
          <w:tcPr>
            <w:tcW w:w="736" w:type="dxa"/>
            <w:tcBorders>
              <w:top w:val="single" w:sz="6" w:space="0" w:color="auto"/>
              <w:left w:val="single" w:sz="6" w:space="0" w:color="auto"/>
              <w:bottom w:val="single" w:sz="12" w:space="0" w:color="auto"/>
              <w:right w:val="single" w:sz="12" w:space="0" w:color="auto"/>
            </w:tcBorders>
            <w:vAlign w:val="bottom"/>
          </w:tcPr>
          <w:p w:rsidR="00552BD5" w:rsidRPr="00552BD5" w:rsidRDefault="00552BD5" w:rsidP="00FA63E6">
            <w:pPr>
              <w:jc w:val="center"/>
              <w:rPr>
                <w:sz w:val="16"/>
                <w:szCs w:val="16"/>
              </w:rPr>
            </w:pPr>
            <w:r w:rsidRPr="00552BD5">
              <w:rPr>
                <w:sz w:val="16"/>
                <w:szCs w:val="16"/>
              </w:rPr>
              <w:t>0.071</w:t>
            </w:r>
          </w:p>
        </w:tc>
        <w:tc>
          <w:tcPr>
            <w:tcW w:w="1260" w:type="dxa"/>
            <w:tcBorders>
              <w:top w:val="single" w:sz="6" w:space="0" w:color="auto"/>
              <w:left w:val="single" w:sz="12" w:space="0" w:color="auto"/>
              <w:bottom w:val="single" w:sz="12" w:space="0" w:color="auto"/>
              <w:right w:val="single" w:sz="12" w:space="0" w:color="auto"/>
            </w:tcBorders>
            <w:vAlign w:val="bottom"/>
          </w:tcPr>
          <w:p w:rsidR="00552BD5" w:rsidRPr="00552BD5" w:rsidRDefault="00552BD5" w:rsidP="00FA63E6">
            <w:pPr>
              <w:jc w:val="center"/>
              <w:rPr>
                <w:sz w:val="16"/>
                <w:szCs w:val="16"/>
              </w:rPr>
            </w:pPr>
            <w:r w:rsidRPr="00552BD5">
              <w:rPr>
                <w:sz w:val="16"/>
                <w:szCs w:val="16"/>
              </w:rPr>
              <w:t>6.227</w:t>
            </w:r>
          </w:p>
        </w:tc>
      </w:tr>
    </w:tbl>
    <w:p w:rsidR="00552BD5" w:rsidRDefault="00552BD5" w:rsidP="00A90469">
      <w:pPr>
        <w:pStyle w:val="Textoindependiente"/>
        <w:tabs>
          <w:tab w:val="left" w:pos="8280"/>
        </w:tabs>
        <w:jc w:val="both"/>
        <w:rPr>
          <w:b w:val="0"/>
          <w:bCs w:val="0"/>
          <w:sz w:val="20"/>
        </w:rPr>
      </w:pPr>
    </w:p>
    <w:p w:rsidR="00780527" w:rsidRPr="00641B5E" w:rsidRDefault="00641B5E" w:rsidP="00641B5E">
      <w:pPr>
        <w:pStyle w:val="Textoindependiente3"/>
        <w:spacing w:after="0"/>
        <w:jc w:val="both"/>
        <w:rPr>
          <w:sz w:val="20"/>
        </w:rPr>
      </w:pPr>
      <w:r w:rsidRPr="00FA4487">
        <w:rPr>
          <w:bCs/>
          <w:sz w:val="20"/>
        </w:rPr>
        <w:t>Medidas de Discriminación</w:t>
      </w:r>
      <w:r w:rsidRPr="00FA4487">
        <w:rPr>
          <w:sz w:val="20"/>
        </w:rPr>
        <w:t>.-</w:t>
      </w:r>
      <w:r w:rsidRPr="00641B5E">
        <w:rPr>
          <w:sz w:val="20"/>
        </w:rPr>
        <w:t>La medida de discriminación es la varianza de la variable cuantificada en un determinado factor. Los valores altos de esta medida indican una alta dispersión entre las categorías de las variables  en una determinada dimensión, el máximo valor que puede tomar esta medida es 1.</w:t>
      </w:r>
      <w:r>
        <w:rPr>
          <w:b/>
          <w:bCs/>
          <w:sz w:val="20"/>
        </w:rPr>
        <w:t xml:space="preserve"> </w:t>
      </w:r>
    </w:p>
    <w:p w:rsidR="00641B5E" w:rsidRDefault="00641B5E" w:rsidP="00641B5E">
      <w:pPr>
        <w:pStyle w:val="Textoindependiente3"/>
        <w:spacing w:after="0"/>
        <w:jc w:val="both"/>
        <w:rPr>
          <w:sz w:val="20"/>
        </w:rPr>
      </w:pPr>
    </w:p>
    <w:p w:rsidR="00641B5E" w:rsidRPr="002A4226" w:rsidRDefault="00641B5E" w:rsidP="00641B5E">
      <w:pPr>
        <w:pStyle w:val="Textoindependiente3"/>
        <w:spacing w:after="0"/>
        <w:jc w:val="both"/>
        <w:rPr>
          <w:sz w:val="20"/>
        </w:rPr>
      </w:pPr>
      <w:r>
        <w:rPr>
          <w:sz w:val="20"/>
        </w:rPr>
        <w:t>El Gráfico</w:t>
      </w:r>
      <w:r w:rsidRPr="00641B5E">
        <w:rPr>
          <w:sz w:val="20"/>
        </w:rPr>
        <w:t>1 permite apreciar tres tipos de variables. El primer tipo de variables se caracteriza por tener una medida de discriminación representativa en la primera dimensión y poco significativa en la segunda dimensión</w:t>
      </w:r>
      <w:r>
        <w:rPr>
          <w:sz w:val="20"/>
        </w:rPr>
        <w:t>, e</w:t>
      </w:r>
      <w:r w:rsidRPr="00641B5E">
        <w:rPr>
          <w:sz w:val="20"/>
        </w:rPr>
        <w:t>l segundo tipo de variables tiene una medida de discriminación representativa en la segunda dimensión con valores bajos de esta medida cercanos a cero en la primera dimensión, es decir estas variables se encuentran mejor representadas en la segunda dimensión</w:t>
      </w:r>
      <w:r w:rsidR="002A4226">
        <w:rPr>
          <w:sz w:val="20"/>
        </w:rPr>
        <w:t>,</w:t>
      </w:r>
      <w:r>
        <w:rPr>
          <w:sz w:val="20"/>
        </w:rPr>
        <w:t xml:space="preserve"> finalmente</w:t>
      </w:r>
      <w:r w:rsidR="002A4226">
        <w:rPr>
          <w:sz w:val="20"/>
        </w:rPr>
        <w:t xml:space="preserve"> </w:t>
      </w:r>
      <w:r w:rsidR="002A4226" w:rsidRPr="002A4226">
        <w:rPr>
          <w:sz w:val="20"/>
        </w:rPr>
        <w:t>el tercer tipo  de variables esta formado por las variables restantes que se caracterizan por no contribuir  a la  explicación de  ninguna de las dos dimensiones porque tienen medidas de discriminación cercanas a cero</w:t>
      </w:r>
      <w:r w:rsidR="002A4226">
        <w:rPr>
          <w:sz w:val="20"/>
        </w:rPr>
        <w:t>.</w:t>
      </w:r>
    </w:p>
    <w:p w:rsidR="00641B5E" w:rsidRDefault="00641B5E" w:rsidP="00641B5E">
      <w:pPr>
        <w:pStyle w:val="Textoindependiente3"/>
        <w:spacing w:after="0"/>
        <w:jc w:val="both"/>
        <w:rPr>
          <w:sz w:val="20"/>
        </w:rPr>
      </w:pPr>
    </w:p>
    <w:p w:rsidR="00FA4487" w:rsidRPr="00FA4487" w:rsidRDefault="00FA4487" w:rsidP="00FA4487">
      <w:pPr>
        <w:pStyle w:val="Textoindependiente3"/>
        <w:spacing w:after="0"/>
        <w:jc w:val="center"/>
        <w:rPr>
          <w:b/>
          <w:sz w:val="20"/>
        </w:rPr>
      </w:pPr>
      <w:r w:rsidRPr="00FA4487">
        <w:rPr>
          <w:b/>
          <w:sz w:val="20"/>
        </w:rPr>
        <w:t>Gráfico 1</w:t>
      </w:r>
    </w:p>
    <w:p w:rsidR="00FA4487" w:rsidRPr="00FA4487" w:rsidRDefault="00FA4487" w:rsidP="00FA4487">
      <w:pPr>
        <w:pStyle w:val="Textoindependiente3"/>
        <w:spacing w:after="0"/>
        <w:jc w:val="center"/>
      </w:pPr>
      <w:r w:rsidRPr="00FA4487">
        <w:t>Medidas de Discriminación de las</w:t>
      </w:r>
      <w:r>
        <w:t xml:space="preserve"> </w:t>
      </w:r>
      <w:r w:rsidRPr="00FA4487">
        <w:t>Variables</w:t>
      </w:r>
    </w:p>
    <w:p w:rsidR="00641B5E" w:rsidRPr="00EF1699" w:rsidRDefault="00C25465" w:rsidP="00641B5E">
      <w:pPr>
        <w:pStyle w:val="Textoindependiente3"/>
        <w:spacing w:after="0"/>
        <w:jc w:val="both"/>
        <w:rPr>
          <w:sz w:val="20"/>
        </w:rPr>
      </w:pPr>
      <w:r>
        <w:rPr>
          <w:rFonts w:ascii="Arial" w:hAnsi="Arial" w:cs="Arial"/>
          <w:b/>
          <w:noProof/>
          <w:lang w:val="en-US" w:eastAsia="en-US"/>
        </w:rPr>
        <w:lastRenderedPageBreak/>
        <w:drawing>
          <wp:inline distT="0" distB="0" distL="0" distR="0">
            <wp:extent cx="2401570" cy="214693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srcRect/>
                    <a:stretch>
                      <a:fillRect/>
                    </a:stretch>
                  </pic:blipFill>
                  <pic:spPr bwMode="auto">
                    <a:xfrm>
                      <a:off x="0" y="0"/>
                      <a:ext cx="2401570" cy="2146935"/>
                    </a:xfrm>
                    <a:prstGeom prst="rect">
                      <a:avLst/>
                    </a:prstGeom>
                    <a:noFill/>
                    <a:ln w="9525">
                      <a:noFill/>
                      <a:miter lim="800000"/>
                      <a:headEnd/>
                      <a:tailEnd/>
                    </a:ln>
                  </pic:spPr>
                </pic:pic>
              </a:graphicData>
            </a:graphic>
          </wp:inline>
        </w:drawing>
      </w:r>
    </w:p>
    <w:p w:rsidR="00200565" w:rsidRPr="00200565" w:rsidRDefault="00200565" w:rsidP="00780527">
      <w:pPr>
        <w:autoSpaceDE w:val="0"/>
        <w:autoSpaceDN w:val="0"/>
        <w:adjustRightInd w:val="0"/>
        <w:jc w:val="both"/>
        <w:rPr>
          <w:b/>
          <w:sz w:val="10"/>
        </w:rPr>
      </w:pPr>
    </w:p>
    <w:p w:rsidR="00FA4487" w:rsidRDefault="00FA4487" w:rsidP="00780527">
      <w:pPr>
        <w:autoSpaceDE w:val="0"/>
        <w:autoSpaceDN w:val="0"/>
        <w:adjustRightInd w:val="0"/>
        <w:jc w:val="both"/>
        <w:rPr>
          <w:b/>
          <w:sz w:val="20"/>
        </w:rPr>
      </w:pPr>
    </w:p>
    <w:p w:rsidR="00FA4487" w:rsidRDefault="00FA4487" w:rsidP="00780527">
      <w:pPr>
        <w:autoSpaceDE w:val="0"/>
        <w:autoSpaceDN w:val="0"/>
        <w:adjustRightInd w:val="0"/>
        <w:jc w:val="both"/>
        <w:rPr>
          <w:sz w:val="20"/>
        </w:rPr>
      </w:pPr>
      <w:r w:rsidRPr="00FA4487">
        <w:rPr>
          <w:sz w:val="20"/>
        </w:rPr>
        <w:t>Cuan</w:t>
      </w:r>
      <w:r>
        <w:rPr>
          <w:sz w:val="20"/>
        </w:rPr>
        <w:t>tificaciones de las Categorías</w:t>
      </w:r>
      <w:r w:rsidRPr="00FA4487">
        <w:rPr>
          <w:sz w:val="20"/>
        </w:rPr>
        <w:t>.-Las cuantificaciones  son la medida de las puntuaciones  de los objetos o casos con esa categoría, la representación gráfica de esta medida permitirá conocer las relaciones y similitud entre ellas. Las categorías de variables distintas  cercanas en el gráfico  determinan asociación entre ellas, por estar dichas categorías  presentes en los mismos casos. Si se presenta el caso de la  cercanía  entre las categorías  de una misma variable se interpreta como  una semejanza entre ellas.</w:t>
      </w:r>
    </w:p>
    <w:p w:rsidR="00F50527" w:rsidRDefault="00F50527" w:rsidP="00780527">
      <w:pPr>
        <w:autoSpaceDE w:val="0"/>
        <w:autoSpaceDN w:val="0"/>
        <w:adjustRightInd w:val="0"/>
        <w:jc w:val="both"/>
        <w:rPr>
          <w:sz w:val="20"/>
        </w:rPr>
      </w:pPr>
    </w:p>
    <w:p w:rsidR="00F50527" w:rsidRPr="00FA4487" w:rsidRDefault="00F50527" w:rsidP="00F50527">
      <w:pPr>
        <w:pStyle w:val="Textoindependiente3"/>
        <w:spacing w:after="0"/>
        <w:jc w:val="center"/>
        <w:rPr>
          <w:b/>
          <w:sz w:val="20"/>
        </w:rPr>
      </w:pPr>
      <w:r w:rsidRPr="00FA4487">
        <w:rPr>
          <w:b/>
          <w:sz w:val="20"/>
        </w:rPr>
        <w:t>Gr</w:t>
      </w:r>
      <w:r>
        <w:rPr>
          <w:b/>
          <w:sz w:val="20"/>
        </w:rPr>
        <w:t>áfico 2</w:t>
      </w:r>
    </w:p>
    <w:p w:rsidR="00F50527" w:rsidRPr="00FA4487" w:rsidRDefault="00F50527" w:rsidP="00F50527">
      <w:pPr>
        <w:pStyle w:val="Textoindependiente3"/>
        <w:spacing w:after="0"/>
        <w:jc w:val="center"/>
      </w:pPr>
      <w:r>
        <w:t>Gráfico de las Cuantificaciones de las Categorías</w:t>
      </w:r>
    </w:p>
    <w:p w:rsidR="00F50527" w:rsidRPr="00FA4487" w:rsidRDefault="00F50527" w:rsidP="00780527">
      <w:pPr>
        <w:autoSpaceDE w:val="0"/>
        <w:autoSpaceDN w:val="0"/>
        <w:adjustRightInd w:val="0"/>
        <w:jc w:val="both"/>
        <w:rPr>
          <w:sz w:val="20"/>
        </w:rPr>
      </w:pPr>
    </w:p>
    <w:p w:rsidR="00FA4487" w:rsidRDefault="00C25465" w:rsidP="00780527">
      <w:pPr>
        <w:autoSpaceDE w:val="0"/>
        <w:autoSpaceDN w:val="0"/>
        <w:adjustRightInd w:val="0"/>
        <w:jc w:val="both"/>
        <w:rPr>
          <w:b/>
          <w:sz w:val="20"/>
        </w:rPr>
      </w:pPr>
      <w:r>
        <w:rPr>
          <w:noProof/>
          <w:lang w:val="en-US" w:eastAsia="en-US"/>
        </w:rPr>
        <w:drawing>
          <wp:inline distT="0" distB="0" distL="0" distR="0">
            <wp:extent cx="2512695" cy="2226310"/>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srcRect/>
                    <a:stretch>
                      <a:fillRect/>
                    </a:stretch>
                  </pic:blipFill>
                  <pic:spPr bwMode="auto">
                    <a:xfrm>
                      <a:off x="0" y="0"/>
                      <a:ext cx="2512695" cy="2226310"/>
                    </a:xfrm>
                    <a:prstGeom prst="rect">
                      <a:avLst/>
                    </a:prstGeom>
                    <a:noFill/>
                    <a:ln w="9525">
                      <a:noFill/>
                      <a:miter lim="800000"/>
                      <a:headEnd/>
                      <a:tailEnd/>
                    </a:ln>
                  </pic:spPr>
                </pic:pic>
              </a:graphicData>
            </a:graphic>
          </wp:inline>
        </w:drawing>
      </w:r>
    </w:p>
    <w:p w:rsidR="00FA4487" w:rsidRDefault="00FA4487" w:rsidP="00780527">
      <w:pPr>
        <w:autoSpaceDE w:val="0"/>
        <w:autoSpaceDN w:val="0"/>
        <w:adjustRightInd w:val="0"/>
        <w:jc w:val="both"/>
        <w:rPr>
          <w:b/>
          <w:sz w:val="20"/>
        </w:rPr>
      </w:pPr>
    </w:p>
    <w:p w:rsidR="00F50527" w:rsidRPr="00F50527" w:rsidRDefault="00F50527" w:rsidP="00F50527">
      <w:pPr>
        <w:autoSpaceDE w:val="0"/>
        <w:autoSpaceDN w:val="0"/>
        <w:adjustRightInd w:val="0"/>
        <w:jc w:val="both"/>
        <w:rPr>
          <w:sz w:val="20"/>
        </w:rPr>
      </w:pPr>
      <w:r w:rsidRPr="00F50527">
        <w:rPr>
          <w:sz w:val="20"/>
        </w:rPr>
        <w:t xml:space="preserve">En el primer cuadrante las categorías de las variables forman cuatro grupos; el primero se caracteriza por la asociación entre pacientes  con un nivel de severidad del asma moderado (moderado) y pacientes que presentaron como síntoma del asma   hemoptisis (Si);  junto a este grupo se relacionan pacientes   con síntomas  de fiebre (Si_Fieb) y sibilancias (Si_Sib); otro grupo lo conforman aquellos pacientes que presentaron crisis en al primera consulta (Si_Cri) y el síntoma ro ncus (Si_Ron); cerca del origen las categorías de algunas variables </w:t>
      </w:r>
      <w:r w:rsidRPr="00F50527">
        <w:rPr>
          <w:sz w:val="20"/>
        </w:rPr>
        <w:lastRenderedPageBreak/>
        <w:t>conforman el grupo representado por los pacientes  de género femenino (Femenino), que son fumadores a pasivos (Si_Pa), con seguro militar (Si_Seg,)  con síntomas como la tos (Si_Tos) y la expectoración (Si_Exp) , además estos pacientes no presentaron neumonía (No_Neugm) y no tenían animales domésticos (No_Ani) pero si tuvieron antecedentes de bronquitis  (Si_Bron) como enfermedad respiratoria previa. Los pacientes que no continuaron con el control y tratamiento del asma (No_CT)  se encuentran en el centro asociándose con los grupos formados en el primer cuadrante.</w:t>
      </w:r>
    </w:p>
    <w:p w:rsidR="00F50527" w:rsidRPr="00F50527" w:rsidRDefault="00F50527" w:rsidP="00F50527">
      <w:pPr>
        <w:autoSpaceDE w:val="0"/>
        <w:autoSpaceDN w:val="0"/>
        <w:adjustRightInd w:val="0"/>
        <w:jc w:val="both"/>
        <w:rPr>
          <w:sz w:val="20"/>
        </w:rPr>
      </w:pPr>
    </w:p>
    <w:p w:rsidR="00F50527" w:rsidRPr="00F50527" w:rsidRDefault="00F50527" w:rsidP="00F50527">
      <w:pPr>
        <w:autoSpaceDE w:val="0"/>
        <w:autoSpaceDN w:val="0"/>
        <w:adjustRightInd w:val="0"/>
        <w:jc w:val="both"/>
        <w:rPr>
          <w:sz w:val="20"/>
        </w:rPr>
      </w:pPr>
      <w:r w:rsidRPr="00F50527">
        <w:rPr>
          <w:sz w:val="20"/>
        </w:rPr>
        <w:t xml:space="preserve">En el segundo cuadrante  se asocian pacientes asmáticos  con  edades entre 35.61 y 50.3 años (grupo 1) con pacientes que tienen nivel de instrucción  secundaria y superior que no  fueron hospitalizados (No_Hos), no estuvieron expuestos al humo de leña (No_Hum), además presentaron dolor en el tórax (Si_Dol) y gastritis (Si_Gastr). En la parte superior del segundo cuadrante  la segunda dimensión  permite formar otro grupo caracterizado por los pacientes que tienen familiares asmáticos (Si_Fam) que tienen animales domésticos en casa (Si_Ani), con antecedentes de atopia alergia y rinitis (Si_Aler, Si_ Rin)  y  antecedentes previos de asma. Mientras que los pacientes jóvenes con edades entre 15.23 y 35.60 años  se encuentran asociados con los dos grupos descritos anteriormente, por encontrarse esta categoría entre los dos grupos </w:t>
      </w:r>
    </w:p>
    <w:p w:rsidR="00F50527" w:rsidRPr="00F50527" w:rsidRDefault="00F50527" w:rsidP="00F50527">
      <w:pPr>
        <w:autoSpaceDE w:val="0"/>
        <w:autoSpaceDN w:val="0"/>
        <w:adjustRightInd w:val="0"/>
        <w:jc w:val="both"/>
        <w:rPr>
          <w:sz w:val="20"/>
        </w:rPr>
      </w:pPr>
    </w:p>
    <w:p w:rsidR="00F50527" w:rsidRPr="00F50527" w:rsidRDefault="00F50527" w:rsidP="00F50527">
      <w:pPr>
        <w:autoSpaceDE w:val="0"/>
        <w:autoSpaceDN w:val="0"/>
        <w:adjustRightInd w:val="0"/>
        <w:jc w:val="both"/>
        <w:rPr>
          <w:sz w:val="20"/>
        </w:rPr>
      </w:pPr>
      <w:r w:rsidRPr="00F50527">
        <w:rPr>
          <w:sz w:val="20"/>
        </w:rPr>
        <w:t>En el tercer cuadrante se diferencia la formación de tres grupos: El primer grupo ubicado cerca del origen lo componen pacientes con asma leve (Leve) que no  tienen seguro militar (No_Seg), no tienen roncus (No_Ron) ni sibilancia (No_Sib) y  continuaron con el control y tratamiento (Si_CT)  de esta enfermedad, además no presentaron  expectoración (No_Exp) tampoco crisis en la primera consulta ( No_Cri), pero si perdieron peso (Si_peso ).</w:t>
      </w:r>
    </w:p>
    <w:p w:rsidR="00F50527" w:rsidRPr="00F50527" w:rsidRDefault="00F50527" w:rsidP="00F50527">
      <w:pPr>
        <w:autoSpaceDE w:val="0"/>
        <w:autoSpaceDN w:val="0"/>
        <w:adjustRightInd w:val="0"/>
        <w:jc w:val="both"/>
        <w:rPr>
          <w:sz w:val="20"/>
        </w:rPr>
      </w:pPr>
      <w:r w:rsidRPr="00F50527">
        <w:rPr>
          <w:sz w:val="20"/>
        </w:rPr>
        <w:t>En la parte inferior izquierda del tercer cuadrante esta el  segundo grupo caracterizado por pacientes sin tos (No_Tos) y con expectoración (Si_Exp).</w:t>
      </w:r>
    </w:p>
    <w:p w:rsidR="00F50527" w:rsidRPr="00F50527" w:rsidRDefault="00F50527" w:rsidP="00F50527">
      <w:pPr>
        <w:autoSpaceDE w:val="0"/>
        <w:autoSpaceDN w:val="0"/>
        <w:adjustRightInd w:val="0"/>
        <w:jc w:val="both"/>
        <w:rPr>
          <w:sz w:val="20"/>
        </w:rPr>
      </w:pPr>
      <w:r w:rsidRPr="00F50527">
        <w:rPr>
          <w:sz w:val="20"/>
        </w:rPr>
        <w:t>En la parte inferior derecha del tercer cuadrante se forma el grupo con pacientes de género masculino (Masculino)  con cefalea (Si_Cef) y que son fumadores activos (Si_Act)</w:t>
      </w:r>
    </w:p>
    <w:p w:rsidR="00F50527" w:rsidRPr="00F50527" w:rsidRDefault="00F50527" w:rsidP="00F50527">
      <w:pPr>
        <w:autoSpaceDE w:val="0"/>
        <w:autoSpaceDN w:val="0"/>
        <w:adjustRightInd w:val="0"/>
        <w:jc w:val="both"/>
        <w:rPr>
          <w:sz w:val="20"/>
        </w:rPr>
      </w:pPr>
    </w:p>
    <w:p w:rsidR="00F50527" w:rsidRPr="00F50527" w:rsidRDefault="00F50527" w:rsidP="00F50527">
      <w:pPr>
        <w:autoSpaceDE w:val="0"/>
        <w:autoSpaceDN w:val="0"/>
        <w:adjustRightInd w:val="0"/>
        <w:jc w:val="both"/>
        <w:rPr>
          <w:sz w:val="20"/>
        </w:rPr>
      </w:pPr>
      <w:r w:rsidRPr="00F50527">
        <w:rPr>
          <w:sz w:val="20"/>
        </w:rPr>
        <w:t xml:space="preserve">Finalmente en el cuarto cuadrante se observa  la  formación de  tres grupos. El primer grupo se caracteriza por la presencia de pacientes con asma severa (Severa) entre 50.44 y 66.43 años (Grupo 3), con nivel de instrucción primaria (Primaria), expuestos al humo de leña </w:t>
      </w:r>
      <w:r w:rsidRPr="00F50527">
        <w:rPr>
          <w:sz w:val="20"/>
        </w:rPr>
        <w:lastRenderedPageBreak/>
        <w:t>(Si_Hum), sin eczema (No_Ec) como antecedente de atopia; con neumonía como enfermedad respiratoria previa (Si_Neum) y con presencia de otras enfermedades intercurrentes asociadas (Si_Enfer).</w:t>
      </w:r>
    </w:p>
    <w:p w:rsidR="00F50527" w:rsidRPr="00F50527" w:rsidRDefault="00F50527" w:rsidP="00F50527">
      <w:pPr>
        <w:autoSpaceDE w:val="0"/>
        <w:autoSpaceDN w:val="0"/>
        <w:adjustRightInd w:val="0"/>
        <w:jc w:val="both"/>
        <w:rPr>
          <w:sz w:val="20"/>
        </w:rPr>
      </w:pPr>
      <w:r w:rsidRPr="00F50527">
        <w:rPr>
          <w:sz w:val="20"/>
        </w:rPr>
        <w:t>En la parte inferior del cuarto cuadrante se diferencian dos grupos, pacientes sin antecedentes de alergia (No_Aler) se asocian con pacientes  sin antecedentes de rinitis (No_Rin); mientras que el tercer grupo  se caracteriza  por la presencia de  los pacientes sin nivel de instrucción con edades entre 66.44 y 105 años.</w:t>
      </w:r>
    </w:p>
    <w:p w:rsidR="00F50527" w:rsidRPr="00F50527" w:rsidRDefault="00F50527" w:rsidP="00F50527">
      <w:pPr>
        <w:autoSpaceDE w:val="0"/>
        <w:autoSpaceDN w:val="0"/>
        <w:adjustRightInd w:val="0"/>
        <w:jc w:val="both"/>
        <w:rPr>
          <w:sz w:val="20"/>
        </w:rPr>
      </w:pPr>
    </w:p>
    <w:p w:rsidR="00FA4487" w:rsidRDefault="00F50527" w:rsidP="00F50527">
      <w:pPr>
        <w:autoSpaceDE w:val="0"/>
        <w:autoSpaceDN w:val="0"/>
        <w:adjustRightInd w:val="0"/>
        <w:jc w:val="both"/>
        <w:rPr>
          <w:sz w:val="20"/>
        </w:rPr>
      </w:pPr>
      <w:r w:rsidRPr="00F50527">
        <w:rPr>
          <w:sz w:val="20"/>
        </w:rPr>
        <w:t>Las cuantificaciones de las categorías de las variables y su representación gráfica  permiten apreciar las principales características que presentan en los pacientes asmáticos; a pesar de la formación de pequeños  grupos  prevalece la sintomatología, los antecedentes de enfermedades respiratorias y enfermedades intercurrentes; además de la presencia de los grupos de edades   en algunos casos o el nivel de severidad de la enfermedad.</w:t>
      </w:r>
    </w:p>
    <w:p w:rsidR="009D40BE" w:rsidRDefault="009D40BE" w:rsidP="00F50527">
      <w:pPr>
        <w:autoSpaceDE w:val="0"/>
        <w:autoSpaceDN w:val="0"/>
        <w:adjustRightInd w:val="0"/>
        <w:jc w:val="both"/>
        <w:rPr>
          <w:sz w:val="20"/>
        </w:rPr>
      </w:pPr>
    </w:p>
    <w:p w:rsidR="009D40BE" w:rsidRDefault="009D40BE" w:rsidP="00F50527">
      <w:pPr>
        <w:autoSpaceDE w:val="0"/>
        <w:autoSpaceDN w:val="0"/>
        <w:adjustRightInd w:val="0"/>
        <w:jc w:val="both"/>
        <w:rPr>
          <w:sz w:val="20"/>
        </w:rPr>
      </w:pPr>
      <w:r w:rsidRPr="009D40BE">
        <w:rPr>
          <w:b/>
          <w:sz w:val="20"/>
        </w:rPr>
        <w:t>Análisis de Regresión Logística.-</w:t>
      </w:r>
      <w:r>
        <w:rPr>
          <w:b/>
          <w:sz w:val="20"/>
        </w:rPr>
        <w:t xml:space="preserve"> </w:t>
      </w:r>
      <w:r w:rsidRPr="009D40BE">
        <w:rPr>
          <w:sz w:val="20"/>
        </w:rPr>
        <w:t>Con el modelo de regresión logística  se pretende cuantificar  la relación  entre las variables independientes   y la variable dependiente   con el fin de explicar mejor los componentes de esa relación.</w:t>
      </w:r>
    </w:p>
    <w:p w:rsidR="00086703" w:rsidRDefault="00086703" w:rsidP="00F50527">
      <w:pPr>
        <w:autoSpaceDE w:val="0"/>
        <w:autoSpaceDN w:val="0"/>
        <w:adjustRightInd w:val="0"/>
        <w:jc w:val="both"/>
        <w:rPr>
          <w:sz w:val="20"/>
        </w:rPr>
      </w:pPr>
    </w:p>
    <w:p w:rsidR="00086703" w:rsidRDefault="00086703" w:rsidP="00F50527">
      <w:pPr>
        <w:autoSpaceDE w:val="0"/>
        <w:autoSpaceDN w:val="0"/>
        <w:adjustRightInd w:val="0"/>
        <w:jc w:val="both"/>
        <w:rPr>
          <w:sz w:val="20"/>
        </w:rPr>
      </w:pPr>
      <w:r>
        <w:rPr>
          <w:sz w:val="20"/>
        </w:rPr>
        <w:t>Definición</w:t>
      </w:r>
      <w:r w:rsidRPr="00086703">
        <w:rPr>
          <w:sz w:val="20"/>
        </w:rPr>
        <w:t>.-</w:t>
      </w:r>
      <w:r>
        <w:rPr>
          <w:sz w:val="20"/>
        </w:rPr>
        <w:t xml:space="preserve"> </w:t>
      </w:r>
      <w:r w:rsidRPr="00086703">
        <w:rPr>
          <w:sz w:val="20"/>
        </w:rPr>
        <w:t>Sea Y una variable dependiente binaria que toma dos posibles valores 0 y 1. Sean X1,...,Xk un conjunto de variables observadas con el fin de explicar y/o predecir el valor de Y. Se pretende determinar P[Y=1/X1,...,Xk], además P[Y=0 /X1,...,Xk] = 1- P[Y=1/X1,...,Xk]), donde P es probabilidad.</w:t>
      </w:r>
    </w:p>
    <w:p w:rsidR="00086703" w:rsidRDefault="00086703" w:rsidP="00F50527">
      <w:pPr>
        <w:autoSpaceDE w:val="0"/>
        <w:autoSpaceDN w:val="0"/>
        <w:adjustRightInd w:val="0"/>
        <w:jc w:val="both"/>
        <w:rPr>
          <w:sz w:val="20"/>
        </w:rPr>
      </w:pPr>
    </w:p>
    <w:p w:rsidR="00086703" w:rsidRPr="00086703" w:rsidRDefault="00086703" w:rsidP="00086703">
      <w:pPr>
        <w:autoSpaceDE w:val="0"/>
        <w:autoSpaceDN w:val="0"/>
        <w:adjustRightInd w:val="0"/>
        <w:jc w:val="both"/>
        <w:rPr>
          <w:sz w:val="20"/>
        </w:rPr>
      </w:pPr>
      <w:r>
        <w:rPr>
          <w:sz w:val="20"/>
        </w:rPr>
        <w:t>Descripción del Modelo</w:t>
      </w:r>
      <w:r w:rsidRPr="00086703">
        <w:rPr>
          <w:sz w:val="20"/>
        </w:rPr>
        <w:t>.-</w:t>
      </w:r>
      <w:r>
        <w:rPr>
          <w:sz w:val="20"/>
        </w:rPr>
        <w:t xml:space="preserve"> </w:t>
      </w:r>
      <w:r w:rsidRPr="00086703">
        <w:rPr>
          <w:sz w:val="20"/>
        </w:rPr>
        <w:t xml:space="preserve">Para construir un modelo de regresión logística, se necesita  un conjunto de variables independientes  o predictoras  y una variable de respuesta dicótomica.  </w:t>
      </w:r>
    </w:p>
    <w:p w:rsidR="00086703" w:rsidRPr="00086703" w:rsidRDefault="00086703" w:rsidP="00086703">
      <w:pPr>
        <w:autoSpaceDE w:val="0"/>
        <w:autoSpaceDN w:val="0"/>
        <w:adjustRightInd w:val="0"/>
        <w:jc w:val="both"/>
        <w:rPr>
          <w:sz w:val="20"/>
        </w:rPr>
      </w:pPr>
      <w:r w:rsidRPr="00086703">
        <w:rPr>
          <w:sz w:val="20"/>
        </w:rPr>
        <w:t>Dentro de la regresión logística se incluye el concepto del coeficiente odds ratio que se define como el cociente entre la probabilidad de que ocurra un evento frente a la probabilidad de que no ocurra, es decir cuanto mas probable es el éxito al fracaso.</w:t>
      </w:r>
      <w:r w:rsidRPr="00086703">
        <w:rPr>
          <w:sz w:val="20"/>
        </w:rPr>
        <w:cr/>
      </w:r>
    </w:p>
    <w:p w:rsidR="00FA4487" w:rsidRDefault="00086703" w:rsidP="00086703">
      <w:pPr>
        <w:autoSpaceDE w:val="0"/>
        <w:autoSpaceDN w:val="0"/>
        <w:adjustRightInd w:val="0"/>
        <w:jc w:val="center"/>
        <w:rPr>
          <w:b/>
          <w:sz w:val="20"/>
        </w:rPr>
      </w:pPr>
      <w:r w:rsidRPr="009B0CC2">
        <w:rPr>
          <w:rFonts w:ascii="Arial" w:hAnsi="Arial" w:cs="Arial"/>
          <w:position w:val="-28"/>
        </w:rPr>
        <w:object w:dxaOrig="1280" w:dyaOrig="660">
          <v:shape id="_x0000_i1039" type="#_x0000_t75" style="width:51pt;height:26.25pt" o:ole="">
            <v:imagedata r:id="rId38" o:title=""/>
          </v:shape>
          <o:OLEObject Type="Embed" ProgID="Equation.3" ShapeID="_x0000_i1039" DrawAspect="Content" ObjectID="_1346835858" r:id="rId39"/>
        </w:object>
      </w:r>
    </w:p>
    <w:p w:rsidR="00086703" w:rsidRDefault="00086703" w:rsidP="00780527">
      <w:pPr>
        <w:autoSpaceDE w:val="0"/>
        <w:autoSpaceDN w:val="0"/>
        <w:adjustRightInd w:val="0"/>
        <w:jc w:val="both"/>
        <w:rPr>
          <w:sz w:val="20"/>
        </w:rPr>
      </w:pPr>
    </w:p>
    <w:p w:rsidR="00086703" w:rsidRPr="00086703" w:rsidRDefault="00086703" w:rsidP="00780527">
      <w:pPr>
        <w:autoSpaceDE w:val="0"/>
        <w:autoSpaceDN w:val="0"/>
        <w:adjustRightInd w:val="0"/>
        <w:jc w:val="both"/>
        <w:rPr>
          <w:sz w:val="20"/>
        </w:rPr>
      </w:pPr>
      <w:r w:rsidRPr="00086703">
        <w:rPr>
          <w:sz w:val="20"/>
        </w:rPr>
        <w:t>A partir de esto se obtiene para una variable independiente o predictora X un modelo de la siguiente forma.</w:t>
      </w:r>
    </w:p>
    <w:p w:rsidR="00086703" w:rsidRDefault="00086703" w:rsidP="00780527">
      <w:pPr>
        <w:autoSpaceDE w:val="0"/>
        <w:autoSpaceDN w:val="0"/>
        <w:adjustRightInd w:val="0"/>
        <w:jc w:val="both"/>
        <w:rPr>
          <w:sz w:val="20"/>
        </w:rPr>
      </w:pPr>
    </w:p>
    <w:p w:rsidR="00086703" w:rsidRDefault="00086703" w:rsidP="00086703">
      <w:pPr>
        <w:autoSpaceDE w:val="0"/>
        <w:autoSpaceDN w:val="0"/>
        <w:adjustRightInd w:val="0"/>
        <w:jc w:val="center"/>
        <w:rPr>
          <w:sz w:val="20"/>
        </w:rPr>
      </w:pPr>
      <w:r w:rsidRPr="006730E5">
        <w:rPr>
          <w:position w:val="-12"/>
        </w:rPr>
        <w:object w:dxaOrig="1960" w:dyaOrig="360">
          <v:shape id="_x0000_i1040" type="#_x0000_t75" style="width:90pt;height:16.5pt" o:ole="">
            <v:imagedata r:id="rId40" o:title=""/>
          </v:shape>
          <o:OLEObject Type="Embed" ProgID="Equation.3" ShapeID="_x0000_i1040" DrawAspect="Content" ObjectID="_1346835859" r:id="rId41"/>
        </w:object>
      </w:r>
    </w:p>
    <w:p w:rsidR="00086703" w:rsidRPr="00086703" w:rsidRDefault="00086703" w:rsidP="00086703">
      <w:pPr>
        <w:autoSpaceDE w:val="0"/>
        <w:autoSpaceDN w:val="0"/>
        <w:adjustRightInd w:val="0"/>
        <w:jc w:val="both"/>
        <w:rPr>
          <w:sz w:val="20"/>
        </w:rPr>
      </w:pPr>
      <w:r w:rsidRPr="00086703">
        <w:rPr>
          <w:sz w:val="20"/>
        </w:rPr>
        <w:lastRenderedPageBreak/>
        <w:t>Donde:</w:t>
      </w:r>
    </w:p>
    <w:p w:rsidR="00086703" w:rsidRPr="00086703" w:rsidRDefault="00086703" w:rsidP="00086703">
      <w:pPr>
        <w:autoSpaceDE w:val="0"/>
        <w:autoSpaceDN w:val="0"/>
        <w:adjustRightInd w:val="0"/>
        <w:jc w:val="both"/>
        <w:rPr>
          <w:sz w:val="20"/>
        </w:rPr>
      </w:pPr>
      <w:r>
        <w:rPr>
          <w:sz w:val="20"/>
        </w:rPr>
        <w:t xml:space="preserve">• </w:t>
      </w:r>
      <w:r w:rsidRPr="00086703">
        <w:rPr>
          <w:sz w:val="20"/>
        </w:rPr>
        <w:t>p: probabilidad de que un evento ocurra o no.</w:t>
      </w:r>
    </w:p>
    <w:p w:rsidR="00086703" w:rsidRPr="00086703" w:rsidRDefault="00086703" w:rsidP="00086703">
      <w:pPr>
        <w:autoSpaceDE w:val="0"/>
        <w:autoSpaceDN w:val="0"/>
        <w:adjustRightInd w:val="0"/>
        <w:jc w:val="both"/>
        <w:rPr>
          <w:sz w:val="20"/>
        </w:rPr>
      </w:pPr>
      <w:r w:rsidRPr="00086703">
        <w:rPr>
          <w:sz w:val="20"/>
        </w:rPr>
        <w:t>•</w:t>
      </w:r>
      <w:r>
        <w:rPr>
          <w:sz w:val="20"/>
        </w:rPr>
        <w:t xml:space="preserve"> </w:t>
      </w:r>
      <w:r w:rsidRPr="00086703">
        <w:rPr>
          <w:sz w:val="20"/>
        </w:rPr>
        <w:t>ln: logaritmo de odds ratio.</w:t>
      </w:r>
    </w:p>
    <w:p w:rsidR="00086703" w:rsidRPr="00086703" w:rsidRDefault="00086703" w:rsidP="00086703">
      <w:pPr>
        <w:autoSpaceDE w:val="0"/>
        <w:autoSpaceDN w:val="0"/>
        <w:adjustRightInd w:val="0"/>
        <w:jc w:val="both"/>
        <w:rPr>
          <w:sz w:val="20"/>
        </w:rPr>
      </w:pPr>
      <w:r w:rsidRPr="00086703">
        <w:rPr>
          <w:sz w:val="20"/>
        </w:rPr>
        <w:t>•</w:t>
      </w:r>
      <w:r>
        <w:rPr>
          <w:sz w:val="20"/>
        </w:rPr>
        <w:t xml:space="preserve"> </w:t>
      </w:r>
      <w:r w:rsidRPr="00086703">
        <w:rPr>
          <w:sz w:val="20"/>
        </w:rPr>
        <w:t>α0, α1: constantes.</w:t>
      </w:r>
    </w:p>
    <w:p w:rsidR="00086703" w:rsidRDefault="00086703" w:rsidP="00086703">
      <w:pPr>
        <w:autoSpaceDE w:val="0"/>
        <w:autoSpaceDN w:val="0"/>
        <w:adjustRightInd w:val="0"/>
        <w:jc w:val="both"/>
        <w:rPr>
          <w:sz w:val="20"/>
        </w:rPr>
      </w:pPr>
      <w:r w:rsidRPr="00086703">
        <w:rPr>
          <w:sz w:val="20"/>
        </w:rPr>
        <w:t>•</w:t>
      </w:r>
      <w:r>
        <w:rPr>
          <w:sz w:val="20"/>
        </w:rPr>
        <w:t xml:space="preserve"> </w:t>
      </w:r>
      <w:r w:rsidRPr="00086703">
        <w:rPr>
          <w:sz w:val="20"/>
        </w:rPr>
        <w:t>X: Variable que puede ser aleatoria o no, continúa o discreta.</w:t>
      </w:r>
    </w:p>
    <w:p w:rsidR="00086703" w:rsidRDefault="00086703" w:rsidP="00086703">
      <w:pPr>
        <w:autoSpaceDE w:val="0"/>
        <w:autoSpaceDN w:val="0"/>
        <w:adjustRightInd w:val="0"/>
        <w:jc w:val="both"/>
        <w:rPr>
          <w:sz w:val="20"/>
        </w:rPr>
      </w:pPr>
    </w:p>
    <w:p w:rsidR="00086703" w:rsidRDefault="00086703" w:rsidP="00086703">
      <w:pPr>
        <w:autoSpaceDE w:val="0"/>
        <w:autoSpaceDN w:val="0"/>
        <w:adjustRightInd w:val="0"/>
        <w:jc w:val="both"/>
        <w:rPr>
          <w:sz w:val="20"/>
        </w:rPr>
      </w:pPr>
      <w:r w:rsidRPr="00086703">
        <w:rPr>
          <w:sz w:val="20"/>
        </w:rPr>
        <w:t>Generalizando se obtiene un modelo de regresión logística múltiple para k variables independientes:</w:t>
      </w:r>
    </w:p>
    <w:p w:rsidR="00086703" w:rsidRDefault="00086703" w:rsidP="00086703">
      <w:pPr>
        <w:autoSpaceDE w:val="0"/>
        <w:autoSpaceDN w:val="0"/>
        <w:adjustRightInd w:val="0"/>
        <w:jc w:val="center"/>
      </w:pPr>
      <w:r w:rsidRPr="00D517D7">
        <w:rPr>
          <w:position w:val="-12"/>
        </w:rPr>
        <w:object w:dxaOrig="3159" w:dyaOrig="360">
          <v:shape id="_x0000_i1041" type="#_x0000_t75" style="width:130.5pt;height:15pt" o:ole="">
            <v:imagedata r:id="rId42" o:title=""/>
          </v:shape>
          <o:OLEObject Type="Embed" ProgID="Equation.3" ShapeID="_x0000_i1041" DrawAspect="Content" ObjectID="_1346835860" r:id="rId43"/>
        </w:object>
      </w:r>
    </w:p>
    <w:p w:rsidR="00086703" w:rsidRDefault="00086703" w:rsidP="00086703">
      <w:pPr>
        <w:autoSpaceDE w:val="0"/>
        <w:autoSpaceDN w:val="0"/>
        <w:adjustRightInd w:val="0"/>
        <w:jc w:val="both"/>
        <w:rPr>
          <w:sz w:val="20"/>
        </w:rPr>
      </w:pPr>
      <w:r w:rsidRPr="00086703">
        <w:rPr>
          <w:sz w:val="20"/>
        </w:rPr>
        <w:t xml:space="preserve">Donde </w:t>
      </w:r>
      <w:r w:rsidRPr="00D517D7">
        <w:rPr>
          <w:rFonts w:ascii="Arial" w:hAnsi="Arial" w:cs="Arial"/>
          <w:position w:val="-12"/>
        </w:rPr>
        <w:object w:dxaOrig="1340" w:dyaOrig="360">
          <v:shape id="_x0000_i1042" type="#_x0000_t75" style="width:79.5pt;height:18pt" o:ole="">
            <v:imagedata r:id="rId44" o:title=""/>
          </v:shape>
          <o:OLEObject Type="Embed" ProgID="Equation.3" ShapeID="_x0000_i1042" DrawAspect="Content" ObjectID="_1346835861" r:id="rId45"/>
        </w:object>
      </w:r>
      <w:r w:rsidRPr="00086703">
        <w:rPr>
          <w:sz w:val="20"/>
        </w:rPr>
        <w:t xml:space="preserve">  son constantes y   </w:t>
      </w:r>
      <w:r w:rsidRPr="00D517D7">
        <w:rPr>
          <w:rFonts w:ascii="Arial" w:hAnsi="Arial" w:cs="Arial"/>
          <w:position w:val="-12"/>
        </w:rPr>
        <w:object w:dxaOrig="1420" w:dyaOrig="360">
          <v:shape id="_x0000_i1043" type="#_x0000_t75" style="width:71.25pt;height:18pt" o:ole="">
            <v:imagedata r:id="rId46" o:title=""/>
          </v:shape>
          <o:OLEObject Type="Embed" ProgID="Equation.3" ShapeID="_x0000_i1043" DrawAspect="Content" ObjectID="_1346835862" r:id="rId47"/>
        </w:object>
      </w:r>
      <w:r>
        <w:rPr>
          <w:rFonts w:ascii="Arial" w:hAnsi="Arial" w:cs="Arial"/>
        </w:rPr>
        <w:t xml:space="preserve"> </w:t>
      </w:r>
      <w:r w:rsidRPr="00086703">
        <w:rPr>
          <w:sz w:val="20"/>
        </w:rPr>
        <w:t>serán las variables analizadas en el estudio.</w:t>
      </w:r>
    </w:p>
    <w:p w:rsidR="00086703" w:rsidRPr="00086703" w:rsidRDefault="00086703" w:rsidP="00086703">
      <w:pPr>
        <w:autoSpaceDE w:val="0"/>
        <w:autoSpaceDN w:val="0"/>
        <w:adjustRightInd w:val="0"/>
        <w:jc w:val="both"/>
        <w:rPr>
          <w:sz w:val="20"/>
        </w:rPr>
      </w:pPr>
      <w:r w:rsidRPr="00086703">
        <w:rPr>
          <w:sz w:val="20"/>
        </w:rPr>
        <w:t>Finalmente el modelo de Regresión Logística es:</w:t>
      </w:r>
    </w:p>
    <w:p w:rsidR="00086703" w:rsidRDefault="00A63F60" w:rsidP="00A63F60">
      <w:pPr>
        <w:autoSpaceDE w:val="0"/>
        <w:autoSpaceDN w:val="0"/>
        <w:adjustRightInd w:val="0"/>
        <w:jc w:val="center"/>
        <w:rPr>
          <w:sz w:val="20"/>
        </w:rPr>
      </w:pPr>
      <w:r w:rsidRPr="00A63F60">
        <w:rPr>
          <w:position w:val="-24"/>
        </w:rPr>
        <w:object w:dxaOrig="2299" w:dyaOrig="620">
          <v:shape id="_x0000_i1044" type="#_x0000_t75" style="width:135pt;height:36pt" o:ole="">
            <v:imagedata r:id="rId48" o:title=""/>
          </v:shape>
          <o:OLEObject Type="Embed" ProgID="Equation.3" ShapeID="_x0000_i1044" DrawAspect="Content" ObjectID="_1346835863" r:id="rId49"/>
        </w:object>
      </w:r>
    </w:p>
    <w:p w:rsidR="00086703" w:rsidRDefault="00A63F60" w:rsidP="00780527">
      <w:pPr>
        <w:autoSpaceDE w:val="0"/>
        <w:autoSpaceDN w:val="0"/>
        <w:adjustRightInd w:val="0"/>
        <w:jc w:val="both"/>
        <w:rPr>
          <w:sz w:val="20"/>
        </w:rPr>
      </w:pPr>
      <w:r w:rsidRPr="00A63F60">
        <w:rPr>
          <w:sz w:val="20"/>
        </w:rPr>
        <w:t>Estimación por Intervalos  y Contraste de Hipótesis  p</w:t>
      </w:r>
      <w:r>
        <w:rPr>
          <w:sz w:val="20"/>
        </w:rPr>
        <w:t>ara los Coeficientes del Modelo</w:t>
      </w:r>
      <w:r w:rsidRPr="008D214C">
        <w:rPr>
          <w:sz w:val="20"/>
        </w:rPr>
        <w:t>.-</w:t>
      </w:r>
      <w:r>
        <w:rPr>
          <w:sz w:val="20"/>
        </w:rPr>
        <w:t xml:space="preserve"> </w:t>
      </w:r>
      <w:r w:rsidRPr="00A63F60">
        <w:rPr>
          <w:sz w:val="20"/>
        </w:rPr>
        <w:t>el intervalo de confianza  al (1-</w:t>
      </w:r>
      <w:r>
        <w:rPr>
          <w:rFonts w:ascii="Arial" w:hAnsi="Arial" w:cs="Arial"/>
          <w:bCs/>
        </w:rPr>
        <w:sym w:font="Symbol" w:char="F061"/>
      </w:r>
      <w:r w:rsidRPr="00A63F60">
        <w:rPr>
          <w:sz w:val="20"/>
        </w:rPr>
        <w:t>)% para  el estimador del coeficiente  del modelo es:</w:t>
      </w:r>
    </w:p>
    <w:p w:rsidR="00A63F60" w:rsidRDefault="00A63F60" w:rsidP="00A63F60">
      <w:pPr>
        <w:autoSpaceDE w:val="0"/>
        <w:autoSpaceDN w:val="0"/>
        <w:adjustRightInd w:val="0"/>
        <w:jc w:val="center"/>
        <w:rPr>
          <w:sz w:val="20"/>
        </w:rPr>
      </w:pPr>
      <w:r w:rsidRPr="00124B30">
        <w:rPr>
          <w:rFonts w:ascii="Arial" w:hAnsi="Arial" w:cs="Arial"/>
          <w:bCs/>
          <w:position w:val="-12"/>
        </w:rPr>
        <w:object w:dxaOrig="2120" w:dyaOrig="360">
          <v:shape id="_x0000_i1045" type="#_x0000_t75" style="width:90.75pt;height:15.75pt" o:ole="">
            <v:imagedata r:id="rId50" o:title=""/>
          </v:shape>
          <o:OLEObject Type="Embed" ProgID="Equation.3" ShapeID="_x0000_i1045" DrawAspect="Content" ObjectID="_1346835864" r:id="rId51"/>
        </w:object>
      </w:r>
    </w:p>
    <w:p w:rsidR="00A63F60" w:rsidRDefault="00A63F60" w:rsidP="00780527">
      <w:pPr>
        <w:autoSpaceDE w:val="0"/>
        <w:autoSpaceDN w:val="0"/>
        <w:adjustRightInd w:val="0"/>
        <w:jc w:val="both"/>
        <w:rPr>
          <w:sz w:val="20"/>
        </w:rPr>
      </w:pPr>
      <w:r w:rsidRPr="00A63F60">
        <w:rPr>
          <w:sz w:val="20"/>
        </w:rPr>
        <w:t>Hay que considerar  que los estimadores habituales  que miden la asociación  entre las variables  son los odds ratio, por lo tanto es importante  tener los intervalos de confianza  para ellos:</w:t>
      </w:r>
    </w:p>
    <w:p w:rsidR="00A63F60" w:rsidRDefault="00A63F60" w:rsidP="00A63F60">
      <w:pPr>
        <w:autoSpaceDE w:val="0"/>
        <w:autoSpaceDN w:val="0"/>
        <w:adjustRightInd w:val="0"/>
        <w:jc w:val="center"/>
        <w:rPr>
          <w:rFonts w:ascii="Arial" w:hAnsi="Arial" w:cs="Arial"/>
          <w:bCs/>
        </w:rPr>
      </w:pPr>
      <w:r w:rsidRPr="00A63F60">
        <w:rPr>
          <w:rFonts w:ascii="Arial" w:hAnsi="Arial" w:cs="Arial"/>
          <w:bCs/>
          <w:position w:val="-10"/>
        </w:rPr>
        <w:object w:dxaOrig="1600" w:dyaOrig="360">
          <v:shape id="_x0000_i1046" type="#_x0000_t75" style="width:80.25pt;height:18pt" o:ole="">
            <v:imagedata r:id="rId52" o:title=""/>
          </v:shape>
          <o:OLEObject Type="Embed" ProgID="Equation.3" ShapeID="_x0000_i1046" DrawAspect="Content" ObjectID="_1346835865" r:id="rId53"/>
        </w:object>
      </w:r>
    </w:p>
    <w:p w:rsidR="00A63F60" w:rsidRPr="00A63F60" w:rsidRDefault="00A63F60" w:rsidP="00A63F60">
      <w:pPr>
        <w:autoSpaceDE w:val="0"/>
        <w:autoSpaceDN w:val="0"/>
        <w:adjustRightInd w:val="0"/>
        <w:jc w:val="both"/>
        <w:rPr>
          <w:sz w:val="20"/>
        </w:rPr>
      </w:pPr>
      <w:r w:rsidRPr="00A63F60">
        <w:rPr>
          <w:sz w:val="20"/>
        </w:rPr>
        <w:t xml:space="preserve">Algunas de las variables explicativas  no lo son realmente  y no tienen ningún efecto sobre la variable respuesta, para encontrar  estas variables y eliminarlas del modelo se utiliza la prueba de Wald, la misma que plantea el siguiente contraste de hipótesis. </w:t>
      </w:r>
    </w:p>
    <w:p w:rsidR="00A63F60" w:rsidRPr="00A63F60" w:rsidRDefault="00A63F60" w:rsidP="00A63F60">
      <w:pPr>
        <w:autoSpaceDE w:val="0"/>
        <w:autoSpaceDN w:val="0"/>
        <w:adjustRightInd w:val="0"/>
        <w:jc w:val="both"/>
        <w:rPr>
          <w:sz w:val="20"/>
        </w:rPr>
      </w:pPr>
    </w:p>
    <w:p w:rsidR="00A63F60" w:rsidRPr="00A63F60" w:rsidRDefault="00A63F60" w:rsidP="00A63F60">
      <w:pPr>
        <w:autoSpaceDE w:val="0"/>
        <w:autoSpaceDN w:val="0"/>
        <w:adjustRightInd w:val="0"/>
        <w:jc w:val="both"/>
        <w:rPr>
          <w:sz w:val="20"/>
        </w:rPr>
      </w:pPr>
      <w:r w:rsidRPr="00A63F60">
        <w:rPr>
          <w:sz w:val="20"/>
        </w:rPr>
        <w:tab/>
      </w:r>
      <w:r w:rsidRPr="00A63F60">
        <w:rPr>
          <w:sz w:val="20"/>
        </w:rPr>
        <w:tab/>
        <w:t xml:space="preserve">Ho: El coeficiente    vs. </w:t>
      </w:r>
    </w:p>
    <w:p w:rsidR="00A63F60" w:rsidRPr="00A63F60" w:rsidRDefault="00A63F60" w:rsidP="00A63F60">
      <w:pPr>
        <w:autoSpaceDE w:val="0"/>
        <w:autoSpaceDN w:val="0"/>
        <w:adjustRightInd w:val="0"/>
        <w:jc w:val="both"/>
        <w:rPr>
          <w:sz w:val="20"/>
        </w:rPr>
      </w:pPr>
      <w:r w:rsidRPr="00A63F60">
        <w:rPr>
          <w:sz w:val="20"/>
        </w:rPr>
        <w:tab/>
      </w:r>
      <w:r w:rsidRPr="00A63F60">
        <w:rPr>
          <w:sz w:val="20"/>
        </w:rPr>
        <w:tab/>
        <w:t xml:space="preserve">H1: El coeficiente  </w:t>
      </w:r>
    </w:p>
    <w:p w:rsidR="00A63F60" w:rsidRDefault="00A63F60" w:rsidP="00A63F60">
      <w:pPr>
        <w:autoSpaceDE w:val="0"/>
        <w:autoSpaceDN w:val="0"/>
        <w:adjustRightInd w:val="0"/>
        <w:jc w:val="both"/>
        <w:rPr>
          <w:sz w:val="20"/>
        </w:rPr>
      </w:pPr>
      <w:r w:rsidRPr="00A63F60">
        <w:rPr>
          <w:sz w:val="20"/>
        </w:rPr>
        <w:t>i=1,2,…k</w:t>
      </w:r>
    </w:p>
    <w:p w:rsidR="00A63F60" w:rsidRDefault="00A63F60" w:rsidP="00A63F60">
      <w:pPr>
        <w:autoSpaceDE w:val="0"/>
        <w:autoSpaceDN w:val="0"/>
        <w:adjustRightInd w:val="0"/>
        <w:jc w:val="both"/>
        <w:rPr>
          <w:sz w:val="20"/>
        </w:rPr>
      </w:pPr>
    </w:p>
    <w:p w:rsidR="00A63F60" w:rsidRDefault="00A63F60" w:rsidP="00A63F60">
      <w:pPr>
        <w:autoSpaceDE w:val="0"/>
        <w:autoSpaceDN w:val="0"/>
        <w:adjustRightInd w:val="0"/>
        <w:jc w:val="both"/>
        <w:rPr>
          <w:sz w:val="20"/>
        </w:rPr>
      </w:pPr>
      <w:r w:rsidRPr="00A63F60">
        <w:rPr>
          <w:sz w:val="20"/>
        </w:rPr>
        <w:t>El estadístico de prueba para la i-ésima variable explicativa es:</w:t>
      </w:r>
    </w:p>
    <w:p w:rsidR="00A63F60" w:rsidRDefault="00A63F60" w:rsidP="00A63F60">
      <w:pPr>
        <w:autoSpaceDE w:val="0"/>
        <w:autoSpaceDN w:val="0"/>
        <w:adjustRightInd w:val="0"/>
        <w:jc w:val="both"/>
        <w:rPr>
          <w:sz w:val="20"/>
        </w:rPr>
      </w:pPr>
    </w:p>
    <w:p w:rsidR="00A63F60" w:rsidRPr="00A63F60" w:rsidRDefault="00A63F60" w:rsidP="00A63F60">
      <w:pPr>
        <w:autoSpaceDE w:val="0"/>
        <w:autoSpaceDN w:val="0"/>
        <w:adjustRightInd w:val="0"/>
        <w:jc w:val="center"/>
        <w:rPr>
          <w:sz w:val="20"/>
        </w:rPr>
      </w:pPr>
      <w:r w:rsidRPr="009D3628">
        <w:rPr>
          <w:rFonts w:ascii="Arial" w:hAnsi="Arial" w:cs="Arial"/>
          <w:position w:val="-32"/>
        </w:rPr>
        <w:object w:dxaOrig="1460" w:dyaOrig="800">
          <v:shape id="_x0000_i1047" type="#_x0000_t75" style="width:52.5pt;height:28.5pt" o:ole="">
            <v:imagedata r:id="rId54" o:title=""/>
          </v:shape>
          <o:OLEObject Type="Embed" ProgID="Equation.3" ShapeID="_x0000_i1047" DrawAspect="Content" ObjectID="_1346835866" r:id="rId55"/>
        </w:object>
      </w:r>
    </w:p>
    <w:p w:rsidR="00A63F60" w:rsidRDefault="00A63F60" w:rsidP="00780527">
      <w:pPr>
        <w:autoSpaceDE w:val="0"/>
        <w:autoSpaceDN w:val="0"/>
        <w:adjustRightInd w:val="0"/>
        <w:jc w:val="both"/>
        <w:rPr>
          <w:sz w:val="20"/>
        </w:rPr>
      </w:pPr>
    </w:p>
    <w:p w:rsidR="00A63F60" w:rsidRDefault="00A63F60" w:rsidP="00A63F60">
      <w:pPr>
        <w:autoSpaceDE w:val="0"/>
        <w:autoSpaceDN w:val="0"/>
        <w:adjustRightInd w:val="0"/>
        <w:jc w:val="both"/>
      </w:pPr>
      <w:r w:rsidRPr="00A63F60">
        <w:rPr>
          <w:sz w:val="20"/>
        </w:rPr>
        <w:t xml:space="preserve">Este estadístico tiene una distribución  </w:t>
      </w:r>
      <w:r w:rsidRPr="00A63F60">
        <w:rPr>
          <w:rFonts w:ascii="Arial" w:hAnsi="Arial" w:cs="Arial"/>
          <w:sz w:val="20"/>
          <w:szCs w:val="20"/>
        </w:rPr>
        <w:sym w:font="Symbol" w:char="F063"/>
      </w:r>
      <w:r w:rsidRPr="00A63F60">
        <w:rPr>
          <w:rFonts w:ascii="Arial" w:hAnsi="Arial" w:cs="Arial"/>
          <w:sz w:val="20"/>
          <w:szCs w:val="20"/>
          <w:vertAlign w:val="superscript"/>
        </w:rPr>
        <w:t>2</w:t>
      </w:r>
      <w:r w:rsidRPr="00A63F60">
        <w:rPr>
          <w:sz w:val="20"/>
        </w:rPr>
        <w:t xml:space="preserve"> con 1 grado de libertad  siendo </w:t>
      </w:r>
      <w:r w:rsidRPr="008A2467">
        <w:rPr>
          <w:position w:val="-12"/>
        </w:rPr>
        <w:object w:dxaOrig="620" w:dyaOrig="360">
          <v:shape id="_x0000_i1048" type="#_x0000_t75" style="width:21pt;height:12pt" o:ole="">
            <v:imagedata r:id="rId56" o:title=""/>
          </v:shape>
          <o:OLEObject Type="Embed" ProgID="Equation.3" ShapeID="_x0000_i1048" DrawAspect="Content" ObjectID="_1346835867" r:id="rId57"/>
        </w:object>
      </w:r>
      <w:r w:rsidRPr="00A63F60">
        <w:rPr>
          <w:sz w:val="20"/>
        </w:rPr>
        <w:t xml:space="preserve">   el estimador  de la desviación estándar de  </w:t>
      </w:r>
      <w:r w:rsidR="00953BCB" w:rsidRPr="008A2467">
        <w:rPr>
          <w:position w:val="-12"/>
        </w:rPr>
        <w:object w:dxaOrig="279" w:dyaOrig="360">
          <v:shape id="_x0000_i1049" type="#_x0000_t75" style="width:9.75pt;height:12.75pt" o:ole="">
            <v:imagedata r:id="rId58" o:title=""/>
          </v:shape>
          <o:OLEObject Type="Embed" ProgID="Equation.3" ShapeID="_x0000_i1049" DrawAspect="Content" ObjectID="_1346835868" r:id="rId59"/>
        </w:object>
      </w:r>
    </w:p>
    <w:p w:rsidR="00A63F60" w:rsidRDefault="00A63F60" w:rsidP="00A63F60">
      <w:pPr>
        <w:autoSpaceDE w:val="0"/>
        <w:autoSpaceDN w:val="0"/>
        <w:adjustRightInd w:val="0"/>
        <w:jc w:val="both"/>
        <w:rPr>
          <w:sz w:val="20"/>
        </w:rPr>
      </w:pPr>
      <w:r w:rsidRPr="00A63F60">
        <w:rPr>
          <w:sz w:val="20"/>
        </w:rPr>
        <w:t>La región crítica para el contrates   de hipótesis es:</w:t>
      </w:r>
    </w:p>
    <w:p w:rsidR="00953BCB" w:rsidRDefault="00953BCB" w:rsidP="00953BCB">
      <w:pPr>
        <w:autoSpaceDE w:val="0"/>
        <w:autoSpaceDN w:val="0"/>
        <w:adjustRightInd w:val="0"/>
        <w:jc w:val="center"/>
        <w:rPr>
          <w:rFonts w:ascii="Arial" w:hAnsi="Arial" w:cs="Arial"/>
        </w:rPr>
      </w:pPr>
      <w:r w:rsidRPr="00ED22D2">
        <w:rPr>
          <w:rFonts w:ascii="Arial" w:hAnsi="Arial" w:cs="Arial"/>
          <w:position w:val="-28"/>
        </w:rPr>
        <w:object w:dxaOrig="1180" w:dyaOrig="540">
          <v:shape id="_x0000_i1050" type="#_x0000_t75" style="width:49.5pt;height:22.5pt" o:ole="">
            <v:imagedata r:id="rId60" o:title=""/>
          </v:shape>
          <o:OLEObject Type="Embed" ProgID="Equation.3" ShapeID="_x0000_i1050" DrawAspect="Content" ObjectID="_1346835869" r:id="rId61"/>
        </w:object>
      </w:r>
    </w:p>
    <w:p w:rsidR="00953BCB" w:rsidRDefault="00953BCB" w:rsidP="00953BCB">
      <w:pPr>
        <w:autoSpaceDE w:val="0"/>
        <w:autoSpaceDN w:val="0"/>
        <w:adjustRightInd w:val="0"/>
        <w:jc w:val="both"/>
        <w:rPr>
          <w:sz w:val="20"/>
        </w:rPr>
      </w:pPr>
      <w:r w:rsidRPr="00953BCB">
        <w:rPr>
          <w:sz w:val="20"/>
          <w:szCs w:val="20"/>
        </w:rPr>
        <w:t>Significación Global de los</w:t>
      </w:r>
      <w:r>
        <w:rPr>
          <w:sz w:val="20"/>
          <w:szCs w:val="20"/>
        </w:rPr>
        <w:t xml:space="preserve"> </w:t>
      </w:r>
      <w:r w:rsidRPr="00953BCB">
        <w:rPr>
          <w:sz w:val="20"/>
          <w:szCs w:val="20"/>
        </w:rPr>
        <w:t>Coefici</w:t>
      </w:r>
      <w:r>
        <w:rPr>
          <w:sz w:val="20"/>
          <w:szCs w:val="20"/>
        </w:rPr>
        <w:t>en</w:t>
      </w:r>
      <w:r w:rsidRPr="00953BCB">
        <w:rPr>
          <w:sz w:val="20"/>
          <w:szCs w:val="20"/>
        </w:rPr>
        <w:t>tes</w:t>
      </w:r>
      <w:r w:rsidRPr="008D214C">
        <w:rPr>
          <w:sz w:val="20"/>
        </w:rPr>
        <w:t>.-</w:t>
      </w:r>
      <w:r>
        <w:rPr>
          <w:sz w:val="20"/>
        </w:rPr>
        <w:t xml:space="preserve"> </w:t>
      </w:r>
      <w:r w:rsidRPr="00953BCB">
        <w:rPr>
          <w:sz w:val="20"/>
        </w:rPr>
        <w:t xml:space="preserve">La hipótesis planteada  para el contraste es que </w:t>
      </w:r>
      <w:r w:rsidRPr="00953BCB">
        <w:rPr>
          <w:sz w:val="20"/>
        </w:rPr>
        <w:lastRenderedPageBreak/>
        <w:t xml:space="preserve">todos los coeficientes  de las variables independientes  son iguales a cero, frente a la hipótesis alterna que indica que algún </w:t>
      </w:r>
      <w:r w:rsidRPr="009A7DC1">
        <w:rPr>
          <w:rFonts w:ascii="Arial" w:hAnsi="Arial" w:cs="Arial"/>
          <w:position w:val="-12"/>
        </w:rPr>
        <w:object w:dxaOrig="680" w:dyaOrig="360">
          <v:shape id="_x0000_i1051" type="#_x0000_t75" style="width:27.75pt;height:15pt" o:ole="">
            <v:imagedata r:id="rId62" o:title=""/>
          </v:shape>
          <o:OLEObject Type="Embed" ProgID="Equation.3" ShapeID="_x0000_i1051" DrawAspect="Content" ObjectID="_1346835870" r:id="rId63"/>
        </w:object>
      </w:r>
      <w:r w:rsidRPr="00953BCB">
        <w:rPr>
          <w:sz w:val="20"/>
        </w:rPr>
        <w:t xml:space="preserve">  es diferente de cero es decir:</w:t>
      </w:r>
    </w:p>
    <w:p w:rsidR="00953BCB" w:rsidRDefault="00953BCB" w:rsidP="00953BCB">
      <w:pPr>
        <w:autoSpaceDE w:val="0"/>
        <w:autoSpaceDN w:val="0"/>
        <w:adjustRightInd w:val="0"/>
        <w:jc w:val="both"/>
        <w:rPr>
          <w:sz w:val="20"/>
        </w:rPr>
      </w:pPr>
    </w:p>
    <w:p w:rsidR="00953BCB" w:rsidRPr="00953BCB" w:rsidRDefault="00953BCB" w:rsidP="00953BCB">
      <w:pPr>
        <w:autoSpaceDE w:val="0"/>
        <w:autoSpaceDN w:val="0"/>
        <w:adjustRightInd w:val="0"/>
        <w:jc w:val="both"/>
        <w:rPr>
          <w:sz w:val="20"/>
        </w:rPr>
      </w:pPr>
      <w:r w:rsidRPr="00953BCB">
        <w:rPr>
          <w:sz w:val="20"/>
        </w:rPr>
        <w:t xml:space="preserve">H0:  </w:t>
      </w:r>
      <w:r w:rsidRPr="009A7DC1">
        <w:rPr>
          <w:rFonts w:ascii="Arial" w:hAnsi="Arial" w:cs="Arial"/>
          <w:position w:val="-12"/>
        </w:rPr>
        <w:object w:dxaOrig="2340" w:dyaOrig="360">
          <v:shape id="_x0000_i1052" type="#_x0000_t75" style="width:96.75pt;height:15pt" o:ole="">
            <v:imagedata r:id="rId64" o:title=""/>
          </v:shape>
          <o:OLEObject Type="Embed" ProgID="Equation.3" ShapeID="_x0000_i1052" DrawAspect="Content" ObjectID="_1346835871" r:id="rId65"/>
        </w:object>
      </w:r>
      <w:r w:rsidRPr="00953BCB">
        <w:rPr>
          <w:sz w:val="20"/>
        </w:rPr>
        <w:t xml:space="preserve">  </w:t>
      </w:r>
    </w:p>
    <w:p w:rsidR="00953BCB" w:rsidRPr="00953BCB" w:rsidRDefault="00953BCB" w:rsidP="00953BCB">
      <w:pPr>
        <w:autoSpaceDE w:val="0"/>
        <w:autoSpaceDN w:val="0"/>
        <w:adjustRightInd w:val="0"/>
        <w:jc w:val="both"/>
        <w:rPr>
          <w:sz w:val="20"/>
        </w:rPr>
      </w:pPr>
      <w:r w:rsidRPr="00953BCB">
        <w:rPr>
          <w:sz w:val="20"/>
        </w:rPr>
        <w:t xml:space="preserve">H1:   </w:t>
      </w:r>
      <w:r w:rsidRPr="009A7DC1">
        <w:rPr>
          <w:rFonts w:ascii="Arial" w:hAnsi="Arial" w:cs="Arial"/>
          <w:position w:val="-12"/>
        </w:rPr>
        <w:object w:dxaOrig="1880" w:dyaOrig="360">
          <v:shape id="_x0000_i1053" type="#_x0000_t75" style="width:85.5pt;height:16.5pt" o:ole="">
            <v:imagedata r:id="rId66" o:title=""/>
          </v:shape>
          <o:OLEObject Type="Embed" ProgID="Equation.3" ShapeID="_x0000_i1053" DrawAspect="Content" ObjectID="_1346835872" r:id="rId67"/>
        </w:object>
      </w:r>
    </w:p>
    <w:p w:rsidR="00953BCB" w:rsidRPr="00953BCB" w:rsidRDefault="00953BCB" w:rsidP="00953BCB">
      <w:pPr>
        <w:autoSpaceDE w:val="0"/>
        <w:autoSpaceDN w:val="0"/>
        <w:adjustRightInd w:val="0"/>
        <w:jc w:val="both"/>
        <w:rPr>
          <w:sz w:val="20"/>
        </w:rPr>
      </w:pPr>
      <w:r w:rsidRPr="00953BCB">
        <w:rPr>
          <w:sz w:val="20"/>
        </w:rPr>
        <w:t>i=1,2……,k</w:t>
      </w:r>
    </w:p>
    <w:p w:rsidR="00953BCB" w:rsidRPr="00953BCB" w:rsidRDefault="00953BCB" w:rsidP="00953BCB">
      <w:pPr>
        <w:autoSpaceDE w:val="0"/>
        <w:autoSpaceDN w:val="0"/>
        <w:adjustRightInd w:val="0"/>
        <w:jc w:val="both"/>
        <w:rPr>
          <w:sz w:val="20"/>
        </w:rPr>
      </w:pPr>
    </w:p>
    <w:p w:rsidR="00953BCB" w:rsidRDefault="00953BCB" w:rsidP="00953BCB">
      <w:pPr>
        <w:autoSpaceDE w:val="0"/>
        <w:autoSpaceDN w:val="0"/>
        <w:adjustRightInd w:val="0"/>
        <w:jc w:val="both"/>
        <w:rPr>
          <w:sz w:val="20"/>
        </w:rPr>
      </w:pPr>
      <w:r w:rsidRPr="00953BCB">
        <w:rPr>
          <w:sz w:val="20"/>
        </w:rPr>
        <w:t>Este  contraste se realiza por medio del test G o prueba de la razón de verosimilitud  que se define como:</w:t>
      </w:r>
    </w:p>
    <w:p w:rsidR="00953BCB" w:rsidRPr="00953BCB" w:rsidRDefault="00953BCB" w:rsidP="00953BCB">
      <w:pPr>
        <w:autoSpaceDE w:val="0"/>
        <w:autoSpaceDN w:val="0"/>
        <w:adjustRightInd w:val="0"/>
        <w:jc w:val="both"/>
        <w:rPr>
          <w:sz w:val="20"/>
        </w:rPr>
      </w:pPr>
    </w:p>
    <w:p w:rsidR="00953BCB" w:rsidRPr="00953BCB" w:rsidRDefault="00953BCB" w:rsidP="00953BCB">
      <w:pPr>
        <w:autoSpaceDE w:val="0"/>
        <w:autoSpaceDN w:val="0"/>
        <w:adjustRightInd w:val="0"/>
        <w:jc w:val="both"/>
        <w:rPr>
          <w:sz w:val="20"/>
        </w:rPr>
      </w:pPr>
      <w:r w:rsidRPr="00A96E5A">
        <w:rPr>
          <w:rFonts w:ascii="Arial" w:hAnsi="Arial" w:cs="Arial"/>
          <w:position w:val="-30"/>
        </w:rPr>
        <w:object w:dxaOrig="6000" w:dyaOrig="700">
          <v:shape id="_x0000_i1054" type="#_x0000_t75" style="width:195pt;height:22.5pt" o:ole="">
            <v:imagedata r:id="rId68" o:title=""/>
          </v:shape>
          <o:OLEObject Type="Embed" ProgID="Equation.3" ShapeID="_x0000_i1054" DrawAspect="Content" ObjectID="_1346835873" r:id="rId69"/>
        </w:object>
      </w:r>
    </w:p>
    <w:p w:rsidR="00953BCB" w:rsidRDefault="00953BCB" w:rsidP="00780527">
      <w:pPr>
        <w:autoSpaceDE w:val="0"/>
        <w:autoSpaceDN w:val="0"/>
        <w:adjustRightInd w:val="0"/>
        <w:jc w:val="both"/>
        <w:rPr>
          <w:sz w:val="20"/>
        </w:rPr>
      </w:pPr>
    </w:p>
    <w:p w:rsidR="00953BCB" w:rsidRPr="00953BCB" w:rsidRDefault="00953BCB" w:rsidP="00953BCB">
      <w:pPr>
        <w:autoSpaceDE w:val="0"/>
        <w:autoSpaceDN w:val="0"/>
        <w:adjustRightInd w:val="0"/>
        <w:jc w:val="both"/>
        <w:rPr>
          <w:sz w:val="20"/>
        </w:rPr>
      </w:pPr>
      <w:r w:rsidRPr="00953BCB">
        <w:rPr>
          <w:sz w:val="20"/>
        </w:rPr>
        <w:t xml:space="preserve">G se distribuye como una </w:t>
      </w:r>
      <w:r w:rsidRPr="00953BCB">
        <w:rPr>
          <w:rFonts w:ascii="Arial" w:hAnsi="Arial" w:cs="Arial"/>
          <w:sz w:val="20"/>
          <w:szCs w:val="20"/>
        </w:rPr>
        <w:sym w:font="Symbol" w:char="F063"/>
      </w:r>
      <w:r w:rsidRPr="00953BCB">
        <w:rPr>
          <w:rFonts w:ascii="Arial" w:hAnsi="Arial" w:cs="Arial"/>
          <w:sz w:val="20"/>
          <w:szCs w:val="20"/>
          <w:vertAlign w:val="superscript"/>
        </w:rPr>
        <w:t>2</w:t>
      </w:r>
      <w:r w:rsidRPr="00953BCB">
        <w:rPr>
          <w:sz w:val="20"/>
        </w:rPr>
        <w:t xml:space="preserve"> con p—1 grados de libertad, donde p  representa el número de parámetros en el modelo.</w:t>
      </w:r>
    </w:p>
    <w:p w:rsidR="00953BCB" w:rsidRPr="00953BCB" w:rsidRDefault="00953BCB" w:rsidP="00953BCB">
      <w:pPr>
        <w:autoSpaceDE w:val="0"/>
        <w:autoSpaceDN w:val="0"/>
        <w:adjustRightInd w:val="0"/>
        <w:jc w:val="both"/>
        <w:rPr>
          <w:sz w:val="20"/>
        </w:rPr>
      </w:pPr>
      <w:r w:rsidRPr="00953BCB">
        <w:rPr>
          <w:sz w:val="20"/>
        </w:rPr>
        <w:t>La región crítica es:</w:t>
      </w:r>
    </w:p>
    <w:p w:rsidR="00953BCB" w:rsidRDefault="00953BCB" w:rsidP="00780527">
      <w:pPr>
        <w:autoSpaceDE w:val="0"/>
        <w:autoSpaceDN w:val="0"/>
        <w:adjustRightInd w:val="0"/>
        <w:jc w:val="both"/>
        <w:rPr>
          <w:sz w:val="20"/>
        </w:rPr>
      </w:pPr>
    </w:p>
    <w:p w:rsidR="00953BCB" w:rsidRDefault="00953BCB" w:rsidP="00953BCB">
      <w:pPr>
        <w:autoSpaceDE w:val="0"/>
        <w:autoSpaceDN w:val="0"/>
        <w:adjustRightInd w:val="0"/>
        <w:jc w:val="center"/>
        <w:rPr>
          <w:rFonts w:ascii="Arial" w:hAnsi="Arial" w:cs="Arial"/>
        </w:rPr>
      </w:pPr>
      <w:r w:rsidRPr="00953BCB">
        <w:rPr>
          <w:rFonts w:ascii="Arial" w:hAnsi="Arial" w:cs="Arial"/>
          <w:position w:val="-28"/>
        </w:rPr>
        <w:object w:dxaOrig="1020" w:dyaOrig="540">
          <v:shape id="_x0000_i1055" type="#_x0000_t75" style="width:39.75pt;height:21pt" o:ole="">
            <v:imagedata r:id="rId70" o:title=""/>
          </v:shape>
          <o:OLEObject Type="Embed" ProgID="Equation.3" ShapeID="_x0000_i1055" DrawAspect="Content" ObjectID="_1346835874" r:id="rId71"/>
        </w:object>
      </w:r>
    </w:p>
    <w:p w:rsidR="00FA4487" w:rsidRPr="008D214C" w:rsidRDefault="008D214C" w:rsidP="00780527">
      <w:pPr>
        <w:autoSpaceDE w:val="0"/>
        <w:autoSpaceDN w:val="0"/>
        <w:adjustRightInd w:val="0"/>
        <w:jc w:val="both"/>
        <w:rPr>
          <w:sz w:val="20"/>
        </w:rPr>
      </w:pPr>
      <w:r w:rsidRPr="008D214C">
        <w:rPr>
          <w:sz w:val="20"/>
        </w:rPr>
        <w:t>Determinación de los Factores que Influyen en el Abandono del Control y Tratamiento de los Pacientes con Asma Bronquial.-</w:t>
      </w:r>
      <w:r>
        <w:rPr>
          <w:sz w:val="20"/>
        </w:rPr>
        <w:t xml:space="preserve"> Con el </w:t>
      </w:r>
      <w:r w:rsidRPr="008D214C">
        <w:rPr>
          <w:sz w:val="20"/>
        </w:rPr>
        <w:t xml:space="preserve">análisis de contingencia </w:t>
      </w:r>
      <w:r>
        <w:rPr>
          <w:sz w:val="20"/>
        </w:rPr>
        <w:t>se determinó</w:t>
      </w:r>
      <w:r w:rsidRPr="008D214C">
        <w:rPr>
          <w:sz w:val="20"/>
        </w:rPr>
        <w:t xml:space="preserve"> cuales son los factores asociados al abandono del  control y tratamiento de asma bronquial, considerando como posibles factores que influyen  en la característica investigada aquellos que resultaron ser  dependientes para la variable control y tratamiento. El género, el seguro militar, los antecedentes de atopia, las anormalidades en el tórax, el nivel de gravedad de asma (leve, moderado, severo) y crisis  en la primera consulta constituyen los factores asociados al abandono del  control  y tratamiento del asma.</w:t>
      </w:r>
    </w:p>
    <w:p w:rsidR="006D57A6" w:rsidRPr="006D57A6" w:rsidRDefault="006D57A6" w:rsidP="006D57A6">
      <w:pPr>
        <w:autoSpaceDE w:val="0"/>
        <w:autoSpaceDN w:val="0"/>
        <w:adjustRightInd w:val="0"/>
        <w:jc w:val="both"/>
        <w:rPr>
          <w:sz w:val="20"/>
        </w:rPr>
      </w:pPr>
      <w:r w:rsidRPr="006D57A6">
        <w:rPr>
          <w:sz w:val="20"/>
        </w:rPr>
        <w:t>Los primeros resultados se obtienen  determinando la significación global del modelo  utilizando la prueba de  la razón de verosimilitud  por lo que se plantea el siguiente contraste de hipótesis:</w:t>
      </w:r>
    </w:p>
    <w:p w:rsidR="006D57A6" w:rsidRPr="006D57A6" w:rsidRDefault="006D57A6" w:rsidP="006D57A6">
      <w:pPr>
        <w:autoSpaceDE w:val="0"/>
        <w:autoSpaceDN w:val="0"/>
        <w:adjustRightInd w:val="0"/>
        <w:jc w:val="both"/>
        <w:rPr>
          <w:sz w:val="20"/>
        </w:rPr>
      </w:pPr>
    </w:p>
    <w:p w:rsidR="006D57A6" w:rsidRPr="006D57A6" w:rsidRDefault="006D57A6" w:rsidP="006D57A6">
      <w:pPr>
        <w:autoSpaceDE w:val="0"/>
        <w:autoSpaceDN w:val="0"/>
        <w:adjustRightInd w:val="0"/>
        <w:jc w:val="both"/>
        <w:rPr>
          <w:sz w:val="20"/>
        </w:rPr>
      </w:pPr>
      <w:r w:rsidRPr="006D57A6">
        <w:rPr>
          <w:sz w:val="20"/>
        </w:rPr>
        <w:t>H</w:t>
      </w:r>
      <w:r w:rsidRPr="006D57A6">
        <w:rPr>
          <w:sz w:val="20"/>
          <w:szCs w:val="20"/>
          <w:vertAlign w:val="subscript"/>
        </w:rPr>
        <w:t>0</w:t>
      </w:r>
      <w:r w:rsidRPr="006D57A6">
        <w:rPr>
          <w:sz w:val="20"/>
        </w:rPr>
        <w:t xml:space="preserve"> : Los coeficientes de las variables independientes son iguales a cero.</w:t>
      </w:r>
    </w:p>
    <w:p w:rsidR="006D57A6" w:rsidRPr="006D57A6" w:rsidRDefault="006D57A6" w:rsidP="006D57A6">
      <w:pPr>
        <w:autoSpaceDE w:val="0"/>
        <w:autoSpaceDN w:val="0"/>
        <w:adjustRightInd w:val="0"/>
        <w:jc w:val="both"/>
        <w:rPr>
          <w:sz w:val="20"/>
        </w:rPr>
      </w:pPr>
      <w:r w:rsidRPr="006D57A6">
        <w:rPr>
          <w:sz w:val="20"/>
        </w:rPr>
        <w:t>H</w:t>
      </w:r>
      <w:r w:rsidRPr="006D57A6">
        <w:rPr>
          <w:sz w:val="20"/>
          <w:szCs w:val="20"/>
          <w:vertAlign w:val="subscript"/>
        </w:rPr>
        <w:t>1</w:t>
      </w:r>
      <w:r w:rsidRPr="006D57A6">
        <w:rPr>
          <w:sz w:val="20"/>
        </w:rPr>
        <w:t xml:space="preserve"> : Al menos uno de los coeficientes  es distinto de cero.</w:t>
      </w:r>
    </w:p>
    <w:p w:rsidR="006D57A6" w:rsidRPr="006D57A6" w:rsidRDefault="006D57A6" w:rsidP="006D57A6">
      <w:pPr>
        <w:autoSpaceDE w:val="0"/>
        <w:autoSpaceDN w:val="0"/>
        <w:adjustRightInd w:val="0"/>
        <w:jc w:val="both"/>
        <w:rPr>
          <w:sz w:val="20"/>
        </w:rPr>
      </w:pPr>
    </w:p>
    <w:p w:rsidR="006D57A6" w:rsidRPr="006D57A6" w:rsidRDefault="006D57A6" w:rsidP="006D57A6">
      <w:pPr>
        <w:autoSpaceDE w:val="0"/>
        <w:autoSpaceDN w:val="0"/>
        <w:adjustRightInd w:val="0"/>
        <w:jc w:val="both"/>
        <w:rPr>
          <w:sz w:val="20"/>
        </w:rPr>
      </w:pPr>
      <w:r w:rsidRPr="006D57A6">
        <w:rPr>
          <w:sz w:val="20"/>
        </w:rPr>
        <w:t xml:space="preserve">El valor del  estadístico de prueba es  74.82  con 7 grados de libertad y el valor p de la prueba es igual a 0.00, por lo tanto existe suficiente evidencia estadística para rechazar la hipótesis nula con un nivel de significación  de 0.05,  es decir al menos uno de los coeficientes de las variables independientes  es distinto de cero. </w:t>
      </w:r>
    </w:p>
    <w:p w:rsidR="006D57A6" w:rsidRPr="006D57A6" w:rsidRDefault="006D57A6" w:rsidP="006D57A6">
      <w:pPr>
        <w:autoSpaceDE w:val="0"/>
        <w:autoSpaceDN w:val="0"/>
        <w:adjustRightInd w:val="0"/>
        <w:jc w:val="both"/>
        <w:rPr>
          <w:sz w:val="20"/>
        </w:rPr>
      </w:pPr>
    </w:p>
    <w:p w:rsidR="006D57A6" w:rsidRPr="006D57A6" w:rsidRDefault="006D57A6" w:rsidP="006D57A6">
      <w:pPr>
        <w:autoSpaceDE w:val="0"/>
        <w:autoSpaceDN w:val="0"/>
        <w:adjustRightInd w:val="0"/>
        <w:jc w:val="both"/>
        <w:rPr>
          <w:sz w:val="20"/>
        </w:rPr>
      </w:pPr>
      <w:r>
        <w:rPr>
          <w:sz w:val="20"/>
        </w:rPr>
        <w:lastRenderedPageBreak/>
        <w:t>El estadístico de Wald  y el valor p asociado</w:t>
      </w:r>
      <w:r w:rsidRPr="006D57A6">
        <w:rPr>
          <w:sz w:val="20"/>
        </w:rPr>
        <w:t xml:space="preserve"> permite conocer cuales son los coeficientes de las variables  que no estadísticamente significativos a un nivel de significación de 0.05, para ello se plantea el siguiente contraste de hipótesis.</w:t>
      </w:r>
    </w:p>
    <w:p w:rsidR="006D57A6" w:rsidRPr="006D57A6" w:rsidRDefault="006D57A6" w:rsidP="006D57A6">
      <w:pPr>
        <w:autoSpaceDE w:val="0"/>
        <w:autoSpaceDN w:val="0"/>
        <w:adjustRightInd w:val="0"/>
        <w:jc w:val="both"/>
        <w:rPr>
          <w:sz w:val="20"/>
        </w:rPr>
      </w:pPr>
    </w:p>
    <w:p w:rsidR="006D57A6" w:rsidRPr="006D57A6" w:rsidRDefault="006D57A6" w:rsidP="006D57A6">
      <w:pPr>
        <w:autoSpaceDE w:val="0"/>
        <w:autoSpaceDN w:val="0"/>
        <w:adjustRightInd w:val="0"/>
        <w:jc w:val="both"/>
        <w:rPr>
          <w:sz w:val="20"/>
        </w:rPr>
      </w:pPr>
      <w:r w:rsidRPr="006D57A6">
        <w:rPr>
          <w:sz w:val="20"/>
        </w:rPr>
        <w:t>H</w:t>
      </w:r>
      <w:r w:rsidRPr="006D57A6">
        <w:rPr>
          <w:sz w:val="20"/>
          <w:szCs w:val="20"/>
          <w:vertAlign w:val="subscript"/>
        </w:rPr>
        <w:t>0</w:t>
      </w:r>
      <w:r w:rsidRPr="006D57A6">
        <w:rPr>
          <w:sz w:val="20"/>
        </w:rPr>
        <w:t xml:space="preserve">: El coeficiente de la variable es cero. </w:t>
      </w:r>
      <w:r>
        <w:rPr>
          <w:sz w:val="20"/>
        </w:rPr>
        <w:t xml:space="preserve"> </w:t>
      </w:r>
      <w:r w:rsidR="002A2451">
        <w:rPr>
          <w:sz w:val="20"/>
        </w:rPr>
        <w:t xml:space="preserve"> </w:t>
      </w:r>
      <w:r>
        <w:rPr>
          <w:sz w:val="20"/>
        </w:rPr>
        <w:t xml:space="preserve">       </w:t>
      </w:r>
      <w:r w:rsidRPr="006D57A6">
        <w:rPr>
          <w:sz w:val="20"/>
        </w:rPr>
        <w:t>H</w:t>
      </w:r>
      <w:r w:rsidRPr="006D57A6">
        <w:rPr>
          <w:sz w:val="20"/>
          <w:szCs w:val="20"/>
          <w:vertAlign w:val="subscript"/>
        </w:rPr>
        <w:t>1</w:t>
      </w:r>
      <w:r w:rsidRPr="006D57A6">
        <w:rPr>
          <w:sz w:val="20"/>
        </w:rPr>
        <w:t xml:space="preserve"> : No es verdad H0</w:t>
      </w:r>
    </w:p>
    <w:p w:rsidR="006D57A6" w:rsidRPr="006D57A6" w:rsidRDefault="006D57A6" w:rsidP="006D57A6">
      <w:pPr>
        <w:autoSpaceDE w:val="0"/>
        <w:autoSpaceDN w:val="0"/>
        <w:adjustRightInd w:val="0"/>
        <w:jc w:val="both"/>
        <w:rPr>
          <w:sz w:val="20"/>
        </w:rPr>
      </w:pPr>
    </w:p>
    <w:p w:rsidR="006D57A6" w:rsidRPr="006D57A6" w:rsidRDefault="006D57A6" w:rsidP="006D57A6">
      <w:pPr>
        <w:autoSpaceDE w:val="0"/>
        <w:autoSpaceDN w:val="0"/>
        <w:adjustRightInd w:val="0"/>
        <w:jc w:val="both"/>
        <w:rPr>
          <w:sz w:val="20"/>
        </w:rPr>
      </w:pPr>
      <w:r w:rsidRPr="006D57A6">
        <w:rPr>
          <w:sz w:val="20"/>
        </w:rPr>
        <w:t>Los coeficientes de las variables restantes (Atopia(1), Anor_Tórax(1), Crisis(1)) por el estadístico de prueba y su respectivo valor p  (p&lt;0.05) son estadísticamente significativos, es decir se rechaza la hipótesis nula del contraste de hipótesis anterior.</w:t>
      </w:r>
    </w:p>
    <w:p w:rsidR="00F50527" w:rsidRPr="006D57A6" w:rsidRDefault="00F50527" w:rsidP="009428EF">
      <w:pPr>
        <w:rPr>
          <w:bCs/>
          <w:sz w:val="20"/>
        </w:rPr>
      </w:pPr>
    </w:p>
    <w:p w:rsidR="00F50527" w:rsidRDefault="006D57A6" w:rsidP="006D57A6">
      <w:pPr>
        <w:jc w:val="both"/>
        <w:rPr>
          <w:bCs/>
          <w:sz w:val="20"/>
        </w:rPr>
      </w:pPr>
      <w:r w:rsidRPr="006D57A6">
        <w:rPr>
          <w:bCs/>
          <w:sz w:val="20"/>
        </w:rPr>
        <w:t>Con el objetivo de tener un modelo que contenga solo las variables que son estadísticamente significativas, se eliminaran las variables cuyos coeficientes no aportan  en la solución global de modelo (Género, Seguro, Gravedad,), obteniendo los siguientes resultados:</w:t>
      </w:r>
    </w:p>
    <w:p w:rsidR="0031101B" w:rsidRDefault="0031101B" w:rsidP="006D57A6">
      <w:pPr>
        <w:jc w:val="both"/>
        <w:rPr>
          <w:bCs/>
          <w:sz w:val="20"/>
        </w:rPr>
      </w:pPr>
    </w:p>
    <w:p w:rsidR="0031101B" w:rsidRPr="0031101B" w:rsidRDefault="0031101B" w:rsidP="0031101B">
      <w:pPr>
        <w:jc w:val="center"/>
        <w:rPr>
          <w:b/>
          <w:bCs/>
          <w:sz w:val="20"/>
        </w:rPr>
      </w:pPr>
      <w:r>
        <w:rPr>
          <w:b/>
          <w:bCs/>
          <w:sz w:val="20"/>
        </w:rPr>
        <w:t>Tabla XV</w:t>
      </w:r>
    </w:p>
    <w:p w:rsidR="00F50527" w:rsidRPr="0031101B" w:rsidRDefault="0031101B" w:rsidP="0031101B">
      <w:pPr>
        <w:jc w:val="center"/>
        <w:rPr>
          <w:bCs/>
          <w:sz w:val="16"/>
          <w:szCs w:val="16"/>
        </w:rPr>
      </w:pPr>
      <w:r w:rsidRPr="0031101B">
        <w:rPr>
          <w:bCs/>
          <w:sz w:val="16"/>
          <w:szCs w:val="16"/>
        </w:rPr>
        <w:t xml:space="preserve">Variables en el Modelo de </w:t>
      </w:r>
      <w:r w:rsidRPr="0031101B">
        <w:rPr>
          <w:bCs/>
          <w:sz w:val="16"/>
          <w:szCs w:val="16"/>
        </w:rPr>
        <w:br/>
        <w:t>Regresión Logística</w:t>
      </w:r>
    </w:p>
    <w:p w:rsidR="00F50527" w:rsidRPr="006D57A6" w:rsidRDefault="00C25465" w:rsidP="0031101B">
      <w:pPr>
        <w:jc w:val="center"/>
        <w:rPr>
          <w:bCs/>
          <w:sz w:val="20"/>
        </w:rPr>
      </w:pPr>
      <w:r>
        <w:rPr>
          <w:noProof/>
          <w:lang w:val="en-US" w:eastAsia="en-US"/>
        </w:rPr>
        <w:drawing>
          <wp:inline distT="0" distB="0" distL="0" distR="0">
            <wp:extent cx="2401570" cy="1383665"/>
            <wp:effectExtent l="19050" t="0" r="0"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2"/>
                    <a:srcRect/>
                    <a:stretch>
                      <a:fillRect/>
                    </a:stretch>
                  </pic:blipFill>
                  <pic:spPr bwMode="auto">
                    <a:xfrm>
                      <a:off x="0" y="0"/>
                      <a:ext cx="2401570" cy="1383665"/>
                    </a:xfrm>
                    <a:prstGeom prst="rect">
                      <a:avLst/>
                    </a:prstGeom>
                    <a:noFill/>
                    <a:ln w="9525">
                      <a:noFill/>
                      <a:miter lim="800000"/>
                      <a:headEnd/>
                      <a:tailEnd/>
                    </a:ln>
                  </pic:spPr>
                </pic:pic>
              </a:graphicData>
            </a:graphic>
          </wp:inline>
        </w:drawing>
      </w:r>
    </w:p>
    <w:p w:rsidR="00F50527" w:rsidRPr="006D57A6" w:rsidRDefault="00F50527" w:rsidP="009428EF">
      <w:pPr>
        <w:rPr>
          <w:bCs/>
          <w:sz w:val="20"/>
        </w:rPr>
      </w:pPr>
    </w:p>
    <w:p w:rsidR="00F50527" w:rsidRPr="0031101B" w:rsidRDefault="0031101B" w:rsidP="0031101B">
      <w:pPr>
        <w:jc w:val="both"/>
        <w:rPr>
          <w:bCs/>
          <w:sz w:val="20"/>
        </w:rPr>
      </w:pPr>
      <w:r w:rsidRPr="0031101B">
        <w:rPr>
          <w:bCs/>
          <w:sz w:val="20"/>
        </w:rPr>
        <w:t xml:space="preserve">Se muestra en </w:t>
      </w:r>
      <w:smartTag w:uri="urn:schemas-microsoft-com:office:smarttags" w:element="PersonName">
        <w:smartTagPr>
          <w:attr w:name="ProductID" w:val="la Tabla XV"/>
        </w:smartTagPr>
        <w:smartTag w:uri="urn:schemas-microsoft-com:office:smarttags" w:element="PersonName">
          <w:smartTagPr>
            <w:attr w:name="ProductID" w:val="la Tabla"/>
          </w:smartTagPr>
          <w:r w:rsidRPr="0031101B">
            <w:rPr>
              <w:bCs/>
              <w:sz w:val="20"/>
            </w:rPr>
            <w:t>la Tabla</w:t>
          </w:r>
        </w:smartTag>
        <w:r>
          <w:rPr>
            <w:bCs/>
            <w:sz w:val="20"/>
          </w:rPr>
          <w:t xml:space="preserve"> XV</w:t>
        </w:r>
      </w:smartTag>
      <w:r w:rsidRPr="0031101B">
        <w:rPr>
          <w:bCs/>
          <w:sz w:val="20"/>
        </w:rPr>
        <w:t xml:space="preserve">  que los coeficientes de las  variables Atopia(1), Anor_Tórax(1), Crisis(1) correspondientes a los antecedentes de atopia, anormalidades en el tórax y crisis en la primera consulta respectivamente, son significativos, el valor p es menor que 0.05, adicionalmente se muestra que el odds ratio de cada variable es significativamente mayor que 1, y su  intervalo de confianza no contienen al valor 1 , por lo tanto</w:t>
      </w:r>
      <w:r>
        <w:rPr>
          <w:bCs/>
          <w:sz w:val="20"/>
        </w:rPr>
        <w:t xml:space="preserve"> </w:t>
      </w:r>
      <w:r w:rsidRPr="0031101B">
        <w:rPr>
          <w:bCs/>
          <w:sz w:val="20"/>
        </w:rPr>
        <w:t>son factores de riesgo o factores que influyen en el abandono del  control  y tratamiento de asma bronquial.</w:t>
      </w:r>
    </w:p>
    <w:p w:rsidR="00F50527" w:rsidRPr="006D57A6" w:rsidRDefault="00F50527" w:rsidP="009428EF">
      <w:pPr>
        <w:rPr>
          <w:bCs/>
          <w:sz w:val="20"/>
        </w:rPr>
      </w:pPr>
    </w:p>
    <w:p w:rsidR="00F50527" w:rsidRPr="0031101B" w:rsidRDefault="0031101B" w:rsidP="0031101B">
      <w:pPr>
        <w:jc w:val="both"/>
        <w:rPr>
          <w:bCs/>
          <w:sz w:val="20"/>
        </w:rPr>
      </w:pPr>
      <w:r>
        <w:rPr>
          <w:bCs/>
          <w:sz w:val="20"/>
        </w:rPr>
        <w:t>L</w:t>
      </w:r>
      <w:r w:rsidRPr="0031101B">
        <w:rPr>
          <w:bCs/>
          <w:sz w:val="20"/>
        </w:rPr>
        <w:t>a probabilidad que un paciente abandone el control y tratamiento del asma queda expresada  por medio del siguiente modelo de probabilidad:</w:t>
      </w:r>
    </w:p>
    <w:p w:rsidR="00F50527" w:rsidRPr="006D57A6" w:rsidRDefault="00F50527" w:rsidP="009428EF">
      <w:pPr>
        <w:rPr>
          <w:bCs/>
          <w:sz w:val="20"/>
        </w:rPr>
      </w:pPr>
    </w:p>
    <w:p w:rsidR="00F50527" w:rsidRPr="006D57A6" w:rsidRDefault="0031101B" w:rsidP="0031101B">
      <w:pPr>
        <w:jc w:val="center"/>
        <w:rPr>
          <w:bCs/>
          <w:sz w:val="20"/>
        </w:rPr>
      </w:pPr>
      <w:r w:rsidRPr="0031101B">
        <w:rPr>
          <w:position w:val="-24"/>
        </w:rPr>
        <w:object w:dxaOrig="2659" w:dyaOrig="620">
          <v:shape id="_x0000_i1056" type="#_x0000_t75" style="width:156pt;height:34.5pt" o:ole="">
            <v:imagedata r:id="rId73" o:title=""/>
          </v:shape>
          <o:OLEObject Type="Embed" ProgID="Equation.3" ShapeID="_x0000_i1056" DrawAspect="Content" ObjectID="_1346835875" r:id="rId74"/>
        </w:object>
      </w:r>
    </w:p>
    <w:p w:rsidR="00F50527" w:rsidRPr="006D57A6" w:rsidRDefault="00F50527" w:rsidP="009428EF">
      <w:pPr>
        <w:rPr>
          <w:bCs/>
          <w:sz w:val="20"/>
        </w:rPr>
      </w:pPr>
    </w:p>
    <w:p w:rsidR="0031101B" w:rsidRPr="0031101B" w:rsidRDefault="0031101B" w:rsidP="0031101B">
      <w:pPr>
        <w:jc w:val="both"/>
        <w:rPr>
          <w:bCs/>
          <w:sz w:val="20"/>
        </w:rPr>
      </w:pPr>
      <w:r>
        <w:rPr>
          <w:bCs/>
          <w:sz w:val="20"/>
        </w:rPr>
        <w:lastRenderedPageBreak/>
        <w:t>Interpretación del Modelo</w:t>
      </w:r>
      <w:r w:rsidR="002A2451" w:rsidRPr="008D214C">
        <w:rPr>
          <w:sz w:val="20"/>
        </w:rPr>
        <w:t>.-</w:t>
      </w:r>
      <w:r w:rsidRPr="0031101B">
        <w:rPr>
          <w:bCs/>
          <w:sz w:val="20"/>
        </w:rPr>
        <w:t>El odds ratio es una medida que  cuantifica el número de veces que es más probable que ocurra el evento asociado con el valor 1 de la variable dependiente Y (abandono del control y tratamiento del asma) que el valor 0 (no abandono del control y tratamiento del asma ) de la misma variable  (ver valores de odds ratio correspondient</w:t>
      </w:r>
      <w:r w:rsidR="002A2451">
        <w:rPr>
          <w:bCs/>
          <w:sz w:val="20"/>
        </w:rPr>
        <w:t>e a cada  variable en Tabla XV</w:t>
      </w:r>
      <w:r w:rsidRPr="0031101B">
        <w:rPr>
          <w:bCs/>
          <w:sz w:val="20"/>
        </w:rPr>
        <w:t>).</w:t>
      </w:r>
    </w:p>
    <w:p w:rsidR="0031101B" w:rsidRPr="0031101B" w:rsidRDefault="0031101B" w:rsidP="0031101B">
      <w:pPr>
        <w:jc w:val="both"/>
        <w:rPr>
          <w:bCs/>
          <w:sz w:val="20"/>
        </w:rPr>
      </w:pPr>
    </w:p>
    <w:p w:rsidR="0031101B" w:rsidRPr="0031101B" w:rsidRDefault="0031101B" w:rsidP="0031101B">
      <w:pPr>
        <w:jc w:val="both"/>
        <w:rPr>
          <w:bCs/>
          <w:sz w:val="20"/>
        </w:rPr>
      </w:pPr>
      <w:r w:rsidRPr="0031101B">
        <w:rPr>
          <w:bCs/>
          <w:sz w:val="20"/>
        </w:rPr>
        <w:t>Así, si  un paciente no tiene antecedentes de atopia la oportunidad de que abandone el control y tratamiento es 2.78 veces a que el paciente tenga antecedentes de atopia.</w:t>
      </w:r>
    </w:p>
    <w:p w:rsidR="0031101B" w:rsidRPr="0031101B" w:rsidRDefault="0031101B" w:rsidP="0031101B">
      <w:pPr>
        <w:jc w:val="both"/>
        <w:rPr>
          <w:bCs/>
          <w:sz w:val="20"/>
        </w:rPr>
      </w:pPr>
    </w:p>
    <w:p w:rsidR="0031101B" w:rsidRPr="0031101B" w:rsidRDefault="0031101B" w:rsidP="0031101B">
      <w:pPr>
        <w:jc w:val="both"/>
        <w:rPr>
          <w:bCs/>
          <w:sz w:val="20"/>
        </w:rPr>
      </w:pPr>
      <w:r w:rsidRPr="0031101B">
        <w:rPr>
          <w:bCs/>
          <w:sz w:val="20"/>
        </w:rPr>
        <w:t>Con lo que respecta  a las anormalidades en el tórax  si un paciente no tiene anormalidades en el tórax  la oportunidad  de abandonar el control y tratamiento es 3.86 veces de que si presentara anormalidades en el tórax.</w:t>
      </w:r>
    </w:p>
    <w:p w:rsidR="0031101B" w:rsidRPr="0031101B" w:rsidRDefault="0031101B" w:rsidP="0031101B">
      <w:pPr>
        <w:jc w:val="both"/>
        <w:rPr>
          <w:bCs/>
          <w:sz w:val="20"/>
        </w:rPr>
      </w:pPr>
    </w:p>
    <w:p w:rsidR="0031101B" w:rsidRPr="0031101B" w:rsidRDefault="0031101B" w:rsidP="0031101B">
      <w:pPr>
        <w:jc w:val="both"/>
        <w:rPr>
          <w:bCs/>
          <w:sz w:val="20"/>
        </w:rPr>
      </w:pPr>
      <w:r w:rsidRPr="0031101B">
        <w:rPr>
          <w:bCs/>
          <w:sz w:val="20"/>
        </w:rPr>
        <w:t>Si un paciente asmático no tiene  crisis en la primera consulta, la oportunidad de abandonar el control y  tratamiento del asma  es mayor en 5.05  veces que si tuviera  una crisis en la primera consulta.</w:t>
      </w:r>
    </w:p>
    <w:p w:rsidR="0031101B" w:rsidRPr="0031101B" w:rsidRDefault="0031101B" w:rsidP="0031101B">
      <w:pPr>
        <w:jc w:val="both"/>
        <w:rPr>
          <w:bCs/>
          <w:sz w:val="20"/>
        </w:rPr>
      </w:pPr>
    </w:p>
    <w:p w:rsidR="0031101B" w:rsidRPr="0031101B" w:rsidRDefault="0031101B" w:rsidP="0031101B">
      <w:pPr>
        <w:jc w:val="both"/>
        <w:rPr>
          <w:bCs/>
          <w:sz w:val="20"/>
        </w:rPr>
      </w:pPr>
      <w:r w:rsidRPr="0031101B">
        <w:rPr>
          <w:bCs/>
          <w:sz w:val="20"/>
        </w:rPr>
        <w:t>Si el paciente presentara dos riesgos, no tener crisis en la primera consulta  y no tener antecedentes de atopia  la oportunidad de abandonar el control y tratamiento  es  14.02  (5.05x2.78) veces mayor a que si  presentara crisis en la primera consulta y presentara antecedentes de atopia.</w:t>
      </w:r>
    </w:p>
    <w:p w:rsidR="0031101B" w:rsidRPr="0031101B" w:rsidRDefault="0031101B" w:rsidP="0031101B">
      <w:pPr>
        <w:jc w:val="both"/>
        <w:rPr>
          <w:bCs/>
          <w:sz w:val="20"/>
        </w:rPr>
      </w:pPr>
    </w:p>
    <w:p w:rsidR="0031101B" w:rsidRPr="0031101B" w:rsidRDefault="0031101B" w:rsidP="0031101B">
      <w:pPr>
        <w:jc w:val="both"/>
        <w:rPr>
          <w:bCs/>
          <w:sz w:val="20"/>
        </w:rPr>
      </w:pPr>
      <w:r w:rsidRPr="0031101B">
        <w:rPr>
          <w:bCs/>
          <w:sz w:val="20"/>
        </w:rPr>
        <w:t xml:space="preserve">Utilizando </w:t>
      </w:r>
      <w:r w:rsidR="002A2451">
        <w:rPr>
          <w:bCs/>
          <w:sz w:val="20"/>
        </w:rPr>
        <w:t xml:space="preserve">el modelo de probabilidad </w:t>
      </w:r>
      <w:r w:rsidRPr="0031101B">
        <w:rPr>
          <w:bCs/>
          <w:sz w:val="20"/>
        </w:rPr>
        <w:t>se puede obtener la probabilidad  de que un paciente con asma no continué con  el control y tratamiento  utilizando el factor de riesgo de las variables atopia, anormalidades en el tórax y crisis en la primera consulta  (no tener antecedentes de atopia, no presentar anormalidades en el tórax y no tener crisis en la primera consulta) a continuación las probabilidades calculadas.</w:t>
      </w:r>
    </w:p>
    <w:p w:rsidR="0031101B" w:rsidRPr="0031101B" w:rsidRDefault="0031101B" w:rsidP="0031101B">
      <w:pPr>
        <w:jc w:val="both"/>
        <w:rPr>
          <w:bCs/>
          <w:sz w:val="20"/>
        </w:rPr>
      </w:pPr>
      <w:r w:rsidRPr="0031101B">
        <w:rPr>
          <w:bCs/>
          <w:sz w:val="20"/>
        </w:rPr>
        <w:t xml:space="preserve"> </w:t>
      </w:r>
    </w:p>
    <w:p w:rsidR="0031101B" w:rsidRPr="0031101B" w:rsidRDefault="0031101B" w:rsidP="0031101B">
      <w:pPr>
        <w:jc w:val="both"/>
        <w:rPr>
          <w:bCs/>
          <w:sz w:val="20"/>
        </w:rPr>
      </w:pPr>
      <w:r w:rsidRPr="0031101B">
        <w:rPr>
          <w:bCs/>
          <w:sz w:val="20"/>
        </w:rPr>
        <w:t>La probabilidad de que un paciente abandone el  control  y tratamiento de asma dado que no tuvo crisis en la primera consulta  y estuvieron ausentes los otros dos factores  de riesgo (atopia, anormalidades en el tórax)   es  0.52.</w:t>
      </w:r>
    </w:p>
    <w:p w:rsidR="0031101B" w:rsidRPr="0031101B" w:rsidRDefault="0031101B" w:rsidP="0031101B">
      <w:pPr>
        <w:jc w:val="both"/>
        <w:rPr>
          <w:bCs/>
          <w:sz w:val="20"/>
        </w:rPr>
      </w:pPr>
    </w:p>
    <w:p w:rsidR="0031101B" w:rsidRPr="0031101B" w:rsidRDefault="0031101B" w:rsidP="0031101B">
      <w:pPr>
        <w:jc w:val="both"/>
        <w:rPr>
          <w:bCs/>
          <w:sz w:val="20"/>
        </w:rPr>
      </w:pPr>
      <w:r w:rsidRPr="0031101B">
        <w:rPr>
          <w:bCs/>
          <w:sz w:val="20"/>
        </w:rPr>
        <w:t>Con dos factores de riesgo, no tener crisis en la primera consulta  y no presentar antecedentes de atopia en ausencia del factor anormalidades en el tórax la probabilidad de que un paciente abandone el control y tratamiento de asma es    0.74.</w:t>
      </w:r>
    </w:p>
    <w:p w:rsidR="0031101B" w:rsidRPr="0031101B" w:rsidRDefault="0031101B" w:rsidP="0031101B">
      <w:pPr>
        <w:jc w:val="both"/>
        <w:rPr>
          <w:bCs/>
          <w:sz w:val="20"/>
        </w:rPr>
      </w:pPr>
    </w:p>
    <w:p w:rsidR="00F50527" w:rsidRPr="0031101B" w:rsidRDefault="0031101B" w:rsidP="0031101B">
      <w:pPr>
        <w:jc w:val="both"/>
        <w:rPr>
          <w:bCs/>
          <w:sz w:val="20"/>
        </w:rPr>
      </w:pPr>
      <w:r w:rsidRPr="0031101B">
        <w:rPr>
          <w:bCs/>
          <w:sz w:val="20"/>
        </w:rPr>
        <w:t xml:space="preserve">Si el paciente no presentar crisis en la primera consulta, no tiene antecedentes de atopia y no </w:t>
      </w:r>
      <w:r w:rsidRPr="0031101B">
        <w:rPr>
          <w:bCs/>
          <w:sz w:val="20"/>
        </w:rPr>
        <w:lastRenderedPageBreak/>
        <w:t>presentar anormalidades en el tórax  la probabilidad de que abandone el  control y tratamiento del asma es 0.92</w:t>
      </w:r>
    </w:p>
    <w:p w:rsidR="00F50527" w:rsidRPr="006D57A6" w:rsidRDefault="00F50527" w:rsidP="009428EF">
      <w:pPr>
        <w:rPr>
          <w:bCs/>
          <w:sz w:val="20"/>
        </w:rPr>
      </w:pPr>
    </w:p>
    <w:p w:rsidR="009428EF" w:rsidRPr="00EF1699" w:rsidRDefault="009428EF" w:rsidP="009428EF">
      <w:pPr>
        <w:rPr>
          <w:b/>
          <w:bCs/>
          <w:sz w:val="20"/>
        </w:rPr>
      </w:pPr>
      <w:r w:rsidRPr="00EF1699">
        <w:rPr>
          <w:b/>
          <w:bCs/>
          <w:sz w:val="20"/>
        </w:rPr>
        <w:t>4.</w:t>
      </w:r>
      <w:r w:rsidR="00416F2E">
        <w:rPr>
          <w:b/>
          <w:bCs/>
          <w:sz w:val="20"/>
        </w:rPr>
        <w:t xml:space="preserve"> </w:t>
      </w:r>
      <w:r w:rsidRPr="00EF1699">
        <w:rPr>
          <w:b/>
          <w:bCs/>
          <w:sz w:val="20"/>
        </w:rPr>
        <w:t>CONCLUSIONES</w:t>
      </w:r>
    </w:p>
    <w:p w:rsidR="009428EF" w:rsidRPr="00640FA1" w:rsidRDefault="009428EF" w:rsidP="009428EF">
      <w:pPr>
        <w:jc w:val="both"/>
        <w:rPr>
          <w:bCs/>
          <w:sz w:val="12"/>
        </w:rPr>
      </w:pPr>
    </w:p>
    <w:p w:rsidR="009428EF" w:rsidRDefault="00416F2E" w:rsidP="009428EF">
      <w:pPr>
        <w:jc w:val="both"/>
        <w:rPr>
          <w:sz w:val="20"/>
        </w:rPr>
      </w:pPr>
      <w:r w:rsidRPr="00416F2E">
        <w:rPr>
          <w:sz w:val="20"/>
        </w:rPr>
        <w:t>De los 336 pacientes que acudieron el área de neumología del Hospital Militar de Guayaquil, el 67%  es de género femenino, la edad promedio  de los pacientes  es 50.91 años, donde la máxima edad observada es 105 años mientras que  la mínima edad es 15.23 años. Del nivel de instrucción se puede decir que el 12% de los pacientes  no tiene instrucción formal alguna, el  23% cursó la primaria, el 40% tiene como nivel de instrucción la secundaria y finalmente el 25% tiene nivel de instrucción superior.  Con lo que respecta  al seguro militar; un reducido porcentaje, el 9% de los pacientes tenía este  seguro, los restantes son usuario civiles (307 pacientes).</w:t>
      </w:r>
    </w:p>
    <w:p w:rsidR="00416F2E" w:rsidRDefault="00416F2E" w:rsidP="009428EF">
      <w:pPr>
        <w:jc w:val="both"/>
        <w:rPr>
          <w:sz w:val="20"/>
        </w:rPr>
      </w:pPr>
    </w:p>
    <w:p w:rsidR="00416F2E" w:rsidRDefault="00416F2E" w:rsidP="009428EF">
      <w:pPr>
        <w:jc w:val="both"/>
        <w:rPr>
          <w:sz w:val="20"/>
        </w:rPr>
      </w:pPr>
      <w:r w:rsidRPr="00416F2E">
        <w:rPr>
          <w:sz w:val="20"/>
        </w:rPr>
        <w:t>El  54% de los asmáticos (180 pacientes) tenía antecedentes de enfermedades alérgicas, de este grupo  e</w:t>
      </w:r>
      <w:r w:rsidR="00D9171B">
        <w:rPr>
          <w:sz w:val="20"/>
        </w:rPr>
        <w:t>l</w:t>
      </w:r>
      <w:r w:rsidRPr="00416F2E">
        <w:rPr>
          <w:sz w:val="20"/>
        </w:rPr>
        <w:t xml:space="preserve"> 58% presentó alergia, el 81%  rinitis y el 15% Eczema.</w:t>
      </w:r>
    </w:p>
    <w:p w:rsidR="00416F2E" w:rsidRDefault="00416F2E" w:rsidP="009428EF">
      <w:pPr>
        <w:jc w:val="both"/>
        <w:rPr>
          <w:sz w:val="20"/>
        </w:rPr>
      </w:pPr>
    </w:p>
    <w:p w:rsidR="00416F2E" w:rsidRDefault="00416F2E" w:rsidP="009428EF">
      <w:pPr>
        <w:jc w:val="both"/>
        <w:rPr>
          <w:sz w:val="20"/>
        </w:rPr>
      </w:pPr>
      <w:r w:rsidRPr="00416F2E">
        <w:rPr>
          <w:sz w:val="20"/>
        </w:rPr>
        <w:t>El 20%  de los pacientes con asma presentó crisis en la primera consulta y el  69% de los asmáticos no continuó con el control  y tratamiento del asma.</w:t>
      </w:r>
    </w:p>
    <w:p w:rsidR="00416F2E" w:rsidRDefault="00416F2E" w:rsidP="009428EF">
      <w:pPr>
        <w:jc w:val="both"/>
        <w:rPr>
          <w:sz w:val="20"/>
        </w:rPr>
      </w:pPr>
    </w:p>
    <w:p w:rsidR="00416F2E" w:rsidRDefault="00416F2E" w:rsidP="009428EF">
      <w:pPr>
        <w:jc w:val="both"/>
        <w:rPr>
          <w:sz w:val="20"/>
        </w:rPr>
      </w:pPr>
      <w:r>
        <w:rPr>
          <w:sz w:val="20"/>
        </w:rPr>
        <w:t>E</w:t>
      </w:r>
      <w:r w:rsidRPr="00416F2E">
        <w:rPr>
          <w:sz w:val="20"/>
        </w:rPr>
        <w:t>l 34% del total de pacientes con antecedentes de atopia abandonaron el control y  tratamiento del asma, mientras que  el  46% del total de  pacientes  no tienen antecedentes de atopia, de los cuales el 76.28% abandonó el control y tratamiento</w:t>
      </w:r>
    </w:p>
    <w:p w:rsidR="00416F2E" w:rsidRDefault="00416F2E" w:rsidP="009428EF">
      <w:pPr>
        <w:jc w:val="both"/>
        <w:rPr>
          <w:sz w:val="20"/>
        </w:rPr>
      </w:pPr>
    </w:p>
    <w:p w:rsidR="00416F2E" w:rsidRPr="00416F2E" w:rsidRDefault="00416F2E" w:rsidP="009428EF">
      <w:pPr>
        <w:jc w:val="both"/>
        <w:rPr>
          <w:sz w:val="20"/>
        </w:rPr>
      </w:pPr>
      <w:r w:rsidRPr="00416F2E">
        <w:rPr>
          <w:sz w:val="20"/>
        </w:rPr>
        <w:t>El 40% de pacientes con  asma  presentó anormalidades en el tórax  de este grupo el 55.14 %  abandono el control y  tratamiento  de asma, del total de pacientes que no  presentaron anormalidades en  el tórax el 47% no continuó con  el control y tratamiento del asma.</w:t>
      </w:r>
    </w:p>
    <w:p w:rsidR="00416F2E" w:rsidRDefault="00416F2E" w:rsidP="009428EF">
      <w:pPr>
        <w:jc w:val="both"/>
        <w:rPr>
          <w:sz w:val="20"/>
        </w:rPr>
      </w:pPr>
    </w:p>
    <w:p w:rsidR="00881D9E" w:rsidRPr="00881D9E" w:rsidRDefault="00881D9E" w:rsidP="009428EF">
      <w:pPr>
        <w:jc w:val="both"/>
        <w:rPr>
          <w:sz w:val="20"/>
        </w:rPr>
      </w:pPr>
      <w:r w:rsidRPr="00881D9E">
        <w:rPr>
          <w:sz w:val="20"/>
        </w:rPr>
        <w:t>Pacientes que no continuaron con el control y tratamiento del asma se asocian con los  siguientes grupos: el primero formado por pacientes  con asma moderado  que presentaron como síntoma hemoptisis, junto a este  grupo se asocian  pacientes que  se caracterizan por la  fiebre y la sibilancia; finalmente el grupo donde se asocian pacientes de género femenino con fumadores pasivos , que presentaron tos, expectoración y tenían seguro militar, además no presentaron  neumonía pero si bronquitis como enfermedad respiratoria previa y  no tenían animales domésticos.</w:t>
      </w:r>
    </w:p>
    <w:p w:rsidR="009428EF" w:rsidRPr="00881D9E" w:rsidRDefault="009428EF" w:rsidP="009428EF">
      <w:pPr>
        <w:rPr>
          <w:bCs/>
          <w:sz w:val="14"/>
        </w:rPr>
      </w:pPr>
    </w:p>
    <w:p w:rsidR="00881D9E" w:rsidRDefault="00881D9E" w:rsidP="00AE029E">
      <w:pPr>
        <w:jc w:val="both"/>
        <w:rPr>
          <w:sz w:val="20"/>
          <w:szCs w:val="20"/>
        </w:rPr>
      </w:pPr>
      <w:r w:rsidRPr="00881D9E">
        <w:rPr>
          <w:sz w:val="20"/>
          <w:szCs w:val="20"/>
        </w:rPr>
        <w:lastRenderedPageBreak/>
        <w:t>Los</w:t>
      </w:r>
      <w:r>
        <w:rPr>
          <w:sz w:val="20"/>
          <w:szCs w:val="20"/>
        </w:rPr>
        <w:t xml:space="preserve"> factores de riesgos asociados al abandono del control y tratamiento del asma bronquial son: No tener antecededentes  de atopia, no presentar anormalidades en el tórax y no tener crisis en la primera consulta.</w:t>
      </w:r>
    </w:p>
    <w:p w:rsidR="00881D9E" w:rsidRPr="00881D9E" w:rsidRDefault="00881D9E" w:rsidP="00881D9E">
      <w:pPr>
        <w:jc w:val="both"/>
        <w:rPr>
          <w:sz w:val="20"/>
          <w:szCs w:val="20"/>
        </w:rPr>
      </w:pPr>
    </w:p>
    <w:p w:rsidR="00881D9E" w:rsidRPr="00881D9E" w:rsidRDefault="00881D9E" w:rsidP="00881D9E">
      <w:pPr>
        <w:jc w:val="both"/>
        <w:rPr>
          <w:sz w:val="20"/>
          <w:szCs w:val="20"/>
        </w:rPr>
      </w:pPr>
      <w:r w:rsidRPr="00881D9E">
        <w:rPr>
          <w:sz w:val="20"/>
          <w:szCs w:val="20"/>
        </w:rPr>
        <w:t>La probabilidad de que un paciente abandone el  control  y tratamiento de asma dado que no tuvo crisis en la primera consulta  y estuvieron ausentes los otros dos factores  de riesgo (atopia, anormalidades en el tórax)   es  0.52.</w:t>
      </w:r>
    </w:p>
    <w:p w:rsidR="00881D9E" w:rsidRPr="00881D9E" w:rsidRDefault="00881D9E" w:rsidP="00881D9E">
      <w:pPr>
        <w:jc w:val="both"/>
        <w:rPr>
          <w:sz w:val="20"/>
          <w:szCs w:val="20"/>
        </w:rPr>
      </w:pPr>
    </w:p>
    <w:p w:rsidR="00881D9E" w:rsidRPr="00881D9E" w:rsidRDefault="00881D9E" w:rsidP="00881D9E">
      <w:pPr>
        <w:jc w:val="both"/>
        <w:rPr>
          <w:sz w:val="20"/>
          <w:szCs w:val="20"/>
        </w:rPr>
      </w:pPr>
      <w:r w:rsidRPr="00881D9E">
        <w:rPr>
          <w:sz w:val="20"/>
          <w:szCs w:val="20"/>
        </w:rPr>
        <w:t>Con dos factores de riesgo, no tener crisis en la primera consulta  y no presentar antecedentes de atopia en ausencia del factor anormalidades en el tórax la probabilidad de que un paciente abandone el control y tratamiento de asma es 0.74.</w:t>
      </w:r>
    </w:p>
    <w:p w:rsidR="00881D9E" w:rsidRPr="00881D9E" w:rsidRDefault="00881D9E" w:rsidP="00881D9E">
      <w:pPr>
        <w:jc w:val="both"/>
        <w:rPr>
          <w:sz w:val="20"/>
          <w:szCs w:val="20"/>
        </w:rPr>
      </w:pPr>
    </w:p>
    <w:p w:rsidR="00881D9E" w:rsidRPr="00881D9E" w:rsidRDefault="00881D9E" w:rsidP="00881D9E">
      <w:pPr>
        <w:jc w:val="both"/>
        <w:rPr>
          <w:sz w:val="20"/>
          <w:szCs w:val="20"/>
        </w:rPr>
      </w:pPr>
      <w:r w:rsidRPr="00881D9E">
        <w:rPr>
          <w:sz w:val="20"/>
          <w:szCs w:val="20"/>
        </w:rPr>
        <w:t>Si el paciente no presenta crisis en la primera consulta, no tiene antecedentes de atopia y no presentar anormalidades en el tórax  la probabilidad de que abandone el  control y tratamiento del asma es 0.92.</w:t>
      </w:r>
      <w:r>
        <w:rPr>
          <w:sz w:val="20"/>
          <w:szCs w:val="20"/>
        </w:rPr>
        <w:t xml:space="preserve"> </w:t>
      </w:r>
    </w:p>
    <w:p w:rsidR="00881D9E" w:rsidRDefault="00881D9E" w:rsidP="00AE029E">
      <w:pPr>
        <w:jc w:val="both"/>
        <w:rPr>
          <w:b/>
          <w:sz w:val="22"/>
        </w:rPr>
      </w:pPr>
    </w:p>
    <w:p w:rsidR="00E37A4C" w:rsidRDefault="00956FB2" w:rsidP="00AE029E">
      <w:pPr>
        <w:jc w:val="both"/>
        <w:rPr>
          <w:b/>
          <w:sz w:val="22"/>
        </w:rPr>
      </w:pPr>
      <w:r w:rsidRPr="00EF1699">
        <w:rPr>
          <w:b/>
          <w:sz w:val="22"/>
        </w:rPr>
        <w:t>5. BIBLIOGRAFIA</w:t>
      </w:r>
    </w:p>
    <w:p w:rsidR="001A4F7E" w:rsidRDefault="001A4F7E" w:rsidP="00AE029E">
      <w:pPr>
        <w:jc w:val="both"/>
        <w:rPr>
          <w:b/>
          <w:sz w:val="22"/>
        </w:rPr>
      </w:pPr>
    </w:p>
    <w:p w:rsidR="008A50CF" w:rsidRDefault="001A4F7E" w:rsidP="001A4F7E">
      <w:pPr>
        <w:jc w:val="both"/>
        <w:rPr>
          <w:sz w:val="20"/>
          <w:szCs w:val="20"/>
        </w:rPr>
      </w:pPr>
      <w:r w:rsidRPr="001A4F7E">
        <w:rPr>
          <w:sz w:val="20"/>
        </w:rPr>
        <w:t>[1]</w:t>
      </w:r>
      <w:r>
        <w:rPr>
          <w:sz w:val="20"/>
        </w:rPr>
        <w:t>.</w:t>
      </w:r>
      <w:r w:rsidR="00F50527">
        <w:rPr>
          <w:b/>
          <w:sz w:val="20"/>
        </w:rPr>
        <w:t>Gómez, J</w:t>
      </w:r>
      <w:r w:rsidRPr="001A4F7E">
        <w:rPr>
          <w:b/>
          <w:sz w:val="20"/>
        </w:rPr>
        <w:t>.</w:t>
      </w:r>
      <w:r>
        <w:rPr>
          <w:sz w:val="20"/>
          <w:szCs w:val="20"/>
        </w:rPr>
        <w:t xml:space="preserve">, </w:t>
      </w:r>
      <w:r w:rsidR="00F50527" w:rsidRPr="00F50527">
        <w:rPr>
          <w:sz w:val="20"/>
          <w:szCs w:val="20"/>
        </w:rPr>
        <w:t>“Aná</w:t>
      </w:r>
      <w:r w:rsidR="00F50527">
        <w:rPr>
          <w:sz w:val="20"/>
          <w:szCs w:val="20"/>
        </w:rPr>
        <w:t>lisis Estadístico Multivariado de d</w:t>
      </w:r>
      <w:r w:rsidR="00F50527" w:rsidRPr="00F50527">
        <w:rPr>
          <w:sz w:val="20"/>
          <w:szCs w:val="20"/>
        </w:rPr>
        <w:t>os Facto</w:t>
      </w:r>
      <w:r w:rsidR="009D40BE">
        <w:rPr>
          <w:sz w:val="20"/>
          <w:szCs w:val="20"/>
        </w:rPr>
        <w:t>res que Influyen en el Control y Tratamiento de los Pacientes c</w:t>
      </w:r>
      <w:r w:rsidR="00F50527" w:rsidRPr="00F50527">
        <w:rPr>
          <w:sz w:val="20"/>
          <w:szCs w:val="20"/>
        </w:rPr>
        <w:t xml:space="preserve">on </w:t>
      </w:r>
      <w:r w:rsidR="009D40BE">
        <w:rPr>
          <w:sz w:val="20"/>
          <w:szCs w:val="20"/>
        </w:rPr>
        <w:t xml:space="preserve">Asma Bronquial. Caso: Hospital de </w:t>
      </w:r>
      <w:smartTag w:uri="urn:schemas-microsoft-com:office:smarttags" w:element="PersonName">
        <w:smartTagPr>
          <w:attr w:name="ProductID" w:val="la Ciudad"/>
        </w:smartTagPr>
        <w:r w:rsidR="009D40BE">
          <w:rPr>
            <w:sz w:val="20"/>
            <w:szCs w:val="20"/>
          </w:rPr>
          <w:t>la Ciudad</w:t>
        </w:r>
      </w:smartTag>
      <w:r w:rsidR="009D40BE">
        <w:rPr>
          <w:sz w:val="20"/>
          <w:szCs w:val="20"/>
        </w:rPr>
        <w:t xml:space="preserve"> d</w:t>
      </w:r>
      <w:r w:rsidR="00F50527" w:rsidRPr="00F50527">
        <w:rPr>
          <w:sz w:val="20"/>
          <w:szCs w:val="20"/>
        </w:rPr>
        <w:t>e Guayaquil. Año 2003-</w:t>
      </w:r>
      <w:smartTag w:uri="urn:schemas-microsoft-com:office:smarttags" w:element="metricconverter">
        <w:smartTagPr>
          <w:attr w:name="ProductID" w:val="2004”"/>
        </w:smartTagPr>
        <w:r w:rsidR="00F50527" w:rsidRPr="00F50527">
          <w:rPr>
            <w:sz w:val="20"/>
            <w:szCs w:val="20"/>
          </w:rPr>
          <w:t>2004”</w:t>
        </w:r>
      </w:smartTag>
      <w:r>
        <w:rPr>
          <w:sz w:val="20"/>
          <w:szCs w:val="20"/>
        </w:rPr>
        <w:t>, ICM, ESPOL, 2005</w:t>
      </w:r>
    </w:p>
    <w:p w:rsidR="008A50CF" w:rsidRDefault="008A50CF" w:rsidP="001A4F7E">
      <w:pPr>
        <w:jc w:val="both"/>
        <w:rPr>
          <w:sz w:val="20"/>
          <w:szCs w:val="20"/>
        </w:rPr>
      </w:pPr>
    </w:p>
    <w:p w:rsidR="008A50CF" w:rsidRPr="008A50CF" w:rsidRDefault="008A50CF" w:rsidP="008A50CF">
      <w:pPr>
        <w:jc w:val="both"/>
        <w:rPr>
          <w:sz w:val="20"/>
          <w:szCs w:val="20"/>
        </w:rPr>
      </w:pPr>
      <w:r>
        <w:rPr>
          <w:sz w:val="20"/>
        </w:rPr>
        <w:t>[2</w:t>
      </w:r>
      <w:r w:rsidRPr="001A4F7E">
        <w:rPr>
          <w:sz w:val="20"/>
        </w:rPr>
        <w:t>]</w:t>
      </w:r>
      <w:r>
        <w:rPr>
          <w:sz w:val="20"/>
        </w:rPr>
        <w:t>.</w:t>
      </w:r>
      <w:r w:rsidRPr="008A50CF">
        <w:rPr>
          <w:b/>
          <w:sz w:val="20"/>
          <w:szCs w:val="20"/>
        </w:rPr>
        <w:t>Mendenhall, W Wackerly, D.Scheaffer, R</w:t>
      </w:r>
      <w:r w:rsidRPr="008A50CF">
        <w:rPr>
          <w:sz w:val="20"/>
          <w:szCs w:val="20"/>
        </w:rPr>
        <w:t>. (1994); Estadística Matemática con Aplicaciones. Editorial Iberoamerica. México Segunda Edición.</w:t>
      </w:r>
    </w:p>
    <w:p w:rsidR="008A50CF" w:rsidRPr="008A50CF" w:rsidRDefault="008A50CF" w:rsidP="008A50CF">
      <w:pPr>
        <w:jc w:val="both"/>
        <w:rPr>
          <w:sz w:val="20"/>
          <w:szCs w:val="20"/>
        </w:rPr>
      </w:pPr>
    </w:p>
    <w:p w:rsidR="008A50CF" w:rsidRPr="008A50CF" w:rsidRDefault="008A50CF" w:rsidP="008A50CF">
      <w:pPr>
        <w:jc w:val="both"/>
        <w:rPr>
          <w:sz w:val="20"/>
          <w:szCs w:val="20"/>
        </w:rPr>
      </w:pPr>
      <w:r>
        <w:rPr>
          <w:sz w:val="20"/>
        </w:rPr>
        <w:t>[3</w:t>
      </w:r>
      <w:r w:rsidRPr="001A4F7E">
        <w:rPr>
          <w:sz w:val="20"/>
        </w:rPr>
        <w:t>]</w:t>
      </w:r>
      <w:r>
        <w:rPr>
          <w:sz w:val="20"/>
        </w:rPr>
        <w:t>.</w:t>
      </w:r>
      <w:r w:rsidRPr="008A50CF">
        <w:rPr>
          <w:b/>
          <w:sz w:val="20"/>
          <w:szCs w:val="20"/>
        </w:rPr>
        <w:t xml:space="preserve">Oceano Grupo Editorial </w:t>
      </w:r>
      <w:r w:rsidRPr="008A50CF">
        <w:rPr>
          <w:sz w:val="20"/>
          <w:szCs w:val="20"/>
        </w:rPr>
        <w:t>(1998), “Diccionario  Médico OCEANO MOSBY”, Barcelona -  España.</w:t>
      </w:r>
    </w:p>
    <w:p w:rsidR="008A50CF" w:rsidRPr="008A50CF" w:rsidRDefault="008A50CF" w:rsidP="008A50CF">
      <w:pPr>
        <w:jc w:val="both"/>
        <w:rPr>
          <w:sz w:val="20"/>
          <w:szCs w:val="20"/>
        </w:rPr>
      </w:pPr>
    </w:p>
    <w:p w:rsidR="008A50CF" w:rsidRPr="008A50CF" w:rsidRDefault="008A50CF" w:rsidP="008A50CF">
      <w:pPr>
        <w:jc w:val="both"/>
        <w:rPr>
          <w:sz w:val="20"/>
          <w:szCs w:val="20"/>
        </w:rPr>
      </w:pPr>
    </w:p>
    <w:p w:rsidR="008A50CF" w:rsidRPr="008A50CF" w:rsidRDefault="008A50CF" w:rsidP="008A50CF">
      <w:pPr>
        <w:jc w:val="both"/>
        <w:rPr>
          <w:sz w:val="20"/>
          <w:szCs w:val="20"/>
        </w:rPr>
      </w:pPr>
      <w:r>
        <w:rPr>
          <w:sz w:val="20"/>
        </w:rPr>
        <w:t>[</w:t>
      </w:r>
      <w:r w:rsidRPr="008A50CF">
        <w:rPr>
          <w:sz w:val="20"/>
          <w:szCs w:val="20"/>
        </w:rPr>
        <w:t>4</w:t>
      </w:r>
      <w:r w:rsidRPr="001A4F7E">
        <w:rPr>
          <w:sz w:val="20"/>
        </w:rPr>
        <w:t>]</w:t>
      </w:r>
      <w:r>
        <w:rPr>
          <w:sz w:val="20"/>
        </w:rPr>
        <w:t>.</w:t>
      </w:r>
      <w:r w:rsidRPr="008A50CF">
        <w:rPr>
          <w:b/>
          <w:sz w:val="20"/>
          <w:szCs w:val="20"/>
        </w:rPr>
        <w:t>Silva A. Luis Carlos</w:t>
      </w:r>
      <w:r w:rsidRPr="008A50CF">
        <w:rPr>
          <w:sz w:val="20"/>
          <w:szCs w:val="20"/>
        </w:rPr>
        <w:t xml:space="preserve"> (1995), “Excursión a </w:t>
      </w:r>
      <w:smartTag w:uri="urn:schemas-microsoft-com:office:smarttags" w:element="PersonName">
        <w:smartTagPr>
          <w:attr w:name="ProductID" w:val="la Regresi￳n Log￭stica"/>
        </w:smartTagPr>
        <w:r w:rsidRPr="008A50CF">
          <w:rPr>
            <w:sz w:val="20"/>
            <w:szCs w:val="20"/>
          </w:rPr>
          <w:t>la Regresión Logística</w:t>
        </w:r>
      </w:smartTag>
      <w:r w:rsidRPr="008A50CF">
        <w:rPr>
          <w:sz w:val="20"/>
          <w:szCs w:val="20"/>
        </w:rPr>
        <w:t xml:space="preserve"> en Ciencias de Salud”. Editorial Díaz de Santos. Madrid.</w:t>
      </w:r>
    </w:p>
    <w:p w:rsidR="008A50CF" w:rsidRPr="008A50CF" w:rsidRDefault="008A50CF" w:rsidP="008A50CF">
      <w:pPr>
        <w:jc w:val="both"/>
        <w:rPr>
          <w:sz w:val="20"/>
          <w:szCs w:val="20"/>
        </w:rPr>
      </w:pPr>
    </w:p>
    <w:p w:rsidR="008A50CF" w:rsidRPr="008A50CF" w:rsidRDefault="008A50CF" w:rsidP="008A50CF">
      <w:pPr>
        <w:jc w:val="both"/>
        <w:rPr>
          <w:sz w:val="20"/>
          <w:szCs w:val="20"/>
        </w:rPr>
      </w:pPr>
      <w:r>
        <w:rPr>
          <w:sz w:val="20"/>
        </w:rPr>
        <w:t>[</w:t>
      </w:r>
      <w:r w:rsidRPr="008A50CF">
        <w:rPr>
          <w:sz w:val="20"/>
          <w:szCs w:val="20"/>
        </w:rPr>
        <w:t>5</w:t>
      </w:r>
      <w:r w:rsidRPr="001A4F7E">
        <w:rPr>
          <w:sz w:val="20"/>
        </w:rPr>
        <w:t>]</w:t>
      </w:r>
      <w:r>
        <w:rPr>
          <w:sz w:val="20"/>
        </w:rPr>
        <w:t>.</w:t>
      </w:r>
      <w:r w:rsidRPr="008A50CF">
        <w:rPr>
          <w:b/>
          <w:sz w:val="20"/>
          <w:szCs w:val="20"/>
        </w:rPr>
        <w:t>Visauta V. Bienvenido</w:t>
      </w:r>
      <w:r w:rsidRPr="008A50CF">
        <w:rPr>
          <w:sz w:val="20"/>
          <w:szCs w:val="20"/>
        </w:rPr>
        <w:t xml:space="preserve"> (1998), Análisis estadístico con SPSS para Windows. Estadística Multivariante, Mac Graw-Hill Interamericana de España.</w:t>
      </w:r>
    </w:p>
    <w:p w:rsidR="008A50CF" w:rsidRPr="008A50CF" w:rsidRDefault="008A50CF" w:rsidP="008A50CF">
      <w:pPr>
        <w:jc w:val="both"/>
        <w:rPr>
          <w:sz w:val="20"/>
          <w:szCs w:val="20"/>
        </w:rPr>
      </w:pPr>
    </w:p>
    <w:p w:rsidR="001A4F7E" w:rsidRPr="001A4F7E" w:rsidRDefault="001A4F7E" w:rsidP="00AE029E">
      <w:pPr>
        <w:jc w:val="both"/>
        <w:rPr>
          <w:sz w:val="20"/>
        </w:rPr>
      </w:pPr>
    </w:p>
    <w:p w:rsidR="00F45400" w:rsidRDefault="00F45400" w:rsidP="00C402EC">
      <w:pPr>
        <w:jc w:val="both"/>
        <w:rPr>
          <w:bCs/>
          <w:sz w:val="20"/>
        </w:rPr>
      </w:pPr>
    </w:p>
    <w:sectPr w:rsidR="00F45400" w:rsidSect="0055635F">
      <w:type w:val="continuous"/>
      <w:pgSz w:w="11906" w:h="16838"/>
      <w:pgMar w:top="1417" w:right="1701" w:bottom="1417" w:left="1701" w:header="708" w:footer="708" w:gutter="0"/>
      <w:cols w:num="2" w:space="708" w:equalWidth="0">
        <w:col w:w="3898" w:space="708"/>
        <w:col w:w="389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559A" w:rsidRDefault="00A5559A">
      <w:r>
        <w:separator/>
      </w:r>
    </w:p>
  </w:endnote>
  <w:endnote w:type="continuationSeparator" w:id="1">
    <w:p w:rsidR="00A5559A" w:rsidRDefault="00A555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EBD" w:rsidRPr="00640FA1" w:rsidRDefault="00C84EBD" w:rsidP="001C4FCC">
    <w:pPr>
      <w:pStyle w:val="Piedepgina"/>
      <w:jc w:val="right"/>
      <w:rPr>
        <w:lang w:val="es-EC"/>
      </w:rPr>
    </w:pPr>
    <w:r>
      <w:rPr>
        <w:rStyle w:val="Nmerodepgina"/>
      </w:rPr>
      <w:fldChar w:fldCharType="begin"/>
    </w:r>
    <w:r>
      <w:rPr>
        <w:rStyle w:val="Nmerodepgina"/>
      </w:rPr>
      <w:instrText xml:space="preserve"> PAGE </w:instrText>
    </w:r>
    <w:r>
      <w:rPr>
        <w:rStyle w:val="Nmerodepgina"/>
      </w:rPr>
      <w:fldChar w:fldCharType="separate"/>
    </w:r>
    <w:r w:rsidR="00C25465">
      <w:rPr>
        <w:rStyle w:val="Nmerodepgina"/>
        <w:noProof/>
      </w:rPr>
      <w:t>1</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559A" w:rsidRDefault="00A5559A">
      <w:r>
        <w:separator/>
      </w:r>
    </w:p>
  </w:footnote>
  <w:footnote w:type="continuationSeparator" w:id="1">
    <w:p w:rsidR="00A5559A" w:rsidRDefault="00A555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343BC"/>
    <w:multiLevelType w:val="hybridMultilevel"/>
    <w:tmpl w:val="7D3A9B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7E02E82"/>
    <w:multiLevelType w:val="hybridMultilevel"/>
    <w:tmpl w:val="2FAA12BA"/>
    <w:lvl w:ilvl="0" w:tplc="EA7057A0">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31B10C0F"/>
    <w:multiLevelType w:val="hybridMultilevel"/>
    <w:tmpl w:val="645A2B1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8BD12AA"/>
    <w:multiLevelType w:val="hybridMultilevel"/>
    <w:tmpl w:val="4C92131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8"/>
  <w:hyphenationZone w:val="425"/>
  <w:characterSpacingControl w:val="doNotCompress"/>
  <w:footnotePr>
    <w:footnote w:id="0"/>
    <w:footnote w:id="1"/>
  </w:footnotePr>
  <w:endnotePr>
    <w:endnote w:id="0"/>
    <w:endnote w:id="1"/>
  </w:endnotePr>
  <w:compat/>
  <w:rsids>
    <w:rsidRoot w:val="00152D9B"/>
    <w:rsid w:val="00001532"/>
    <w:rsid w:val="000108BD"/>
    <w:rsid w:val="000114E4"/>
    <w:rsid w:val="000152B0"/>
    <w:rsid w:val="000206B9"/>
    <w:rsid w:val="00031394"/>
    <w:rsid w:val="00034D3A"/>
    <w:rsid w:val="000379B3"/>
    <w:rsid w:val="0004473B"/>
    <w:rsid w:val="000448F2"/>
    <w:rsid w:val="00051A40"/>
    <w:rsid w:val="00062B0B"/>
    <w:rsid w:val="00064086"/>
    <w:rsid w:val="00086703"/>
    <w:rsid w:val="000958A9"/>
    <w:rsid w:val="000A37EF"/>
    <w:rsid w:val="000B6B71"/>
    <w:rsid w:val="000C1D1E"/>
    <w:rsid w:val="000C64EC"/>
    <w:rsid w:val="000D0741"/>
    <w:rsid w:val="000D64F8"/>
    <w:rsid w:val="000E5AC6"/>
    <w:rsid w:val="0010299F"/>
    <w:rsid w:val="00113198"/>
    <w:rsid w:val="0011360D"/>
    <w:rsid w:val="00117D52"/>
    <w:rsid w:val="00125A38"/>
    <w:rsid w:val="00133019"/>
    <w:rsid w:val="0013329E"/>
    <w:rsid w:val="00137FD6"/>
    <w:rsid w:val="00140D73"/>
    <w:rsid w:val="00141FCF"/>
    <w:rsid w:val="00142C64"/>
    <w:rsid w:val="00145A86"/>
    <w:rsid w:val="00145ECE"/>
    <w:rsid w:val="00152D9B"/>
    <w:rsid w:val="001563CC"/>
    <w:rsid w:val="00166838"/>
    <w:rsid w:val="00175531"/>
    <w:rsid w:val="00190A22"/>
    <w:rsid w:val="00191416"/>
    <w:rsid w:val="00197883"/>
    <w:rsid w:val="001A2F6F"/>
    <w:rsid w:val="001A4F7E"/>
    <w:rsid w:val="001A5AFE"/>
    <w:rsid w:val="001B26B6"/>
    <w:rsid w:val="001C2435"/>
    <w:rsid w:val="001C4FCC"/>
    <w:rsid w:val="001D7ABF"/>
    <w:rsid w:val="001E5781"/>
    <w:rsid w:val="001F49FC"/>
    <w:rsid w:val="001F67B8"/>
    <w:rsid w:val="00200565"/>
    <w:rsid w:val="00207287"/>
    <w:rsid w:val="00211D9C"/>
    <w:rsid w:val="002175BD"/>
    <w:rsid w:val="002319FA"/>
    <w:rsid w:val="0023227E"/>
    <w:rsid w:val="0023409C"/>
    <w:rsid w:val="00246F1D"/>
    <w:rsid w:val="00264B97"/>
    <w:rsid w:val="002670CD"/>
    <w:rsid w:val="0027367E"/>
    <w:rsid w:val="00277722"/>
    <w:rsid w:val="00282199"/>
    <w:rsid w:val="002A2451"/>
    <w:rsid w:val="002A4226"/>
    <w:rsid w:val="002A7789"/>
    <w:rsid w:val="002B4F53"/>
    <w:rsid w:val="002B6EB2"/>
    <w:rsid w:val="002C1AB1"/>
    <w:rsid w:val="002C59AB"/>
    <w:rsid w:val="002E42E4"/>
    <w:rsid w:val="0031101B"/>
    <w:rsid w:val="0031563B"/>
    <w:rsid w:val="00315B11"/>
    <w:rsid w:val="0031763D"/>
    <w:rsid w:val="0032066D"/>
    <w:rsid w:val="003228A2"/>
    <w:rsid w:val="0032438F"/>
    <w:rsid w:val="003255A5"/>
    <w:rsid w:val="003268E6"/>
    <w:rsid w:val="0036560A"/>
    <w:rsid w:val="00370472"/>
    <w:rsid w:val="003778CA"/>
    <w:rsid w:val="003863CB"/>
    <w:rsid w:val="003864E1"/>
    <w:rsid w:val="00393EC2"/>
    <w:rsid w:val="003A4011"/>
    <w:rsid w:val="003B2330"/>
    <w:rsid w:val="003B64B4"/>
    <w:rsid w:val="003D6980"/>
    <w:rsid w:val="003E056B"/>
    <w:rsid w:val="00401268"/>
    <w:rsid w:val="00415CF4"/>
    <w:rsid w:val="00416F2E"/>
    <w:rsid w:val="004200CF"/>
    <w:rsid w:val="00426582"/>
    <w:rsid w:val="00427A21"/>
    <w:rsid w:val="00431F40"/>
    <w:rsid w:val="00435CBA"/>
    <w:rsid w:val="0043751B"/>
    <w:rsid w:val="0045696A"/>
    <w:rsid w:val="00457582"/>
    <w:rsid w:val="004647D3"/>
    <w:rsid w:val="00471DCD"/>
    <w:rsid w:val="00475844"/>
    <w:rsid w:val="004767D4"/>
    <w:rsid w:val="004836C8"/>
    <w:rsid w:val="0048464A"/>
    <w:rsid w:val="004A0246"/>
    <w:rsid w:val="004A3BD5"/>
    <w:rsid w:val="004A5748"/>
    <w:rsid w:val="004C55A6"/>
    <w:rsid w:val="004C58EC"/>
    <w:rsid w:val="004E307F"/>
    <w:rsid w:val="004E4893"/>
    <w:rsid w:val="004E6F1C"/>
    <w:rsid w:val="004F0A83"/>
    <w:rsid w:val="004F1839"/>
    <w:rsid w:val="00503E33"/>
    <w:rsid w:val="00507C4F"/>
    <w:rsid w:val="00513C81"/>
    <w:rsid w:val="005164C9"/>
    <w:rsid w:val="005251C8"/>
    <w:rsid w:val="00531B35"/>
    <w:rsid w:val="005469EC"/>
    <w:rsid w:val="00552BD5"/>
    <w:rsid w:val="0055635F"/>
    <w:rsid w:val="00563EB1"/>
    <w:rsid w:val="00574684"/>
    <w:rsid w:val="005764D7"/>
    <w:rsid w:val="005779B1"/>
    <w:rsid w:val="005876B8"/>
    <w:rsid w:val="005A5586"/>
    <w:rsid w:val="005B0C6A"/>
    <w:rsid w:val="005B3F04"/>
    <w:rsid w:val="005C2BC8"/>
    <w:rsid w:val="005C2D28"/>
    <w:rsid w:val="005C7AB6"/>
    <w:rsid w:val="005D1862"/>
    <w:rsid w:val="005E4ED0"/>
    <w:rsid w:val="005F488B"/>
    <w:rsid w:val="005F6E4B"/>
    <w:rsid w:val="00611DF1"/>
    <w:rsid w:val="006209C3"/>
    <w:rsid w:val="00622994"/>
    <w:rsid w:val="00622DC5"/>
    <w:rsid w:val="00630CC8"/>
    <w:rsid w:val="006400D1"/>
    <w:rsid w:val="00640FA1"/>
    <w:rsid w:val="00641B5E"/>
    <w:rsid w:val="00645797"/>
    <w:rsid w:val="006503C3"/>
    <w:rsid w:val="00656C5A"/>
    <w:rsid w:val="00670927"/>
    <w:rsid w:val="006734D4"/>
    <w:rsid w:val="00675A5B"/>
    <w:rsid w:val="00683829"/>
    <w:rsid w:val="00695907"/>
    <w:rsid w:val="00697493"/>
    <w:rsid w:val="006C4F18"/>
    <w:rsid w:val="006D57A6"/>
    <w:rsid w:val="006F2667"/>
    <w:rsid w:val="006F732F"/>
    <w:rsid w:val="0070257D"/>
    <w:rsid w:val="00742F8B"/>
    <w:rsid w:val="00751F66"/>
    <w:rsid w:val="007520E2"/>
    <w:rsid w:val="00754416"/>
    <w:rsid w:val="00764C01"/>
    <w:rsid w:val="00780527"/>
    <w:rsid w:val="00783EBF"/>
    <w:rsid w:val="007A1F84"/>
    <w:rsid w:val="007A3D0C"/>
    <w:rsid w:val="007A4DE9"/>
    <w:rsid w:val="007A5193"/>
    <w:rsid w:val="007A59C0"/>
    <w:rsid w:val="007C0B76"/>
    <w:rsid w:val="007D51E0"/>
    <w:rsid w:val="007D55BF"/>
    <w:rsid w:val="007E1B45"/>
    <w:rsid w:val="007E7239"/>
    <w:rsid w:val="007F0262"/>
    <w:rsid w:val="007F5B9D"/>
    <w:rsid w:val="007F66B7"/>
    <w:rsid w:val="00801558"/>
    <w:rsid w:val="008017D9"/>
    <w:rsid w:val="00805047"/>
    <w:rsid w:val="008217D5"/>
    <w:rsid w:val="00834431"/>
    <w:rsid w:val="00837547"/>
    <w:rsid w:val="008501FA"/>
    <w:rsid w:val="008626B5"/>
    <w:rsid w:val="00871A3E"/>
    <w:rsid w:val="00881D9E"/>
    <w:rsid w:val="0088598A"/>
    <w:rsid w:val="00893399"/>
    <w:rsid w:val="00895460"/>
    <w:rsid w:val="008A50CF"/>
    <w:rsid w:val="008A5A70"/>
    <w:rsid w:val="008B3F2B"/>
    <w:rsid w:val="008B410B"/>
    <w:rsid w:val="008B5FEB"/>
    <w:rsid w:val="008B7DFF"/>
    <w:rsid w:val="008C7E52"/>
    <w:rsid w:val="008D0C35"/>
    <w:rsid w:val="008D214C"/>
    <w:rsid w:val="008D32FD"/>
    <w:rsid w:val="008D41C3"/>
    <w:rsid w:val="008F144C"/>
    <w:rsid w:val="00904B23"/>
    <w:rsid w:val="00913515"/>
    <w:rsid w:val="0092107A"/>
    <w:rsid w:val="0092108C"/>
    <w:rsid w:val="00922575"/>
    <w:rsid w:val="00930AB0"/>
    <w:rsid w:val="00933888"/>
    <w:rsid w:val="00940F1C"/>
    <w:rsid w:val="00942714"/>
    <w:rsid w:val="009428EF"/>
    <w:rsid w:val="00945AF5"/>
    <w:rsid w:val="00953BCB"/>
    <w:rsid w:val="00956FB2"/>
    <w:rsid w:val="009600F4"/>
    <w:rsid w:val="00965B1D"/>
    <w:rsid w:val="009B7318"/>
    <w:rsid w:val="009C11A4"/>
    <w:rsid w:val="009D0022"/>
    <w:rsid w:val="009D40BE"/>
    <w:rsid w:val="009D4F93"/>
    <w:rsid w:val="009E59AD"/>
    <w:rsid w:val="009E6041"/>
    <w:rsid w:val="009F35F6"/>
    <w:rsid w:val="00A0055D"/>
    <w:rsid w:val="00A25A6E"/>
    <w:rsid w:val="00A3363E"/>
    <w:rsid w:val="00A355BC"/>
    <w:rsid w:val="00A3635B"/>
    <w:rsid w:val="00A42C53"/>
    <w:rsid w:val="00A45214"/>
    <w:rsid w:val="00A45599"/>
    <w:rsid w:val="00A51A8C"/>
    <w:rsid w:val="00A5559A"/>
    <w:rsid w:val="00A57122"/>
    <w:rsid w:val="00A63F60"/>
    <w:rsid w:val="00A7198D"/>
    <w:rsid w:val="00A837A7"/>
    <w:rsid w:val="00A87E3C"/>
    <w:rsid w:val="00A90469"/>
    <w:rsid w:val="00AA0DF0"/>
    <w:rsid w:val="00AB5533"/>
    <w:rsid w:val="00AB5A4E"/>
    <w:rsid w:val="00AB66E6"/>
    <w:rsid w:val="00AD0A2A"/>
    <w:rsid w:val="00AD7291"/>
    <w:rsid w:val="00AE029E"/>
    <w:rsid w:val="00AE26FA"/>
    <w:rsid w:val="00B32A00"/>
    <w:rsid w:val="00B340DA"/>
    <w:rsid w:val="00B36CDE"/>
    <w:rsid w:val="00B40BB6"/>
    <w:rsid w:val="00B5426E"/>
    <w:rsid w:val="00B57A21"/>
    <w:rsid w:val="00B7278E"/>
    <w:rsid w:val="00B73337"/>
    <w:rsid w:val="00B74151"/>
    <w:rsid w:val="00B80E3E"/>
    <w:rsid w:val="00B81ADC"/>
    <w:rsid w:val="00B849E2"/>
    <w:rsid w:val="00BB0E73"/>
    <w:rsid w:val="00BB2AC6"/>
    <w:rsid w:val="00BC22DB"/>
    <w:rsid w:val="00BE6575"/>
    <w:rsid w:val="00C12E6F"/>
    <w:rsid w:val="00C25465"/>
    <w:rsid w:val="00C31755"/>
    <w:rsid w:val="00C402EC"/>
    <w:rsid w:val="00C40E15"/>
    <w:rsid w:val="00C436EA"/>
    <w:rsid w:val="00C51120"/>
    <w:rsid w:val="00C66458"/>
    <w:rsid w:val="00C704A2"/>
    <w:rsid w:val="00C72CCB"/>
    <w:rsid w:val="00C7749B"/>
    <w:rsid w:val="00C84EBD"/>
    <w:rsid w:val="00C86E10"/>
    <w:rsid w:val="00C95722"/>
    <w:rsid w:val="00CA5D6F"/>
    <w:rsid w:val="00CB0EBF"/>
    <w:rsid w:val="00CC0390"/>
    <w:rsid w:val="00CE1009"/>
    <w:rsid w:val="00CE45E3"/>
    <w:rsid w:val="00CE6D60"/>
    <w:rsid w:val="00CE765E"/>
    <w:rsid w:val="00CF54ED"/>
    <w:rsid w:val="00CF7A72"/>
    <w:rsid w:val="00D22F05"/>
    <w:rsid w:val="00D25B8B"/>
    <w:rsid w:val="00D44DF8"/>
    <w:rsid w:val="00D610CC"/>
    <w:rsid w:val="00D9171B"/>
    <w:rsid w:val="00D96A54"/>
    <w:rsid w:val="00DA26CF"/>
    <w:rsid w:val="00DA4243"/>
    <w:rsid w:val="00DB01AE"/>
    <w:rsid w:val="00DB42B4"/>
    <w:rsid w:val="00DC1F29"/>
    <w:rsid w:val="00DD078A"/>
    <w:rsid w:val="00DD2C87"/>
    <w:rsid w:val="00DD31B0"/>
    <w:rsid w:val="00DD323E"/>
    <w:rsid w:val="00DD7075"/>
    <w:rsid w:val="00E07E05"/>
    <w:rsid w:val="00E1053C"/>
    <w:rsid w:val="00E12FA6"/>
    <w:rsid w:val="00E21EA2"/>
    <w:rsid w:val="00E37A4C"/>
    <w:rsid w:val="00E70A29"/>
    <w:rsid w:val="00E727CB"/>
    <w:rsid w:val="00E7305A"/>
    <w:rsid w:val="00E75B35"/>
    <w:rsid w:val="00E8257B"/>
    <w:rsid w:val="00E834BB"/>
    <w:rsid w:val="00E90564"/>
    <w:rsid w:val="00E95298"/>
    <w:rsid w:val="00E952BD"/>
    <w:rsid w:val="00EA4F60"/>
    <w:rsid w:val="00EB439D"/>
    <w:rsid w:val="00EB6DC7"/>
    <w:rsid w:val="00EC4C8A"/>
    <w:rsid w:val="00ED7984"/>
    <w:rsid w:val="00EE4AA9"/>
    <w:rsid w:val="00EF1699"/>
    <w:rsid w:val="00EF5146"/>
    <w:rsid w:val="00EF5DAD"/>
    <w:rsid w:val="00F04AD0"/>
    <w:rsid w:val="00F11D80"/>
    <w:rsid w:val="00F218B9"/>
    <w:rsid w:val="00F33B66"/>
    <w:rsid w:val="00F45400"/>
    <w:rsid w:val="00F50527"/>
    <w:rsid w:val="00F514D2"/>
    <w:rsid w:val="00F51B9C"/>
    <w:rsid w:val="00F5409B"/>
    <w:rsid w:val="00F56999"/>
    <w:rsid w:val="00F622C7"/>
    <w:rsid w:val="00F64340"/>
    <w:rsid w:val="00F70C30"/>
    <w:rsid w:val="00F7701C"/>
    <w:rsid w:val="00F82AE4"/>
    <w:rsid w:val="00F90B7D"/>
    <w:rsid w:val="00F91887"/>
    <w:rsid w:val="00FA31C8"/>
    <w:rsid w:val="00FA3CF0"/>
    <w:rsid w:val="00FA4487"/>
    <w:rsid w:val="00FA63E6"/>
    <w:rsid w:val="00FB4383"/>
    <w:rsid w:val="00FB7A21"/>
    <w:rsid w:val="00FE122E"/>
    <w:rsid w:val="00FE63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metricconverter"/>
  <w:smartTagType w:namespaceuri="urn:schemas-microsoft-com:office:smarttags" w:name="Person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B57A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1D7ABF"/>
    <w:pPr>
      <w:jc w:val="center"/>
    </w:pPr>
    <w:rPr>
      <w:b/>
      <w:bCs/>
      <w:sz w:val="28"/>
    </w:rPr>
  </w:style>
  <w:style w:type="paragraph" w:styleId="Encabezado">
    <w:name w:val="header"/>
    <w:basedOn w:val="Normal"/>
    <w:rsid w:val="00871A3E"/>
    <w:pPr>
      <w:tabs>
        <w:tab w:val="center" w:pos="4252"/>
        <w:tab w:val="right" w:pos="8504"/>
      </w:tabs>
    </w:pPr>
    <w:rPr>
      <w:lang w:val="es-EC"/>
    </w:rPr>
  </w:style>
  <w:style w:type="paragraph" w:styleId="Textoindependiente3">
    <w:name w:val="Body Text 3"/>
    <w:basedOn w:val="Normal"/>
    <w:rsid w:val="00780527"/>
    <w:pPr>
      <w:spacing w:after="120"/>
    </w:pPr>
    <w:rPr>
      <w:sz w:val="16"/>
      <w:szCs w:val="16"/>
    </w:rPr>
  </w:style>
  <w:style w:type="paragraph" w:styleId="Textoindependiente2">
    <w:name w:val="Body Text 2"/>
    <w:basedOn w:val="Normal"/>
    <w:rsid w:val="00780527"/>
    <w:pPr>
      <w:spacing w:after="120" w:line="480" w:lineRule="auto"/>
    </w:pPr>
    <w:rPr>
      <w:lang w:val="es-EC"/>
    </w:rPr>
  </w:style>
  <w:style w:type="character" w:styleId="Textoennegrita">
    <w:name w:val="Strong"/>
    <w:basedOn w:val="Fuentedeprrafopredeter"/>
    <w:qFormat/>
    <w:rsid w:val="009428EF"/>
    <w:rPr>
      <w:b/>
      <w:bCs/>
    </w:rPr>
  </w:style>
  <w:style w:type="paragraph" w:styleId="NormalWeb">
    <w:name w:val="Normal (Web)"/>
    <w:basedOn w:val="Normal"/>
    <w:rsid w:val="00C72CCB"/>
    <w:pPr>
      <w:spacing w:before="100" w:beforeAutospacing="1" w:after="100" w:afterAutospacing="1"/>
    </w:pPr>
    <w:rPr>
      <w:lang w:val="es-EC" w:eastAsia="es-EC"/>
    </w:rPr>
  </w:style>
  <w:style w:type="character" w:styleId="Hipervnculo">
    <w:name w:val="Hyperlink"/>
    <w:basedOn w:val="Fuentedeprrafopredeter"/>
    <w:rsid w:val="00C72CCB"/>
    <w:rPr>
      <w:color w:val="0000FF"/>
      <w:u w:val="single"/>
    </w:rPr>
  </w:style>
  <w:style w:type="paragraph" w:customStyle="1" w:styleId="titulo1">
    <w:name w:val="titulo1"/>
    <w:basedOn w:val="Normal"/>
    <w:rsid w:val="00C72CCB"/>
    <w:pPr>
      <w:spacing w:before="100" w:beforeAutospacing="1" w:after="100" w:afterAutospacing="1"/>
    </w:pPr>
    <w:rPr>
      <w:rFonts w:ascii="Arial" w:eastAsia="Arial Unicode MS" w:hAnsi="Arial" w:cs="Arial"/>
      <w:b/>
      <w:bCs/>
      <w:sz w:val="28"/>
      <w:szCs w:val="28"/>
    </w:rPr>
  </w:style>
  <w:style w:type="paragraph" w:styleId="Textonotapie">
    <w:name w:val="footnote text"/>
    <w:basedOn w:val="Normal"/>
    <w:semiHidden/>
    <w:rsid w:val="008D0C35"/>
    <w:rPr>
      <w:sz w:val="20"/>
      <w:szCs w:val="20"/>
    </w:rPr>
  </w:style>
  <w:style w:type="character" w:styleId="Refdenotaalpie">
    <w:name w:val="footnote reference"/>
    <w:basedOn w:val="Fuentedeprrafopredeter"/>
    <w:semiHidden/>
    <w:rsid w:val="008D0C35"/>
    <w:rPr>
      <w:vertAlign w:val="superscript"/>
    </w:rPr>
  </w:style>
  <w:style w:type="paragraph" w:styleId="Piedepgina">
    <w:name w:val="footer"/>
    <w:basedOn w:val="Normal"/>
    <w:rsid w:val="007E1B45"/>
    <w:pPr>
      <w:tabs>
        <w:tab w:val="center" w:pos="4252"/>
        <w:tab w:val="right" w:pos="8504"/>
      </w:tabs>
    </w:pPr>
  </w:style>
  <w:style w:type="character" w:styleId="Nmerodepgina">
    <w:name w:val="page number"/>
    <w:basedOn w:val="Fuentedeprrafopredeter"/>
    <w:rsid w:val="001C4F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2.wmf"/><Relationship Id="rId76"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oleObject" Target="embeddings/oleObject31.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emf"/><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oleObject" Target="embeddings/oleObject3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e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5769</Words>
  <Characters>32887</Characters>
  <Application>Microsoft Office Word</Application>
  <DocSecurity>0</DocSecurity>
  <Lines>274</Lines>
  <Paragraphs>77</Paragraphs>
  <ScaleCrop>false</ScaleCrop>
  <HeadingPairs>
    <vt:vector size="2" baseType="variant">
      <vt:variant>
        <vt:lpstr>Título</vt:lpstr>
      </vt:variant>
      <vt:variant>
        <vt:i4>1</vt:i4>
      </vt:variant>
    </vt:vector>
  </HeadingPairs>
  <TitlesOfParts>
    <vt:vector size="1" baseType="lpstr">
      <vt:lpstr>ESTUDIO ESTADÍSTICO ACERCA DE LA DESERCIÓN ESTUDIANTIL DE LA ESPOL: EL CASO DE LAS FACULTADES DE INGENIERÍAS</vt:lpstr>
    </vt:vector>
  </TitlesOfParts>
  <Company>JP</Company>
  <LinksUpToDate>false</LinksUpToDate>
  <CharactersWithSpaces>38579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ESTUDIO ESTADÍSTICO ACERCA DE LA DESERCIÓN ESTUDIANTIL DE LA ESPOL: EL CASO DE LAS FACULTADES DE INGENIERÍAS</dc:title>
  <dc:subject/>
  <dc:creator>MAK</dc:creator>
  <cp:keywords/>
  <dc:description/>
  <cp:lastModifiedBy>ehernand</cp:lastModifiedBy>
  <cp:revision>2</cp:revision>
  <cp:lastPrinted>2006-01-03T18:09:00Z</cp:lastPrinted>
  <dcterms:created xsi:type="dcterms:W3CDTF">2010-09-24T17:18:00Z</dcterms:created>
  <dcterms:modified xsi:type="dcterms:W3CDTF">2010-09-24T17:18:00Z</dcterms:modified>
</cp:coreProperties>
</file>