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575" w:rsidRPr="001E4575" w:rsidRDefault="001E4575" w:rsidP="001E4575">
      <w:pPr>
        <w:spacing w:line="240" w:lineRule="auto"/>
        <w:contextualSpacing/>
        <w:jc w:val="center"/>
        <w:rPr>
          <w:b/>
          <w:lang w:val="es-MX"/>
        </w:rPr>
      </w:pPr>
      <w:r w:rsidRPr="001E4575">
        <w:rPr>
          <w:b/>
          <w:lang w:val="es-MX"/>
        </w:rPr>
        <w:t>ESCUELA SUPERIOR POLITÉCNICA DEL LITORAL</w:t>
      </w:r>
    </w:p>
    <w:p w:rsidR="001E4575" w:rsidRPr="001E4575" w:rsidRDefault="001E4575" w:rsidP="001E4575">
      <w:pPr>
        <w:spacing w:line="240" w:lineRule="auto"/>
        <w:contextualSpacing/>
        <w:jc w:val="center"/>
        <w:rPr>
          <w:b/>
          <w:lang w:val="es-MX"/>
        </w:rPr>
      </w:pPr>
      <w:r w:rsidRPr="001E4575">
        <w:rPr>
          <w:b/>
          <w:lang w:val="es-MX"/>
        </w:rPr>
        <w:t>FACULTAD DE ECONOMÍA Y NEGOCIOS</w:t>
      </w:r>
    </w:p>
    <w:p w:rsidR="001E4575" w:rsidRPr="001E4575" w:rsidRDefault="001E4575" w:rsidP="001E4575">
      <w:pPr>
        <w:spacing w:line="240" w:lineRule="auto"/>
        <w:contextualSpacing/>
        <w:jc w:val="center"/>
        <w:rPr>
          <w:b/>
          <w:lang w:val="es-MX"/>
        </w:rPr>
      </w:pPr>
      <w:r w:rsidRPr="001E4575">
        <w:rPr>
          <w:b/>
          <w:lang w:val="es-MX"/>
        </w:rPr>
        <w:t>COMERCIO INTERNACIOMAL</w:t>
      </w:r>
    </w:p>
    <w:p w:rsidR="001E4575" w:rsidRDefault="001E4575" w:rsidP="001E4575">
      <w:pPr>
        <w:spacing w:line="240" w:lineRule="auto"/>
        <w:contextualSpacing/>
        <w:jc w:val="center"/>
        <w:rPr>
          <w:b/>
          <w:lang w:val="es-MX"/>
        </w:rPr>
      </w:pPr>
      <w:r w:rsidRPr="001E4575">
        <w:rPr>
          <w:b/>
          <w:lang w:val="es-MX"/>
        </w:rPr>
        <w:t>PRIMER EXAMEN</w:t>
      </w:r>
    </w:p>
    <w:p w:rsidR="00A97787" w:rsidRDefault="00A97787" w:rsidP="001E4575">
      <w:pPr>
        <w:spacing w:line="240" w:lineRule="auto"/>
        <w:contextualSpacing/>
        <w:rPr>
          <w:b/>
          <w:lang w:val="es-MX"/>
        </w:rPr>
      </w:pPr>
    </w:p>
    <w:p w:rsidR="001E4575" w:rsidRPr="001E4575" w:rsidRDefault="001E4575" w:rsidP="001E4575">
      <w:pPr>
        <w:spacing w:line="240" w:lineRule="auto"/>
        <w:contextualSpacing/>
        <w:rPr>
          <w:b/>
          <w:lang w:val="es-MX"/>
        </w:rPr>
      </w:pPr>
      <w:r w:rsidRPr="001E4575">
        <w:rPr>
          <w:b/>
          <w:lang w:val="es-MX"/>
        </w:rPr>
        <w:t>Nombre:……………………………………..                                                                   Fecha: 01/Julio/2012</w:t>
      </w:r>
    </w:p>
    <w:p w:rsidR="001E4575" w:rsidRDefault="001E4575" w:rsidP="001E4575">
      <w:pPr>
        <w:spacing w:line="240" w:lineRule="auto"/>
        <w:contextualSpacing/>
        <w:rPr>
          <w:b/>
          <w:lang w:val="es-MX"/>
        </w:rPr>
      </w:pPr>
      <w:r w:rsidRPr="001E4575">
        <w:rPr>
          <w:b/>
          <w:lang w:val="es-MX"/>
        </w:rPr>
        <w:t xml:space="preserve">Profesor: Econ. Felipe Álvarez O. </w:t>
      </w:r>
      <w:proofErr w:type="spellStart"/>
      <w:r w:rsidRPr="001E4575">
        <w:rPr>
          <w:b/>
          <w:lang w:val="es-MX"/>
        </w:rPr>
        <w:t>M.Sc</w:t>
      </w:r>
      <w:proofErr w:type="spellEnd"/>
      <w:r w:rsidRPr="001E4575">
        <w:rPr>
          <w:b/>
          <w:lang w:val="es-MX"/>
        </w:rPr>
        <w:t>.</w:t>
      </w:r>
    </w:p>
    <w:p w:rsidR="00A97787" w:rsidRPr="00A97787" w:rsidRDefault="00A97787" w:rsidP="00A97787">
      <w:pPr>
        <w:jc w:val="center"/>
        <w:rPr>
          <w:sz w:val="20"/>
          <w:szCs w:val="20"/>
          <w:lang w:val="es-MX"/>
        </w:rPr>
      </w:pPr>
      <w:r w:rsidRPr="00A97787">
        <w:rPr>
          <w:sz w:val="20"/>
          <w:szCs w:val="20"/>
          <w:lang w:val="es-MX"/>
        </w:rPr>
        <w:t>“Como estudiante de la FEN, me comprometo a combatir la mediocridad, por eso me comprometo a no copiar ni dejar copiar en el presente Examen.”</w:t>
      </w:r>
    </w:p>
    <w:p w:rsidR="00A97787" w:rsidRPr="00A97787" w:rsidRDefault="00A97787" w:rsidP="001E4575">
      <w:pPr>
        <w:rPr>
          <w:sz w:val="20"/>
          <w:szCs w:val="20"/>
          <w:lang w:val="es-MX"/>
        </w:rPr>
      </w:pPr>
      <w:r w:rsidRPr="00A97787">
        <w:rPr>
          <w:sz w:val="20"/>
          <w:szCs w:val="20"/>
          <w:lang w:val="es-MX"/>
        </w:rPr>
        <w:t>Firma:…………………………………………………….                        No. Matrícula:…………………………………………….</w:t>
      </w:r>
    </w:p>
    <w:p w:rsidR="001E4575" w:rsidRPr="00A97787" w:rsidRDefault="001E4575" w:rsidP="001E4575">
      <w:pPr>
        <w:rPr>
          <w:lang w:val="es-MX"/>
        </w:rPr>
      </w:pPr>
      <w:r w:rsidRPr="00DF3052">
        <w:rPr>
          <w:b/>
          <w:u w:val="single"/>
          <w:lang w:val="es-MX"/>
        </w:rPr>
        <w:t>Parte I</w:t>
      </w:r>
      <w:r w:rsidRPr="00DF3052">
        <w:rPr>
          <w:b/>
          <w:lang w:val="es-MX"/>
        </w:rPr>
        <w:t xml:space="preserve">.- Indicar si  los siguientes enunciados son  Verdaderos o Falsos.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2"/>
        <w:gridCol w:w="506"/>
      </w:tblGrid>
      <w:tr w:rsidR="00204334" w:rsidTr="00B31C1F">
        <w:tc>
          <w:tcPr>
            <w:tcW w:w="8472" w:type="dxa"/>
          </w:tcPr>
          <w:p w:rsidR="00204334" w:rsidRPr="00204334" w:rsidRDefault="00B31C1F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En Ecuador, </w:t>
            </w:r>
            <w:r w:rsidR="00204334">
              <w:rPr>
                <w:lang w:val="es-MX"/>
              </w:rPr>
              <w:t xml:space="preserve">La Resolución COMEX 67 mediante la cual se establecieron nuevos cupos para la importación </w:t>
            </w:r>
            <w:r>
              <w:rPr>
                <w:lang w:val="es-MX"/>
              </w:rPr>
              <w:t>de teléfonos celulares es un ejemplo de “Cuotas de Importación”.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B31C1F" w:rsidRDefault="00B31C1F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Cuando un país “grande” establece un arancel específico, entonces los precios locales aumentan, el volumen de importación disminuye y los precios internacionales aumentan.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B31C1F" w:rsidRDefault="008360BD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Si el coste de oportunidad de producir teléfonos con respecto a brócoli en el Ecuador es mayor que el coste de oportunidad de producir teléfonos con respecto </w:t>
            </w:r>
            <w:r w:rsidR="006045A2">
              <w:rPr>
                <w:lang w:val="es-MX"/>
              </w:rPr>
              <w:t>a brócoli en Estados Unidas, entonces Ecuador tienen una ventaja comparativa en la producción de Teléfonos.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996690" w:rsidRDefault="006045A2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Son instrumentos de política comercial: Aranceles, cuotas de importación, impuesto a la salida de capitales y Subsidios a las Exportaciones.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6045A2" w:rsidRDefault="001140F9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Para el caso de un “país pequeño”</w:t>
            </w:r>
            <w:r w:rsidR="00AA7E5A">
              <w:rPr>
                <w:lang w:val="es-MX"/>
              </w:rPr>
              <w:t>,</w:t>
            </w:r>
            <w:r>
              <w:rPr>
                <w:lang w:val="es-MX"/>
              </w:rPr>
              <w:t xml:space="preserve"> para determinar si el establecimiento de un arancel mejora el bienestar de la economía, es necesario comparar las distorsiones sobra la producción y consumo</w:t>
            </w:r>
            <w:r w:rsidR="00AA7E5A">
              <w:rPr>
                <w:lang w:val="es-MX"/>
              </w:rPr>
              <w:t>,</w:t>
            </w:r>
            <w:r>
              <w:rPr>
                <w:lang w:val="es-MX"/>
              </w:rPr>
              <w:t xml:space="preserve"> generadas por el arancel con respecto </w:t>
            </w:r>
            <w:r w:rsidR="00AA7E5A">
              <w:rPr>
                <w:lang w:val="es-MX"/>
              </w:rPr>
              <w:t>a las mejoras en la</w:t>
            </w:r>
            <w:r>
              <w:rPr>
                <w:lang w:val="es-MX"/>
              </w:rPr>
              <w:t xml:space="preserve"> relación de intercambio comercial, generadas también por el establecimiento de dicho arancel.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AA7E5A" w:rsidRDefault="00FE0420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Los subsidios a las exportaciones, se constituyen en una fuente de ingresos para el Estado.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FE0420" w:rsidRDefault="00FE0420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En el contexto del Modelo </w:t>
            </w:r>
            <w:proofErr w:type="spellStart"/>
            <w:r>
              <w:rPr>
                <w:lang w:val="es-MX"/>
              </w:rPr>
              <w:t>Ricardiano</w:t>
            </w:r>
            <w:proofErr w:type="spellEnd"/>
            <w:r>
              <w:rPr>
                <w:lang w:val="es-MX"/>
              </w:rPr>
              <w:t>, un país debería de dedicarse a producir y vender aquellos bienes en los que tenga una ventaja comparativa.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FE0420" w:rsidRDefault="00FE0420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Una  de las principales limitaciones del Modelo </w:t>
            </w:r>
            <w:proofErr w:type="spellStart"/>
            <w:r>
              <w:rPr>
                <w:lang w:val="es-MX"/>
              </w:rPr>
              <w:t>Ricardiano</w:t>
            </w:r>
            <w:proofErr w:type="spellEnd"/>
            <w:r>
              <w:rPr>
                <w:lang w:val="es-MX"/>
              </w:rPr>
              <w:t xml:space="preserve"> es que no considera las ganancias que el comercio internacional genera en una economía.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FE0420" w:rsidRDefault="00FE0420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En el contexto del Modelo de Factores Específicos, es verdad que el comercio beneficia al factor que es específico del sector importador y perjudica al factor que es específico del sector exportador.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FE0420" w:rsidRDefault="00FE0420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En el contexto del Modelo de </w:t>
            </w:r>
            <w:proofErr w:type="spellStart"/>
            <w:r>
              <w:rPr>
                <w:lang w:val="es-MX"/>
              </w:rPr>
              <w:t>Heck</w:t>
            </w:r>
            <w:r w:rsidR="00DF3052">
              <w:rPr>
                <w:lang w:val="es-MX"/>
              </w:rPr>
              <w:t>sh</w:t>
            </w:r>
            <w:r>
              <w:rPr>
                <w:lang w:val="es-MX"/>
              </w:rPr>
              <w:t>er</w:t>
            </w:r>
            <w:proofErr w:type="spellEnd"/>
            <w:r>
              <w:rPr>
                <w:lang w:val="es-MX"/>
              </w:rPr>
              <w:t xml:space="preserve"> </w:t>
            </w:r>
            <w:proofErr w:type="spellStart"/>
            <w:r>
              <w:rPr>
                <w:lang w:val="es-MX"/>
              </w:rPr>
              <w:t>Ohlin</w:t>
            </w:r>
            <w:proofErr w:type="spellEnd"/>
            <w:r>
              <w:rPr>
                <w:lang w:val="es-MX"/>
              </w:rPr>
              <w:t xml:space="preserve">, los países tienen a exportar aquellos bienes </w:t>
            </w:r>
            <w:r w:rsidR="00DF3052">
              <w:rPr>
                <w:lang w:val="es-MX"/>
              </w:rPr>
              <w:t>cuya producción es intensiva en los factores en los que está dotados de forma abundante.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204334" w:rsidRPr="00DF3052" w:rsidRDefault="00DF3052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El comercio como tal nace a finales del período paleolítico.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204334" w:rsidTr="00B31C1F">
        <w:tc>
          <w:tcPr>
            <w:tcW w:w="8472" w:type="dxa"/>
          </w:tcPr>
          <w:p w:rsidR="00DF3052" w:rsidRPr="00A97787" w:rsidRDefault="00DF3052" w:rsidP="00A97787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 xml:space="preserve">En la hacienda “María Isabel”, ubicada en la provincia de Imbabura, se cultivan flores de alta calidad, que son transportadas en camiones al Aero Puerto Internacional de </w:t>
            </w:r>
            <w:proofErr w:type="spellStart"/>
            <w:r>
              <w:rPr>
                <w:lang w:val="es-MX"/>
              </w:rPr>
              <w:t>Tabalela</w:t>
            </w:r>
            <w:proofErr w:type="spellEnd"/>
            <w:r>
              <w:rPr>
                <w:lang w:val="es-MX"/>
              </w:rPr>
              <w:t>, lugar del cual son transportadas hasta la Unión Europea. En función de ello se puede decir que el transporte de las flores es multimodal.</w:t>
            </w:r>
          </w:p>
        </w:tc>
        <w:tc>
          <w:tcPr>
            <w:tcW w:w="506" w:type="dxa"/>
          </w:tcPr>
          <w:p w:rsidR="00204334" w:rsidRDefault="00204334" w:rsidP="001E4575">
            <w:pPr>
              <w:rPr>
                <w:lang w:val="es-MX"/>
              </w:rPr>
            </w:pPr>
          </w:p>
        </w:tc>
      </w:tr>
      <w:tr w:rsidR="00DF3052" w:rsidTr="00B31C1F">
        <w:tc>
          <w:tcPr>
            <w:tcW w:w="8472" w:type="dxa"/>
          </w:tcPr>
          <w:p w:rsidR="00DF3052" w:rsidRDefault="00DF3052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lastRenderedPageBreak/>
              <w:t>En Ecuador, según Resolución COMEX 63, cada galón de vodka tiene que pagar un arancel de $0,25. En función de ello, se puede decir que este caso es un ejemplo de arancel específico.</w:t>
            </w:r>
          </w:p>
        </w:tc>
        <w:tc>
          <w:tcPr>
            <w:tcW w:w="506" w:type="dxa"/>
          </w:tcPr>
          <w:p w:rsidR="00DF3052" w:rsidRDefault="00DF3052" w:rsidP="001E4575">
            <w:pPr>
              <w:rPr>
                <w:lang w:val="es-MX"/>
              </w:rPr>
            </w:pPr>
          </w:p>
        </w:tc>
      </w:tr>
      <w:tr w:rsidR="00DF3052" w:rsidTr="00B31C1F">
        <w:tc>
          <w:tcPr>
            <w:tcW w:w="8472" w:type="dxa"/>
          </w:tcPr>
          <w:p w:rsidR="00DF3052" w:rsidRDefault="00DF3052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La diferencia básica entre el arancel y las cuotas de importación, es que el primero no genera ingresos para el Estado, mientras que las segundas sí.</w:t>
            </w:r>
          </w:p>
        </w:tc>
        <w:tc>
          <w:tcPr>
            <w:tcW w:w="506" w:type="dxa"/>
          </w:tcPr>
          <w:p w:rsidR="00DF3052" w:rsidRDefault="00DF3052" w:rsidP="001E4575">
            <w:pPr>
              <w:rPr>
                <w:lang w:val="es-MX"/>
              </w:rPr>
            </w:pPr>
          </w:p>
        </w:tc>
      </w:tr>
      <w:tr w:rsidR="00DF3052" w:rsidTr="00B31C1F">
        <w:tc>
          <w:tcPr>
            <w:tcW w:w="8472" w:type="dxa"/>
          </w:tcPr>
          <w:p w:rsidR="00DF3052" w:rsidRDefault="00DF3052" w:rsidP="00DF3052">
            <w:pPr>
              <w:pStyle w:val="Prrafodelista"/>
              <w:numPr>
                <w:ilvl w:val="0"/>
                <w:numId w:val="1"/>
              </w:numPr>
              <w:jc w:val="both"/>
              <w:rPr>
                <w:lang w:val="es-MX"/>
              </w:rPr>
            </w:pPr>
            <w:r>
              <w:rPr>
                <w:lang w:val="es-MX"/>
              </w:rPr>
              <w:t>El Modelo de Factores Específicos no alcanza a estudiar los efectos que el comercio internacional puede provocar sobre la distribución de la renta en una economía que se abre al comercio.</w:t>
            </w:r>
          </w:p>
        </w:tc>
        <w:tc>
          <w:tcPr>
            <w:tcW w:w="506" w:type="dxa"/>
          </w:tcPr>
          <w:p w:rsidR="00DF3052" w:rsidRDefault="00DF3052" w:rsidP="001E4575">
            <w:pPr>
              <w:rPr>
                <w:lang w:val="es-MX"/>
              </w:rPr>
            </w:pPr>
          </w:p>
        </w:tc>
      </w:tr>
    </w:tbl>
    <w:p w:rsidR="00204334" w:rsidRDefault="00204334" w:rsidP="001E4575">
      <w:pPr>
        <w:rPr>
          <w:lang w:val="es-MX"/>
        </w:rPr>
      </w:pPr>
    </w:p>
    <w:p w:rsidR="001E4575" w:rsidRPr="00F7412C" w:rsidRDefault="00DF3052" w:rsidP="001E4575">
      <w:pPr>
        <w:rPr>
          <w:b/>
          <w:lang w:val="es-MX"/>
        </w:rPr>
      </w:pPr>
      <w:r w:rsidRPr="00F7412C">
        <w:rPr>
          <w:b/>
          <w:u w:val="single"/>
          <w:lang w:val="es-MX"/>
        </w:rPr>
        <w:t>Parte II</w:t>
      </w:r>
      <w:r w:rsidRPr="00F7412C">
        <w:rPr>
          <w:b/>
          <w:lang w:val="es-MX"/>
        </w:rPr>
        <w:t>.- Ejercicios</w:t>
      </w:r>
    </w:p>
    <w:p w:rsidR="00DF3052" w:rsidRPr="00EA3BFB" w:rsidRDefault="00F7412C" w:rsidP="00DF3052">
      <w:pPr>
        <w:jc w:val="both"/>
        <w:rPr>
          <w:sz w:val="20"/>
          <w:szCs w:val="20"/>
        </w:rPr>
      </w:pPr>
      <w:r w:rsidRPr="00F7412C">
        <w:rPr>
          <w:b/>
          <w:lang w:val="es-MX"/>
        </w:rPr>
        <w:t>Ejercicio 1.-</w:t>
      </w:r>
      <w:r w:rsidR="00DF3052" w:rsidRPr="00EA3BFB">
        <w:rPr>
          <w:b/>
          <w:sz w:val="20"/>
          <w:szCs w:val="20"/>
        </w:rPr>
        <w:t xml:space="preserve"> Sobre el Efecto de un Arancel:</w:t>
      </w:r>
      <w:r w:rsidR="00DF3052" w:rsidRPr="00EA3BFB">
        <w:rPr>
          <w:sz w:val="20"/>
          <w:szCs w:val="20"/>
        </w:rPr>
        <w:t xml:space="preserve"> Suponga que la curva de demanda local por trigo viene dada por:</w:t>
      </w:r>
    </w:p>
    <w:p w:rsidR="00DF3052" w:rsidRPr="00EA3BFB" w:rsidRDefault="00DF3052" w:rsidP="00DF3052">
      <w:pPr>
        <w:rPr>
          <w:sz w:val="20"/>
          <w:szCs w:val="20"/>
        </w:rPr>
      </w:pPr>
    </w:p>
    <w:p w:rsidR="00DF3052" w:rsidRPr="00EA3BFB" w:rsidRDefault="00DF3052" w:rsidP="00DF3052">
      <w:pPr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=100-20 P</m:t>
          </m:r>
        </m:oMath>
      </m:oMathPara>
    </w:p>
    <w:p w:rsidR="00DF3052" w:rsidRPr="00EA3BFB" w:rsidRDefault="00DF3052" w:rsidP="00DF3052">
      <w:pPr>
        <w:jc w:val="both"/>
        <w:rPr>
          <w:sz w:val="20"/>
          <w:szCs w:val="20"/>
        </w:rPr>
      </w:pPr>
      <w:r w:rsidRPr="00EA3BFB">
        <w:rPr>
          <w:sz w:val="20"/>
          <w:szCs w:val="20"/>
        </w:rPr>
        <w:t>Mientras que la curva de oferta viene dada por:</w:t>
      </w:r>
    </w:p>
    <w:p w:rsidR="00DF3052" w:rsidRPr="00EA3BFB" w:rsidRDefault="00DF3052" w:rsidP="00DF3052">
      <w:pPr>
        <w:rPr>
          <w:sz w:val="20"/>
          <w:szCs w:val="2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Pr>
            <m:e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S</m:t>
              </m:r>
            </m:sub>
          </m:sSub>
          <m:r>
            <w:rPr>
              <w:rFonts w:ascii="Cambria Math" w:hAnsi="Cambria Math"/>
              <w:sz w:val="20"/>
              <w:szCs w:val="20"/>
            </w:rPr>
            <m:t>=20+20 P</m:t>
          </m:r>
        </m:oMath>
      </m:oMathPara>
    </w:p>
    <w:p w:rsidR="00DF3052" w:rsidRPr="00EA3BFB" w:rsidRDefault="00DF3052" w:rsidP="00DF3052">
      <w:pPr>
        <w:jc w:val="both"/>
        <w:rPr>
          <w:sz w:val="20"/>
          <w:szCs w:val="20"/>
        </w:rPr>
      </w:pPr>
      <w:r w:rsidRPr="00EA3BFB">
        <w:rPr>
          <w:sz w:val="20"/>
          <w:szCs w:val="20"/>
        </w:rPr>
        <w:t>Considere además el caso de un país extranjero, cuya oferta y demanda de trigo, viene modeladas por:</w:t>
      </w:r>
    </w:p>
    <w:p w:rsidR="00DF3052" w:rsidRPr="00EA3BFB" w:rsidRDefault="00DF3052" w:rsidP="00DF3052">
      <w:pPr>
        <w:rPr>
          <w:rFonts w:eastAsiaTheme="minorEastAsia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hAnsi="Cambria Math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hAnsi="Cambria Math"/>
                  <w:sz w:val="20"/>
                  <w:szCs w:val="20"/>
                </w:rPr>
                <m:t>D</m:t>
              </m:r>
            </m:sub>
            <m:sup>
              <m:r>
                <w:rPr>
                  <w:rFonts w:ascii="Cambria Math" w:hAnsi="Cambria Math"/>
                  <w:sz w:val="20"/>
                  <w:szCs w:val="20"/>
                </w:rPr>
                <m:t>*</m:t>
              </m:r>
            </m:sup>
          </m:sSubSup>
          <m:r>
            <w:rPr>
              <w:rFonts w:ascii="Cambria Math" w:hAnsi="Cambria Math"/>
              <w:sz w:val="20"/>
              <w:szCs w:val="20"/>
            </w:rPr>
            <m:t>=80-20 P</m:t>
          </m:r>
        </m:oMath>
      </m:oMathPara>
    </w:p>
    <w:p w:rsidR="00DF3052" w:rsidRPr="00EA3BFB" w:rsidRDefault="00DF3052" w:rsidP="00DF3052">
      <w:pPr>
        <w:rPr>
          <w:rFonts w:eastAsiaTheme="minorEastAsia"/>
          <w:sz w:val="20"/>
          <w:szCs w:val="20"/>
        </w:rPr>
      </w:pPr>
      <m:oMathPara>
        <m:oMath>
          <m:sSubSup>
            <m:sSubSupPr>
              <m:ctrlPr>
                <w:rPr>
                  <w:rFonts w:ascii="Cambria Math" w:eastAsiaTheme="minorEastAsia" w:hAnsi="Cambria Math"/>
                  <w:i/>
                  <w:sz w:val="20"/>
                  <w:szCs w:val="20"/>
                </w:rPr>
              </m:ctrlPr>
            </m:sSubSupPr>
            <m:e>
              <m:r>
                <w:rPr>
                  <w:rFonts w:ascii="Cambria Math" w:eastAsiaTheme="minorEastAsia" w:hAnsi="Cambria Math"/>
                  <w:sz w:val="20"/>
                  <w:szCs w:val="20"/>
                </w:rPr>
                <m:t>Q</m:t>
              </m:r>
            </m:e>
            <m:sub>
              <m:r>
                <w:rPr>
                  <w:rFonts w:ascii="Cambria Math" w:eastAsiaTheme="minorEastAsia" w:hAnsi="Cambria Math"/>
                  <w:sz w:val="20"/>
                  <w:szCs w:val="20"/>
                </w:rPr>
                <m:t>S</m:t>
              </m:r>
            </m:sub>
            <m:sup>
              <m:r>
                <w:rPr>
                  <w:rFonts w:ascii="Cambria Math" w:eastAsiaTheme="minorEastAsia" w:hAnsi="Cambria Math"/>
                  <w:sz w:val="20"/>
                  <w:szCs w:val="20"/>
                </w:rPr>
                <m:t>*</m:t>
              </m:r>
            </m:sup>
          </m:sSubSup>
          <m:r>
            <w:rPr>
              <w:rFonts w:ascii="Cambria Math" w:eastAsiaTheme="minorEastAsia" w:hAnsi="Cambria Math"/>
              <w:sz w:val="20"/>
              <w:szCs w:val="20"/>
            </w:rPr>
            <m:t>=40+20 P</m:t>
          </m:r>
        </m:oMath>
      </m:oMathPara>
    </w:p>
    <w:p w:rsidR="00DF3052" w:rsidRPr="00EA3BFB" w:rsidRDefault="00DF3052" w:rsidP="00DF3052">
      <w:pPr>
        <w:jc w:val="both"/>
        <w:rPr>
          <w:rFonts w:eastAsiaTheme="minorEastAsia"/>
          <w:sz w:val="20"/>
          <w:szCs w:val="20"/>
        </w:rPr>
      </w:pPr>
      <w:r w:rsidRPr="00EA3BFB">
        <w:rPr>
          <w:rFonts w:eastAsiaTheme="minorEastAsia"/>
          <w:sz w:val="20"/>
          <w:szCs w:val="20"/>
        </w:rPr>
        <w:t>Se pide:</w:t>
      </w:r>
    </w:p>
    <w:p w:rsidR="00DF3052" w:rsidRPr="00EA3BFB" w:rsidRDefault="00DF3052" w:rsidP="00DF3052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0"/>
          <w:szCs w:val="20"/>
        </w:rPr>
      </w:pPr>
      <w:r w:rsidRPr="00EA3BFB">
        <w:rPr>
          <w:rFonts w:eastAsiaTheme="minorEastAsia"/>
          <w:sz w:val="20"/>
          <w:szCs w:val="20"/>
        </w:rPr>
        <w:t>Obtener el precio y cantidad de equilibrio del trigo para nuestro país en ausencia de comercio.</w:t>
      </w:r>
    </w:p>
    <w:p w:rsidR="00DF3052" w:rsidRPr="00EA3BFB" w:rsidRDefault="00DF3052" w:rsidP="00DF3052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0"/>
          <w:szCs w:val="20"/>
        </w:rPr>
      </w:pPr>
      <w:r w:rsidRPr="00EA3BFB">
        <w:rPr>
          <w:rFonts w:eastAsiaTheme="minorEastAsia"/>
          <w:sz w:val="20"/>
          <w:szCs w:val="20"/>
        </w:rPr>
        <w:t>Obtener el precio y cantidad de equilibrio del trigo para el país extranjero en ausencia de comercio.</w:t>
      </w:r>
    </w:p>
    <w:p w:rsidR="00DF3052" w:rsidRPr="00EA3BFB" w:rsidRDefault="00DF3052" w:rsidP="00DF3052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0"/>
          <w:szCs w:val="20"/>
        </w:rPr>
      </w:pPr>
      <w:r w:rsidRPr="00EA3BFB">
        <w:rPr>
          <w:rFonts w:eastAsiaTheme="minorEastAsia"/>
          <w:sz w:val="20"/>
          <w:szCs w:val="20"/>
        </w:rPr>
        <w:t>Obtener y deducir la curva de exportaciones del extranjero.</w:t>
      </w:r>
      <w:r w:rsidR="00F7412C">
        <w:rPr>
          <w:rFonts w:eastAsiaTheme="minorEastAsia"/>
          <w:sz w:val="20"/>
          <w:szCs w:val="20"/>
        </w:rPr>
        <w:t xml:space="preserve"> (Suponga P=1,50 y P =2)</w:t>
      </w:r>
    </w:p>
    <w:p w:rsidR="00DF3052" w:rsidRPr="00EA3BFB" w:rsidRDefault="00DF3052" w:rsidP="00DF3052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0"/>
          <w:szCs w:val="20"/>
        </w:rPr>
      </w:pPr>
      <w:r w:rsidRPr="00EA3BFB">
        <w:rPr>
          <w:rFonts w:eastAsiaTheme="minorEastAsia"/>
          <w:sz w:val="20"/>
          <w:szCs w:val="20"/>
        </w:rPr>
        <w:t>Obtener y deducir la curva de demanda por importaciones de trigo de nuestro país.</w:t>
      </w:r>
      <w:r w:rsidR="00F7412C">
        <w:rPr>
          <w:rFonts w:eastAsiaTheme="minorEastAsia"/>
          <w:sz w:val="20"/>
          <w:szCs w:val="20"/>
        </w:rPr>
        <w:t xml:space="preserve"> (Suponga P = 1,50 y P=1)</w:t>
      </w:r>
    </w:p>
    <w:p w:rsidR="00DF3052" w:rsidRPr="00EA3BFB" w:rsidRDefault="00DF3052" w:rsidP="00DF3052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0"/>
          <w:szCs w:val="20"/>
        </w:rPr>
      </w:pPr>
      <w:r w:rsidRPr="00EA3BFB">
        <w:rPr>
          <w:rFonts w:eastAsiaTheme="minorEastAsia"/>
          <w:sz w:val="20"/>
          <w:szCs w:val="20"/>
        </w:rPr>
        <w:t>Considere ahora que nuestro país y el extranjero comercializan entre s</w:t>
      </w:r>
      <w:r w:rsidRPr="00EA3BFB">
        <w:rPr>
          <w:rFonts w:ascii="Arial" w:eastAsiaTheme="minorEastAsia" w:hAnsi="Arial" w:cs="Arial"/>
          <w:sz w:val="20"/>
          <w:szCs w:val="20"/>
        </w:rPr>
        <w:t>í</w:t>
      </w:r>
      <w:r w:rsidRPr="00EA3BFB">
        <w:rPr>
          <w:rFonts w:eastAsiaTheme="minorEastAsia"/>
          <w:sz w:val="20"/>
          <w:szCs w:val="20"/>
        </w:rPr>
        <w:t>. En función de ello, obtenga el equilibrio de libre comercio y dibuje el gráfico. ¿Cuál es el precio mundial? ¿Cuál es el volumen de comercio?</w:t>
      </w:r>
    </w:p>
    <w:p w:rsidR="00DF3052" w:rsidRPr="00EA3BFB" w:rsidRDefault="00DF3052" w:rsidP="00DF3052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0"/>
          <w:szCs w:val="20"/>
        </w:rPr>
      </w:pPr>
      <w:r w:rsidRPr="00EA3BFB">
        <w:rPr>
          <w:rFonts w:eastAsiaTheme="minorEastAsia"/>
          <w:sz w:val="20"/>
          <w:szCs w:val="20"/>
        </w:rPr>
        <w:t>Considere que nuestro país, un país pequeño en los mercados internacionales, establece un arancel específico de 0,50 sobre le importación de trigo. En función de ello determine y muestre gráficamente los efectos de dicho arancel sobre: El precio local de trigo, la cantidad de trigo ofrecida y demandada en nuestro país y el volumen de importaciones por parte de nuestro país. (Nota: Suponga un precio local antes del arancel igual a 1)</w:t>
      </w:r>
    </w:p>
    <w:p w:rsidR="00DF3052" w:rsidRPr="00EA3BFB" w:rsidRDefault="00DF3052" w:rsidP="00DF3052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0"/>
          <w:szCs w:val="20"/>
        </w:rPr>
      </w:pPr>
      <w:r w:rsidRPr="00EA3BFB">
        <w:rPr>
          <w:rFonts w:eastAsiaTheme="minorEastAsia"/>
          <w:sz w:val="20"/>
          <w:szCs w:val="20"/>
        </w:rPr>
        <w:t>Con alcance al literal anterior, determine el efecto del arancel sobre el bienestar de cada uno de los siguientes grupos: consumidores locales, productores nacionales de trigo, Estado.</w:t>
      </w:r>
    </w:p>
    <w:p w:rsidR="00DF3052" w:rsidRPr="00EA3BFB" w:rsidRDefault="00DF3052" w:rsidP="00DF3052">
      <w:pPr>
        <w:pStyle w:val="Prrafodelista"/>
        <w:numPr>
          <w:ilvl w:val="0"/>
          <w:numId w:val="2"/>
        </w:numPr>
        <w:jc w:val="both"/>
        <w:rPr>
          <w:rFonts w:eastAsiaTheme="minorEastAsia"/>
          <w:sz w:val="20"/>
          <w:szCs w:val="20"/>
        </w:rPr>
      </w:pPr>
      <w:r w:rsidRPr="00EA3BFB">
        <w:rPr>
          <w:rFonts w:eastAsiaTheme="minorEastAsia"/>
          <w:sz w:val="20"/>
          <w:szCs w:val="20"/>
        </w:rPr>
        <w:t>Calcule las distorsiones sobre las decisiones de producción y consumo locales, dado el establecimiento de un arancel. ¿Qué inte</w:t>
      </w:r>
      <w:r>
        <w:rPr>
          <w:rFonts w:eastAsiaTheme="minorEastAsia"/>
          <w:sz w:val="20"/>
          <w:szCs w:val="20"/>
        </w:rPr>
        <w:t>rpretación tienen tales “distors</w:t>
      </w:r>
      <w:r w:rsidRPr="00EA3BFB">
        <w:rPr>
          <w:rFonts w:eastAsiaTheme="minorEastAsia"/>
          <w:sz w:val="20"/>
          <w:szCs w:val="20"/>
        </w:rPr>
        <w:t>iones”?</w:t>
      </w:r>
      <w:bookmarkStart w:id="0" w:name="_GoBack"/>
      <w:bookmarkEnd w:id="0"/>
    </w:p>
    <w:sectPr w:rsidR="00DF3052" w:rsidRPr="00EA3BFB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E57" w:rsidRDefault="000D6E57" w:rsidP="00A97787">
      <w:pPr>
        <w:spacing w:after="0" w:line="240" w:lineRule="auto"/>
      </w:pPr>
      <w:r>
        <w:separator/>
      </w:r>
    </w:p>
  </w:endnote>
  <w:endnote w:type="continuationSeparator" w:id="0">
    <w:p w:rsidR="000D6E57" w:rsidRDefault="000D6E57" w:rsidP="00A977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87" w:rsidRDefault="00A97787">
    <w:pPr>
      <w:pStyle w:val="Piedepgina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Econ. Felipe David Álvarez Ordóñez. </w:t>
    </w:r>
    <w:proofErr w:type="spellStart"/>
    <w:r>
      <w:rPr>
        <w:rFonts w:asciiTheme="majorHAnsi" w:eastAsiaTheme="majorEastAsia" w:hAnsiTheme="majorHAnsi" w:cstheme="majorBidi"/>
      </w:rPr>
      <w:t>M.Sc</w:t>
    </w:r>
    <w:proofErr w:type="spellEnd"/>
    <w:r>
      <w:rPr>
        <w:rFonts w:asciiTheme="majorHAnsi" w:eastAsiaTheme="majorEastAsia" w:hAnsiTheme="majorHAnsi" w:cstheme="majorBidi"/>
      </w:rPr>
      <w:t>.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  <w:lang w:val="es-ES"/>
      </w:rPr>
      <w:t xml:space="preserve">Página </w:t>
    </w:r>
    <w:r>
      <w:rPr>
        <w:rFonts w:eastAsiaTheme="minorEastAsia"/>
      </w:rPr>
      <w:fldChar w:fldCharType="begin"/>
    </w:r>
    <w:r>
      <w:instrText>PAGE   \* MERGEFORMAT</w:instrText>
    </w:r>
    <w:r>
      <w:rPr>
        <w:rFonts w:eastAsiaTheme="minorEastAsia"/>
      </w:rPr>
      <w:fldChar w:fldCharType="separate"/>
    </w:r>
    <w:r w:rsidRPr="00A97787">
      <w:rPr>
        <w:rFonts w:asciiTheme="majorHAnsi" w:eastAsiaTheme="majorEastAsia" w:hAnsiTheme="majorHAnsi" w:cstheme="majorBidi"/>
        <w:noProof/>
        <w:lang w:val="es-ES"/>
      </w:rPr>
      <w:t>1</w:t>
    </w:r>
    <w:r>
      <w:rPr>
        <w:rFonts w:asciiTheme="majorHAnsi" w:eastAsiaTheme="majorEastAsia" w:hAnsiTheme="majorHAnsi" w:cstheme="majorBidi"/>
      </w:rPr>
      <w:fldChar w:fldCharType="end"/>
    </w:r>
  </w:p>
  <w:p w:rsidR="00A97787" w:rsidRDefault="00A9778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E57" w:rsidRDefault="000D6E57" w:rsidP="00A97787">
      <w:pPr>
        <w:spacing w:after="0" w:line="240" w:lineRule="auto"/>
      </w:pPr>
      <w:r>
        <w:separator/>
      </w:r>
    </w:p>
  </w:footnote>
  <w:footnote w:type="continuationSeparator" w:id="0">
    <w:p w:rsidR="000D6E57" w:rsidRDefault="000D6E57" w:rsidP="00A977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787" w:rsidRDefault="00A97787">
    <w:pPr>
      <w:pStyle w:val="Encabezado"/>
    </w:pPr>
    <w:r>
      <w:t>Comercio Internacional V-I</w:t>
    </w:r>
  </w:p>
  <w:p w:rsidR="00A97787" w:rsidRDefault="00A9778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B39C6"/>
    <w:multiLevelType w:val="hybridMultilevel"/>
    <w:tmpl w:val="364C5928"/>
    <w:lvl w:ilvl="0" w:tplc="300A0019">
      <w:start w:val="1"/>
      <w:numFmt w:val="lowerLetter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2196"/>
    <w:multiLevelType w:val="hybridMultilevel"/>
    <w:tmpl w:val="522820D4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575"/>
    <w:rsid w:val="000D6E57"/>
    <w:rsid w:val="001140F9"/>
    <w:rsid w:val="001E4575"/>
    <w:rsid w:val="00204334"/>
    <w:rsid w:val="006045A2"/>
    <w:rsid w:val="008360BD"/>
    <w:rsid w:val="00996690"/>
    <w:rsid w:val="00A97787"/>
    <w:rsid w:val="00AA7E5A"/>
    <w:rsid w:val="00B31C1F"/>
    <w:rsid w:val="00D563B4"/>
    <w:rsid w:val="00DF3052"/>
    <w:rsid w:val="00F7412C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43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787"/>
  </w:style>
  <w:style w:type="paragraph" w:styleId="Piedepgina">
    <w:name w:val="footer"/>
    <w:basedOn w:val="Normal"/>
    <w:link w:val="PiedepginaCar"/>
    <w:uiPriority w:val="99"/>
    <w:unhideWhenUsed/>
    <w:rsid w:val="00A97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78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043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0433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F30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305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97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97787"/>
  </w:style>
  <w:style w:type="paragraph" w:styleId="Piedepgina">
    <w:name w:val="footer"/>
    <w:basedOn w:val="Normal"/>
    <w:link w:val="PiedepginaCar"/>
    <w:uiPriority w:val="99"/>
    <w:unhideWhenUsed/>
    <w:rsid w:val="00A977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97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155F94-0A1C-4EFD-81D2-6B1AA15B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785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Coordinacion</dc:creator>
  <cp:lastModifiedBy>Coordinacion</cp:lastModifiedBy>
  <cp:revision>2</cp:revision>
  <dcterms:created xsi:type="dcterms:W3CDTF">2013-06-29T18:46:00Z</dcterms:created>
  <dcterms:modified xsi:type="dcterms:W3CDTF">2013-06-29T20:43:00Z</dcterms:modified>
</cp:coreProperties>
</file>