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3" w:rsidRPr="006B2516" w:rsidRDefault="00990DAF" w:rsidP="006B2516">
      <w:pPr>
        <w:spacing w:line="240" w:lineRule="auto"/>
        <w:contextualSpacing/>
        <w:jc w:val="center"/>
        <w:rPr>
          <w:b/>
        </w:rPr>
      </w:pPr>
      <w:r w:rsidRPr="006B2516">
        <w:rPr>
          <w:b/>
        </w:rPr>
        <w:t>ESCUELA SUPERIOR POLITÉCNICA DEL LITORAL</w:t>
      </w:r>
    </w:p>
    <w:p w:rsidR="00990DAF" w:rsidRPr="006B2516" w:rsidRDefault="00990DAF" w:rsidP="006B2516">
      <w:pPr>
        <w:spacing w:line="240" w:lineRule="auto"/>
        <w:contextualSpacing/>
        <w:jc w:val="center"/>
        <w:rPr>
          <w:b/>
        </w:rPr>
      </w:pPr>
      <w:r w:rsidRPr="006B2516">
        <w:rPr>
          <w:b/>
        </w:rPr>
        <w:t>FACULTAD DE CIENCIAS SOCIALES Y HUMANÍSTICAS</w:t>
      </w:r>
    </w:p>
    <w:p w:rsidR="00990DAF" w:rsidRPr="006B2516" w:rsidRDefault="00990DAF" w:rsidP="006B2516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6B2516">
        <w:rPr>
          <w:b/>
        </w:rPr>
        <w:t>COMERCIO INTERNACIONAL</w:t>
      </w:r>
    </w:p>
    <w:p w:rsidR="00990DAF" w:rsidRPr="006B2516" w:rsidRDefault="00990DAF" w:rsidP="006B2516">
      <w:pPr>
        <w:spacing w:line="240" w:lineRule="auto"/>
        <w:contextualSpacing/>
        <w:jc w:val="center"/>
        <w:rPr>
          <w:b/>
        </w:rPr>
      </w:pPr>
      <w:r w:rsidRPr="006B2516">
        <w:rPr>
          <w:b/>
        </w:rPr>
        <w:t>EXAMEN FINAL</w:t>
      </w:r>
    </w:p>
    <w:p w:rsidR="00990DAF" w:rsidRDefault="00990DAF"/>
    <w:p w:rsidR="00990DAF" w:rsidRPr="006B2516" w:rsidRDefault="00990DAF" w:rsidP="006B2516">
      <w:pPr>
        <w:spacing w:line="240" w:lineRule="auto"/>
        <w:contextualSpacing/>
        <w:rPr>
          <w:b/>
        </w:rPr>
      </w:pPr>
      <w:r w:rsidRPr="006B2516">
        <w:rPr>
          <w:b/>
        </w:rPr>
        <w:t>Nombre:………………………………………………..                                                      Fecha: 26/Agosto/2013.</w:t>
      </w:r>
    </w:p>
    <w:p w:rsidR="00990DAF" w:rsidRPr="006B2516" w:rsidRDefault="00990DAF" w:rsidP="006B2516">
      <w:pPr>
        <w:spacing w:line="240" w:lineRule="auto"/>
        <w:contextualSpacing/>
        <w:rPr>
          <w:b/>
        </w:rPr>
      </w:pPr>
      <w:r w:rsidRPr="006B2516">
        <w:rPr>
          <w:b/>
        </w:rPr>
        <w:t xml:space="preserve">Profesor: Econ. Felipe Álvarez O. </w:t>
      </w:r>
      <w:proofErr w:type="spellStart"/>
      <w:r w:rsidRPr="006B2516">
        <w:rPr>
          <w:b/>
        </w:rPr>
        <w:t>M.Sc</w:t>
      </w:r>
      <w:proofErr w:type="spellEnd"/>
      <w:r w:rsidRPr="006B2516">
        <w:rPr>
          <w:b/>
        </w:rPr>
        <w:t>.</w:t>
      </w:r>
    </w:p>
    <w:p w:rsidR="00990DAF" w:rsidRDefault="00990DAF" w:rsidP="006B2516">
      <w:pPr>
        <w:jc w:val="center"/>
      </w:pPr>
      <w:r>
        <w:t>“Como estudiante de la ESPOL, me comprometo a luchar contra la Mediocridad, por eso me comprometo a no copiar no dejar copiar en el presente examen”.</w:t>
      </w:r>
    </w:p>
    <w:p w:rsidR="00990DAF" w:rsidRDefault="00990DAF" w:rsidP="006B2516">
      <w:pPr>
        <w:jc w:val="center"/>
      </w:pPr>
      <w:r>
        <w:t>Firma  del Estudiante:………………………………………            Número de Cédula:…………………………….</w:t>
      </w:r>
    </w:p>
    <w:p w:rsidR="00990DAF" w:rsidRPr="006B2516" w:rsidRDefault="00990DAF">
      <w:pPr>
        <w:rPr>
          <w:b/>
        </w:rPr>
      </w:pPr>
      <w:r w:rsidRPr="006B2516">
        <w:rPr>
          <w:b/>
        </w:rPr>
        <w:t>Conteste Verdadero o  Falso para cada uno de los siguientes enunciados: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1"/>
        <w:gridCol w:w="542"/>
      </w:tblGrid>
      <w:tr w:rsidR="00990DAF" w:rsidTr="00800993">
        <w:tc>
          <w:tcPr>
            <w:tcW w:w="8451" w:type="dxa"/>
          </w:tcPr>
          <w:p w:rsidR="00990DAF" w:rsidRPr="006B2516" w:rsidRDefault="00990DAF" w:rsidP="006B2516">
            <w:pPr>
              <w:jc w:val="center"/>
              <w:rPr>
                <w:b/>
              </w:rPr>
            </w:pPr>
            <w:r w:rsidRPr="006B2516">
              <w:rPr>
                <w:b/>
              </w:rPr>
              <w:t>Enunciado</w:t>
            </w:r>
          </w:p>
        </w:tc>
        <w:tc>
          <w:tcPr>
            <w:tcW w:w="527" w:type="dxa"/>
          </w:tcPr>
          <w:p w:rsidR="00990DAF" w:rsidRPr="006B2516" w:rsidRDefault="00990DAF" w:rsidP="006B2516">
            <w:pPr>
              <w:jc w:val="center"/>
              <w:rPr>
                <w:b/>
              </w:rPr>
            </w:pPr>
            <w:r w:rsidRPr="006B2516">
              <w:rPr>
                <w:b/>
              </w:rPr>
              <w:t>V/F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LA OMC es antecesora del GATT.</w:t>
            </w:r>
          </w:p>
        </w:tc>
        <w:tc>
          <w:tcPr>
            <w:tcW w:w="527" w:type="dxa"/>
          </w:tcPr>
          <w:p w:rsidR="00990DAF" w:rsidRDefault="00800993">
            <w:r>
              <w:t>F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Los principales objetivos de la Ronda de Uruguay fueron: Actualizar y Reforzar las Normas del GATT, liberalizar el comercio mundial y extender el ámbito de aplicación del GATT.</w:t>
            </w:r>
          </w:p>
        </w:tc>
        <w:tc>
          <w:tcPr>
            <w:tcW w:w="527" w:type="dxa"/>
          </w:tcPr>
          <w:p w:rsidR="00990DAF" w:rsidRDefault="00800993">
            <w:r>
              <w:t>V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Al finalizar la Ronda de Uruguay el 15 de Abril de 1994, se “da vida” a la OMC mediante la declaración de “Punta del Este”.</w:t>
            </w:r>
          </w:p>
        </w:tc>
        <w:tc>
          <w:tcPr>
            <w:tcW w:w="527" w:type="dxa"/>
          </w:tcPr>
          <w:p w:rsidR="00990DAF" w:rsidRDefault="00800993">
            <w:r>
              <w:t>F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puede definir a la OMC como un foro para resolver diferencias comerciales.</w:t>
            </w:r>
          </w:p>
        </w:tc>
        <w:tc>
          <w:tcPr>
            <w:tcW w:w="527" w:type="dxa"/>
          </w:tcPr>
          <w:p w:rsidR="00990DAF" w:rsidRDefault="00800993">
            <w:r>
              <w:t>V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Los principales principios bajo los cuales funciona a la OMC son: No discriminación, liberalización inmediata del comercial mundial y fomento de la competencia leal.</w:t>
            </w:r>
          </w:p>
        </w:tc>
        <w:tc>
          <w:tcPr>
            <w:tcW w:w="527" w:type="dxa"/>
          </w:tcPr>
          <w:p w:rsidR="00990DAF" w:rsidRDefault="00800993">
            <w:r>
              <w:t>F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</w:pPr>
            <w:r>
              <w:t>El órgano de adopción de decisiones más importante dentro de la OMC es la Conferencia Ministerial que se reúne  una vez al año.</w:t>
            </w:r>
          </w:p>
        </w:tc>
        <w:tc>
          <w:tcPr>
            <w:tcW w:w="527" w:type="dxa"/>
          </w:tcPr>
          <w:p w:rsidR="00990DAF" w:rsidRDefault="00800993">
            <w:r>
              <w:t>F</w:t>
            </w:r>
          </w:p>
        </w:tc>
      </w:tr>
      <w:tr w:rsidR="00990DAF" w:rsidTr="00800993">
        <w:tc>
          <w:tcPr>
            <w:tcW w:w="8451" w:type="dxa"/>
          </w:tcPr>
          <w:p w:rsidR="00990DAF" w:rsidRDefault="00800993" w:rsidP="00800993">
            <w:pPr>
              <w:pStyle w:val="Prrafodelista"/>
              <w:numPr>
                <w:ilvl w:val="0"/>
                <w:numId w:val="1"/>
              </w:numPr>
            </w:pPr>
            <w:r>
              <w:t>La CAN nace como una respuesta a las asimetrías identificadas en la ALALC.</w:t>
            </w:r>
          </w:p>
        </w:tc>
        <w:tc>
          <w:tcPr>
            <w:tcW w:w="527" w:type="dxa"/>
          </w:tcPr>
          <w:p w:rsidR="00990DAF" w:rsidRDefault="00800993">
            <w:r>
              <w:t>V</w:t>
            </w:r>
          </w:p>
        </w:tc>
      </w:tr>
      <w:tr w:rsidR="00800993" w:rsidTr="00800993">
        <w:tc>
          <w:tcPr>
            <w:tcW w:w="8451" w:type="dxa"/>
          </w:tcPr>
          <w:p w:rsidR="00800993" w:rsidRDefault="00486EF1" w:rsidP="00800993">
            <w:pPr>
              <w:pStyle w:val="Prrafodelista"/>
              <w:numPr>
                <w:ilvl w:val="0"/>
                <w:numId w:val="1"/>
              </w:numPr>
            </w:pPr>
            <w:r>
              <w:t>La armonización gradual de políticas económicas y sociales, aplicación de un arancel externo común y la Programación Industrial conjunto, son mecanismos que la CAN utiliza para promover un desarrollo armónico y equilibrado de sus países miembros.</w:t>
            </w:r>
          </w:p>
        </w:tc>
        <w:tc>
          <w:tcPr>
            <w:tcW w:w="527" w:type="dxa"/>
          </w:tcPr>
          <w:p w:rsidR="00800993" w:rsidRDefault="00486EF1">
            <w:r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486EF1" w:rsidP="00800993">
            <w:pPr>
              <w:pStyle w:val="Prrafodelista"/>
              <w:numPr>
                <w:ilvl w:val="0"/>
                <w:numId w:val="1"/>
              </w:numPr>
            </w:pPr>
            <w:r>
              <w:t>Los principales instrumentos que utilizó la CAN para promover la integración comercial son: Programas Sectoriales de Desarrollo Industrial,  Programa de Liberación Comercial y Arancel Externo Común.</w:t>
            </w:r>
          </w:p>
        </w:tc>
        <w:tc>
          <w:tcPr>
            <w:tcW w:w="527" w:type="dxa"/>
          </w:tcPr>
          <w:p w:rsidR="00486EF1" w:rsidRDefault="00486EF1">
            <w:r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486EF1" w:rsidP="00800993">
            <w:pPr>
              <w:pStyle w:val="Prrafodelista"/>
              <w:numPr>
                <w:ilvl w:val="0"/>
                <w:numId w:val="1"/>
              </w:numPr>
            </w:pPr>
            <w:r>
              <w:t>Los países miembros de la CAN son: Canadá, EEUU y El Salvador.</w:t>
            </w:r>
          </w:p>
        </w:tc>
        <w:tc>
          <w:tcPr>
            <w:tcW w:w="527" w:type="dxa"/>
          </w:tcPr>
          <w:p w:rsidR="00486EF1" w:rsidRDefault="00486EF1">
            <w:r>
              <w:t>F</w:t>
            </w:r>
          </w:p>
        </w:tc>
      </w:tr>
      <w:tr w:rsidR="00486EF1" w:rsidTr="00800993">
        <w:tc>
          <w:tcPr>
            <w:tcW w:w="8451" w:type="dxa"/>
          </w:tcPr>
          <w:p w:rsidR="00486EF1" w:rsidRDefault="00486EF1" w:rsidP="00800993">
            <w:pPr>
              <w:pStyle w:val="Prrafodelista"/>
              <w:numPr>
                <w:ilvl w:val="0"/>
                <w:numId w:val="1"/>
              </w:numPr>
            </w:pPr>
            <w:r>
              <w:t>La coordinación de políticas macroeconómicas y sectoriales entre los Estados partes es uno de los principales objetivos del MERCOSUR.</w:t>
            </w:r>
          </w:p>
        </w:tc>
        <w:tc>
          <w:tcPr>
            <w:tcW w:w="527" w:type="dxa"/>
          </w:tcPr>
          <w:p w:rsidR="00486EF1" w:rsidRDefault="00486EF1">
            <w:r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486EF1" w:rsidP="00800993">
            <w:pPr>
              <w:pStyle w:val="Prrafodelista"/>
              <w:numPr>
                <w:ilvl w:val="0"/>
                <w:numId w:val="1"/>
              </w:numPr>
            </w:pPr>
            <w:r>
              <w:t>El MERCOSUR nace, junto la estructuración de la base legal que garantizó su funcionamiento y operatividad, en el Tratado de “Asunción” en 1991.</w:t>
            </w:r>
          </w:p>
        </w:tc>
        <w:tc>
          <w:tcPr>
            <w:tcW w:w="527" w:type="dxa"/>
          </w:tcPr>
          <w:p w:rsidR="00486EF1" w:rsidRDefault="00486EF1">
            <w:r>
              <w:t>F</w:t>
            </w:r>
          </w:p>
        </w:tc>
      </w:tr>
      <w:tr w:rsidR="00486EF1" w:rsidTr="00800993">
        <w:tc>
          <w:tcPr>
            <w:tcW w:w="8451" w:type="dxa"/>
          </w:tcPr>
          <w:p w:rsidR="00486EF1" w:rsidRDefault="006B2516" w:rsidP="00800993">
            <w:pPr>
              <w:pStyle w:val="Prrafodelista"/>
              <w:numPr>
                <w:ilvl w:val="0"/>
                <w:numId w:val="1"/>
              </w:numPr>
            </w:pPr>
            <w:r>
              <w:t>Los casos excepcionales a los cuales no se aplica el Arancel Externo  Común por parte del MERCOSUR son: Desequilibrios  de Oferta y Demanda, importación de bienes de informática y telecomunicaciones e importación de bienes de consumo básicos.</w:t>
            </w:r>
          </w:p>
        </w:tc>
        <w:tc>
          <w:tcPr>
            <w:tcW w:w="527" w:type="dxa"/>
          </w:tcPr>
          <w:p w:rsidR="00486EF1" w:rsidRDefault="006B2516">
            <w:r>
              <w:t>F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t>Los Miembros del Parlamento Europea son escogidos por votación directa cada 5 años.</w:t>
            </w:r>
          </w:p>
        </w:tc>
        <w:tc>
          <w:tcPr>
            <w:tcW w:w="527" w:type="dxa"/>
          </w:tcPr>
          <w:p w:rsidR="00486EF1" w:rsidRDefault="00CC66FC">
            <w:r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t>El Consejo Europeo, está conformado por representantes de los países miembros designados directamente por los Jefes de Estado.</w:t>
            </w:r>
          </w:p>
        </w:tc>
        <w:tc>
          <w:tcPr>
            <w:tcW w:w="527" w:type="dxa"/>
          </w:tcPr>
          <w:p w:rsidR="00486EF1" w:rsidRDefault="00CC66FC">
            <w:r>
              <w:t>F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t xml:space="preserve">La Corporación Financiera Internacional, la Agencia Multilateral de Garantías y el </w:t>
            </w:r>
            <w:r>
              <w:lastRenderedPageBreak/>
              <w:t>Banco Internacional de Reconstrucción y Desarrollo, son instituciones que facilitan la ejecución de algunas de las funciones más relevantes del Banco Mundial.</w:t>
            </w:r>
          </w:p>
        </w:tc>
        <w:tc>
          <w:tcPr>
            <w:tcW w:w="527" w:type="dxa"/>
          </w:tcPr>
          <w:p w:rsidR="00486EF1" w:rsidRDefault="00CC66FC">
            <w:r>
              <w:lastRenderedPageBreak/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Los recursos que permiten el funcionamiento del FMI, son obtenidos mediante el pago de cuotas de igual monto por parte de cada uno de sus países miembros.</w:t>
            </w:r>
          </w:p>
        </w:tc>
        <w:tc>
          <w:tcPr>
            <w:tcW w:w="527" w:type="dxa"/>
          </w:tcPr>
          <w:p w:rsidR="00486EF1" w:rsidRDefault="00CC66FC">
            <w:r>
              <w:t>F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t>Se puede afirmar que el sector minero es uno de los principales sectores en los que el Perú tiene una Ventaja Comparativa.</w:t>
            </w:r>
          </w:p>
        </w:tc>
        <w:tc>
          <w:tcPr>
            <w:tcW w:w="527" w:type="dxa"/>
          </w:tcPr>
          <w:p w:rsidR="00486EF1" w:rsidRDefault="00CC66FC">
            <w:r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t>“</w:t>
            </w:r>
            <w:proofErr w:type="spellStart"/>
            <w:r>
              <w:t>Doing</w:t>
            </w:r>
            <w:proofErr w:type="spellEnd"/>
            <w:r>
              <w:t xml:space="preserve"> Business” es un Reporte emitido por el Banco Mundial, en el que se establece un Ranking en función de las “facilidades” que los países dan para el establecimiento de negocios.</w:t>
            </w:r>
          </w:p>
        </w:tc>
        <w:tc>
          <w:tcPr>
            <w:tcW w:w="527" w:type="dxa"/>
          </w:tcPr>
          <w:p w:rsidR="00486EF1" w:rsidRDefault="00CC66FC">
            <w:r>
              <w:t>V</w:t>
            </w:r>
          </w:p>
        </w:tc>
      </w:tr>
      <w:tr w:rsidR="00486EF1" w:rsidTr="00800993">
        <w:tc>
          <w:tcPr>
            <w:tcW w:w="8451" w:type="dxa"/>
          </w:tcPr>
          <w:p w:rsidR="00486EF1" w:rsidRDefault="00CC66FC" w:rsidP="00800993">
            <w:pPr>
              <w:pStyle w:val="Prrafodelista"/>
              <w:numPr>
                <w:ilvl w:val="0"/>
                <w:numId w:val="1"/>
              </w:numPr>
            </w:pPr>
            <w:r>
              <w:t xml:space="preserve">La </w:t>
            </w:r>
            <w:proofErr w:type="spellStart"/>
            <w:r>
              <w:t>Aladi</w:t>
            </w:r>
            <w:proofErr w:type="spellEnd"/>
            <w:r>
              <w:t xml:space="preserve"> nace como respuesta a las falencias que tuvo la Asociación Sudamericana </w:t>
            </w:r>
            <w:r w:rsidR="006F1CD3">
              <w:t>de Países en Desarrollo.</w:t>
            </w:r>
          </w:p>
        </w:tc>
        <w:tc>
          <w:tcPr>
            <w:tcW w:w="527" w:type="dxa"/>
          </w:tcPr>
          <w:p w:rsidR="00486EF1" w:rsidRDefault="006F1CD3">
            <w:r>
              <w:t>F</w:t>
            </w:r>
          </w:p>
        </w:tc>
      </w:tr>
    </w:tbl>
    <w:p w:rsidR="00990DAF" w:rsidRDefault="00990DAF"/>
    <w:p w:rsidR="006F1CD3" w:rsidRDefault="006F1CD3"/>
    <w:p w:rsidR="006F1CD3" w:rsidRPr="006F1CD3" w:rsidRDefault="006F1CD3" w:rsidP="006F1CD3">
      <w:pPr>
        <w:jc w:val="both"/>
        <w:rPr>
          <w:b/>
        </w:rPr>
      </w:pPr>
      <w:r w:rsidRPr="006F1CD3">
        <w:rPr>
          <w:b/>
          <w:u w:val="single"/>
        </w:rPr>
        <w:t>Parte II</w:t>
      </w:r>
      <w:r w:rsidRPr="006F1CD3">
        <w:rPr>
          <w:b/>
        </w:rPr>
        <w:t>.-  Comente</w:t>
      </w:r>
    </w:p>
    <w:p w:rsidR="00000000" w:rsidRDefault="006F1CD3" w:rsidP="006F1CD3">
      <w:pPr>
        <w:jc w:val="both"/>
        <w:rPr>
          <w:i/>
          <w:iCs/>
          <w:lang w:val="es-ES"/>
        </w:rPr>
      </w:pPr>
      <w:r w:rsidRPr="006F1CD3">
        <w:rPr>
          <w:b/>
        </w:rPr>
        <w:t>Comente I:</w:t>
      </w:r>
      <w:r>
        <w:t xml:space="preserve"> Se dice que uno de los principales propósitos del FMI es: “</w:t>
      </w:r>
      <w:r w:rsidRPr="006F1CD3">
        <w:rPr>
          <w:i/>
          <w:iCs/>
          <w:lang w:val="es-ES"/>
        </w:rPr>
        <w:t>otorga</w:t>
      </w:r>
      <w:r>
        <w:rPr>
          <w:i/>
          <w:iCs/>
          <w:lang w:val="es-ES"/>
        </w:rPr>
        <w:t>r</w:t>
      </w:r>
      <w:r w:rsidRPr="006F1CD3">
        <w:rPr>
          <w:i/>
          <w:iCs/>
          <w:u w:val="single"/>
          <w:lang w:val="es-ES"/>
        </w:rPr>
        <w:t xml:space="preserve"> financiamiento </w:t>
      </w:r>
      <w:r w:rsidRPr="006F1CD3">
        <w:rPr>
          <w:i/>
          <w:iCs/>
          <w:lang w:val="es-ES"/>
        </w:rPr>
        <w:t xml:space="preserve">con el fin de dar a los países miembros margen de maniobra para corregir sus </w:t>
      </w:r>
      <w:r w:rsidRPr="006F1CD3">
        <w:rPr>
          <w:i/>
          <w:iCs/>
          <w:u w:val="single"/>
          <w:lang w:val="es-ES"/>
        </w:rPr>
        <w:t>problemas de balanza de pagos</w:t>
      </w:r>
      <w:r w:rsidRPr="006F1CD3">
        <w:rPr>
          <w:i/>
          <w:iCs/>
          <w:lang w:val="es-ES"/>
        </w:rPr>
        <w:t xml:space="preserve">. Las autoridades nacionales, en estrecha colaboración con el FMI, formulan un </w:t>
      </w:r>
      <w:r w:rsidRPr="006F1CD3">
        <w:rPr>
          <w:i/>
          <w:iCs/>
          <w:u w:val="single"/>
          <w:lang w:val="es-ES"/>
        </w:rPr>
        <w:t xml:space="preserve">programa de políticas </w:t>
      </w:r>
      <w:r w:rsidRPr="006F1CD3">
        <w:rPr>
          <w:i/>
          <w:iCs/>
          <w:lang w:val="es-ES"/>
        </w:rPr>
        <w:t xml:space="preserve">respaldado con financiamiento del FMI, y la continuidad del financiamiento está sujeta a la </w:t>
      </w:r>
      <w:r w:rsidRPr="006F1CD3">
        <w:rPr>
          <w:i/>
          <w:iCs/>
          <w:u w:val="single"/>
          <w:lang w:val="es-ES"/>
        </w:rPr>
        <w:t xml:space="preserve">implementación eficaz </w:t>
      </w:r>
      <w:r w:rsidRPr="006F1CD3">
        <w:rPr>
          <w:i/>
          <w:iCs/>
          <w:lang w:val="es-ES"/>
        </w:rPr>
        <w:t xml:space="preserve">de ese programa. </w:t>
      </w:r>
      <w:r>
        <w:rPr>
          <w:i/>
          <w:iCs/>
          <w:lang w:val="es-ES"/>
        </w:rPr>
        <w:t xml:space="preserve"> </w:t>
      </w:r>
      <w:r w:rsidRPr="006F1CD3">
        <w:rPr>
          <w:b/>
          <w:i/>
          <w:iCs/>
          <w:lang w:val="es-ES"/>
        </w:rPr>
        <w:t>Además de ello el FMI da asistencia técnica a países para evitar o corregir problemas tales como crisis cambiarias</w:t>
      </w:r>
      <w:r>
        <w:rPr>
          <w:i/>
          <w:iCs/>
          <w:lang w:val="es-ES"/>
        </w:rPr>
        <w:t>.</w:t>
      </w:r>
    </w:p>
    <w:p w:rsidR="006F1CD3" w:rsidRDefault="006F1CD3" w:rsidP="006F1CD3">
      <w:pPr>
        <w:jc w:val="both"/>
        <w:rPr>
          <w:i/>
          <w:iCs/>
          <w:lang w:val="es-ES"/>
        </w:rPr>
      </w:pPr>
    </w:p>
    <w:p w:rsidR="006F1CD3" w:rsidRPr="006F1CD3" w:rsidRDefault="006F1CD3" w:rsidP="006F1CD3">
      <w:pPr>
        <w:jc w:val="both"/>
      </w:pPr>
      <w:r w:rsidRPr="006F1CD3">
        <w:rPr>
          <w:iCs/>
          <w:lang w:val="es-ES"/>
        </w:rPr>
        <w:t>Explique, mediante un análisis macroeconómico, cómo el FMI puede, mediante una asistencia técnica y financiera, contribuir a solucionar crisis cambiarias y crisis de balanza de pagos</w:t>
      </w:r>
      <w:proofErr w:type="gramStart"/>
      <w:r w:rsidRPr="006F1CD3">
        <w:rPr>
          <w:iCs/>
          <w:lang w:val="es-ES"/>
        </w:rPr>
        <w:t>?</w:t>
      </w:r>
      <w:proofErr w:type="gramEnd"/>
      <w:r w:rsidRPr="006F1CD3">
        <w:rPr>
          <w:iCs/>
          <w:lang w:val="es-ES"/>
        </w:rPr>
        <w:t xml:space="preserve"> (Nota: Piense en: Oferta Monetaria, Tipo de interés, Tipo de Cambio Nominal y Nivel de Precios). Ayúdese de gráficos y análisis matemáticas que fundamenten su explicación.</w:t>
      </w:r>
    </w:p>
    <w:p w:rsidR="006F1CD3" w:rsidRDefault="006F1CD3"/>
    <w:sectPr w:rsidR="006F1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7968"/>
    <w:multiLevelType w:val="hybridMultilevel"/>
    <w:tmpl w:val="9B7C5F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95B52"/>
    <w:multiLevelType w:val="hybridMultilevel"/>
    <w:tmpl w:val="204C5382"/>
    <w:lvl w:ilvl="0" w:tplc="07DA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6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0D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64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E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29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24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2C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AF"/>
    <w:rsid w:val="000009BC"/>
    <w:rsid w:val="00001A95"/>
    <w:rsid w:val="000024CE"/>
    <w:rsid w:val="000034C9"/>
    <w:rsid w:val="000039FF"/>
    <w:rsid w:val="000046FD"/>
    <w:rsid w:val="00004A14"/>
    <w:rsid w:val="00006D0B"/>
    <w:rsid w:val="0001328B"/>
    <w:rsid w:val="00013C67"/>
    <w:rsid w:val="00014827"/>
    <w:rsid w:val="00016111"/>
    <w:rsid w:val="00017014"/>
    <w:rsid w:val="00017BCF"/>
    <w:rsid w:val="00020FF5"/>
    <w:rsid w:val="00021567"/>
    <w:rsid w:val="000218CB"/>
    <w:rsid w:val="00022D55"/>
    <w:rsid w:val="00030362"/>
    <w:rsid w:val="000328A0"/>
    <w:rsid w:val="00033CA0"/>
    <w:rsid w:val="00035AF4"/>
    <w:rsid w:val="00036813"/>
    <w:rsid w:val="00037543"/>
    <w:rsid w:val="00040726"/>
    <w:rsid w:val="00052AC9"/>
    <w:rsid w:val="00052F48"/>
    <w:rsid w:val="0005349A"/>
    <w:rsid w:val="000543CB"/>
    <w:rsid w:val="00054AB9"/>
    <w:rsid w:val="00056978"/>
    <w:rsid w:val="00060642"/>
    <w:rsid w:val="00060B56"/>
    <w:rsid w:val="00063BD9"/>
    <w:rsid w:val="00065A79"/>
    <w:rsid w:val="000677C9"/>
    <w:rsid w:val="00067A2D"/>
    <w:rsid w:val="00071810"/>
    <w:rsid w:val="00071BA9"/>
    <w:rsid w:val="0007233B"/>
    <w:rsid w:val="00072392"/>
    <w:rsid w:val="00076484"/>
    <w:rsid w:val="00076824"/>
    <w:rsid w:val="00076E84"/>
    <w:rsid w:val="00076EB7"/>
    <w:rsid w:val="0008238F"/>
    <w:rsid w:val="0008246B"/>
    <w:rsid w:val="000827D3"/>
    <w:rsid w:val="000878F9"/>
    <w:rsid w:val="00090A3F"/>
    <w:rsid w:val="00090BD7"/>
    <w:rsid w:val="00091C33"/>
    <w:rsid w:val="000A200E"/>
    <w:rsid w:val="000A271D"/>
    <w:rsid w:val="000A5B6E"/>
    <w:rsid w:val="000A66CA"/>
    <w:rsid w:val="000B02FF"/>
    <w:rsid w:val="000B2723"/>
    <w:rsid w:val="000B5D81"/>
    <w:rsid w:val="000B6A63"/>
    <w:rsid w:val="000B6C0D"/>
    <w:rsid w:val="000C04E7"/>
    <w:rsid w:val="000C0D05"/>
    <w:rsid w:val="000C1E24"/>
    <w:rsid w:val="000C3BB2"/>
    <w:rsid w:val="000C790E"/>
    <w:rsid w:val="000D2451"/>
    <w:rsid w:val="000D2BCC"/>
    <w:rsid w:val="000D6007"/>
    <w:rsid w:val="000D6B0E"/>
    <w:rsid w:val="000E3A57"/>
    <w:rsid w:val="000E3C57"/>
    <w:rsid w:val="000E4492"/>
    <w:rsid w:val="000E53C1"/>
    <w:rsid w:val="000E57A5"/>
    <w:rsid w:val="000E607F"/>
    <w:rsid w:val="000E78FC"/>
    <w:rsid w:val="000F08AA"/>
    <w:rsid w:val="000F3D15"/>
    <w:rsid w:val="000F4664"/>
    <w:rsid w:val="000F560A"/>
    <w:rsid w:val="001008BE"/>
    <w:rsid w:val="00101FFA"/>
    <w:rsid w:val="00104148"/>
    <w:rsid w:val="00104682"/>
    <w:rsid w:val="00107FE8"/>
    <w:rsid w:val="00112036"/>
    <w:rsid w:val="00112338"/>
    <w:rsid w:val="00112A93"/>
    <w:rsid w:val="00116242"/>
    <w:rsid w:val="00117B5C"/>
    <w:rsid w:val="00122025"/>
    <w:rsid w:val="00123D79"/>
    <w:rsid w:val="0012584F"/>
    <w:rsid w:val="0012659F"/>
    <w:rsid w:val="00130B07"/>
    <w:rsid w:val="00132F34"/>
    <w:rsid w:val="00133E8E"/>
    <w:rsid w:val="00135533"/>
    <w:rsid w:val="00137D92"/>
    <w:rsid w:val="00143662"/>
    <w:rsid w:val="00143F35"/>
    <w:rsid w:val="00147762"/>
    <w:rsid w:val="00150E5A"/>
    <w:rsid w:val="00157B1A"/>
    <w:rsid w:val="00160A3E"/>
    <w:rsid w:val="00161045"/>
    <w:rsid w:val="00161C01"/>
    <w:rsid w:val="00161E2B"/>
    <w:rsid w:val="0016249B"/>
    <w:rsid w:val="0016358B"/>
    <w:rsid w:val="0017207C"/>
    <w:rsid w:val="0017283E"/>
    <w:rsid w:val="0017622D"/>
    <w:rsid w:val="00176A2B"/>
    <w:rsid w:val="0017762B"/>
    <w:rsid w:val="00182CFC"/>
    <w:rsid w:val="00185F1B"/>
    <w:rsid w:val="001873FC"/>
    <w:rsid w:val="001874AE"/>
    <w:rsid w:val="001916C8"/>
    <w:rsid w:val="001951E6"/>
    <w:rsid w:val="001974DE"/>
    <w:rsid w:val="001A0EBD"/>
    <w:rsid w:val="001A49B5"/>
    <w:rsid w:val="001A5A60"/>
    <w:rsid w:val="001A6BF2"/>
    <w:rsid w:val="001A7820"/>
    <w:rsid w:val="001B373A"/>
    <w:rsid w:val="001B40B5"/>
    <w:rsid w:val="001B420D"/>
    <w:rsid w:val="001B42F0"/>
    <w:rsid w:val="001B5169"/>
    <w:rsid w:val="001C5D69"/>
    <w:rsid w:val="001C5E47"/>
    <w:rsid w:val="001C70E3"/>
    <w:rsid w:val="001D0791"/>
    <w:rsid w:val="001D1421"/>
    <w:rsid w:val="001D20F8"/>
    <w:rsid w:val="001D3C93"/>
    <w:rsid w:val="001D48E2"/>
    <w:rsid w:val="001D4E42"/>
    <w:rsid w:val="001D5637"/>
    <w:rsid w:val="001D6207"/>
    <w:rsid w:val="001E2998"/>
    <w:rsid w:val="001E29B5"/>
    <w:rsid w:val="001E2CED"/>
    <w:rsid w:val="001E35B1"/>
    <w:rsid w:val="001E35FB"/>
    <w:rsid w:val="001E38CA"/>
    <w:rsid w:val="001E4021"/>
    <w:rsid w:val="001E6453"/>
    <w:rsid w:val="001E70A3"/>
    <w:rsid w:val="001F1690"/>
    <w:rsid w:val="001F1906"/>
    <w:rsid w:val="001F2D9B"/>
    <w:rsid w:val="002002B3"/>
    <w:rsid w:val="00202ADC"/>
    <w:rsid w:val="00203E16"/>
    <w:rsid w:val="0020677A"/>
    <w:rsid w:val="00207D75"/>
    <w:rsid w:val="002106C5"/>
    <w:rsid w:val="002115D8"/>
    <w:rsid w:val="00211A30"/>
    <w:rsid w:val="0021209E"/>
    <w:rsid w:val="0021303B"/>
    <w:rsid w:val="0021342B"/>
    <w:rsid w:val="00213DE2"/>
    <w:rsid w:val="002220F9"/>
    <w:rsid w:val="00223796"/>
    <w:rsid w:val="002240C8"/>
    <w:rsid w:val="002317DC"/>
    <w:rsid w:val="00231B74"/>
    <w:rsid w:val="00232AAF"/>
    <w:rsid w:val="00235563"/>
    <w:rsid w:val="002366C4"/>
    <w:rsid w:val="00237F83"/>
    <w:rsid w:val="00242060"/>
    <w:rsid w:val="00242948"/>
    <w:rsid w:val="00245EA8"/>
    <w:rsid w:val="002501EF"/>
    <w:rsid w:val="002578B5"/>
    <w:rsid w:val="00263026"/>
    <w:rsid w:val="0026379E"/>
    <w:rsid w:val="00263F0A"/>
    <w:rsid w:val="00265944"/>
    <w:rsid w:val="00266603"/>
    <w:rsid w:val="00266785"/>
    <w:rsid w:val="00266BD8"/>
    <w:rsid w:val="00272DC0"/>
    <w:rsid w:val="00273C6A"/>
    <w:rsid w:val="00275D4D"/>
    <w:rsid w:val="002773CA"/>
    <w:rsid w:val="00277B6A"/>
    <w:rsid w:val="00280F3B"/>
    <w:rsid w:val="002826A2"/>
    <w:rsid w:val="00284881"/>
    <w:rsid w:val="00285B3F"/>
    <w:rsid w:val="00287549"/>
    <w:rsid w:val="002876F2"/>
    <w:rsid w:val="002969A1"/>
    <w:rsid w:val="00296EB7"/>
    <w:rsid w:val="002974B9"/>
    <w:rsid w:val="002A73D3"/>
    <w:rsid w:val="002A751E"/>
    <w:rsid w:val="002A779E"/>
    <w:rsid w:val="002A7CC6"/>
    <w:rsid w:val="002B40C2"/>
    <w:rsid w:val="002B4309"/>
    <w:rsid w:val="002B45D5"/>
    <w:rsid w:val="002C2247"/>
    <w:rsid w:val="002C2934"/>
    <w:rsid w:val="002C6F15"/>
    <w:rsid w:val="002C7BE8"/>
    <w:rsid w:val="002D0709"/>
    <w:rsid w:val="002D1B5F"/>
    <w:rsid w:val="002D45D8"/>
    <w:rsid w:val="002D5A28"/>
    <w:rsid w:val="002E02F6"/>
    <w:rsid w:val="002E0ADB"/>
    <w:rsid w:val="002E2C06"/>
    <w:rsid w:val="002E3B26"/>
    <w:rsid w:val="002E4819"/>
    <w:rsid w:val="002E6E0D"/>
    <w:rsid w:val="002F1B0D"/>
    <w:rsid w:val="002F1DC6"/>
    <w:rsid w:val="002F2221"/>
    <w:rsid w:val="002F406D"/>
    <w:rsid w:val="002F4141"/>
    <w:rsid w:val="002F66C9"/>
    <w:rsid w:val="00300334"/>
    <w:rsid w:val="00302B79"/>
    <w:rsid w:val="00303069"/>
    <w:rsid w:val="00303322"/>
    <w:rsid w:val="003038CC"/>
    <w:rsid w:val="00304B62"/>
    <w:rsid w:val="00305776"/>
    <w:rsid w:val="00306300"/>
    <w:rsid w:val="0030799B"/>
    <w:rsid w:val="0031402F"/>
    <w:rsid w:val="0031770A"/>
    <w:rsid w:val="003217CA"/>
    <w:rsid w:val="00322E22"/>
    <w:rsid w:val="003259E6"/>
    <w:rsid w:val="003273C9"/>
    <w:rsid w:val="00332FF1"/>
    <w:rsid w:val="00334159"/>
    <w:rsid w:val="00336A31"/>
    <w:rsid w:val="0033747A"/>
    <w:rsid w:val="00337B23"/>
    <w:rsid w:val="00337DC2"/>
    <w:rsid w:val="00342BC5"/>
    <w:rsid w:val="00344225"/>
    <w:rsid w:val="003444EE"/>
    <w:rsid w:val="00344566"/>
    <w:rsid w:val="0034459C"/>
    <w:rsid w:val="00344FD9"/>
    <w:rsid w:val="003479B7"/>
    <w:rsid w:val="00347D7B"/>
    <w:rsid w:val="00353273"/>
    <w:rsid w:val="00360419"/>
    <w:rsid w:val="00360AED"/>
    <w:rsid w:val="00360E8F"/>
    <w:rsid w:val="00363640"/>
    <w:rsid w:val="00364521"/>
    <w:rsid w:val="0036457E"/>
    <w:rsid w:val="003654B6"/>
    <w:rsid w:val="003732A6"/>
    <w:rsid w:val="00376AEC"/>
    <w:rsid w:val="00376D3E"/>
    <w:rsid w:val="003771AC"/>
    <w:rsid w:val="00383C63"/>
    <w:rsid w:val="00390944"/>
    <w:rsid w:val="00391B58"/>
    <w:rsid w:val="003A24FF"/>
    <w:rsid w:val="003A2654"/>
    <w:rsid w:val="003A7096"/>
    <w:rsid w:val="003B0740"/>
    <w:rsid w:val="003B0964"/>
    <w:rsid w:val="003B2250"/>
    <w:rsid w:val="003B6409"/>
    <w:rsid w:val="003B7609"/>
    <w:rsid w:val="003C1F8D"/>
    <w:rsid w:val="003C47B6"/>
    <w:rsid w:val="003C5809"/>
    <w:rsid w:val="003D55E8"/>
    <w:rsid w:val="003D59AE"/>
    <w:rsid w:val="003D66F2"/>
    <w:rsid w:val="003D7946"/>
    <w:rsid w:val="003E02E6"/>
    <w:rsid w:val="003E0756"/>
    <w:rsid w:val="003E1327"/>
    <w:rsid w:val="003E4BDB"/>
    <w:rsid w:val="003E4D07"/>
    <w:rsid w:val="003F672B"/>
    <w:rsid w:val="004027A4"/>
    <w:rsid w:val="004033AC"/>
    <w:rsid w:val="00403528"/>
    <w:rsid w:val="00404143"/>
    <w:rsid w:val="004045DF"/>
    <w:rsid w:val="004066C2"/>
    <w:rsid w:val="00406F6C"/>
    <w:rsid w:val="00420444"/>
    <w:rsid w:val="004222B6"/>
    <w:rsid w:val="004237FC"/>
    <w:rsid w:val="00423C2B"/>
    <w:rsid w:val="00426A99"/>
    <w:rsid w:val="004270EE"/>
    <w:rsid w:val="00427BF4"/>
    <w:rsid w:val="0043021E"/>
    <w:rsid w:val="00430361"/>
    <w:rsid w:val="0043127F"/>
    <w:rsid w:val="004312A1"/>
    <w:rsid w:val="0043197D"/>
    <w:rsid w:val="00432F63"/>
    <w:rsid w:val="00435EA6"/>
    <w:rsid w:val="00441547"/>
    <w:rsid w:val="00442D64"/>
    <w:rsid w:val="004430D0"/>
    <w:rsid w:val="00443324"/>
    <w:rsid w:val="00447498"/>
    <w:rsid w:val="00447A96"/>
    <w:rsid w:val="00450EEF"/>
    <w:rsid w:val="00450FFF"/>
    <w:rsid w:val="0045130F"/>
    <w:rsid w:val="004536C2"/>
    <w:rsid w:val="004604F2"/>
    <w:rsid w:val="00463756"/>
    <w:rsid w:val="00464C11"/>
    <w:rsid w:val="00471BFD"/>
    <w:rsid w:val="00475B69"/>
    <w:rsid w:val="00475FFB"/>
    <w:rsid w:val="004778D6"/>
    <w:rsid w:val="00477E01"/>
    <w:rsid w:val="0048028C"/>
    <w:rsid w:val="004821D4"/>
    <w:rsid w:val="004836B4"/>
    <w:rsid w:val="0048469D"/>
    <w:rsid w:val="004852EF"/>
    <w:rsid w:val="00486EF1"/>
    <w:rsid w:val="00491033"/>
    <w:rsid w:val="00492860"/>
    <w:rsid w:val="00494154"/>
    <w:rsid w:val="004953FE"/>
    <w:rsid w:val="0049626B"/>
    <w:rsid w:val="00496D7D"/>
    <w:rsid w:val="004A32D0"/>
    <w:rsid w:val="004A5359"/>
    <w:rsid w:val="004B453C"/>
    <w:rsid w:val="004B6BC0"/>
    <w:rsid w:val="004C5CE1"/>
    <w:rsid w:val="004D1D3D"/>
    <w:rsid w:val="004D4AFB"/>
    <w:rsid w:val="004D53DC"/>
    <w:rsid w:val="004D5F34"/>
    <w:rsid w:val="004D69F6"/>
    <w:rsid w:val="004D7255"/>
    <w:rsid w:val="004D73C8"/>
    <w:rsid w:val="004E094B"/>
    <w:rsid w:val="004E1A63"/>
    <w:rsid w:val="004E50A4"/>
    <w:rsid w:val="004E6C51"/>
    <w:rsid w:val="004E70FE"/>
    <w:rsid w:val="004F12B0"/>
    <w:rsid w:val="004F574A"/>
    <w:rsid w:val="004F61E6"/>
    <w:rsid w:val="004F7514"/>
    <w:rsid w:val="005012F1"/>
    <w:rsid w:val="005028E9"/>
    <w:rsid w:val="00503BF5"/>
    <w:rsid w:val="005077E5"/>
    <w:rsid w:val="00507C50"/>
    <w:rsid w:val="00510C91"/>
    <w:rsid w:val="00510D3D"/>
    <w:rsid w:val="0051337D"/>
    <w:rsid w:val="00515D0D"/>
    <w:rsid w:val="00516DE1"/>
    <w:rsid w:val="00520ABB"/>
    <w:rsid w:val="00521DFE"/>
    <w:rsid w:val="00523795"/>
    <w:rsid w:val="0052451F"/>
    <w:rsid w:val="005272FC"/>
    <w:rsid w:val="00530D02"/>
    <w:rsid w:val="00532499"/>
    <w:rsid w:val="0053428B"/>
    <w:rsid w:val="00536AF8"/>
    <w:rsid w:val="00541DED"/>
    <w:rsid w:val="00543103"/>
    <w:rsid w:val="00544773"/>
    <w:rsid w:val="005472CF"/>
    <w:rsid w:val="0055176B"/>
    <w:rsid w:val="0055450D"/>
    <w:rsid w:val="005554D5"/>
    <w:rsid w:val="00555DD4"/>
    <w:rsid w:val="005646A1"/>
    <w:rsid w:val="0056527A"/>
    <w:rsid w:val="0056649B"/>
    <w:rsid w:val="00566C9B"/>
    <w:rsid w:val="00566DA3"/>
    <w:rsid w:val="00572AB9"/>
    <w:rsid w:val="00572B27"/>
    <w:rsid w:val="00572B85"/>
    <w:rsid w:val="0057463C"/>
    <w:rsid w:val="00577A41"/>
    <w:rsid w:val="00577C14"/>
    <w:rsid w:val="00577DE8"/>
    <w:rsid w:val="00580411"/>
    <w:rsid w:val="005825B6"/>
    <w:rsid w:val="00582611"/>
    <w:rsid w:val="00582FE0"/>
    <w:rsid w:val="005856CB"/>
    <w:rsid w:val="00585E0E"/>
    <w:rsid w:val="00586C84"/>
    <w:rsid w:val="0059190D"/>
    <w:rsid w:val="005929D5"/>
    <w:rsid w:val="005932D4"/>
    <w:rsid w:val="00595DB0"/>
    <w:rsid w:val="005966F2"/>
    <w:rsid w:val="0059749D"/>
    <w:rsid w:val="005A3393"/>
    <w:rsid w:val="005A3712"/>
    <w:rsid w:val="005A3788"/>
    <w:rsid w:val="005A7022"/>
    <w:rsid w:val="005A70DD"/>
    <w:rsid w:val="005B3DBE"/>
    <w:rsid w:val="005B4780"/>
    <w:rsid w:val="005B5D21"/>
    <w:rsid w:val="005B6000"/>
    <w:rsid w:val="005C2730"/>
    <w:rsid w:val="005C3AE0"/>
    <w:rsid w:val="005C6AF0"/>
    <w:rsid w:val="005C6B5B"/>
    <w:rsid w:val="005D2F76"/>
    <w:rsid w:val="005D6A40"/>
    <w:rsid w:val="005D6FAE"/>
    <w:rsid w:val="005E0A41"/>
    <w:rsid w:val="005E0F49"/>
    <w:rsid w:val="005E1391"/>
    <w:rsid w:val="005E5C93"/>
    <w:rsid w:val="005E60CF"/>
    <w:rsid w:val="005E6DDE"/>
    <w:rsid w:val="005F2C00"/>
    <w:rsid w:val="005F320E"/>
    <w:rsid w:val="005F3E68"/>
    <w:rsid w:val="0060013C"/>
    <w:rsid w:val="006128C0"/>
    <w:rsid w:val="00612A83"/>
    <w:rsid w:val="00613298"/>
    <w:rsid w:val="00614236"/>
    <w:rsid w:val="0061435C"/>
    <w:rsid w:val="00614D18"/>
    <w:rsid w:val="00625C1C"/>
    <w:rsid w:val="00626FF2"/>
    <w:rsid w:val="00627DD2"/>
    <w:rsid w:val="00631898"/>
    <w:rsid w:val="00634AC0"/>
    <w:rsid w:val="00642E82"/>
    <w:rsid w:val="0064467F"/>
    <w:rsid w:val="00645923"/>
    <w:rsid w:val="006464D6"/>
    <w:rsid w:val="00647F45"/>
    <w:rsid w:val="006504A8"/>
    <w:rsid w:val="00650656"/>
    <w:rsid w:val="00650F87"/>
    <w:rsid w:val="00651489"/>
    <w:rsid w:val="006518A0"/>
    <w:rsid w:val="0065308A"/>
    <w:rsid w:val="00653FD9"/>
    <w:rsid w:val="00654D00"/>
    <w:rsid w:val="00656FFA"/>
    <w:rsid w:val="006606F7"/>
    <w:rsid w:val="00670601"/>
    <w:rsid w:val="006718AB"/>
    <w:rsid w:val="006736A6"/>
    <w:rsid w:val="00673D34"/>
    <w:rsid w:val="00675245"/>
    <w:rsid w:val="006769AD"/>
    <w:rsid w:val="0068058F"/>
    <w:rsid w:val="00680CE6"/>
    <w:rsid w:val="006816F4"/>
    <w:rsid w:val="00683A89"/>
    <w:rsid w:val="006843FD"/>
    <w:rsid w:val="00687117"/>
    <w:rsid w:val="00693068"/>
    <w:rsid w:val="00693EA5"/>
    <w:rsid w:val="00694E9C"/>
    <w:rsid w:val="006970C4"/>
    <w:rsid w:val="006A12C8"/>
    <w:rsid w:val="006A1FD5"/>
    <w:rsid w:val="006B092C"/>
    <w:rsid w:val="006B14B0"/>
    <w:rsid w:val="006B2516"/>
    <w:rsid w:val="006B418D"/>
    <w:rsid w:val="006C166A"/>
    <w:rsid w:val="006C2AEA"/>
    <w:rsid w:val="006D0197"/>
    <w:rsid w:val="006D1C89"/>
    <w:rsid w:val="006D2F8F"/>
    <w:rsid w:val="006D365D"/>
    <w:rsid w:val="006D7510"/>
    <w:rsid w:val="006D7EA6"/>
    <w:rsid w:val="006E3BF1"/>
    <w:rsid w:val="006E5F21"/>
    <w:rsid w:val="006E6443"/>
    <w:rsid w:val="006F0EDE"/>
    <w:rsid w:val="006F1CD3"/>
    <w:rsid w:val="006F3E6F"/>
    <w:rsid w:val="006F4109"/>
    <w:rsid w:val="006F498A"/>
    <w:rsid w:val="006F7991"/>
    <w:rsid w:val="007029D7"/>
    <w:rsid w:val="007046CB"/>
    <w:rsid w:val="00705417"/>
    <w:rsid w:val="00706568"/>
    <w:rsid w:val="0070676A"/>
    <w:rsid w:val="0070795D"/>
    <w:rsid w:val="00710B9A"/>
    <w:rsid w:val="00712440"/>
    <w:rsid w:val="00712D34"/>
    <w:rsid w:val="00712FC8"/>
    <w:rsid w:val="00714A53"/>
    <w:rsid w:val="00714C7C"/>
    <w:rsid w:val="00720874"/>
    <w:rsid w:val="00720EBC"/>
    <w:rsid w:val="007252B4"/>
    <w:rsid w:val="00725CD7"/>
    <w:rsid w:val="00726583"/>
    <w:rsid w:val="00726F26"/>
    <w:rsid w:val="00726F37"/>
    <w:rsid w:val="0073195A"/>
    <w:rsid w:val="007329C1"/>
    <w:rsid w:val="00736E66"/>
    <w:rsid w:val="00737D7F"/>
    <w:rsid w:val="007407A7"/>
    <w:rsid w:val="00741F92"/>
    <w:rsid w:val="00743166"/>
    <w:rsid w:val="00745498"/>
    <w:rsid w:val="00745B1B"/>
    <w:rsid w:val="00745FC5"/>
    <w:rsid w:val="0074612F"/>
    <w:rsid w:val="0074751C"/>
    <w:rsid w:val="00747591"/>
    <w:rsid w:val="00750B46"/>
    <w:rsid w:val="00751E1D"/>
    <w:rsid w:val="007521AD"/>
    <w:rsid w:val="00753F65"/>
    <w:rsid w:val="00755D5C"/>
    <w:rsid w:val="007568BC"/>
    <w:rsid w:val="00756C9A"/>
    <w:rsid w:val="00756F1D"/>
    <w:rsid w:val="007608A6"/>
    <w:rsid w:val="00763628"/>
    <w:rsid w:val="007660DB"/>
    <w:rsid w:val="00767E91"/>
    <w:rsid w:val="00774F09"/>
    <w:rsid w:val="007769BB"/>
    <w:rsid w:val="00776C5D"/>
    <w:rsid w:val="00777A6C"/>
    <w:rsid w:val="00780EEB"/>
    <w:rsid w:val="007810FC"/>
    <w:rsid w:val="0078194A"/>
    <w:rsid w:val="007831B8"/>
    <w:rsid w:val="00785763"/>
    <w:rsid w:val="00791B04"/>
    <w:rsid w:val="00794CF3"/>
    <w:rsid w:val="007969A1"/>
    <w:rsid w:val="007A1112"/>
    <w:rsid w:val="007A161F"/>
    <w:rsid w:val="007A5C89"/>
    <w:rsid w:val="007B353D"/>
    <w:rsid w:val="007B4558"/>
    <w:rsid w:val="007B5144"/>
    <w:rsid w:val="007B5A11"/>
    <w:rsid w:val="007C4D28"/>
    <w:rsid w:val="007C5095"/>
    <w:rsid w:val="007C5667"/>
    <w:rsid w:val="007D2F63"/>
    <w:rsid w:val="007D47BC"/>
    <w:rsid w:val="007D72D9"/>
    <w:rsid w:val="007E556D"/>
    <w:rsid w:val="007E5EB5"/>
    <w:rsid w:val="007E6E88"/>
    <w:rsid w:val="007F1AD3"/>
    <w:rsid w:val="007F1E16"/>
    <w:rsid w:val="007F31FD"/>
    <w:rsid w:val="00800993"/>
    <w:rsid w:val="00802511"/>
    <w:rsid w:val="00803D26"/>
    <w:rsid w:val="00805815"/>
    <w:rsid w:val="00810155"/>
    <w:rsid w:val="008108E0"/>
    <w:rsid w:val="00810D1B"/>
    <w:rsid w:val="008163A3"/>
    <w:rsid w:val="0081698E"/>
    <w:rsid w:val="0081736D"/>
    <w:rsid w:val="00817CC6"/>
    <w:rsid w:val="0082031B"/>
    <w:rsid w:val="0082056D"/>
    <w:rsid w:val="00821C77"/>
    <w:rsid w:val="00821DD5"/>
    <w:rsid w:val="008248B1"/>
    <w:rsid w:val="008259FB"/>
    <w:rsid w:val="008262FF"/>
    <w:rsid w:val="008273AF"/>
    <w:rsid w:val="0082742F"/>
    <w:rsid w:val="00831AB1"/>
    <w:rsid w:val="008364BB"/>
    <w:rsid w:val="008428B2"/>
    <w:rsid w:val="00843510"/>
    <w:rsid w:val="0084632D"/>
    <w:rsid w:val="0084675A"/>
    <w:rsid w:val="00847C02"/>
    <w:rsid w:val="00855915"/>
    <w:rsid w:val="008568A3"/>
    <w:rsid w:val="00861082"/>
    <w:rsid w:val="00862DFD"/>
    <w:rsid w:val="0086451D"/>
    <w:rsid w:val="00865486"/>
    <w:rsid w:val="00865604"/>
    <w:rsid w:val="00866DB0"/>
    <w:rsid w:val="00866DC3"/>
    <w:rsid w:val="008674A5"/>
    <w:rsid w:val="00867F0E"/>
    <w:rsid w:val="00870B04"/>
    <w:rsid w:val="00872DB0"/>
    <w:rsid w:val="00873F25"/>
    <w:rsid w:val="00875780"/>
    <w:rsid w:val="00876833"/>
    <w:rsid w:val="0087782D"/>
    <w:rsid w:val="00880E7A"/>
    <w:rsid w:val="00884885"/>
    <w:rsid w:val="00887DAF"/>
    <w:rsid w:val="00890C77"/>
    <w:rsid w:val="00892A89"/>
    <w:rsid w:val="0089324B"/>
    <w:rsid w:val="00895766"/>
    <w:rsid w:val="00897373"/>
    <w:rsid w:val="008975AE"/>
    <w:rsid w:val="00897D2D"/>
    <w:rsid w:val="008A1CD9"/>
    <w:rsid w:val="008A20DD"/>
    <w:rsid w:val="008A3A61"/>
    <w:rsid w:val="008A47CA"/>
    <w:rsid w:val="008A5FC8"/>
    <w:rsid w:val="008A7C48"/>
    <w:rsid w:val="008B150E"/>
    <w:rsid w:val="008B4C99"/>
    <w:rsid w:val="008C1745"/>
    <w:rsid w:val="008C2096"/>
    <w:rsid w:val="008C5646"/>
    <w:rsid w:val="008C5CCC"/>
    <w:rsid w:val="008C6126"/>
    <w:rsid w:val="008D1D5D"/>
    <w:rsid w:val="008D4A2B"/>
    <w:rsid w:val="008D76B8"/>
    <w:rsid w:val="008D7E49"/>
    <w:rsid w:val="008E0361"/>
    <w:rsid w:val="008E0696"/>
    <w:rsid w:val="008E13D3"/>
    <w:rsid w:val="008E4C31"/>
    <w:rsid w:val="008E7663"/>
    <w:rsid w:val="008F1169"/>
    <w:rsid w:val="008F3822"/>
    <w:rsid w:val="008F4A74"/>
    <w:rsid w:val="008F5D26"/>
    <w:rsid w:val="008F65A8"/>
    <w:rsid w:val="00900F5F"/>
    <w:rsid w:val="009016A3"/>
    <w:rsid w:val="00904023"/>
    <w:rsid w:val="009049B8"/>
    <w:rsid w:val="00905A26"/>
    <w:rsid w:val="009065A0"/>
    <w:rsid w:val="00906833"/>
    <w:rsid w:val="0091072E"/>
    <w:rsid w:val="009117CD"/>
    <w:rsid w:val="0091444A"/>
    <w:rsid w:val="00914AAC"/>
    <w:rsid w:val="00925274"/>
    <w:rsid w:val="00927069"/>
    <w:rsid w:val="00927994"/>
    <w:rsid w:val="009304EA"/>
    <w:rsid w:val="009354CC"/>
    <w:rsid w:val="00941B2B"/>
    <w:rsid w:val="00941BE1"/>
    <w:rsid w:val="00943E05"/>
    <w:rsid w:val="009440C3"/>
    <w:rsid w:val="0094474A"/>
    <w:rsid w:val="00944AEB"/>
    <w:rsid w:val="00945CA0"/>
    <w:rsid w:val="00946C4A"/>
    <w:rsid w:val="00950F01"/>
    <w:rsid w:val="00952ED4"/>
    <w:rsid w:val="00962FAA"/>
    <w:rsid w:val="00963014"/>
    <w:rsid w:val="00963CAD"/>
    <w:rsid w:val="00965A7C"/>
    <w:rsid w:val="00965BF7"/>
    <w:rsid w:val="00966858"/>
    <w:rsid w:val="009706DE"/>
    <w:rsid w:val="0097289B"/>
    <w:rsid w:val="00972925"/>
    <w:rsid w:val="009730D9"/>
    <w:rsid w:val="00975269"/>
    <w:rsid w:val="009755D5"/>
    <w:rsid w:val="00977E12"/>
    <w:rsid w:val="009844D5"/>
    <w:rsid w:val="009858BC"/>
    <w:rsid w:val="00990DAF"/>
    <w:rsid w:val="00991DB8"/>
    <w:rsid w:val="00993E75"/>
    <w:rsid w:val="00994174"/>
    <w:rsid w:val="009951E5"/>
    <w:rsid w:val="009957E0"/>
    <w:rsid w:val="00996D0E"/>
    <w:rsid w:val="009A0D91"/>
    <w:rsid w:val="009A113D"/>
    <w:rsid w:val="009A122B"/>
    <w:rsid w:val="009A20C5"/>
    <w:rsid w:val="009A2D2C"/>
    <w:rsid w:val="009A3CFA"/>
    <w:rsid w:val="009A61F1"/>
    <w:rsid w:val="009A7AD2"/>
    <w:rsid w:val="009B0A13"/>
    <w:rsid w:val="009B0DC4"/>
    <w:rsid w:val="009B7F94"/>
    <w:rsid w:val="009C0733"/>
    <w:rsid w:val="009C29A6"/>
    <w:rsid w:val="009C327C"/>
    <w:rsid w:val="009C6962"/>
    <w:rsid w:val="009D2409"/>
    <w:rsid w:val="009E0512"/>
    <w:rsid w:val="009E1C28"/>
    <w:rsid w:val="009E21BA"/>
    <w:rsid w:val="009E45AE"/>
    <w:rsid w:val="009E61E5"/>
    <w:rsid w:val="009F2654"/>
    <w:rsid w:val="009F321C"/>
    <w:rsid w:val="009F3614"/>
    <w:rsid w:val="009F53E8"/>
    <w:rsid w:val="00A003A2"/>
    <w:rsid w:val="00A00CC9"/>
    <w:rsid w:val="00A067B1"/>
    <w:rsid w:val="00A06D51"/>
    <w:rsid w:val="00A10978"/>
    <w:rsid w:val="00A11E4C"/>
    <w:rsid w:val="00A12456"/>
    <w:rsid w:val="00A12605"/>
    <w:rsid w:val="00A17129"/>
    <w:rsid w:val="00A2159D"/>
    <w:rsid w:val="00A22FA1"/>
    <w:rsid w:val="00A25920"/>
    <w:rsid w:val="00A259E8"/>
    <w:rsid w:val="00A30640"/>
    <w:rsid w:val="00A336FC"/>
    <w:rsid w:val="00A35B7A"/>
    <w:rsid w:val="00A35E9B"/>
    <w:rsid w:val="00A366DD"/>
    <w:rsid w:val="00A418D6"/>
    <w:rsid w:val="00A422D5"/>
    <w:rsid w:val="00A427D9"/>
    <w:rsid w:val="00A55263"/>
    <w:rsid w:val="00A55461"/>
    <w:rsid w:val="00A6359B"/>
    <w:rsid w:val="00A63C83"/>
    <w:rsid w:val="00A65509"/>
    <w:rsid w:val="00A657D0"/>
    <w:rsid w:val="00A65AD5"/>
    <w:rsid w:val="00A70CAB"/>
    <w:rsid w:val="00A71800"/>
    <w:rsid w:val="00A71AD0"/>
    <w:rsid w:val="00A73A54"/>
    <w:rsid w:val="00A76965"/>
    <w:rsid w:val="00A77F30"/>
    <w:rsid w:val="00A803E5"/>
    <w:rsid w:val="00A835BA"/>
    <w:rsid w:val="00A85AEB"/>
    <w:rsid w:val="00A87F60"/>
    <w:rsid w:val="00A932B9"/>
    <w:rsid w:val="00A932D7"/>
    <w:rsid w:val="00A95630"/>
    <w:rsid w:val="00AA2401"/>
    <w:rsid w:val="00AA2FA7"/>
    <w:rsid w:val="00AA6120"/>
    <w:rsid w:val="00AB2101"/>
    <w:rsid w:val="00AB458A"/>
    <w:rsid w:val="00AB5DB4"/>
    <w:rsid w:val="00AB5F56"/>
    <w:rsid w:val="00AB7785"/>
    <w:rsid w:val="00AB78E4"/>
    <w:rsid w:val="00AC3007"/>
    <w:rsid w:val="00AC4817"/>
    <w:rsid w:val="00AC550D"/>
    <w:rsid w:val="00AC6FB7"/>
    <w:rsid w:val="00AC7590"/>
    <w:rsid w:val="00AD072F"/>
    <w:rsid w:val="00AD0D31"/>
    <w:rsid w:val="00AD7B85"/>
    <w:rsid w:val="00AE0383"/>
    <w:rsid w:val="00AE2C01"/>
    <w:rsid w:val="00AE3A1A"/>
    <w:rsid w:val="00AE3F05"/>
    <w:rsid w:val="00AE76E3"/>
    <w:rsid w:val="00AF04B4"/>
    <w:rsid w:val="00AF1ED9"/>
    <w:rsid w:val="00B0242A"/>
    <w:rsid w:val="00B05631"/>
    <w:rsid w:val="00B103E4"/>
    <w:rsid w:val="00B11B33"/>
    <w:rsid w:val="00B13800"/>
    <w:rsid w:val="00B13AA7"/>
    <w:rsid w:val="00B15DB9"/>
    <w:rsid w:val="00B2022D"/>
    <w:rsid w:val="00B212C4"/>
    <w:rsid w:val="00B24D3E"/>
    <w:rsid w:val="00B2583A"/>
    <w:rsid w:val="00B2680E"/>
    <w:rsid w:val="00B274E9"/>
    <w:rsid w:val="00B303B3"/>
    <w:rsid w:val="00B3169A"/>
    <w:rsid w:val="00B31AB4"/>
    <w:rsid w:val="00B3647B"/>
    <w:rsid w:val="00B37231"/>
    <w:rsid w:val="00B37293"/>
    <w:rsid w:val="00B40C99"/>
    <w:rsid w:val="00B41A77"/>
    <w:rsid w:val="00B43364"/>
    <w:rsid w:val="00B44E37"/>
    <w:rsid w:val="00B52913"/>
    <w:rsid w:val="00B54BDE"/>
    <w:rsid w:val="00B55C10"/>
    <w:rsid w:val="00B57DCF"/>
    <w:rsid w:val="00B626FF"/>
    <w:rsid w:val="00B6277F"/>
    <w:rsid w:val="00B64225"/>
    <w:rsid w:val="00B72AE5"/>
    <w:rsid w:val="00B74218"/>
    <w:rsid w:val="00B7547E"/>
    <w:rsid w:val="00B76335"/>
    <w:rsid w:val="00B82DE2"/>
    <w:rsid w:val="00B8354F"/>
    <w:rsid w:val="00B84F63"/>
    <w:rsid w:val="00B85088"/>
    <w:rsid w:val="00B8603A"/>
    <w:rsid w:val="00B86970"/>
    <w:rsid w:val="00B87561"/>
    <w:rsid w:val="00B87C53"/>
    <w:rsid w:val="00B93D85"/>
    <w:rsid w:val="00BA11EF"/>
    <w:rsid w:val="00BA1684"/>
    <w:rsid w:val="00BA2552"/>
    <w:rsid w:val="00BA3184"/>
    <w:rsid w:val="00BA4A9D"/>
    <w:rsid w:val="00BB1390"/>
    <w:rsid w:val="00BB423E"/>
    <w:rsid w:val="00BB5493"/>
    <w:rsid w:val="00BB59CC"/>
    <w:rsid w:val="00BB6610"/>
    <w:rsid w:val="00BC35C5"/>
    <w:rsid w:val="00BC430A"/>
    <w:rsid w:val="00BC614F"/>
    <w:rsid w:val="00BD03E7"/>
    <w:rsid w:val="00BD05E4"/>
    <w:rsid w:val="00BD1329"/>
    <w:rsid w:val="00BD342D"/>
    <w:rsid w:val="00BD3C47"/>
    <w:rsid w:val="00BD4043"/>
    <w:rsid w:val="00BD520B"/>
    <w:rsid w:val="00BD5DFB"/>
    <w:rsid w:val="00BD72B8"/>
    <w:rsid w:val="00BD767C"/>
    <w:rsid w:val="00BF03BF"/>
    <w:rsid w:val="00BF0C3A"/>
    <w:rsid w:val="00BF0C86"/>
    <w:rsid w:val="00C0081B"/>
    <w:rsid w:val="00C02B90"/>
    <w:rsid w:val="00C02D3D"/>
    <w:rsid w:val="00C03C60"/>
    <w:rsid w:val="00C06A00"/>
    <w:rsid w:val="00C07C0F"/>
    <w:rsid w:val="00C10EAC"/>
    <w:rsid w:val="00C14E13"/>
    <w:rsid w:val="00C173D4"/>
    <w:rsid w:val="00C206D8"/>
    <w:rsid w:val="00C20721"/>
    <w:rsid w:val="00C20725"/>
    <w:rsid w:val="00C20A58"/>
    <w:rsid w:val="00C2427E"/>
    <w:rsid w:val="00C2500A"/>
    <w:rsid w:val="00C251D6"/>
    <w:rsid w:val="00C25236"/>
    <w:rsid w:val="00C25433"/>
    <w:rsid w:val="00C26AD3"/>
    <w:rsid w:val="00C30469"/>
    <w:rsid w:val="00C33E08"/>
    <w:rsid w:val="00C346FE"/>
    <w:rsid w:val="00C352ED"/>
    <w:rsid w:val="00C42648"/>
    <w:rsid w:val="00C42AC0"/>
    <w:rsid w:val="00C43981"/>
    <w:rsid w:val="00C43D20"/>
    <w:rsid w:val="00C52331"/>
    <w:rsid w:val="00C52D70"/>
    <w:rsid w:val="00C55D3C"/>
    <w:rsid w:val="00C5653F"/>
    <w:rsid w:val="00C61C8A"/>
    <w:rsid w:val="00C61CAE"/>
    <w:rsid w:val="00C631C0"/>
    <w:rsid w:val="00C63A33"/>
    <w:rsid w:val="00C640E0"/>
    <w:rsid w:val="00C70DC1"/>
    <w:rsid w:val="00C743F1"/>
    <w:rsid w:val="00C8214F"/>
    <w:rsid w:val="00C84FA3"/>
    <w:rsid w:val="00C85B08"/>
    <w:rsid w:val="00C8670B"/>
    <w:rsid w:val="00C87B23"/>
    <w:rsid w:val="00C90628"/>
    <w:rsid w:val="00C92B32"/>
    <w:rsid w:val="00C9693E"/>
    <w:rsid w:val="00C97298"/>
    <w:rsid w:val="00CA0DE5"/>
    <w:rsid w:val="00CA31AE"/>
    <w:rsid w:val="00CA365F"/>
    <w:rsid w:val="00CA7A48"/>
    <w:rsid w:val="00CB0181"/>
    <w:rsid w:val="00CB0A26"/>
    <w:rsid w:val="00CB23BF"/>
    <w:rsid w:val="00CB572F"/>
    <w:rsid w:val="00CC0523"/>
    <w:rsid w:val="00CC35D9"/>
    <w:rsid w:val="00CC3E71"/>
    <w:rsid w:val="00CC56F2"/>
    <w:rsid w:val="00CC66FC"/>
    <w:rsid w:val="00CD4B23"/>
    <w:rsid w:val="00CD4DD9"/>
    <w:rsid w:val="00CD6014"/>
    <w:rsid w:val="00CD6CE4"/>
    <w:rsid w:val="00CE0CDC"/>
    <w:rsid w:val="00CE21DC"/>
    <w:rsid w:val="00CE650E"/>
    <w:rsid w:val="00CE69CA"/>
    <w:rsid w:val="00CF0C44"/>
    <w:rsid w:val="00CF1ED1"/>
    <w:rsid w:val="00CF39E0"/>
    <w:rsid w:val="00CF4532"/>
    <w:rsid w:val="00D00E33"/>
    <w:rsid w:val="00D01199"/>
    <w:rsid w:val="00D013EC"/>
    <w:rsid w:val="00D05B9F"/>
    <w:rsid w:val="00D06830"/>
    <w:rsid w:val="00D162C7"/>
    <w:rsid w:val="00D20406"/>
    <w:rsid w:val="00D21B2A"/>
    <w:rsid w:val="00D2407A"/>
    <w:rsid w:val="00D250EF"/>
    <w:rsid w:val="00D25305"/>
    <w:rsid w:val="00D2590B"/>
    <w:rsid w:val="00D27242"/>
    <w:rsid w:val="00D303D3"/>
    <w:rsid w:val="00D345EB"/>
    <w:rsid w:val="00D34A5E"/>
    <w:rsid w:val="00D35FB6"/>
    <w:rsid w:val="00D36926"/>
    <w:rsid w:val="00D36E5B"/>
    <w:rsid w:val="00D37920"/>
    <w:rsid w:val="00D41BA1"/>
    <w:rsid w:val="00D4254B"/>
    <w:rsid w:val="00D45F63"/>
    <w:rsid w:val="00D4617A"/>
    <w:rsid w:val="00D4665D"/>
    <w:rsid w:val="00D50B2F"/>
    <w:rsid w:val="00D524F4"/>
    <w:rsid w:val="00D52FE0"/>
    <w:rsid w:val="00D5703F"/>
    <w:rsid w:val="00D6116E"/>
    <w:rsid w:val="00D62300"/>
    <w:rsid w:val="00D649FB"/>
    <w:rsid w:val="00D674D8"/>
    <w:rsid w:val="00D67ACB"/>
    <w:rsid w:val="00D70557"/>
    <w:rsid w:val="00D712F8"/>
    <w:rsid w:val="00D72DF2"/>
    <w:rsid w:val="00D73282"/>
    <w:rsid w:val="00D74E05"/>
    <w:rsid w:val="00D8016C"/>
    <w:rsid w:val="00D85181"/>
    <w:rsid w:val="00D90A12"/>
    <w:rsid w:val="00D93BE8"/>
    <w:rsid w:val="00D9550C"/>
    <w:rsid w:val="00D95EDB"/>
    <w:rsid w:val="00D975B4"/>
    <w:rsid w:val="00DA13E3"/>
    <w:rsid w:val="00DA2BC9"/>
    <w:rsid w:val="00DA37F8"/>
    <w:rsid w:val="00DA5CAF"/>
    <w:rsid w:val="00DB0E58"/>
    <w:rsid w:val="00DB19F7"/>
    <w:rsid w:val="00DB1A6B"/>
    <w:rsid w:val="00DB1D6C"/>
    <w:rsid w:val="00DB33AD"/>
    <w:rsid w:val="00DC3291"/>
    <w:rsid w:val="00DC42E0"/>
    <w:rsid w:val="00DC624D"/>
    <w:rsid w:val="00DC6C43"/>
    <w:rsid w:val="00DC7875"/>
    <w:rsid w:val="00DD09F7"/>
    <w:rsid w:val="00DD19D8"/>
    <w:rsid w:val="00DD3FFE"/>
    <w:rsid w:val="00DD64BB"/>
    <w:rsid w:val="00DD7732"/>
    <w:rsid w:val="00DD7D57"/>
    <w:rsid w:val="00DE05BA"/>
    <w:rsid w:val="00DE07A3"/>
    <w:rsid w:val="00DE1C01"/>
    <w:rsid w:val="00DE5CE8"/>
    <w:rsid w:val="00DE61DD"/>
    <w:rsid w:val="00DF094C"/>
    <w:rsid w:val="00DF2AA6"/>
    <w:rsid w:val="00DF4FDB"/>
    <w:rsid w:val="00E014BB"/>
    <w:rsid w:val="00E03F58"/>
    <w:rsid w:val="00E059A5"/>
    <w:rsid w:val="00E10CF7"/>
    <w:rsid w:val="00E12265"/>
    <w:rsid w:val="00E17449"/>
    <w:rsid w:val="00E21C90"/>
    <w:rsid w:val="00E2284F"/>
    <w:rsid w:val="00E244D3"/>
    <w:rsid w:val="00E34AD7"/>
    <w:rsid w:val="00E40D35"/>
    <w:rsid w:val="00E410E9"/>
    <w:rsid w:val="00E41F9D"/>
    <w:rsid w:val="00E4343B"/>
    <w:rsid w:val="00E44945"/>
    <w:rsid w:val="00E50267"/>
    <w:rsid w:val="00E516C9"/>
    <w:rsid w:val="00E534CC"/>
    <w:rsid w:val="00E544E8"/>
    <w:rsid w:val="00E54C3D"/>
    <w:rsid w:val="00E55B6C"/>
    <w:rsid w:val="00E57925"/>
    <w:rsid w:val="00E57B64"/>
    <w:rsid w:val="00E60431"/>
    <w:rsid w:val="00E609E3"/>
    <w:rsid w:val="00E6534D"/>
    <w:rsid w:val="00E662B6"/>
    <w:rsid w:val="00E7066E"/>
    <w:rsid w:val="00E76283"/>
    <w:rsid w:val="00E7644B"/>
    <w:rsid w:val="00E76EEA"/>
    <w:rsid w:val="00E77A46"/>
    <w:rsid w:val="00E81E85"/>
    <w:rsid w:val="00E840BE"/>
    <w:rsid w:val="00E845C4"/>
    <w:rsid w:val="00E85CA8"/>
    <w:rsid w:val="00E90452"/>
    <w:rsid w:val="00E936C7"/>
    <w:rsid w:val="00E94657"/>
    <w:rsid w:val="00EA1FB7"/>
    <w:rsid w:val="00EA56C3"/>
    <w:rsid w:val="00EA68AA"/>
    <w:rsid w:val="00EB1F59"/>
    <w:rsid w:val="00EB2BC1"/>
    <w:rsid w:val="00EB2CD5"/>
    <w:rsid w:val="00EB3C8C"/>
    <w:rsid w:val="00EB5B2D"/>
    <w:rsid w:val="00EB7FDC"/>
    <w:rsid w:val="00EC3EB3"/>
    <w:rsid w:val="00EC4396"/>
    <w:rsid w:val="00EC52EA"/>
    <w:rsid w:val="00EC61D8"/>
    <w:rsid w:val="00EC6313"/>
    <w:rsid w:val="00ED0C24"/>
    <w:rsid w:val="00ED15FB"/>
    <w:rsid w:val="00ED1ACA"/>
    <w:rsid w:val="00ED5D62"/>
    <w:rsid w:val="00ED6993"/>
    <w:rsid w:val="00ED6F0B"/>
    <w:rsid w:val="00EE09B2"/>
    <w:rsid w:val="00EE257D"/>
    <w:rsid w:val="00EE3D27"/>
    <w:rsid w:val="00EE5192"/>
    <w:rsid w:val="00EE579D"/>
    <w:rsid w:val="00EE6CD3"/>
    <w:rsid w:val="00EE77CC"/>
    <w:rsid w:val="00EF1801"/>
    <w:rsid w:val="00EF510D"/>
    <w:rsid w:val="00EF647C"/>
    <w:rsid w:val="00EF71E8"/>
    <w:rsid w:val="00F0137E"/>
    <w:rsid w:val="00F020C9"/>
    <w:rsid w:val="00F02B03"/>
    <w:rsid w:val="00F060E6"/>
    <w:rsid w:val="00F0615A"/>
    <w:rsid w:val="00F061AA"/>
    <w:rsid w:val="00F06DED"/>
    <w:rsid w:val="00F07CCA"/>
    <w:rsid w:val="00F12376"/>
    <w:rsid w:val="00F12B4E"/>
    <w:rsid w:val="00F12B81"/>
    <w:rsid w:val="00F150E6"/>
    <w:rsid w:val="00F1518F"/>
    <w:rsid w:val="00F15931"/>
    <w:rsid w:val="00F16C70"/>
    <w:rsid w:val="00F210D1"/>
    <w:rsid w:val="00F217BA"/>
    <w:rsid w:val="00F2261F"/>
    <w:rsid w:val="00F25323"/>
    <w:rsid w:val="00F26491"/>
    <w:rsid w:val="00F3105A"/>
    <w:rsid w:val="00F3529E"/>
    <w:rsid w:val="00F377CB"/>
    <w:rsid w:val="00F40082"/>
    <w:rsid w:val="00F404AE"/>
    <w:rsid w:val="00F4189A"/>
    <w:rsid w:val="00F42651"/>
    <w:rsid w:val="00F44421"/>
    <w:rsid w:val="00F444B5"/>
    <w:rsid w:val="00F4477E"/>
    <w:rsid w:val="00F531E9"/>
    <w:rsid w:val="00F53999"/>
    <w:rsid w:val="00F5551C"/>
    <w:rsid w:val="00F57FFD"/>
    <w:rsid w:val="00F628F3"/>
    <w:rsid w:val="00F62BF4"/>
    <w:rsid w:val="00F641E7"/>
    <w:rsid w:val="00F660A6"/>
    <w:rsid w:val="00F667BB"/>
    <w:rsid w:val="00F7454E"/>
    <w:rsid w:val="00F76089"/>
    <w:rsid w:val="00F76ED4"/>
    <w:rsid w:val="00F822DB"/>
    <w:rsid w:val="00F82A95"/>
    <w:rsid w:val="00F85966"/>
    <w:rsid w:val="00F86382"/>
    <w:rsid w:val="00F902DB"/>
    <w:rsid w:val="00F90AA3"/>
    <w:rsid w:val="00F9178E"/>
    <w:rsid w:val="00F945FA"/>
    <w:rsid w:val="00F94B09"/>
    <w:rsid w:val="00F96BEE"/>
    <w:rsid w:val="00F96C2E"/>
    <w:rsid w:val="00FA0055"/>
    <w:rsid w:val="00FA291A"/>
    <w:rsid w:val="00FA3A6F"/>
    <w:rsid w:val="00FA455F"/>
    <w:rsid w:val="00FA563B"/>
    <w:rsid w:val="00FA743E"/>
    <w:rsid w:val="00FB00ED"/>
    <w:rsid w:val="00FB1B7C"/>
    <w:rsid w:val="00FB2C25"/>
    <w:rsid w:val="00FB3C58"/>
    <w:rsid w:val="00FB45D6"/>
    <w:rsid w:val="00FB50E6"/>
    <w:rsid w:val="00FB62C6"/>
    <w:rsid w:val="00FB6367"/>
    <w:rsid w:val="00FB7FC3"/>
    <w:rsid w:val="00FC5234"/>
    <w:rsid w:val="00FC52F5"/>
    <w:rsid w:val="00FC5DAB"/>
    <w:rsid w:val="00FC7586"/>
    <w:rsid w:val="00FC7BA3"/>
    <w:rsid w:val="00FD06EF"/>
    <w:rsid w:val="00FD4318"/>
    <w:rsid w:val="00FD4996"/>
    <w:rsid w:val="00FD5A0B"/>
    <w:rsid w:val="00FE504A"/>
    <w:rsid w:val="00FE5197"/>
    <w:rsid w:val="00FE7B3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0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2013-08-26T13:22:00Z</dcterms:created>
  <dcterms:modified xsi:type="dcterms:W3CDTF">2013-08-26T15:06:00Z</dcterms:modified>
</cp:coreProperties>
</file>