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954"/>
        <w:gridCol w:w="2702"/>
      </w:tblGrid>
      <w:tr w:rsidR="00226479" w:rsidTr="00BA004C">
        <w:tc>
          <w:tcPr>
            <w:tcW w:w="1951" w:type="dxa"/>
            <w:vAlign w:val="center"/>
          </w:tcPr>
          <w:p w:rsidR="00226479" w:rsidRDefault="00226479" w:rsidP="00E34CB4">
            <w:pPr>
              <w:jc w:val="center"/>
            </w:pPr>
            <w:r>
              <w:rPr>
                <w:noProof/>
                <w:lang w:eastAsia="es-EC"/>
              </w:rPr>
              <w:drawing>
                <wp:inline distT="0" distB="0" distL="0" distR="0">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226479" w:rsidRPr="003E4F83" w:rsidRDefault="00226479" w:rsidP="00E34CB4">
            <w:pPr>
              <w:jc w:val="center"/>
              <w:rPr>
                <w:b/>
                <w:sz w:val="28"/>
              </w:rPr>
            </w:pPr>
            <w:r w:rsidRPr="003E4F83">
              <w:rPr>
                <w:b/>
                <w:sz w:val="28"/>
              </w:rPr>
              <w:t>ESCUELA SUPERIOR POLITÉCNICA DEL LITORAL</w:t>
            </w:r>
          </w:p>
          <w:p w:rsidR="00226479" w:rsidRPr="003E4F83" w:rsidRDefault="00226479" w:rsidP="00E34CB4">
            <w:pPr>
              <w:jc w:val="center"/>
              <w:rPr>
                <w:b/>
              </w:rPr>
            </w:pPr>
            <w:r w:rsidRPr="003E4F83">
              <w:rPr>
                <w:b/>
              </w:rPr>
              <w:t>FACULTAD DE CIENCIAS NATURALES Y MATEMÁTICAS</w:t>
            </w:r>
          </w:p>
          <w:p w:rsidR="00226479" w:rsidRPr="003E4F83" w:rsidRDefault="00226479" w:rsidP="00E34CB4">
            <w:pPr>
              <w:jc w:val="center"/>
            </w:pPr>
            <w:r w:rsidRPr="003E4F83">
              <w:rPr>
                <w:b/>
              </w:rPr>
              <w:t>DEPARTAMENTO DE MATEMÁTICAS</w:t>
            </w:r>
          </w:p>
          <w:p w:rsidR="00226479" w:rsidRDefault="00CC530D" w:rsidP="00E34CB4">
            <w:pPr>
              <w:jc w:val="center"/>
            </w:pPr>
            <w:r>
              <w:t>SEGUNDA</w:t>
            </w:r>
            <w:r w:rsidR="00226479">
              <w:t xml:space="preserve"> EVALUACIÓN DE </w:t>
            </w:r>
            <w:r w:rsidR="00C023C5">
              <w:t xml:space="preserve">ADMINISTRACIÓN FINANCIERA </w:t>
            </w:r>
            <w:r w:rsidR="00226479">
              <w:t>I</w:t>
            </w:r>
          </w:p>
          <w:p w:rsidR="00226479" w:rsidRDefault="00CC530D" w:rsidP="00E34CB4">
            <w:pPr>
              <w:jc w:val="center"/>
            </w:pPr>
            <w:r>
              <w:t>2 DE SEPTIEMBRE</w:t>
            </w:r>
            <w:r w:rsidR="00226479">
              <w:t xml:space="preserve"> DEL 2013</w:t>
            </w:r>
          </w:p>
        </w:tc>
        <w:tc>
          <w:tcPr>
            <w:tcW w:w="2702" w:type="dxa"/>
            <w:vAlign w:val="center"/>
          </w:tcPr>
          <w:p w:rsidR="00226479" w:rsidRDefault="00226479" w:rsidP="00E34CB4">
            <w:pPr>
              <w:jc w:val="center"/>
            </w:pPr>
            <w:r>
              <w:rPr>
                <w:noProof/>
                <w:lang w:eastAsia="es-EC"/>
              </w:rPr>
              <w:drawing>
                <wp:inline distT="0" distB="0" distL="0" distR="0">
                  <wp:extent cx="1433898" cy="5923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26479" w:rsidRDefault="00226479" w:rsidP="00E34CB4">
      <w:pPr>
        <w:tabs>
          <w:tab w:val="left" w:leader="dot" w:pos="2268"/>
          <w:tab w:val="left" w:leader="dot" w:pos="8505"/>
          <w:tab w:val="left" w:leader="dot" w:pos="10348"/>
        </w:tabs>
        <w:spacing w:after="0" w:line="240" w:lineRule="auto"/>
        <w:rPr>
          <w:sz w:val="20"/>
        </w:rPr>
      </w:pPr>
    </w:p>
    <w:p w:rsidR="00226479" w:rsidRDefault="00226479" w:rsidP="00E34CB4">
      <w:pPr>
        <w:tabs>
          <w:tab w:val="left" w:leader="dot" w:pos="2268"/>
          <w:tab w:val="left" w:leader="dot" w:pos="8505"/>
          <w:tab w:val="left" w:leader="dot" w:pos="10348"/>
        </w:tabs>
        <w:spacing w:after="0" w:line="240" w:lineRule="auto"/>
        <w:rPr>
          <w:sz w:val="20"/>
        </w:rPr>
      </w:pPr>
      <w:r w:rsidRPr="009F1BA0">
        <w:rPr>
          <w:sz w:val="20"/>
        </w:rPr>
        <w:t xml:space="preserve">MATRICULA: </w:t>
      </w:r>
      <w:r w:rsidRPr="009F1BA0">
        <w:rPr>
          <w:sz w:val="20"/>
        </w:rPr>
        <w:tab/>
        <w:t xml:space="preserve">NOMBRE: </w:t>
      </w:r>
      <w:r w:rsidRPr="009F1BA0">
        <w:rPr>
          <w:sz w:val="20"/>
        </w:rPr>
        <w:tab/>
        <w:t>PARALELO:</w:t>
      </w:r>
      <w:r w:rsidRPr="009F1BA0">
        <w:rPr>
          <w:sz w:val="20"/>
        </w:rPr>
        <w:tab/>
      </w:r>
    </w:p>
    <w:p w:rsidR="00E34CB4" w:rsidRPr="009F1BA0" w:rsidRDefault="00E34CB4" w:rsidP="00E34CB4">
      <w:pPr>
        <w:tabs>
          <w:tab w:val="left" w:leader="dot" w:pos="2268"/>
          <w:tab w:val="left" w:leader="dot" w:pos="8505"/>
          <w:tab w:val="left" w:leader="dot" w:pos="10348"/>
        </w:tabs>
        <w:spacing w:after="0" w:line="240" w:lineRule="auto"/>
        <w:rPr>
          <w:sz w:val="20"/>
        </w:rPr>
      </w:pPr>
    </w:p>
    <w:tbl>
      <w:tblPr>
        <w:tblStyle w:val="Tablaconcuadrcula"/>
        <w:tblW w:w="0" w:type="auto"/>
        <w:tblLook w:val="04A0"/>
      </w:tblPr>
      <w:tblGrid>
        <w:gridCol w:w="9039"/>
        <w:gridCol w:w="1842"/>
      </w:tblGrid>
      <w:tr w:rsidR="00226479" w:rsidTr="006229B4">
        <w:tc>
          <w:tcPr>
            <w:tcW w:w="9039" w:type="dxa"/>
          </w:tcPr>
          <w:p w:rsidR="00226479" w:rsidRPr="003E4F83" w:rsidRDefault="00226479" w:rsidP="00E34CB4">
            <w:pPr>
              <w:tabs>
                <w:tab w:val="left" w:leader="dot" w:pos="2268"/>
                <w:tab w:val="left" w:leader="dot" w:pos="8505"/>
                <w:tab w:val="left" w:leader="dot" w:pos="10206"/>
              </w:tabs>
              <w:jc w:val="both"/>
              <w:rPr>
                <w:sz w:val="16"/>
                <w:szCs w:val="18"/>
              </w:rPr>
            </w:pPr>
            <w:r w:rsidRPr="003E4F83">
              <w:rPr>
                <w:b/>
                <w:sz w:val="16"/>
                <w:szCs w:val="18"/>
              </w:rPr>
              <w:t>NOTA</w:t>
            </w:r>
            <w:r w:rsidRPr="003E4F83">
              <w:rPr>
                <w:sz w:val="16"/>
                <w:szCs w:val="18"/>
              </w:rPr>
              <w:t>: Este examen está diseñado para ser resuelto de manera individual, puede usar un</w:t>
            </w:r>
            <w:r>
              <w:rPr>
                <w:sz w:val="16"/>
                <w:szCs w:val="18"/>
              </w:rPr>
              <w:t xml:space="preserve"> </w:t>
            </w:r>
            <w:r w:rsidRPr="003E4F83">
              <w:rPr>
                <w:sz w:val="16"/>
                <w:szCs w:val="18"/>
              </w:rPr>
              <w:t>lápiz o esferográfico.</w:t>
            </w:r>
            <w:r>
              <w:rPr>
                <w:sz w:val="16"/>
                <w:szCs w:val="18"/>
              </w:rPr>
              <w:t xml:space="preserve"> </w:t>
            </w:r>
            <w:r>
              <w:rPr>
                <w:sz w:val="16"/>
                <w:szCs w:val="18"/>
              </w:rPr>
              <w:br/>
            </w:r>
            <w:r w:rsidRPr="003E4F83">
              <w:rPr>
                <w:sz w:val="16"/>
                <w:szCs w:val="18"/>
              </w:rPr>
              <w:t>Solo puede comunicarse con la persona responsable de la recepción del examen; y, cualquier instrumento de comunicación que hubiera traído, deberá apagarlo</w:t>
            </w:r>
            <w:r>
              <w:rPr>
                <w:sz w:val="16"/>
                <w:szCs w:val="18"/>
              </w:rPr>
              <w:t xml:space="preserve"> </w:t>
            </w:r>
          </w:p>
          <w:p w:rsidR="00226479" w:rsidRPr="003E4F83" w:rsidRDefault="00226479" w:rsidP="00E34CB4">
            <w:pPr>
              <w:tabs>
                <w:tab w:val="left" w:leader="dot" w:pos="2268"/>
                <w:tab w:val="left" w:leader="dot" w:pos="8505"/>
                <w:tab w:val="left" w:leader="dot" w:pos="10206"/>
              </w:tabs>
              <w:jc w:val="center"/>
              <w:rPr>
                <w:sz w:val="18"/>
                <w:szCs w:val="18"/>
              </w:rPr>
            </w:pPr>
            <w:r w:rsidRPr="003E4F83">
              <w:rPr>
                <w:b/>
                <w:i/>
                <w:sz w:val="16"/>
                <w:szCs w:val="18"/>
              </w:rPr>
              <w:t>Firme como constancia de haber leído lo anterior</w:t>
            </w:r>
            <w:r w:rsidRPr="003E4F83">
              <w:rPr>
                <w:sz w:val="16"/>
                <w:szCs w:val="18"/>
              </w:rPr>
              <w:t>.</w:t>
            </w:r>
          </w:p>
        </w:tc>
        <w:tc>
          <w:tcPr>
            <w:tcW w:w="1842" w:type="dxa"/>
          </w:tcPr>
          <w:p w:rsidR="00226479" w:rsidRDefault="00226479" w:rsidP="00E34CB4">
            <w:pPr>
              <w:tabs>
                <w:tab w:val="left" w:leader="dot" w:pos="2268"/>
                <w:tab w:val="left" w:leader="dot" w:pos="8505"/>
                <w:tab w:val="left" w:leader="dot" w:pos="10206"/>
              </w:tabs>
            </w:pPr>
          </w:p>
          <w:p w:rsidR="00226479" w:rsidRDefault="00226479" w:rsidP="00E34CB4">
            <w:pPr>
              <w:pBdr>
                <w:bottom w:val="single" w:sz="12" w:space="1" w:color="auto"/>
              </w:pBdr>
              <w:tabs>
                <w:tab w:val="left" w:leader="dot" w:pos="2268"/>
                <w:tab w:val="left" w:leader="dot" w:pos="8505"/>
                <w:tab w:val="left" w:leader="dot" w:pos="10206"/>
              </w:tabs>
            </w:pPr>
          </w:p>
          <w:p w:rsidR="00226479" w:rsidRPr="003E4F83" w:rsidRDefault="00226479" w:rsidP="00E34CB4">
            <w:pPr>
              <w:tabs>
                <w:tab w:val="left" w:leader="dot" w:pos="2268"/>
                <w:tab w:val="left" w:leader="dot" w:pos="8505"/>
                <w:tab w:val="left" w:leader="dot" w:pos="10206"/>
              </w:tabs>
              <w:jc w:val="center"/>
            </w:pPr>
            <w:r>
              <w:t>Firma</w:t>
            </w:r>
          </w:p>
        </w:tc>
      </w:tr>
    </w:tbl>
    <w:p w:rsidR="009F044F" w:rsidRDefault="009F044F" w:rsidP="00F711D5">
      <w:pPr>
        <w:spacing w:after="0" w:line="240" w:lineRule="auto"/>
        <w:jc w:val="both"/>
      </w:pPr>
    </w:p>
    <w:p w:rsidR="007C56CA" w:rsidRDefault="00386436" w:rsidP="00F711D5">
      <w:pPr>
        <w:spacing w:after="0" w:line="240" w:lineRule="auto"/>
        <w:jc w:val="both"/>
      </w:pPr>
      <w:r>
        <w:t>La joven vicepresidenta de finanzas de un Banco, Ileana Reyes, requiere de un analista para el Departamento de Fideicomisos del Banco y usted acaba de obtener el empleo.</w:t>
      </w:r>
      <w:r w:rsidR="00F711D5">
        <w:t xml:space="preserve"> Su primera asignación es invertir $100,000 provenientes de un bien raíz del cual el banco es el fideicomisario. Debido a que se espera que dicho bien raíz se distribuya entre sus respectivos herederos</w:t>
      </w:r>
      <w:r w:rsidR="009F044F">
        <w:t xml:space="preserve"> dentro de aproximadamente un año, usted ha recibido instrucciones </w:t>
      </w:r>
      <w:r w:rsidR="007C56CA">
        <w:t xml:space="preserve">de la vicepresidente </w:t>
      </w:r>
      <w:r w:rsidR="009F044F">
        <w:t>de planear un periodo de tenencia de un año. Además, su jef</w:t>
      </w:r>
      <w:r w:rsidR="007C56CA">
        <w:t>a</w:t>
      </w:r>
      <w:r w:rsidR="009F044F">
        <w:t xml:space="preserve"> le ha restringido las siguientes alternativas de inversión, las cuales se muestran con sus respectivas probabilidades y sus resultados asociados.</w:t>
      </w:r>
    </w:p>
    <w:p w:rsidR="00C023C5" w:rsidRDefault="009F044F" w:rsidP="00F711D5">
      <w:pPr>
        <w:spacing w:after="0" w:line="240" w:lineRule="auto"/>
        <w:jc w:val="both"/>
      </w:pPr>
      <w:r>
        <w:t xml:space="preserve"> </w:t>
      </w:r>
    </w:p>
    <w:tbl>
      <w:tblPr>
        <w:tblStyle w:val="Tablaconcuadrcula"/>
        <w:tblW w:w="0" w:type="auto"/>
        <w:tblLayout w:type="fixed"/>
        <w:tblLook w:val="04A0"/>
      </w:tblPr>
      <w:tblGrid>
        <w:gridCol w:w="2235"/>
        <w:gridCol w:w="1457"/>
        <w:gridCol w:w="1563"/>
        <w:gridCol w:w="1208"/>
        <w:gridCol w:w="1251"/>
        <w:gridCol w:w="1563"/>
        <w:gridCol w:w="1563"/>
      </w:tblGrid>
      <w:tr w:rsidR="006229B4" w:rsidTr="006229B4">
        <w:tc>
          <w:tcPr>
            <w:tcW w:w="2235" w:type="dxa"/>
            <w:tcBorders>
              <w:top w:val="nil"/>
              <w:left w:val="nil"/>
              <w:right w:val="nil"/>
            </w:tcBorders>
            <w:vAlign w:val="center"/>
          </w:tcPr>
          <w:p w:rsidR="006229B4" w:rsidRDefault="006229B4" w:rsidP="006229B4">
            <w:pPr>
              <w:jc w:val="center"/>
            </w:pPr>
          </w:p>
        </w:tc>
        <w:tc>
          <w:tcPr>
            <w:tcW w:w="1457" w:type="dxa"/>
            <w:tcBorders>
              <w:top w:val="nil"/>
              <w:left w:val="nil"/>
            </w:tcBorders>
            <w:vAlign w:val="center"/>
          </w:tcPr>
          <w:p w:rsidR="006229B4" w:rsidRDefault="006229B4" w:rsidP="006229B4">
            <w:pPr>
              <w:jc w:val="center"/>
            </w:pPr>
          </w:p>
        </w:tc>
        <w:tc>
          <w:tcPr>
            <w:tcW w:w="7148" w:type="dxa"/>
            <w:gridSpan w:val="5"/>
            <w:vAlign w:val="center"/>
          </w:tcPr>
          <w:p w:rsidR="006229B4" w:rsidRDefault="006229B4" w:rsidP="006229B4">
            <w:pPr>
              <w:jc w:val="center"/>
            </w:pPr>
            <w:r>
              <w:t>Rendimiento de Inversiones Alternativas: Tasa de Rendimiento Estimada</w:t>
            </w:r>
          </w:p>
        </w:tc>
      </w:tr>
      <w:tr w:rsidR="006229B4" w:rsidTr="006229B4">
        <w:tc>
          <w:tcPr>
            <w:tcW w:w="2235" w:type="dxa"/>
            <w:vAlign w:val="center"/>
          </w:tcPr>
          <w:p w:rsidR="006229B4" w:rsidRDefault="006229B4" w:rsidP="006229B4">
            <w:pPr>
              <w:jc w:val="center"/>
            </w:pPr>
            <w:r>
              <w:t>Estado de la economía</w:t>
            </w:r>
          </w:p>
        </w:tc>
        <w:tc>
          <w:tcPr>
            <w:tcW w:w="1457" w:type="dxa"/>
            <w:vAlign w:val="center"/>
          </w:tcPr>
          <w:p w:rsidR="006229B4" w:rsidRDefault="006229B4" w:rsidP="006229B4">
            <w:pPr>
              <w:jc w:val="center"/>
            </w:pPr>
            <w:r>
              <w:t>Probabilidad</w:t>
            </w:r>
          </w:p>
        </w:tc>
        <w:tc>
          <w:tcPr>
            <w:tcW w:w="1563" w:type="dxa"/>
            <w:vAlign w:val="center"/>
          </w:tcPr>
          <w:p w:rsidR="006229B4" w:rsidRDefault="006229B4" w:rsidP="006229B4">
            <w:pPr>
              <w:jc w:val="center"/>
            </w:pPr>
            <w:r>
              <w:t>Certificados de la Tesorería</w:t>
            </w:r>
          </w:p>
        </w:tc>
        <w:tc>
          <w:tcPr>
            <w:tcW w:w="1208" w:type="dxa"/>
            <w:vAlign w:val="center"/>
          </w:tcPr>
          <w:p w:rsidR="006229B4" w:rsidRDefault="006229B4" w:rsidP="006229B4">
            <w:pPr>
              <w:jc w:val="center"/>
            </w:pPr>
            <w:r>
              <w:t>High Tech</w:t>
            </w:r>
          </w:p>
        </w:tc>
        <w:tc>
          <w:tcPr>
            <w:tcW w:w="1251" w:type="dxa"/>
            <w:vAlign w:val="center"/>
          </w:tcPr>
          <w:p w:rsidR="006229B4" w:rsidRDefault="006229B4" w:rsidP="00C1173A">
            <w:pPr>
              <w:jc w:val="center"/>
            </w:pPr>
            <w:r>
              <w:t>C</w:t>
            </w:r>
            <w:r w:rsidR="00C1173A">
              <w:t>ollections</w:t>
            </w:r>
          </w:p>
        </w:tc>
        <w:tc>
          <w:tcPr>
            <w:tcW w:w="1563" w:type="dxa"/>
            <w:vAlign w:val="center"/>
          </w:tcPr>
          <w:p w:rsidR="006229B4" w:rsidRDefault="006229B4" w:rsidP="006229B4">
            <w:pPr>
              <w:jc w:val="center"/>
            </w:pPr>
            <w:r>
              <w:t>U.S. Rubber</w:t>
            </w:r>
          </w:p>
        </w:tc>
        <w:tc>
          <w:tcPr>
            <w:tcW w:w="1563" w:type="dxa"/>
            <w:vAlign w:val="center"/>
          </w:tcPr>
          <w:p w:rsidR="006229B4" w:rsidRDefault="006229B4" w:rsidP="006229B4">
            <w:pPr>
              <w:jc w:val="center"/>
            </w:pPr>
            <w:r>
              <w:t>Cartera de Mercado</w:t>
            </w:r>
          </w:p>
        </w:tc>
      </w:tr>
      <w:tr w:rsidR="006229B4" w:rsidTr="006229B4">
        <w:tc>
          <w:tcPr>
            <w:tcW w:w="2235" w:type="dxa"/>
          </w:tcPr>
          <w:p w:rsidR="006229B4" w:rsidRDefault="006229B4" w:rsidP="00F711D5">
            <w:pPr>
              <w:jc w:val="both"/>
            </w:pPr>
            <w:r>
              <w:t>Recesión</w:t>
            </w:r>
          </w:p>
        </w:tc>
        <w:tc>
          <w:tcPr>
            <w:tcW w:w="1457" w:type="dxa"/>
          </w:tcPr>
          <w:p w:rsidR="006229B4" w:rsidRDefault="006229B4" w:rsidP="006229B4">
            <w:pPr>
              <w:jc w:val="center"/>
            </w:pPr>
            <w:r>
              <w:t>0.1</w:t>
            </w:r>
          </w:p>
        </w:tc>
        <w:tc>
          <w:tcPr>
            <w:tcW w:w="1563" w:type="dxa"/>
          </w:tcPr>
          <w:p w:rsidR="006229B4" w:rsidRDefault="006229B4" w:rsidP="006229B4">
            <w:pPr>
              <w:jc w:val="center"/>
            </w:pPr>
            <w:r>
              <w:t>8.0 %</w:t>
            </w:r>
          </w:p>
        </w:tc>
        <w:tc>
          <w:tcPr>
            <w:tcW w:w="1208" w:type="dxa"/>
          </w:tcPr>
          <w:p w:rsidR="006229B4" w:rsidRDefault="006229B4" w:rsidP="006229B4">
            <w:pPr>
              <w:jc w:val="center"/>
            </w:pPr>
            <w:r>
              <w:t>-22.0%</w:t>
            </w:r>
          </w:p>
        </w:tc>
        <w:tc>
          <w:tcPr>
            <w:tcW w:w="1251" w:type="dxa"/>
          </w:tcPr>
          <w:p w:rsidR="006229B4" w:rsidRDefault="006229B4" w:rsidP="006229B4">
            <w:pPr>
              <w:jc w:val="center"/>
            </w:pPr>
            <w:r>
              <w:t>28.0%</w:t>
            </w:r>
          </w:p>
        </w:tc>
        <w:tc>
          <w:tcPr>
            <w:tcW w:w="1563" w:type="dxa"/>
          </w:tcPr>
          <w:p w:rsidR="006229B4" w:rsidRDefault="006229B4" w:rsidP="006229B4">
            <w:pPr>
              <w:jc w:val="center"/>
            </w:pPr>
            <w:r>
              <w:t>10.0%</w:t>
            </w:r>
          </w:p>
        </w:tc>
        <w:tc>
          <w:tcPr>
            <w:tcW w:w="1563" w:type="dxa"/>
          </w:tcPr>
          <w:p w:rsidR="006229B4" w:rsidRDefault="006229B4" w:rsidP="006229B4">
            <w:pPr>
              <w:jc w:val="center"/>
            </w:pPr>
            <w:r>
              <w:t>-13.0%</w:t>
            </w:r>
          </w:p>
        </w:tc>
      </w:tr>
      <w:tr w:rsidR="006229B4" w:rsidTr="006229B4">
        <w:tc>
          <w:tcPr>
            <w:tcW w:w="2235" w:type="dxa"/>
          </w:tcPr>
          <w:p w:rsidR="006229B4" w:rsidRDefault="006229B4" w:rsidP="00F711D5">
            <w:pPr>
              <w:jc w:val="both"/>
            </w:pPr>
            <w:r>
              <w:t>Inferior al promedio</w:t>
            </w:r>
          </w:p>
        </w:tc>
        <w:tc>
          <w:tcPr>
            <w:tcW w:w="1457" w:type="dxa"/>
          </w:tcPr>
          <w:p w:rsidR="006229B4" w:rsidRDefault="006229B4" w:rsidP="006229B4">
            <w:pPr>
              <w:jc w:val="center"/>
            </w:pPr>
            <w:r>
              <w:t>0.2</w:t>
            </w:r>
          </w:p>
        </w:tc>
        <w:tc>
          <w:tcPr>
            <w:tcW w:w="1563" w:type="dxa"/>
          </w:tcPr>
          <w:p w:rsidR="006229B4" w:rsidRDefault="006229B4" w:rsidP="006229B4">
            <w:pPr>
              <w:jc w:val="center"/>
            </w:pPr>
            <w:r>
              <w:t>8.0</w:t>
            </w:r>
          </w:p>
        </w:tc>
        <w:tc>
          <w:tcPr>
            <w:tcW w:w="1208" w:type="dxa"/>
          </w:tcPr>
          <w:p w:rsidR="006229B4" w:rsidRDefault="006229B4" w:rsidP="006229B4">
            <w:pPr>
              <w:jc w:val="center"/>
            </w:pPr>
            <w:r>
              <w:t>-2.0</w:t>
            </w:r>
          </w:p>
        </w:tc>
        <w:tc>
          <w:tcPr>
            <w:tcW w:w="1251" w:type="dxa"/>
          </w:tcPr>
          <w:p w:rsidR="006229B4" w:rsidRDefault="006229B4" w:rsidP="006229B4">
            <w:pPr>
              <w:jc w:val="center"/>
            </w:pPr>
            <w:r>
              <w:t>14.7</w:t>
            </w:r>
          </w:p>
        </w:tc>
        <w:tc>
          <w:tcPr>
            <w:tcW w:w="1563" w:type="dxa"/>
          </w:tcPr>
          <w:p w:rsidR="006229B4" w:rsidRDefault="006229B4" w:rsidP="006229B4">
            <w:pPr>
              <w:jc w:val="center"/>
            </w:pPr>
            <w:r>
              <w:t>-10.0</w:t>
            </w:r>
          </w:p>
        </w:tc>
        <w:tc>
          <w:tcPr>
            <w:tcW w:w="1563" w:type="dxa"/>
          </w:tcPr>
          <w:p w:rsidR="006229B4" w:rsidRDefault="006229B4" w:rsidP="006229B4">
            <w:pPr>
              <w:jc w:val="center"/>
            </w:pPr>
            <w:r>
              <w:t>1.0</w:t>
            </w:r>
          </w:p>
        </w:tc>
      </w:tr>
      <w:tr w:rsidR="006229B4" w:rsidTr="006229B4">
        <w:tc>
          <w:tcPr>
            <w:tcW w:w="2235" w:type="dxa"/>
          </w:tcPr>
          <w:p w:rsidR="006229B4" w:rsidRDefault="006229B4" w:rsidP="00F711D5">
            <w:pPr>
              <w:jc w:val="both"/>
            </w:pPr>
            <w:r>
              <w:t>Promedio</w:t>
            </w:r>
          </w:p>
        </w:tc>
        <w:tc>
          <w:tcPr>
            <w:tcW w:w="1457" w:type="dxa"/>
          </w:tcPr>
          <w:p w:rsidR="006229B4" w:rsidRDefault="006229B4" w:rsidP="006229B4">
            <w:pPr>
              <w:jc w:val="center"/>
            </w:pPr>
            <w:r>
              <w:t>0.4</w:t>
            </w:r>
          </w:p>
        </w:tc>
        <w:tc>
          <w:tcPr>
            <w:tcW w:w="1563" w:type="dxa"/>
          </w:tcPr>
          <w:p w:rsidR="006229B4" w:rsidRDefault="006229B4" w:rsidP="006229B4">
            <w:pPr>
              <w:jc w:val="center"/>
            </w:pPr>
            <w:r>
              <w:t>8.0</w:t>
            </w:r>
          </w:p>
        </w:tc>
        <w:tc>
          <w:tcPr>
            <w:tcW w:w="1208" w:type="dxa"/>
          </w:tcPr>
          <w:p w:rsidR="006229B4" w:rsidRDefault="006229B4" w:rsidP="006229B4">
            <w:pPr>
              <w:jc w:val="center"/>
            </w:pPr>
            <w:r>
              <w:t>20.0</w:t>
            </w:r>
          </w:p>
        </w:tc>
        <w:tc>
          <w:tcPr>
            <w:tcW w:w="1251" w:type="dxa"/>
          </w:tcPr>
          <w:p w:rsidR="006229B4" w:rsidRDefault="006229B4" w:rsidP="006229B4">
            <w:pPr>
              <w:jc w:val="center"/>
            </w:pPr>
            <w:r>
              <w:t>0.0</w:t>
            </w:r>
          </w:p>
        </w:tc>
        <w:tc>
          <w:tcPr>
            <w:tcW w:w="1563" w:type="dxa"/>
          </w:tcPr>
          <w:p w:rsidR="006229B4" w:rsidRDefault="006229B4" w:rsidP="006229B4">
            <w:pPr>
              <w:jc w:val="center"/>
            </w:pPr>
            <w:r>
              <w:t>7.0</w:t>
            </w:r>
          </w:p>
        </w:tc>
        <w:tc>
          <w:tcPr>
            <w:tcW w:w="1563" w:type="dxa"/>
          </w:tcPr>
          <w:p w:rsidR="006229B4" w:rsidRDefault="006229B4" w:rsidP="006229B4">
            <w:pPr>
              <w:jc w:val="center"/>
            </w:pPr>
            <w:r>
              <w:t>15.0</w:t>
            </w:r>
          </w:p>
        </w:tc>
      </w:tr>
      <w:tr w:rsidR="006229B4" w:rsidTr="006229B4">
        <w:tc>
          <w:tcPr>
            <w:tcW w:w="2235" w:type="dxa"/>
          </w:tcPr>
          <w:p w:rsidR="006229B4" w:rsidRDefault="006229B4" w:rsidP="00F711D5">
            <w:pPr>
              <w:jc w:val="both"/>
            </w:pPr>
            <w:r>
              <w:t>Superior al promedio</w:t>
            </w:r>
          </w:p>
        </w:tc>
        <w:tc>
          <w:tcPr>
            <w:tcW w:w="1457" w:type="dxa"/>
          </w:tcPr>
          <w:p w:rsidR="006229B4" w:rsidRDefault="006229B4" w:rsidP="006229B4">
            <w:pPr>
              <w:jc w:val="center"/>
            </w:pPr>
            <w:r>
              <w:t>0.2</w:t>
            </w:r>
          </w:p>
        </w:tc>
        <w:tc>
          <w:tcPr>
            <w:tcW w:w="1563" w:type="dxa"/>
          </w:tcPr>
          <w:p w:rsidR="006229B4" w:rsidRDefault="006229B4" w:rsidP="006229B4">
            <w:pPr>
              <w:jc w:val="center"/>
            </w:pPr>
            <w:r>
              <w:t>8.0</w:t>
            </w:r>
          </w:p>
        </w:tc>
        <w:tc>
          <w:tcPr>
            <w:tcW w:w="1208" w:type="dxa"/>
          </w:tcPr>
          <w:p w:rsidR="006229B4" w:rsidRDefault="006229B4" w:rsidP="006229B4">
            <w:pPr>
              <w:jc w:val="center"/>
            </w:pPr>
            <w:r>
              <w:t>35.0</w:t>
            </w:r>
          </w:p>
        </w:tc>
        <w:tc>
          <w:tcPr>
            <w:tcW w:w="1251" w:type="dxa"/>
          </w:tcPr>
          <w:p w:rsidR="006229B4" w:rsidRDefault="006229B4" w:rsidP="006229B4">
            <w:pPr>
              <w:jc w:val="center"/>
            </w:pPr>
            <w:r>
              <w:t>-10.0</w:t>
            </w:r>
          </w:p>
        </w:tc>
        <w:tc>
          <w:tcPr>
            <w:tcW w:w="1563" w:type="dxa"/>
          </w:tcPr>
          <w:p w:rsidR="006229B4" w:rsidRDefault="006229B4" w:rsidP="006229B4">
            <w:pPr>
              <w:jc w:val="center"/>
            </w:pPr>
            <w:r>
              <w:t>45.0</w:t>
            </w:r>
          </w:p>
        </w:tc>
        <w:tc>
          <w:tcPr>
            <w:tcW w:w="1563" w:type="dxa"/>
          </w:tcPr>
          <w:p w:rsidR="006229B4" w:rsidRDefault="006229B4" w:rsidP="006229B4">
            <w:pPr>
              <w:jc w:val="center"/>
            </w:pPr>
            <w:r>
              <w:t>29.0</w:t>
            </w:r>
          </w:p>
        </w:tc>
      </w:tr>
      <w:tr w:rsidR="006229B4" w:rsidTr="006229B4">
        <w:tc>
          <w:tcPr>
            <w:tcW w:w="2235" w:type="dxa"/>
          </w:tcPr>
          <w:p w:rsidR="006229B4" w:rsidRDefault="006229B4" w:rsidP="00F711D5">
            <w:pPr>
              <w:jc w:val="both"/>
            </w:pPr>
            <w:r>
              <w:t>Auge</w:t>
            </w:r>
          </w:p>
        </w:tc>
        <w:tc>
          <w:tcPr>
            <w:tcW w:w="1457" w:type="dxa"/>
          </w:tcPr>
          <w:p w:rsidR="006229B4" w:rsidRDefault="006229B4" w:rsidP="006229B4">
            <w:pPr>
              <w:jc w:val="center"/>
            </w:pPr>
            <w:r>
              <w:t>0.1</w:t>
            </w:r>
          </w:p>
        </w:tc>
        <w:tc>
          <w:tcPr>
            <w:tcW w:w="1563" w:type="dxa"/>
          </w:tcPr>
          <w:p w:rsidR="006229B4" w:rsidRDefault="006229B4" w:rsidP="006229B4">
            <w:pPr>
              <w:jc w:val="center"/>
            </w:pPr>
            <w:r>
              <w:t>8.0</w:t>
            </w:r>
          </w:p>
        </w:tc>
        <w:tc>
          <w:tcPr>
            <w:tcW w:w="1208" w:type="dxa"/>
          </w:tcPr>
          <w:p w:rsidR="006229B4" w:rsidRDefault="006229B4" w:rsidP="006229B4">
            <w:pPr>
              <w:jc w:val="center"/>
            </w:pPr>
            <w:r>
              <w:t>50.0</w:t>
            </w:r>
          </w:p>
        </w:tc>
        <w:tc>
          <w:tcPr>
            <w:tcW w:w="1251" w:type="dxa"/>
          </w:tcPr>
          <w:p w:rsidR="006229B4" w:rsidRDefault="006229B4" w:rsidP="006229B4">
            <w:pPr>
              <w:jc w:val="center"/>
            </w:pPr>
            <w:r>
              <w:t>-20.0</w:t>
            </w:r>
          </w:p>
        </w:tc>
        <w:tc>
          <w:tcPr>
            <w:tcW w:w="1563" w:type="dxa"/>
          </w:tcPr>
          <w:p w:rsidR="006229B4" w:rsidRDefault="006229B4" w:rsidP="006229B4">
            <w:pPr>
              <w:jc w:val="center"/>
            </w:pPr>
            <w:r>
              <w:t>30.0</w:t>
            </w:r>
          </w:p>
        </w:tc>
        <w:tc>
          <w:tcPr>
            <w:tcW w:w="1563" w:type="dxa"/>
          </w:tcPr>
          <w:p w:rsidR="006229B4" w:rsidRDefault="006229B4" w:rsidP="006229B4">
            <w:pPr>
              <w:jc w:val="center"/>
            </w:pPr>
            <w:r>
              <w:t>43.0</w:t>
            </w:r>
          </w:p>
        </w:tc>
      </w:tr>
    </w:tbl>
    <w:p w:rsidR="006229B4" w:rsidRDefault="006229B4" w:rsidP="00F711D5">
      <w:pPr>
        <w:spacing w:after="0" w:line="240" w:lineRule="auto"/>
        <w:jc w:val="both"/>
      </w:pPr>
    </w:p>
    <w:p w:rsidR="00CC530D" w:rsidRDefault="009F044F" w:rsidP="009F044F">
      <w:pPr>
        <w:spacing w:after="0" w:line="240" w:lineRule="auto"/>
        <w:jc w:val="both"/>
      </w:pPr>
      <w:r>
        <w:t xml:space="preserve">El personal del área de preparación de pronósticos económicos ha desarrollado estimaciones de probabilidad sobre el estado de la economía, mientras que el departamento de fideicomisos dispone </w:t>
      </w:r>
      <w:r w:rsidR="00C1173A">
        <w:t xml:space="preserve">de estimaciones de </w:t>
      </w:r>
      <w:r>
        <w:t xml:space="preserve">la tasa de rendimiento de cada alternativa bajo cada estado de la economía. High Tech Inc. es una empresa perteneciente al área electrónica, </w:t>
      </w:r>
      <w:r w:rsidR="001D1180">
        <w:t>Co</w:t>
      </w:r>
      <w:r w:rsidR="00C1173A">
        <w:t>llections</w:t>
      </w:r>
      <w:r>
        <w:t xml:space="preserve"> se encarga de la cobranza</w:t>
      </w:r>
      <w:r w:rsidR="001D1180">
        <w:t xml:space="preserve"> de las deudas vencidas mientras que U.S. Rubber manufactura llantas y varios otros productos de hule y plástico. El banco también mantiene una “Cartera de Mercado”, </w:t>
      </w:r>
      <w:r w:rsidR="00C1173A">
        <w:t>la</w:t>
      </w:r>
      <w:r w:rsidR="001D1180">
        <w:t xml:space="preserve"> cual posee una fracción ponderada por el mercado de todas las acciones que se negocian en forma pública; usted puede invertir en ese fondo y de tal modo obtener resultados promedio del mercado de acciones. Dada la situación que acabamos de describir, responda las siguientes preguntas:</w:t>
      </w:r>
    </w:p>
    <w:p w:rsidR="00CC530D" w:rsidRDefault="00CC530D" w:rsidP="00C023C5">
      <w:pPr>
        <w:pStyle w:val="Prrafodelista"/>
        <w:spacing w:after="0" w:line="240" w:lineRule="auto"/>
        <w:ind w:left="360"/>
        <w:contextualSpacing w:val="0"/>
        <w:jc w:val="both"/>
      </w:pPr>
    </w:p>
    <w:p w:rsidR="00CC530D" w:rsidRDefault="001D1180" w:rsidP="001D1180">
      <w:pPr>
        <w:pStyle w:val="Prrafodelista"/>
        <w:numPr>
          <w:ilvl w:val="0"/>
          <w:numId w:val="22"/>
        </w:numPr>
        <w:spacing w:after="0" w:line="240" w:lineRule="auto"/>
        <w:jc w:val="both"/>
      </w:pPr>
      <w:r>
        <w:t>¿Cuál es la tasa esperada de rendimiento de cada alternativa?</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204A7" w:rsidRDefault="00B81451" w:rsidP="001D1180">
      <w:pPr>
        <w:pStyle w:val="Prrafodelista"/>
        <w:numPr>
          <w:ilvl w:val="0"/>
          <w:numId w:val="22"/>
        </w:numPr>
        <w:spacing w:after="0" w:line="240" w:lineRule="auto"/>
        <w:jc w:val="both"/>
      </w:pPr>
      <w:r>
        <w:lastRenderedPageBreak/>
        <w:t xml:space="preserve">Usted debería reconocer que basar una decisión únicamente en los rendimientos esperados sólo es apropiado en el caso de individuos que son neutrales hacia el riesgo. Debido a que los beneficiarios del fideicomiso, al igual que virtualmente todo el mundo, siente aversión hacia el riesgo, el grado de riesgo de cada alternativa es un aspecto importante de la decisión. Una medida posible es la desviación estándar de los rendimientos. Calcule este valor de cada alternativa. </w:t>
      </w:r>
      <w:r w:rsidR="005204A7">
        <w:t>(Diez puntos)</w:t>
      </w:r>
    </w:p>
    <w:p w:rsidR="005F19B7" w:rsidRDefault="005F19B7" w:rsidP="005F19B7">
      <w:pPr>
        <w:spacing w:after="0" w:line="240" w:lineRule="auto"/>
        <w:jc w:val="both"/>
      </w:pPr>
    </w:p>
    <w:p w:rsidR="005F19B7" w:rsidRDefault="005F19B7" w:rsidP="005F19B7">
      <w:pPr>
        <w:spacing w:after="0" w:line="240" w:lineRule="auto"/>
        <w:jc w:val="both"/>
      </w:pPr>
    </w:p>
    <w:p w:rsidR="00AC32F4" w:rsidRDefault="00AC32F4" w:rsidP="005F19B7">
      <w:pPr>
        <w:spacing w:after="0" w:line="240" w:lineRule="auto"/>
        <w:jc w:val="both"/>
      </w:pPr>
    </w:p>
    <w:p w:rsidR="00AC32F4" w:rsidRDefault="00AC32F4"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B81451" w:rsidRDefault="00B81451" w:rsidP="001D1180">
      <w:pPr>
        <w:pStyle w:val="Prrafodelista"/>
        <w:numPr>
          <w:ilvl w:val="0"/>
          <w:numId w:val="22"/>
        </w:numPr>
        <w:spacing w:after="0" w:line="240" w:lineRule="auto"/>
        <w:jc w:val="both"/>
      </w:pPr>
      <w:r>
        <w:t>¿Qué tipo de riesgo es medido por la desviación estándar?</w:t>
      </w:r>
      <w:r w:rsidR="005204A7">
        <w:t xml:space="preserve"> (Cinco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B81451" w:rsidRDefault="00B81451" w:rsidP="001D1180">
      <w:pPr>
        <w:pStyle w:val="Prrafodelista"/>
        <w:numPr>
          <w:ilvl w:val="0"/>
          <w:numId w:val="22"/>
        </w:numPr>
        <w:spacing w:after="0" w:line="240" w:lineRule="auto"/>
        <w:jc w:val="both"/>
      </w:pPr>
      <w:r>
        <w:t>Suponga que usted recordara en forma instantánea que el CV es generalmente considerado como una mejor medida del riesgo total que la desviación estándar, cuando las alternativas bajo consideración muestran rendimientos esperados sujetos a amplias variaciones. Calcule los coeficientes de variación de los diferentes valores.</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346828" w:rsidRDefault="00346828" w:rsidP="005F19B7">
      <w:pPr>
        <w:spacing w:after="0" w:line="240" w:lineRule="auto"/>
        <w:jc w:val="both"/>
      </w:pPr>
    </w:p>
    <w:p w:rsidR="005F19B7" w:rsidRDefault="005F19B7" w:rsidP="005F19B7">
      <w:pPr>
        <w:spacing w:after="0" w:line="240" w:lineRule="auto"/>
        <w:jc w:val="both"/>
      </w:pPr>
    </w:p>
    <w:p w:rsidR="00B81451" w:rsidRDefault="00C1173A" w:rsidP="00B81451">
      <w:pPr>
        <w:pStyle w:val="Prrafodelista"/>
        <w:numPr>
          <w:ilvl w:val="0"/>
          <w:numId w:val="22"/>
        </w:numPr>
        <w:spacing w:after="0" w:line="240" w:lineRule="auto"/>
        <w:jc w:val="both"/>
      </w:pPr>
      <w:r>
        <w:t xml:space="preserve">Suponga que usted creara una cartera de dos acciones invirtiendo $50,000 en High Tech y $50,000 en Collections. </w:t>
      </w:r>
      <w:r w:rsidR="00B81451">
        <w:t>Calcule el rendimiento esperado de esta cartera.</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346828" w:rsidRDefault="00346828" w:rsidP="005F19B7">
      <w:pPr>
        <w:spacing w:after="0" w:line="240" w:lineRule="auto"/>
        <w:jc w:val="both"/>
      </w:pPr>
    </w:p>
    <w:p w:rsidR="00346828" w:rsidRDefault="00346828"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CC530D" w:rsidRDefault="00C1173A" w:rsidP="00B81451">
      <w:pPr>
        <w:pStyle w:val="Prrafodelista"/>
        <w:numPr>
          <w:ilvl w:val="0"/>
          <w:numId w:val="22"/>
        </w:numPr>
        <w:spacing w:after="0" w:line="240" w:lineRule="auto"/>
        <w:jc w:val="both"/>
      </w:pPr>
      <w:r>
        <w:lastRenderedPageBreak/>
        <w:t xml:space="preserve">Suponga que un inversionista empieza con una cartera formada por una acción seleccionada al azar. </w:t>
      </w:r>
      <w:r w:rsidR="00B81451">
        <w:t>¿Qué le sucedería al rendimiento esperado de la cartera a medida que se añadieran más acciones seleccionadas al azar? ¿Cuál será la implicancia para los inversionistas? Elabore un gráfica para ilustrar su respuesta.</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AC32F4" w:rsidRDefault="00AC32F4" w:rsidP="005F19B7">
      <w:pPr>
        <w:spacing w:after="0" w:line="240" w:lineRule="auto"/>
        <w:jc w:val="both"/>
      </w:pPr>
    </w:p>
    <w:p w:rsidR="00AC32F4" w:rsidRDefault="00AC32F4" w:rsidP="005F19B7">
      <w:pPr>
        <w:spacing w:after="0" w:line="240" w:lineRule="auto"/>
        <w:jc w:val="both"/>
      </w:pPr>
    </w:p>
    <w:p w:rsidR="00AC32F4" w:rsidRDefault="00AC32F4" w:rsidP="005F19B7">
      <w:pPr>
        <w:spacing w:after="0" w:line="240" w:lineRule="auto"/>
        <w:jc w:val="both"/>
      </w:pPr>
    </w:p>
    <w:p w:rsidR="00AC32F4" w:rsidRDefault="00AC32F4" w:rsidP="005F19B7">
      <w:pPr>
        <w:spacing w:after="0" w:line="240" w:lineRule="auto"/>
        <w:jc w:val="both"/>
      </w:pPr>
    </w:p>
    <w:p w:rsidR="00CC530D" w:rsidRDefault="00CC530D" w:rsidP="00C023C5">
      <w:pPr>
        <w:pStyle w:val="Prrafodelista"/>
        <w:spacing w:after="0" w:line="240" w:lineRule="auto"/>
        <w:ind w:left="360"/>
        <w:contextualSpacing w:val="0"/>
        <w:jc w:val="both"/>
      </w:pPr>
    </w:p>
    <w:p w:rsidR="00CC530D" w:rsidRDefault="00635627" w:rsidP="003B3691">
      <w:pPr>
        <w:spacing w:after="0" w:line="240" w:lineRule="auto"/>
        <w:jc w:val="both"/>
      </w:pPr>
      <w:r>
        <w:t>Las tasas esperadas de rendimiento y los coeficientes beta de las alternativas, según estos datos han sido proporcionados por el programa de computación del banco, son como se describen a continuación:</w:t>
      </w:r>
    </w:p>
    <w:p w:rsidR="00635627" w:rsidRDefault="00635627" w:rsidP="003B3691">
      <w:pPr>
        <w:spacing w:after="0" w:line="240" w:lineRule="auto"/>
        <w:jc w:val="both"/>
      </w:pPr>
    </w:p>
    <w:tbl>
      <w:tblPr>
        <w:tblStyle w:val="Tablaconcuadrcula"/>
        <w:tblW w:w="0" w:type="auto"/>
        <w:jc w:val="center"/>
        <w:tblLook w:val="04A0"/>
      </w:tblPr>
      <w:tblGrid>
        <w:gridCol w:w="2721"/>
        <w:gridCol w:w="2069"/>
        <w:gridCol w:w="1556"/>
      </w:tblGrid>
      <w:tr w:rsidR="00635627" w:rsidTr="00635627">
        <w:trPr>
          <w:jc w:val="center"/>
        </w:trPr>
        <w:tc>
          <w:tcPr>
            <w:tcW w:w="2721" w:type="dxa"/>
          </w:tcPr>
          <w:p w:rsidR="00635627" w:rsidRDefault="00635627" w:rsidP="00635627">
            <w:pPr>
              <w:jc w:val="center"/>
            </w:pPr>
            <w:r>
              <w:t>Valor</w:t>
            </w:r>
          </w:p>
        </w:tc>
        <w:tc>
          <w:tcPr>
            <w:tcW w:w="2069" w:type="dxa"/>
          </w:tcPr>
          <w:p w:rsidR="00635627" w:rsidRDefault="00635627" w:rsidP="00635627">
            <w:pPr>
              <w:jc w:val="center"/>
            </w:pPr>
            <w:r>
              <w:t xml:space="preserve">Rendimientos </w:t>
            </w:r>
            <m:oMath>
              <m:acc>
                <m:accPr>
                  <m:ctrlPr>
                    <w:rPr>
                      <w:rFonts w:ascii="Cambria Math" w:hAnsi="Cambria Math"/>
                    </w:rPr>
                  </m:ctrlPr>
                </m:accPr>
                <m:e>
                  <m:r>
                    <m:rPr>
                      <m:sty m:val="p"/>
                    </m:rPr>
                    <w:rPr>
                      <w:rFonts w:ascii="Cambria Math" w:hAnsi="Cambria Math"/>
                    </w:rPr>
                    <m:t>k</m:t>
                  </m:r>
                </m:e>
              </m:acc>
            </m:oMath>
            <w:r>
              <w:rPr>
                <w:rFonts w:eastAsiaTheme="minorEastAsia"/>
              </w:rPr>
              <w:t xml:space="preserve"> (%)</w:t>
            </w:r>
          </w:p>
        </w:tc>
        <w:tc>
          <w:tcPr>
            <w:tcW w:w="1556" w:type="dxa"/>
          </w:tcPr>
          <w:p w:rsidR="00635627" w:rsidRDefault="00635627" w:rsidP="00635627">
            <w:pPr>
              <w:jc w:val="center"/>
            </w:pPr>
            <w:r>
              <w:t>Riesgo (BETA)</w:t>
            </w:r>
          </w:p>
        </w:tc>
      </w:tr>
      <w:tr w:rsidR="00635627" w:rsidTr="00635627">
        <w:trPr>
          <w:jc w:val="center"/>
        </w:trPr>
        <w:tc>
          <w:tcPr>
            <w:tcW w:w="2721" w:type="dxa"/>
          </w:tcPr>
          <w:p w:rsidR="00635627" w:rsidRDefault="00635627" w:rsidP="003B3691">
            <w:pPr>
              <w:jc w:val="both"/>
            </w:pPr>
            <w:r>
              <w:t>Certificados de la tesorería</w:t>
            </w:r>
          </w:p>
        </w:tc>
        <w:tc>
          <w:tcPr>
            <w:tcW w:w="2069" w:type="dxa"/>
          </w:tcPr>
          <w:p w:rsidR="00635627" w:rsidRDefault="00635627" w:rsidP="00635627">
            <w:pPr>
              <w:jc w:val="center"/>
            </w:pPr>
            <w:r>
              <w:t>8.0</w:t>
            </w:r>
          </w:p>
        </w:tc>
        <w:tc>
          <w:tcPr>
            <w:tcW w:w="1556" w:type="dxa"/>
          </w:tcPr>
          <w:p w:rsidR="00635627" w:rsidRDefault="00635627" w:rsidP="00635627">
            <w:pPr>
              <w:jc w:val="center"/>
            </w:pPr>
            <w:r>
              <w:t>0.00</w:t>
            </w:r>
          </w:p>
        </w:tc>
      </w:tr>
      <w:tr w:rsidR="00635627" w:rsidTr="00635627">
        <w:trPr>
          <w:jc w:val="center"/>
        </w:trPr>
        <w:tc>
          <w:tcPr>
            <w:tcW w:w="2721" w:type="dxa"/>
          </w:tcPr>
          <w:p w:rsidR="00635627" w:rsidRDefault="00635627" w:rsidP="003B3691">
            <w:pPr>
              <w:jc w:val="both"/>
            </w:pPr>
            <w:r>
              <w:t>High Tech</w:t>
            </w:r>
          </w:p>
        </w:tc>
        <w:tc>
          <w:tcPr>
            <w:tcW w:w="2069" w:type="dxa"/>
          </w:tcPr>
          <w:p w:rsidR="00635627" w:rsidRDefault="00635627" w:rsidP="00635627">
            <w:pPr>
              <w:jc w:val="center"/>
            </w:pPr>
            <w:r>
              <w:t>17.4</w:t>
            </w:r>
          </w:p>
        </w:tc>
        <w:tc>
          <w:tcPr>
            <w:tcW w:w="1556" w:type="dxa"/>
          </w:tcPr>
          <w:p w:rsidR="00635627" w:rsidRDefault="00635627" w:rsidP="00635627">
            <w:pPr>
              <w:jc w:val="center"/>
            </w:pPr>
            <w:r>
              <w:t>1.29</w:t>
            </w:r>
          </w:p>
        </w:tc>
      </w:tr>
      <w:tr w:rsidR="00635627" w:rsidTr="00635627">
        <w:trPr>
          <w:jc w:val="center"/>
        </w:trPr>
        <w:tc>
          <w:tcPr>
            <w:tcW w:w="2721" w:type="dxa"/>
          </w:tcPr>
          <w:p w:rsidR="00635627" w:rsidRDefault="00635627" w:rsidP="00C1173A">
            <w:pPr>
              <w:jc w:val="both"/>
            </w:pPr>
            <w:r>
              <w:t>Co</w:t>
            </w:r>
            <w:r w:rsidR="00C1173A">
              <w:t>llections</w:t>
            </w:r>
          </w:p>
        </w:tc>
        <w:tc>
          <w:tcPr>
            <w:tcW w:w="2069" w:type="dxa"/>
          </w:tcPr>
          <w:p w:rsidR="00635627" w:rsidRDefault="00635627" w:rsidP="00635627">
            <w:pPr>
              <w:jc w:val="center"/>
            </w:pPr>
            <w:r>
              <w:t>1.7</w:t>
            </w:r>
          </w:p>
        </w:tc>
        <w:tc>
          <w:tcPr>
            <w:tcW w:w="1556" w:type="dxa"/>
          </w:tcPr>
          <w:p w:rsidR="00635627" w:rsidRDefault="00635627" w:rsidP="00635627">
            <w:pPr>
              <w:jc w:val="center"/>
            </w:pPr>
            <w:r>
              <w:t>-0.86</w:t>
            </w:r>
          </w:p>
        </w:tc>
      </w:tr>
      <w:tr w:rsidR="00635627" w:rsidTr="00635627">
        <w:trPr>
          <w:jc w:val="center"/>
        </w:trPr>
        <w:tc>
          <w:tcPr>
            <w:tcW w:w="2721" w:type="dxa"/>
          </w:tcPr>
          <w:p w:rsidR="00635627" w:rsidRDefault="00635627" w:rsidP="003B3691">
            <w:pPr>
              <w:jc w:val="both"/>
            </w:pPr>
            <w:r>
              <w:t>U. S. Rubber</w:t>
            </w:r>
          </w:p>
        </w:tc>
        <w:tc>
          <w:tcPr>
            <w:tcW w:w="2069" w:type="dxa"/>
          </w:tcPr>
          <w:p w:rsidR="00635627" w:rsidRDefault="00635627" w:rsidP="00635627">
            <w:pPr>
              <w:jc w:val="center"/>
            </w:pPr>
            <w:r>
              <w:t>13.8</w:t>
            </w:r>
          </w:p>
        </w:tc>
        <w:tc>
          <w:tcPr>
            <w:tcW w:w="1556" w:type="dxa"/>
          </w:tcPr>
          <w:p w:rsidR="00635627" w:rsidRDefault="00635627" w:rsidP="00635627">
            <w:pPr>
              <w:jc w:val="center"/>
            </w:pPr>
            <w:r>
              <w:t>0.68</w:t>
            </w:r>
          </w:p>
        </w:tc>
      </w:tr>
      <w:tr w:rsidR="00635627" w:rsidTr="00635627">
        <w:trPr>
          <w:jc w:val="center"/>
        </w:trPr>
        <w:tc>
          <w:tcPr>
            <w:tcW w:w="2721" w:type="dxa"/>
          </w:tcPr>
          <w:p w:rsidR="00635627" w:rsidRDefault="00635627" w:rsidP="003B3691">
            <w:pPr>
              <w:jc w:val="both"/>
            </w:pPr>
            <w:r>
              <w:t>Cartera de mercado</w:t>
            </w:r>
          </w:p>
        </w:tc>
        <w:tc>
          <w:tcPr>
            <w:tcW w:w="2069" w:type="dxa"/>
          </w:tcPr>
          <w:p w:rsidR="00635627" w:rsidRDefault="00635627" w:rsidP="00635627">
            <w:pPr>
              <w:jc w:val="center"/>
            </w:pPr>
            <w:r>
              <w:t>15.0</w:t>
            </w:r>
          </w:p>
        </w:tc>
        <w:tc>
          <w:tcPr>
            <w:tcW w:w="1556" w:type="dxa"/>
          </w:tcPr>
          <w:p w:rsidR="00635627" w:rsidRDefault="00635627" w:rsidP="00635627">
            <w:pPr>
              <w:jc w:val="center"/>
            </w:pPr>
            <w:r>
              <w:t>1.00</w:t>
            </w:r>
          </w:p>
        </w:tc>
      </w:tr>
    </w:tbl>
    <w:p w:rsidR="00635627" w:rsidRDefault="00635627" w:rsidP="003B3691">
      <w:pPr>
        <w:spacing w:after="0" w:line="240" w:lineRule="auto"/>
        <w:jc w:val="both"/>
      </w:pPr>
    </w:p>
    <w:p w:rsidR="005204A7" w:rsidRDefault="005204A7" w:rsidP="00635627">
      <w:pPr>
        <w:pStyle w:val="Prrafodelista"/>
        <w:numPr>
          <w:ilvl w:val="0"/>
          <w:numId w:val="22"/>
        </w:numPr>
        <w:spacing w:after="0" w:line="240" w:lineRule="auto"/>
        <w:jc w:val="both"/>
      </w:pPr>
      <w:r>
        <w:t>¿Cuál es el valor de la tasa libre de riesgo? (Cinco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CC530D" w:rsidRDefault="00635627" w:rsidP="00635627">
      <w:pPr>
        <w:pStyle w:val="Prrafodelista"/>
        <w:numPr>
          <w:ilvl w:val="0"/>
          <w:numId w:val="22"/>
        </w:numPr>
        <w:spacing w:after="0" w:line="240" w:lineRule="auto"/>
        <w:jc w:val="both"/>
      </w:pPr>
      <w:r>
        <w:t>Elabore la ecuación de la LMV, utilícela para calcular la tasa requerida de rendimiento de cada alternativa.</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BB0601" w:rsidRDefault="00BB0601"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635627" w:rsidRDefault="00635627" w:rsidP="00635627">
      <w:pPr>
        <w:pStyle w:val="Prrafodelista"/>
        <w:numPr>
          <w:ilvl w:val="0"/>
          <w:numId w:val="22"/>
        </w:numPr>
        <w:spacing w:after="0" w:line="240" w:lineRule="auto"/>
        <w:jc w:val="both"/>
      </w:pPr>
      <w:r>
        <w:lastRenderedPageBreak/>
        <w:t>¿Tiene algún sentido que Cobranzas tenga un beta negativo? ¿Cuál es su implicación?</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635627" w:rsidRDefault="00AC32F4" w:rsidP="00635627">
      <w:pPr>
        <w:pStyle w:val="Prrafodelista"/>
        <w:numPr>
          <w:ilvl w:val="0"/>
          <w:numId w:val="22"/>
        </w:numPr>
        <w:spacing w:after="0" w:line="240" w:lineRule="auto"/>
        <w:jc w:val="both"/>
      </w:pPr>
      <w:r>
        <w:t>Según el Modelo de Valuación de Activos de Capital, ¿cuál es el</w:t>
      </w:r>
      <w:r w:rsidR="00635627">
        <w:t xml:space="preserve"> rendimiento requerido sobre una cartera formada por 50% de High Tech y 50% de Co</w:t>
      </w:r>
      <w:r w:rsidR="00C1173A">
        <w:t>llections</w:t>
      </w:r>
      <w:r w:rsidR="00635627">
        <w:t>?</w:t>
      </w:r>
      <w:r w:rsidR="005204A7">
        <w:t xml:space="preserve"> (Diez puntos)</w:t>
      </w: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5F19B7" w:rsidRDefault="005F19B7" w:rsidP="005F19B7">
      <w:pPr>
        <w:spacing w:after="0" w:line="240" w:lineRule="auto"/>
        <w:jc w:val="both"/>
      </w:pPr>
    </w:p>
    <w:p w:rsidR="00386436" w:rsidRDefault="007C56CA" w:rsidP="00635627">
      <w:pPr>
        <w:pStyle w:val="Prrafodelista"/>
        <w:numPr>
          <w:ilvl w:val="0"/>
          <w:numId w:val="22"/>
        </w:numPr>
        <w:spacing w:after="0" w:line="240" w:lineRule="auto"/>
        <w:jc w:val="both"/>
      </w:pPr>
      <w:r>
        <w:t>¿Cuál serán las tasas de rendimiento y riesgo si en cambio la cartera se forma de 50% de High Tech y 50% de U.S. Rubber?</w:t>
      </w:r>
      <w:r w:rsidR="005204A7">
        <w:t xml:space="preserve"> (Diez puntos)</w:t>
      </w:r>
    </w:p>
    <w:p w:rsidR="00F711D5" w:rsidRDefault="00F711D5" w:rsidP="00635627">
      <w:pPr>
        <w:spacing w:after="0" w:line="240" w:lineRule="auto"/>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F711D5" w:rsidRDefault="00F711D5" w:rsidP="00C023C5">
      <w:pPr>
        <w:pStyle w:val="Prrafodelista"/>
        <w:spacing w:after="0" w:line="240" w:lineRule="auto"/>
        <w:ind w:left="360"/>
        <w:contextualSpacing w:val="0"/>
        <w:jc w:val="both"/>
      </w:pPr>
    </w:p>
    <w:p w:rsidR="00CC530D" w:rsidRDefault="00CC530D" w:rsidP="00C023C5">
      <w:pPr>
        <w:pStyle w:val="Prrafodelista"/>
        <w:spacing w:after="0" w:line="240" w:lineRule="auto"/>
        <w:ind w:left="360"/>
        <w:contextualSpacing w:val="0"/>
        <w:jc w:val="both"/>
      </w:pPr>
    </w:p>
    <w:p w:rsidR="00CC530D" w:rsidRDefault="00CC530D" w:rsidP="00C023C5">
      <w:pPr>
        <w:pStyle w:val="Prrafodelista"/>
        <w:spacing w:after="0" w:line="240" w:lineRule="auto"/>
        <w:ind w:left="360"/>
        <w:contextualSpacing w:val="0"/>
        <w:jc w:val="both"/>
      </w:pPr>
    </w:p>
    <w:p w:rsidR="00CC530D" w:rsidRDefault="00CC530D" w:rsidP="00C023C5">
      <w:pPr>
        <w:pStyle w:val="Prrafodelista"/>
        <w:spacing w:after="0" w:line="240" w:lineRule="auto"/>
        <w:ind w:left="360"/>
        <w:contextualSpacing w:val="0"/>
        <w:jc w:val="both"/>
      </w:pPr>
    </w:p>
    <w:p w:rsidR="00CC530D" w:rsidRDefault="00CC530D" w:rsidP="00C023C5">
      <w:pPr>
        <w:pStyle w:val="Prrafodelista"/>
        <w:spacing w:after="0" w:line="240" w:lineRule="auto"/>
        <w:ind w:left="360"/>
        <w:contextualSpacing w:val="0"/>
        <w:jc w:val="both"/>
      </w:pPr>
    </w:p>
    <w:sectPr w:rsidR="00CC530D" w:rsidSect="00C023C5">
      <w:pgSz w:w="12240" w:h="15840"/>
      <w:pgMar w:top="720" w:right="720" w:bottom="720" w:left="720" w:header="709" w:footer="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CBA" w:rsidRDefault="006D3CBA" w:rsidP="00361193">
      <w:pPr>
        <w:spacing w:after="0" w:line="240" w:lineRule="auto"/>
      </w:pPr>
      <w:r>
        <w:separator/>
      </w:r>
    </w:p>
  </w:endnote>
  <w:endnote w:type="continuationSeparator" w:id="1">
    <w:p w:rsidR="006D3CBA" w:rsidRDefault="006D3CBA" w:rsidP="00361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CBA" w:rsidRDefault="006D3CBA" w:rsidP="00361193">
      <w:pPr>
        <w:spacing w:after="0" w:line="240" w:lineRule="auto"/>
      </w:pPr>
      <w:r>
        <w:separator/>
      </w:r>
    </w:p>
  </w:footnote>
  <w:footnote w:type="continuationSeparator" w:id="1">
    <w:p w:rsidR="006D3CBA" w:rsidRDefault="006D3CBA" w:rsidP="00361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93A"/>
    <w:multiLevelType w:val="hybridMultilevel"/>
    <w:tmpl w:val="7E0CF2B6"/>
    <w:lvl w:ilvl="0" w:tplc="300A0019">
      <w:start w:val="1"/>
      <w:numFmt w:val="lowerLetter"/>
      <w:lvlText w:val="%1."/>
      <w:lvlJc w:val="left"/>
      <w:pPr>
        <w:ind w:left="720" w:hanging="360"/>
      </w:pPr>
      <w:rPr>
        <w:rFonts w:hint="default"/>
      </w:rPr>
    </w:lvl>
    <w:lvl w:ilvl="1" w:tplc="300A0011">
      <w:start w:val="1"/>
      <w:numFmt w:val="decimal"/>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D55225"/>
    <w:multiLevelType w:val="hybridMultilevel"/>
    <w:tmpl w:val="A7F4EE9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7313E0"/>
    <w:multiLevelType w:val="hybridMultilevel"/>
    <w:tmpl w:val="803620B2"/>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6C5416E"/>
    <w:multiLevelType w:val="hybridMultilevel"/>
    <w:tmpl w:val="A7EA3D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9D649C6"/>
    <w:multiLevelType w:val="hybridMultilevel"/>
    <w:tmpl w:val="D17E46D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28C7228E"/>
    <w:multiLevelType w:val="hybridMultilevel"/>
    <w:tmpl w:val="919EC20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CEE64F8"/>
    <w:multiLevelType w:val="hybridMultilevel"/>
    <w:tmpl w:val="73980A1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2D0E2DD9"/>
    <w:multiLevelType w:val="hybridMultilevel"/>
    <w:tmpl w:val="467A1A4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D6001ED"/>
    <w:multiLevelType w:val="multilevel"/>
    <w:tmpl w:val="0F64B262"/>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53F69AD"/>
    <w:multiLevelType w:val="hybridMultilevel"/>
    <w:tmpl w:val="6E8C921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80B3CF8"/>
    <w:multiLevelType w:val="hybridMultilevel"/>
    <w:tmpl w:val="59744CA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3D495A05"/>
    <w:multiLevelType w:val="hybridMultilevel"/>
    <w:tmpl w:val="012C314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08C02C9"/>
    <w:multiLevelType w:val="hybridMultilevel"/>
    <w:tmpl w:val="0930B3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17F5EEA"/>
    <w:multiLevelType w:val="hybridMultilevel"/>
    <w:tmpl w:val="037E74E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418663F3"/>
    <w:multiLevelType w:val="hybridMultilevel"/>
    <w:tmpl w:val="0E9CFD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675F0368"/>
    <w:multiLevelType w:val="hybridMultilevel"/>
    <w:tmpl w:val="A7141EC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71FF11A1"/>
    <w:multiLevelType w:val="hybridMultilevel"/>
    <w:tmpl w:val="7966D8F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3D75C6E"/>
    <w:multiLevelType w:val="hybridMultilevel"/>
    <w:tmpl w:val="BBFC55D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758D00B7"/>
    <w:multiLevelType w:val="hybridMultilevel"/>
    <w:tmpl w:val="1D140DE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8BD3DA5"/>
    <w:multiLevelType w:val="hybridMultilevel"/>
    <w:tmpl w:val="4372C7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B722181"/>
    <w:multiLevelType w:val="hybridMultilevel"/>
    <w:tmpl w:val="A4EEB85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E52718B"/>
    <w:multiLevelType w:val="hybridMultilevel"/>
    <w:tmpl w:val="A45E4FE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0"/>
  </w:num>
  <w:num w:numId="5">
    <w:abstractNumId w:val="8"/>
  </w:num>
  <w:num w:numId="6">
    <w:abstractNumId w:val="3"/>
  </w:num>
  <w:num w:numId="7">
    <w:abstractNumId w:val="21"/>
  </w:num>
  <w:num w:numId="8">
    <w:abstractNumId w:val="19"/>
  </w:num>
  <w:num w:numId="9">
    <w:abstractNumId w:val="17"/>
  </w:num>
  <w:num w:numId="10">
    <w:abstractNumId w:val="13"/>
  </w:num>
  <w:num w:numId="11">
    <w:abstractNumId w:val="7"/>
  </w:num>
  <w:num w:numId="12">
    <w:abstractNumId w:val="14"/>
  </w:num>
  <w:num w:numId="13">
    <w:abstractNumId w:val="20"/>
  </w:num>
  <w:num w:numId="14">
    <w:abstractNumId w:val="5"/>
  </w:num>
  <w:num w:numId="15">
    <w:abstractNumId w:val="12"/>
  </w:num>
  <w:num w:numId="16">
    <w:abstractNumId w:val="1"/>
  </w:num>
  <w:num w:numId="17">
    <w:abstractNumId w:val="18"/>
  </w:num>
  <w:num w:numId="18">
    <w:abstractNumId w:val="6"/>
  </w:num>
  <w:num w:numId="19">
    <w:abstractNumId w:val="10"/>
  </w:num>
  <w:num w:numId="20">
    <w:abstractNumId w:val="4"/>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9193E"/>
    <w:rsid w:val="00017411"/>
    <w:rsid w:val="0009266B"/>
    <w:rsid w:val="0009611B"/>
    <w:rsid w:val="000C36C3"/>
    <w:rsid w:val="000D3E1A"/>
    <w:rsid w:val="00130A63"/>
    <w:rsid w:val="0014620D"/>
    <w:rsid w:val="00162841"/>
    <w:rsid w:val="001636D7"/>
    <w:rsid w:val="001B2D5D"/>
    <w:rsid w:val="001C622E"/>
    <w:rsid w:val="001D1180"/>
    <w:rsid w:val="001E75B1"/>
    <w:rsid w:val="002148AB"/>
    <w:rsid w:val="00226479"/>
    <w:rsid w:val="002459A1"/>
    <w:rsid w:val="00250368"/>
    <w:rsid w:val="00262CA2"/>
    <w:rsid w:val="00266EB0"/>
    <w:rsid w:val="002B28C1"/>
    <w:rsid w:val="002C2B8A"/>
    <w:rsid w:val="002C6011"/>
    <w:rsid w:val="002D42AD"/>
    <w:rsid w:val="002D4739"/>
    <w:rsid w:val="002E3FE3"/>
    <w:rsid w:val="00310DB8"/>
    <w:rsid w:val="00313CFF"/>
    <w:rsid w:val="003206D5"/>
    <w:rsid w:val="00346828"/>
    <w:rsid w:val="00361193"/>
    <w:rsid w:val="00386436"/>
    <w:rsid w:val="00392FEB"/>
    <w:rsid w:val="003947BF"/>
    <w:rsid w:val="003B3691"/>
    <w:rsid w:val="003C5BF7"/>
    <w:rsid w:val="003D17FC"/>
    <w:rsid w:val="003E686C"/>
    <w:rsid w:val="004308B7"/>
    <w:rsid w:val="00436556"/>
    <w:rsid w:val="004374AE"/>
    <w:rsid w:val="004640A9"/>
    <w:rsid w:val="004659D7"/>
    <w:rsid w:val="004751EC"/>
    <w:rsid w:val="00494ECF"/>
    <w:rsid w:val="00516104"/>
    <w:rsid w:val="005204A7"/>
    <w:rsid w:val="00555027"/>
    <w:rsid w:val="005940D1"/>
    <w:rsid w:val="005D3333"/>
    <w:rsid w:val="005D4F6E"/>
    <w:rsid w:val="005F19B7"/>
    <w:rsid w:val="00620934"/>
    <w:rsid w:val="006229B4"/>
    <w:rsid w:val="00635627"/>
    <w:rsid w:val="0064609E"/>
    <w:rsid w:val="00653B90"/>
    <w:rsid w:val="006645A3"/>
    <w:rsid w:val="006A1B81"/>
    <w:rsid w:val="006A7D71"/>
    <w:rsid w:val="006D3CBA"/>
    <w:rsid w:val="00732C15"/>
    <w:rsid w:val="0073362A"/>
    <w:rsid w:val="00742D89"/>
    <w:rsid w:val="0076028B"/>
    <w:rsid w:val="007B2D27"/>
    <w:rsid w:val="007C56CA"/>
    <w:rsid w:val="007F3F6E"/>
    <w:rsid w:val="00821FCA"/>
    <w:rsid w:val="008300A6"/>
    <w:rsid w:val="0083065E"/>
    <w:rsid w:val="00841DC0"/>
    <w:rsid w:val="00887161"/>
    <w:rsid w:val="0089193E"/>
    <w:rsid w:val="008D6CC7"/>
    <w:rsid w:val="00900641"/>
    <w:rsid w:val="009358A2"/>
    <w:rsid w:val="009A086B"/>
    <w:rsid w:val="009B0830"/>
    <w:rsid w:val="009C6291"/>
    <w:rsid w:val="009E2D71"/>
    <w:rsid w:val="009F044F"/>
    <w:rsid w:val="00A52909"/>
    <w:rsid w:val="00A55028"/>
    <w:rsid w:val="00A700BE"/>
    <w:rsid w:val="00A77D74"/>
    <w:rsid w:val="00A8005F"/>
    <w:rsid w:val="00A853E3"/>
    <w:rsid w:val="00A91ED9"/>
    <w:rsid w:val="00AA39F5"/>
    <w:rsid w:val="00AC32F4"/>
    <w:rsid w:val="00AE164C"/>
    <w:rsid w:val="00AE5591"/>
    <w:rsid w:val="00AF1C17"/>
    <w:rsid w:val="00B34735"/>
    <w:rsid w:val="00B46499"/>
    <w:rsid w:val="00B7668C"/>
    <w:rsid w:val="00B77E5D"/>
    <w:rsid w:val="00B81451"/>
    <w:rsid w:val="00BB0601"/>
    <w:rsid w:val="00BB56D0"/>
    <w:rsid w:val="00BE0F7B"/>
    <w:rsid w:val="00BE448A"/>
    <w:rsid w:val="00C023C5"/>
    <w:rsid w:val="00C1173A"/>
    <w:rsid w:val="00C17F21"/>
    <w:rsid w:val="00C253C2"/>
    <w:rsid w:val="00C4066F"/>
    <w:rsid w:val="00C437DE"/>
    <w:rsid w:val="00C45516"/>
    <w:rsid w:val="00C541F1"/>
    <w:rsid w:val="00CC530D"/>
    <w:rsid w:val="00D025F6"/>
    <w:rsid w:val="00D055DF"/>
    <w:rsid w:val="00D07D7F"/>
    <w:rsid w:val="00D5277C"/>
    <w:rsid w:val="00DC7A8F"/>
    <w:rsid w:val="00DD1A3E"/>
    <w:rsid w:val="00DD1AED"/>
    <w:rsid w:val="00E01BD0"/>
    <w:rsid w:val="00E15971"/>
    <w:rsid w:val="00E24302"/>
    <w:rsid w:val="00E30CB5"/>
    <w:rsid w:val="00E34CB4"/>
    <w:rsid w:val="00E90F4E"/>
    <w:rsid w:val="00EC1C41"/>
    <w:rsid w:val="00EC411B"/>
    <w:rsid w:val="00EC4ACC"/>
    <w:rsid w:val="00ED6BD6"/>
    <w:rsid w:val="00F642B1"/>
    <w:rsid w:val="00F711D5"/>
    <w:rsid w:val="00F73308"/>
    <w:rsid w:val="00FB79E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DC0"/>
    <w:pPr>
      <w:ind w:left="720"/>
      <w:contextualSpacing/>
    </w:pPr>
  </w:style>
  <w:style w:type="table" w:styleId="Tablaconcuadrcula">
    <w:name w:val="Table Grid"/>
    <w:basedOn w:val="Tablanormal"/>
    <w:uiPriority w:val="59"/>
    <w:rsid w:val="0083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300A6"/>
    <w:rPr>
      <w:color w:val="808080"/>
    </w:rPr>
  </w:style>
  <w:style w:type="paragraph" w:styleId="Textodeglobo">
    <w:name w:val="Balloon Text"/>
    <w:basedOn w:val="Normal"/>
    <w:link w:val="TextodegloboCar"/>
    <w:uiPriority w:val="99"/>
    <w:semiHidden/>
    <w:unhideWhenUsed/>
    <w:rsid w:val="00830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0A6"/>
    <w:rPr>
      <w:rFonts w:ascii="Tahoma" w:hAnsi="Tahoma" w:cs="Tahoma"/>
      <w:sz w:val="16"/>
      <w:szCs w:val="16"/>
    </w:rPr>
  </w:style>
  <w:style w:type="paragraph" w:styleId="Sinespaciado">
    <w:name w:val="No Spacing"/>
    <w:uiPriority w:val="1"/>
    <w:qFormat/>
    <w:rsid w:val="000D3E1A"/>
    <w:pPr>
      <w:spacing w:after="0" w:line="240" w:lineRule="auto"/>
    </w:pPr>
  </w:style>
  <w:style w:type="paragraph" w:styleId="Encabezado">
    <w:name w:val="header"/>
    <w:basedOn w:val="Normal"/>
    <w:link w:val="EncabezadoCar"/>
    <w:uiPriority w:val="99"/>
    <w:semiHidden/>
    <w:unhideWhenUsed/>
    <w:rsid w:val="00361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61193"/>
  </w:style>
  <w:style w:type="paragraph" w:styleId="Piedepgina">
    <w:name w:val="footer"/>
    <w:basedOn w:val="Normal"/>
    <w:link w:val="PiedepginaCar"/>
    <w:uiPriority w:val="99"/>
    <w:unhideWhenUsed/>
    <w:rsid w:val="00361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SRI</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planificacion</dc:creator>
  <cp:lastModifiedBy>erqj220513</cp:lastModifiedBy>
  <cp:revision>38</cp:revision>
  <cp:lastPrinted>2013-07-11T16:31:00Z</cp:lastPrinted>
  <dcterms:created xsi:type="dcterms:W3CDTF">2013-06-26T20:13:00Z</dcterms:created>
  <dcterms:modified xsi:type="dcterms:W3CDTF">2013-09-02T16:00:00Z</dcterms:modified>
</cp:coreProperties>
</file>