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C8B" w:rsidRPr="00AA3C8B" w:rsidRDefault="00AA3C8B" w:rsidP="00AA3C8B">
      <w:pPr>
        <w:jc w:val="both"/>
        <w:rPr>
          <w:rFonts w:cstheme="minorHAnsi"/>
          <w:b/>
        </w:rPr>
      </w:pPr>
      <w:r w:rsidRPr="00AA3C8B">
        <w:rPr>
          <w:rFonts w:cstheme="minorHAnsi"/>
          <w:b/>
        </w:rPr>
        <w:t>EXAMEN FINAL DE AUDITORÍA Y CONTABIILIDAD FORENSE</w:t>
      </w:r>
    </w:p>
    <w:p w:rsidR="00AA3C8B" w:rsidRPr="00AA3C8B" w:rsidRDefault="00AA3C8B" w:rsidP="00AA3C8B">
      <w:pPr>
        <w:jc w:val="both"/>
        <w:rPr>
          <w:rFonts w:cstheme="minorHAnsi"/>
          <w:b/>
        </w:rPr>
      </w:pPr>
      <w:r w:rsidRPr="00AA3C8B">
        <w:rPr>
          <w:rFonts w:cstheme="minorHAnsi"/>
          <w:b/>
        </w:rPr>
        <w:t>NOMBRRE:</w:t>
      </w:r>
    </w:p>
    <w:p w:rsidR="00AA3C8B" w:rsidRPr="005B0CFD" w:rsidRDefault="005B0CFD" w:rsidP="00AA3C8B">
      <w:pPr>
        <w:pStyle w:val="Prrafodelista"/>
        <w:numPr>
          <w:ilvl w:val="0"/>
          <w:numId w:val="1"/>
        </w:numPr>
        <w:jc w:val="both"/>
        <w:rPr>
          <w:rFonts w:cstheme="minorHAnsi"/>
          <w:sz w:val="20"/>
          <w:szCs w:val="20"/>
        </w:rPr>
      </w:pPr>
      <w:r w:rsidRPr="005B0CFD">
        <w:rPr>
          <w:rFonts w:cstheme="minorHAnsi"/>
          <w:b/>
          <w:sz w:val="20"/>
          <w:szCs w:val="20"/>
        </w:rPr>
        <w:t>CASO LEASING FINANCIERO</w:t>
      </w:r>
      <w:r w:rsidRPr="005B0CFD">
        <w:rPr>
          <w:rFonts w:cstheme="minorHAnsi"/>
          <w:sz w:val="20"/>
          <w:szCs w:val="20"/>
        </w:rPr>
        <w:t xml:space="preserve">. </w:t>
      </w:r>
      <w:r w:rsidR="00AA3C8B" w:rsidRPr="005B0CFD">
        <w:rPr>
          <w:rFonts w:cstheme="minorHAnsi"/>
          <w:sz w:val="20"/>
          <w:szCs w:val="20"/>
        </w:rPr>
        <w:t>A inicios de año, una empresa acude a una institución financiera para adquirir una máquina bajo contrato de arrendamiento financiero.</w:t>
      </w:r>
    </w:p>
    <w:p w:rsidR="00AA3C8B" w:rsidRPr="005B0CFD" w:rsidRDefault="00AA3C8B" w:rsidP="00AA3C8B">
      <w:pPr>
        <w:pStyle w:val="Prrafodelista"/>
        <w:numPr>
          <w:ilvl w:val="0"/>
          <w:numId w:val="2"/>
        </w:numPr>
        <w:jc w:val="both"/>
        <w:rPr>
          <w:rFonts w:cstheme="minorHAnsi"/>
          <w:sz w:val="20"/>
          <w:szCs w:val="20"/>
        </w:rPr>
      </w:pPr>
      <w:r w:rsidRPr="005B0CFD">
        <w:rPr>
          <w:rFonts w:cstheme="minorHAnsi"/>
          <w:sz w:val="20"/>
          <w:szCs w:val="20"/>
        </w:rPr>
        <w:t>Valor de la Máquina: US$ 100.000</w:t>
      </w:r>
    </w:p>
    <w:p w:rsidR="00AA3C8B" w:rsidRPr="005B0CFD" w:rsidRDefault="00AA3C8B" w:rsidP="00AA3C8B">
      <w:pPr>
        <w:pStyle w:val="Prrafodelista"/>
        <w:numPr>
          <w:ilvl w:val="0"/>
          <w:numId w:val="2"/>
        </w:numPr>
        <w:jc w:val="both"/>
        <w:rPr>
          <w:rFonts w:cstheme="minorHAnsi"/>
          <w:sz w:val="20"/>
          <w:szCs w:val="20"/>
        </w:rPr>
      </w:pPr>
      <w:r w:rsidRPr="005B0CFD">
        <w:rPr>
          <w:rFonts w:cstheme="minorHAnsi"/>
          <w:sz w:val="20"/>
          <w:szCs w:val="20"/>
        </w:rPr>
        <w:t>Plazo de arrendamiento: 4 años</w:t>
      </w:r>
    </w:p>
    <w:p w:rsidR="00AA3C8B" w:rsidRPr="005B0CFD" w:rsidRDefault="00AA3C8B" w:rsidP="00AA3C8B">
      <w:pPr>
        <w:pStyle w:val="Prrafodelista"/>
        <w:numPr>
          <w:ilvl w:val="0"/>
          <w:numId w:val="2"/>
        </w:numPr>
        <w:jc w:val="both"/>
        <w:rPr>
          <w:rFonts w:cstheme="minorHAnsi"/>
          <w:sz w:val="20"/>
          <w:szCs w:val="20"/>
        </w:rPr>
      </w:pPr>
      <w:r w:rsidRPr="005B0CFD">
        <w:rPr>
          <w:rFonts w:cstheme="minorHAnsi"/>
          <w:sz w:val="20"/>
          <w:szCs w:val="20"/>
        </w:rPr>
        <w:t>Cuota anual</w:t>
      </w:r>
    </w:p>
    <w:p w:rsidR="00AA3C8B" w:rsidRPr="005B0CFD" w:rsidRDefault="00AA3C8B" w:rsidP="00AA3C8B">
      <w:pPr>
        <w:pStyle w:val="Prrafodelista"/>
        <w:numPr>
          <w:ilvl w:val="0"/>
          <w:numId w:val="2"/>
        </w:numPr>
        <w:jc w:val="both"/>
        <w:rPr>
          <w:rFonts w:cstheme="minorHAnsi"/>
          <w:sz w:val="20"/>
          <w:szCs w:val="20"/>
        </w:rPr>
      </w:pPr>
      <w:r w:rsidRPr="005B0CFD">
        <w:rPr>
          <w:rFonts w:cstheme="minorHAnsi"/>
          <w:sz w:val="20"/>
          <w:szCs w:val="20"/>
        </w:rPr>
        <w:t>Opción de compra al final del contrato: Una cuota anual adicional</w:t>
      </w:r>
    </w:p>
    <w:p w:rsidR="00AA3C8B" w:rsidRPr="005B0CFD" w:rsidRDefault="00AA3C8B" w:rsidP="00AA3C8B">
      <w:pPr>
        <w:pStyle w:val="Prrafodelista"/>
        <w:numPr>
          <w:ilvl w:val="0"/>
          <w:numId w:val="2"/>
        </w:numPr>
        <w:jc w:val="both"/>
        <w:rPr>
          <w:rFonts w:cstheme="minorHAnsi"/>
          <w:sz w:val="20"/>
          <w:szCs w:val="20"/>
        </w:rPr>
      </w:pPr>
      <w:r w:rsidRPr="005B0CFD">
        <w:rPr>
          <w:rFonts w:cstheme="minorHAnsi"/>
          <w:sz w:val="20"/>
          <w:szCs w:val="20"/>
        </w:rPr>
        <w:t>Tasa de interés anual: 15% efectivo anual</w:t>
      </w:r>
    </w:p>
    <w:p w:rsidR="00AA3C8B" w:rsidRPr="005B0CFD" w:rsidRDefault="00AA3C8B" w:rsidP="00AA3C8B">
      <w:pPr>
        <w:pStyle w:val="Prrafodelista"/>
        <w:numPr>
          <w:ilvl w:val="0"/>
          <w:numId w:val="2"/>
        </w:numPr>
        <w:jc w:val="both"/>
        <w:rPr>
          <w:rFonts w:cstheme="minorHAnsi"/>
          <w:sz w:val="20"/>
          <w:szCs w:val="20"/>
        </w:rPr>
      </w:pPr>
      <w:r w:rsidRPr="005B0CFD">
        <w:rPr>
          <w:rFonts w:cstheme="minorHAnsi"/>
          <w:sz w:val="20"/>
          <w:szCs w:val="20"/>
        </w:rPr>
        <w:t>Vida útil estimada del bien: 10 años</w:t>
      </w:r>
    </w:p>
    <w:p w:rsidR="00AA3C8B" w:rsidRPr="005B0CFD" w:rsidRDefault="00AA3C8B" w:rsidP="00AA3C8B">
      <w:pPr>
        <w:ind w:firstLine="709"/>
        <w:jc w:val="both"/>
        <w:rPr>
          <w:rFonts w:cstheme="minorHAnsi"/>
          <w:sz w:val="20"/>
          <w:szCs w:val="20"/>
        </w:rPr>
      </w:pPr>
      <w:r w:rsidRPr="005B0CFD">
        <w:rPr>
          <w:rFonts w:cstheme="minorHAnsi"/>
          <w:sz w:val="20"/>
          <w:szCs w:val="20"/>
        </w:rPr>
        <w:t>Se pide:</w:t>
      </w:r>
    </w:p>
    <w:p w:rsidR="00AA3C8B" w:rsidRPr="005B0CFD" w:rsidRDefault="00AA3C8B" w:rsidP="00B374AD">
      <w:pPr>
        <w:pStyle w:val="Prrafodelista"/>
        <w:numPr>
          <w:ilvl w:val="1"/>
          <w:numId w:val="4"/>
        </w:numPr>
        <w:jc w:val="both"/>
        <w:rPr>
          <w:sz w:val="20"/>
          <w:szCs w:val="20"/>
        </w:rPr>
      </w:pPr>
      <w:r w:rsidRPr="005B0CFD">
        <w:rPr>
          <w:sz w:val="20"/>
          <w:szCs w:val="20"/>
        </w:rPr>
        <w:t>El valor de la cuota anual del contrato de arrendamiento.</w:t>
      </w:r>
    </w:p>
    <w:p w:rsidR="00AA3C8B" w:rsidRPr="005B0CFD" w:rsidRDefault="00AA3C8B" w:rsidP="00B374AD">
      <w:pPr>
        <w:pStyle w:val="Prrafodelista"/>
        <w:numPr>
          <w:ilvl w:val="1"/>
          <w:numId w:val="4"/>
        </w:numPr>
        <w:jc w:val="both"/>
        <w:rPr>
          <w:sz w:val="20"/>
          <w:szCs w:val="20"/>
        </w:rPr>
      </w:pPr>
      <w:r w:rsidRPr="005B0CFD">
        <w:rPr>
          <w:sz w:val="20"/>
          <w:szCs w:val="20"/>
        </w:rPr>
        <w:t>Desarrollo la tabla de amortización del contrato de arrendamiento correspondiente al último periodo (4to año), e indique de forma detallada los valores por concepto de la amortización del capital de y de los intereses.</w:t>
      </w:r>
    </w:p>
    <w:p w:rsidR="00AA3C8B" w:rsidRPr="005B0CFD" w:rsidRDefault="00AA3C8B" w:rsidP="00B374AD">
      <w:pPr>
        <w:pStyle w:val="Prrafodelista"/>
        <w:numPr>
          <w:ilvl w:val="1"/>
          <w:numId w:val="4"/>
        </w:numPr>
        <w:jc w:val="both"/>
        <w:rPr>
          <w:sz w:val="20"/>
          <w:szCs w:val="20"/>
        </w:rPr>
      </w:pPr>
      <w:r w:rsidRPr="005B0CFD">
        <w:rPr>
          <w:sz w:val="20"/>
          <w:szCs w:val="20"/>
        </w:rPr>
        <w:t>Determine el valor en libros de la máquina al término del contrato de arrendamiento.</w:t>
      </w:r>
    </w:p>
    <w:p w:rsidR="00AA3C8B" w:rsidRPr="005B0CFD" w:rsidRDefault="00AA3C8B" w:rsidP="00B374AD">
      <w:pPr>
        <w:pStyle w:val="Prrafodelista"/>
        <w:numPr>
          <w:ilvl w:val="1"/>
          <w:numId w:val="4"/>
        </w:numPr>
        <w:jc w:val="both"/>
        <w:rPr>
          <w:sz w:val="20"/>
          <w:szCs w:val="20"/>
        </w:rPr>
      </w:pPr>
      <w:r w:rsidRPr="005B0CFD">
        <w:rPr>
          <w:sz w:val="20"/>
          <w:szCs w:val="20"/>
        </w:rPr>
        <w:t>Desde un punto de vista tributario, indique las implicaciones para que los costos y gastos por concepto de arrendamiento financiero sean deducibles.</w:t>
      </w:r>
    </w:p>
    <w:p w:rsidR="00B374AD" w:rsidRPr="005B0CFD" w:rsidRDefault="00B374AD" w:rsidP="00B374AD">
      <w:pPr>
        <w:pStyle w:val="Prrafodelista"/>
        <w:numPr>
          <w:ilvl w:val="1"/>
          <w:numId w:val="4"/>
        </w:numPr>
        <w:jc w:val="both"/>
        <w:rPr>
          <w:sz w:val="20"/>
          <w:szCs w:val="20"/>
        </w:rPr>
      </w:pPr>
      <w:r w:rsidRPr="005B0CFD">
        <w:rPr>
          <w:sz w:val="20"/>
          <w:szCs w:val="20"/>
        </w:rPr>
        <w:t>Indique en qué consiste la práctica</w:t>
      </w:r>
      <w:r w:rsidR="005B0CFD" w:rsidRPr="005B0CFD">
        <w:rPr>
          <w:sz w:val="20"/>
          <w:szCs w:val="20"/>
        </w:rPr>
        <w:t xml:space="preserve"> elusiva</w:t>
      </w:r>
      <w:r w:rsidRPr="005B0CFD">
        <w:rPr>
          <w:sz w:val="20"/>
          <w:szCs w:val="20"/>
        </w:rPr>
        <w:t xml:space="preserve"> del </w:t>
      </w:r>
      <w:proofErr w:type="spellStart"/>
      <w:r w:rsidRPr="005B0CFD">
        <w:rPr>
          <w:sz w:val="20"/>
          <w:szCs w:val="20"/>
        </w:rPr>
        <w:t>lease</w:t>
      </w:r>
      <w:proofErr w:type="spellEnd"/>
      <w:r w:rsidRPr="005B0CFD">
        <w:rPr>
          <w:sz w:val="20"/>
          <w:szCs w:val="20"/>
        </w:rPr>
        <w:t xml:space="preserve"> back</w:t>
      </w:r>
      <w:r w:rsidR="005B0CFD" w:rsidRPr="005B0CFD">
        <w:rPr>
          <w:sz w:val="20"/>
          <w:szCs w:val="20"/>
        </w:rPr>
        <w:t xml:space="preserve"> y su normativa tributaria</w:t>
      </w:r>
      <w:r w:rsidR="005B0CFD">
        <w:rPr>
          <w:sz w:val="20"/>
          <w:szCs w:val="20"/>
        </w:rPr>
        <w:t xml:space="preserve"> para combatirla</w:t>
      </w:r>
      <w:r w:rsidR="005B0CFD" w:rsidRPr="005B0CFD">
        <w:rPr>
          <w:sz w:val="20"/>
          <w:szCs w:val="20"/>
        </w:rPr>
        <w:t>.</w:t>
      </w:r>
    </w:p>
    <w:p w:rsidR="005B0CFD" w:rsidRDefault="005B0CFD" w:rsidP="005B0CFD">
      <w:pPr>
        <w:pStyle w:val="Prrafodelista"/>
        <w:jc w:val="both"/>
        <w:rPr>
          <w:rFonts w:cstheme="minorHAnsi"/>
          <w:b/>
        </w:rPr>
      </w:pPr>
    </w:p>
    <w:p w:rsidR="00AA3C8B" w:rsidRPr="005B0CFD" w:rsidRDefault="00AA3C8B" w:rsidP="00AA3C8B">
      <w:pPr>
        <w:pStyle w:val="Prrafodelista"/>
        <w:numPr>
          <w:ilvl w:val="0"/>
          <w:numId w:val="1"/>
        </w:numPr>
        <w:jc w:val="both"/>
        <w:rPr>
          <w:rFonts w:cstheme="minorHAnsi"/>
          <w:b/>
        </w:rPr>
      </w:pPr>
      <w:r w:rsidRPr="005B0CFD">
        <w:rPr>
          <w:rFonts w:cstheme="minorHAnsi"/>
          <w:b/>
        </w:rPr>
        <w:t>CASO DE ESTUDIO</w:t>
      </w:r>
      <w:r w:rsidR="007944C0" w:rsidRPr="005B0CFD">
        <w:rPr>
          <w:rFonts w:cstheme="minorHAnsi"/>
          <w:b/>
        </w:rPr>
        <w:t>: EXPORTADORA DE BANANO</w:t>
      </w:r>
    </w:p>
    <w:p w:rsidR="00AA3C8B" w:rsidRPr="00AA3C8B" w:rsidRDefault="00AA3C8B" w:rsidP="00AA3C8B">
      <w:pPr>
        <w:jc w:val="center"/>
        <w:rPr>
          <w:sz w:val="18"/>
          <w:szCs w:val="18"/>
        </w:rPr>
      </w:pPr>
      <w:r w:rsidRPr="00AA3C8B">
        <w:rPr>
          <w:sz w:val="18"/>
          <w:szCs w:val="18"/>
        </w:rPr>
        <w:t xml:space="preserve">Precios referenciales en Estados Unidos de la caja de banano para la variedad </w:t>
      </w:r>
      <w:proofErr w:type="spellStart"/>
      <w:r w:rsidRPr="00AA3C8B">
        <w:rPr>
          <w:sz w:val="18"/>
          <w:szCs w:val="18"/>
        </w:rPr>
        <w:t>Cavendish</w:t>
      </w:r>
      <w:proofErr w:type="spellEnd"/>
      <w:r w:rsidRPr="00AA3C8B">
        <w:rPr>
          <w:sz w:val="18"/>
          <w:szCs w:val="18"/>
        </w:rPr>
        <w:t xml:space="preserve"> tipo 22XU</w:t>
      </w:r>
    </w:p>
    <w:tbl>
      <w:tblPr>
        <w:tblStyle w:val="Tablaconcuadrcula"/>
        <w:tblW w:w="0" w:type="auto"/>
        <w:jc w:val="center"/>
        <w:tblInd w:w="-1462" w:type="dxa"/>
        <w:tblLook w:val="04A0"/>
      </w:tblPr>
      <w:tblGrid>
        <w:gridCol w:w="1258"/>
        <w:gridCol w:w="882"/>
        <w:gridCol w:w="1260"/>
        <w:gridCol w:w="1275"/>
        <w:gridCol w:w="993"/>
        <w:gridCol w:w="992"/>
        <w:gridCol w:w="992"/>
      </w:tblGrid>
      <w:tr w:rsidR="00AA3C8B" w:rsidRPr="00D57E43" w:rsidTr="00A01090">
        <w:trPr>
          <w:jc w:val="center"/>
        </w:trPr>
        <w:tc>
          <w:tcPr>
            <w:tcW w:w="1258" w:type="dxa"/>
            <w:vAlign w:val="center"/>
          </w:tcPr>
          <w:p w:rsidR="00AA3C8B" w:rsidRPr="00D57E43" w:rsidRDefault="00AA3C8B" w:rsidP="00A01090">
            <w:pPr>
              <w:jc w:val="center"/>
              <w:rPr>
                <w:sz w:val="16"/>
                <w:szCs w:val="16"/>
              </w:rPr>
            </w:pPr>
            <w:r w:rsidRPr="00D57E43">
              <w:rPr>
                <w:sz w:val="16"/>
                <w:szCs w:val="16"/>
              </w:rPr>
              <w:t>Destino</w:t>
            </w:r>
          </w:p>
        </w:tc>
        <w:tc>
          <w:tcPr>
            <w:tcW w:w="882" w:type="dxa"/>
            <w:vAlign w:val="center"/>
          </w:tcPr>
          <w:p w:rsidR="00AA3C8B" w:rsidRPr="00D57E43" w:rsidRDefault="00AA3C8B" w:rsidP="00A01090">
            <w:pPr>
              <w:jc w:val="center"/>
              <w:rPr>
                <w:sz w:val="16"/>
                <w:szCs w:val="16"/>
              </w:rPr>
            </w:pPr>
            <w:r w:rsidRPr="00D57E43">
              <w:rPr>
                <w:sz w:val="16"/>
                <w:szCs w:val="16"/>
              </w:rPr>
              <w:t xml:space="preserve">Cajas </w:t>
            </w:r>
            <w:proofErr w:type="spellStart"/>
            <w:r w:rsidRPr="00D57E43">
              <w:rPr>
                <w:sz w:val="16"/>
                <w:szCs w:val="16"/>
              </w:rPr>
              <w:t>Cavendish</w:t>
            </w:r>
            <w:proofErr w:type="spellEnd"/>
            <w:r w:rsidRPr="00D57E43">
              <w:rPr>
                <w:sz w:val="16"/>
                <w:szCs w:val="16"/>
              </w:rPr>
              <w:t xml:space="preserve"> (millones)</w:t>
            </w:r>
          </w:p>
        </w:tc>
        <w:tc>
          <w:tcPr>
            <w:tcW w:w="1260" w:type="dxa"/>
            <w:vAlign w:val="center"/>
          </w:tcPr>
          <w:p w:rsidR="00AA3C8B" w:rsidRPr="00D57E43" w:rsidRDefault="00AA3C8B" w:rsidP="00A01090">
            <w:pPr>
              <w:jc w:val="center"/>
              <w:rPr>
                <w:sz w:val="16"/>
                <w:szCs w:val="16"/>
              </w:rPr>
            </w:pPr>
            <w:r w:rsidRPr="00D57E43">
              <w:rPr>
                <w:sz w:val="16"/>
                <w:szCs w:val="16"/>
              </w:rPr>
              <w:t>FOT (</w:t>
            </w:r>
            <w:proofErr w:type="spellStart"/>
            <w:r w:rsidRPr="00D57E43">
              <w:rPr>
                <w:sz w:val="16"/>
                <w:szCs w:val="16"/>
              </w:rPr>
              <w:t>Sopisco</w:t>
            </w:r>
            <w:proofErr w:type="spellEnd"/>
            <w:r w:rsidRPr="00D57E43">
              <w:rPr>
                <w:sz w:val="16"/>
                <w:szCs w:val="16"/>
              </w:rPr>
              <w:t>)</w:t>
            </w:r>
          </w:p>
        </w:tc>
        <w:tc>
          <w:tcPr>
            <w:tcW w:w="1275" w:type="dxa"/>
            <w:vAlign w:val="center"/>
          </w:tcPr>
          <w:p w:rsidR="00AA3C8B" w:rsidRPr="00D57E43" w:rsidRDefault="00AA3C8B" w:rsidP="00A01090">
            <w:pPr>
              <w:jc w:val="center"/>
              <w:rPr>
                <w:sz w:val="16"/>
                <w:szCs w:val="16"/>
              </w:rPr>
            </w:pPr>
            <w:r w:rsidRPr="00D57E43">
              <w:rPr>
                <w:sz w:val="16"/>
                <w:szCs w:val="16"/>
              </w:rPr>
              <w:t>Flete promedio por caja</w:t>
            </w:r>
          </w:p>
        </w:tc>
        <w:tc>
          <w:tcPr>
            <w:tcW w:w="993" w:type="dxa"/>
            <w:vAlign w:val="center"/>
          </w:tcPr>
          <w:p w:rsidR="00AA3C8B" w:rsidRPr="00D57E43" w:rsidRDefault="00AA3C8B" w:rsidP="00A01090">
            <w:pPr>
              <w:jc w:val="center"/>
              <w:rPr>
                <w:sz w:val="16"/>
                <w:szCs w:val="16"/>
              </w:rPr>
            </w:pPr>
            <w:r w:rsidRPr="00D57E43">
              <w:rPr>
                <w:sz w:val="16"/>
                <w:szCs w:val="16"/>
              </w:rPr>
              <w:t>Seguro promedio por caja</w:t>
            </w:r>
          </w:p>
        </w:tc>
        <w:tc>
          <w:tcPr>
            <w:tcW w:w="992" w:type="dxa"/>
            <w:vAlign w:val="center"/>
          </w:tcPr>
          <w:p w:rsidR="00AA3C8B" w:rsidRPr="00D57E43" w:rsidRDefault="00AA3C8B" w:rsidP="00A01090">
            <w:pPr>
              <w:jc w:val="center"/>
              <w:rPr>
                <w:sz w:val="16"/>
                <w:szCs w:val="16"/>
              </w:rPr>
            </w:pPr>
            <w:r w:rsidRPr="00D57E43">
              <w:rPr>
                <w:sz w:val="16"/>
                <w:szCs w:val="16"/>
              </w:rPr>
              <w:t>Canal de Panamá</w:t>
            </w:r>
          </w:p>
        </w:tc>
        <w:tc>
          <w:tcPr>
            <w:tcW w:w="992" w:type="dxa"/>
            <w:vAlign w:val="center"/>
          </w:tcPr>
          <w:p w:rsidR="00AA3C8B" w:rsidRPr="00D57E43" w:rsidRDefault="00AA3C8B" w:rsidP="00A01090">
            <w:pPr>
              <w:jc w:val="center"/>
              <w:rPr>
                <w:sz w:val="16"/>
                <w:szCs w:val="16"/>
              </w:rPr>
            </w:pPr>
            <w:r w:rsidRPr="00D57E43">
              <w:rPr>
                <w:sz w:val="16"/>
                <w:szCs w:val="16"/>
              </w:rPr>
              <w:t>Otros gastos</w:t>
            </w:r>
          </w:p>
        </w:tc>
      </w:tr>
      <w:tr w:rsidR="00AA3C8B" w:rsidRPr="00D57E43" w:rsidTr="00A01090">
        <w:trPr>
          <w:jc w:val="center"/>
        </w:trPr>
        <w:tc>
          <w:tcPr>
            <w:tcW w:w="1258" w:type="dxa"/>
            <w:vAlign w:val="center"/>
          </w:tcPr>
          <w:p w:rsidR="00AA3C8B" w:rsidRPr="00D57E43" w:rsidRDefault="00AA3C8B" w:rsidP="00A01090">
            <w:pPr>
              <w:jc w:val="center"/>
              <w:rPr>
                <w:sz w:val="16"/>
                <w:szCs w:val="16"/>
              </w:rPr>
            </w:pPr>
            <w:r w:rsidRPr="00D57E43">
              <w:rPr>
                <w:sz w:val="16"/>
                <w:szCs w:val="16"/>
              </w:rPr>
              <w:t>Costa Este</w:t>
            </w:r>
          </w:p>
        </w:tc>
        <w:tc>
          <w:tcPr>
            <w:tcW w:w="882" w:type="dxa"/>
            <w:vMerge w:val="restart"/>
            <w:vAlign w:val="center"/>
          </w:tcPr>
          <w:p w:rsidR="00AA3C8B" w:rsidRPr="00D57E43" w:rsidRDefault="005B0CFD" w:rsidP="00A01090">
            <w:pPr>
              <w:jc w:val="center"/>
              <w:rPr>
                <w:sz w:val="16"/>
                <w:szCs w:val="16"/>
              </w:rPr>
            </w:pPr>
            <w:r>
              <w:rPr>
                <w:sz w:val="16"/>
                <w:szCs w:val="16"/>
              </w:rPr>
              <w:t>5</w:t>
            </w:r>
            <w:r w:rsidR="00AA3C8B" w:rsidRPr="00D57E43">
              <w:rPr>
                <w:sz w:val="16"/>
                <w:szCs w:val="16"/>
              </w:rPr>
              <w:t>.80</w:t>
            </w:r>
          </w:p>
        </w:tc>
        <w:tc>
          <w:tcPr>
            <w:tcW w:w="1260" w:type="dxa"/>
            <w:vAlign w:val="center"/>
          </w:tcPr>
          <w:p w:rsidR="00AA3C8B" w:rsidRPr="00D57E43" w:rsidRDefault="00AA3C8B" w:rsidP="00A01090">
            <w:pPr>
              <w:jc w:val="center"/>
              <w:rPr>
                <w:sz w:val="16"/>
                <w:szCs w:val="16"/>
              </w:rPr>
            </w:pPr>
            <w:r w:rsidRPr="00D57E43">
              <w:rPr>
                <w:sz w:val="16"/>
                <w:szCs w:val="16"/>
              </w:rPr>
              <w:t>Min: $14.04</w:t>
            </w:r>
          </w:p>
        </w:tc>
        <w:tc>
          <w:tcPr>
            <w:tcW w:w="1275" w:type="dxa"/>
            <w:vMerge w:val="restart"/>
            <w:vAlign w:val="center"/>
          </w:tcPr>
          <w:p w:rsidR="00AA3C8B" w:rsidRPr="00D57E43" w:rsidRDefault="00AA3C8B" w:rsidP="00A01090">
            <w:pPr>
              <w:jc w:val="center"/>
              <w:rPr>
                <w:sz w:val="16"/>
                <w:szCs w:val="16"/>
              </w:rPr>
            </w:pPr>
            <w:r w:rsidRPr="00D57E43">
              <w:rPr>
                <w:sz w:val="16"/>
                <w:szCs w:val="16"/>
              </w:rPr>
              <w:t>$ 1.37</w:t>
            </w:r>
          </w:p>
        </w:tc>
        <w:tc>
          <w:tcPr>
            <w:tcW w:w="993" w:type="dxa"/>
            <w:vMerge w:val="restart"/>
            <w:vAlign w:val="center"/>
          </w:tcPr>
          <w:p w:rsidR="00AA3C8B" w:rsidRPr="00D57E43" w:rsidRDefault="00AA3C8B" w:rsidP="00A01090">
            <w:pPr>
              <w:jc w:val="center"/>
              <w:rPr>
                <w:sz w:val="16"/>
                <w:szCs w:val="16"/>
              </w:rPr>
            </w:pPr>
            <w:r w:rsidRPr="00D57E43">
              <w:rPr>
                <w:sz w:val="16"/>
                <w:szCs w:val="16"/>
              </w:rPr>
              <w:t>$ 0.004</w:t>
            </w:r>
          </w:p>
        </w:tc>
        <w:tc>
          <w:tcPr>
            <w:tcW w:w="992" w:type="dxa"/>
            <w:vMerge w:val="restart"/>
            <w:vAlign w:val="center"/>
          </w:tcPr>
          <w:p w:rsidR="00AA3C8B" w:rsidRPr="00D57E43" w:rsidRDefault="00AA3C8B" w:rsidP="00A01090">
            <w:pPr>
              <w:jc w:val="center"/>
              <w:rPr>
                <w:sz w:val="16"/>
                <w:szCs w:val="16"/>
              </w:rPr>
            </w:pPr>
            <w:r w:rsidRPr="00D57E43">
              <w:rPr>
                <w:sz w:val="16"/>
                <w:szCs w:val="16"/>
              </w:rPr>
              <w:t>$ 0.18</w:t>
            </w:r>
          </w:p>
        </w:tc>
        <w:tc>
          <w:tcPr>
            <w:tcW w:w="992" w:type="dxa"/>
            <w:vMerge w:val="restart"/>
            <w:vAlign w:val="center"/>
          </w:tcPr>
          <w:p w:rsidR="00AA3C8B" w:rsidRPr="00D57E43" w:rsidRDefault="00AA3C8B" w:rsidP="00A01090">
            <w:pPr>
              <w:jc w:val="center"/>
              <w:rPr>
                <w:sz w:val="16"/>
                <w:szCs w:val="16"/>
              </w:rPr>
            </w:pPr>
            <w:r w:rsidRPr="00D57E43">
              <w:rPr>
                <w:sz w:val="16"/>
                <w:szCs w:val="16"/>
              </w:rPr>
              <w:t>$ 2.70</w:t>
            </w:r>
          </w:p>
        </w:tc>
      </w:tr>
      <w:tr w:rsidR="00AA3C8B" w:rsidRPr="00D57E43" w:rsidTr="00A01090">
        <w:trPr>
          <w:jc w:val="center"/>
        </w:trPr>
        <w:tc>
          <w:tcPr>
            <w:tcW w:w="1258" w:type="dxa"/>
            <w:vAlign w:val="center"/>
          </w:tcPr>
          <w:p w:rsidR="00AA3C8B" w:rsidRPr="00D57E43" w:rsidRDefault="00AA3C8B" w:rsidP="00A01090">
            <w:pPr>
              <w:jc w:val="center"/>
              <w:rPr>
                <w:sz w:val="16"/>
                <w:szCs w:val="16"/>
              </w:rPr>
            </w:pPr>
            <w:r w:rsidRPr="00D57E43">
              <w:rPr>
                <w:sz w:val="16"/>
                <w:szCs w:val="16"/>
              </w:rPr>
              <w:t>Estados Unidos</w:t>
            </w:r>
          </w:p>
        </w:tc>
        <w:tc>
          <w:tcPr>
            <w:tcW w:w="882" w:type="dxa"/>
            <w:vMerge/>
            <w:vAlign w:val="center"/>
          </w:tcPr>
          <w:p w:rsidR="00AA3C8B" w:rsidRPr="00D57E43" w:rsidRDefault="00AA3C8B" w:rsidP="00A01090">
            <w:pPr>
              <w:jc w:val="center"/>
              <w:rPr>
                <w:sz w:val="16"/>
                <w:szCs w:val="16"/>
              </w:rPr>
            </w:pPr>
          </w:p>
        </w:tc>
        <w:tc>
          <w:tcPr>
            <w:tcW w:w="1260" w:type="dxa"/>
            <w:vAlign w:val="center"/>
          </w:tcPr>
          <w:p w:rsidR="00AA3C8B" w:rsidRPr="00D57E43" w:rsidRDefault="00AA3C8B" w:rsidP="00A01090">
            <w:pPr>
              <w:jc w:val="center"/>
              <w:rPr>
                <w:sz w:val="16"/>
                <w:szCs w:val="16"/>
              </w:rPr>
            </w:pPr>
            <w:r w:rsidRPr="00D57E43">
              <w:rPr>
                <w:sz w:val="16"/>
                <w:szCs w:val="16"/>
              </w:rPr>
              <w:t>Max:$16.31</w:t>
            </w:r>
          </w:p>
        </w:tc>
        <w:tc>
          <w:tcPr>
            <w:tcW w:w="1275" w:type="dxa"/>
            <w:vMerge/>
            <w:vAlign w:val="center"/>
          </w:tcPr>
          <w:p w:rsidR="00AA3C8B" w:rsidRPr="00D57E43" w:rsidRDefault="00AA3C8B" w:rsidP="00A01090">
            <w:pPr>
              <w:jc w:val="center"/>
              <w:rPr>
                <w:sz w:val="16"/>
                <w:szCs w:val="16"/>
              </w:rPr>
            </w:pPr>
          </w:p>
        </w:tc>
        <w:tc>
          <w:tcPr>
            <w:tcW w:w="993" w:type="dxa"/>
            <w:vMerge/>
            <w:vAlign w:val="center"/>
          </w:tcPr>
          <w:p w:rsidR="00AA3C8B" w:rsidRPr="00D57E43" w:rsidRDefault="00AA3C8B" w:rsidP="00A01090">
            <w:pPr>
              <w:jc w:val="center"/>
              <w:rPr>
                <w:sz w:val="16"/>
                <w:szCs w:val="16"/>
              </w:rPr>
            </w:pPr>
          </w:p>
        </w:tc>
        <w:tc>
          <w:tcPr>
            <w:tcW w:w="992" w:type="dxa"/>
            <w:vMerge/>
            <w:vAlign w:val="center"/>
          </w:tcPr>
          <w:p w:rsidR="00AA3C8B" w:rsidRPr="00D57E43" w:rsidRDefault="00AA3C8B" w:rsidP="00A01090">
            <w:pPr>
              <w:jc w:val="center"/>
              <w:rPr>
                <w:sz w:val="16"/>
                <w:szCs w:val="16"/>
              </w:rPr>
            </w:pPr>
          </w:p>
        </w:tc>
        <w:tc>
          <w:tcPr>
            <w:tcW w:w="992" w:type="dxa"/>
            <w:vMerge/>
            <w:vAlign w:val="center"/>
          </w:tcPr>
          <w:p w:rsidR="00AA3C8B" w:rsidRPr="00D57E43" w:rsidRDefault="00AA3C8B" w:rsidP="00A01090">
            <w:pPr>
              <w:jc w:val="center"/>
              <w:rPr>
                <w:sz w:val="16"/>
                <w:szCs w:val="16"/>
              </w:rPr>
            </w:pPr>
          </w:p>
        </w:tc>
      </w:tr>
      <w:tr w:rsidR="00AA3C8B" w:rsidRPr="00D57E43" w:rsidTr="00A01090">
        <w:trPr>
          <w:jc w:val="center"/>
        </w:trPr>
        <w:tc>
          <w:tcPr>
            <w:tcW w:w="1258" w:type="dxa"/>
            <w:vAlign w:val="center"/>
          </w:tcPr>
          <w:p w:rsidR="00AA3C8B" w:rsidRPr="00D57E43" w:rsidRDefault="00AA3C8B" w:rsidP="00A01090">
            <w:pPr>
              <w:jc w:val="center"/>
              <w:rPr>
                <w:sz w:val="16"/>
                <w:szCs w:val="16"/>
              </w:rPr>
            </w:pPr>
            <w:r w:rsidRPr="00D57E43">
              <w:rPr>
                <w:sz w:val="16"/>
                <w:szCs w:val="16"/>
              </w:rPr>
              <w:t>Costa Oeste</w:t>
            </w:r>
          </w:p>
        </w:tc>
        <w:tc>
          <w:tcPr>
            <w:tcW w:w="882" w:type="dxa"/>
            <w:vMerge w:val="restart"/>
            <w:vAlign w:val="center"/>
          </w:tcPr>
          <w:p w:rsidR="00AA3C8B" w:rsidRPr="00D57E43" w:rsidRDefault="005B0CFD" w:rsidP="00A01090">
            <w:pPr>
              <w:jc w:val="center"/>
              <w:rPr>
                <w:sz w:val="16"/>
                <w:szCs w:val="16"/>
              </w:rPr>
            </w:pPr>
            <w:r>
              <w:rPr>
                <w:sz w:val="16"/>
                <w:szCs w:val="16"/>
              </w:rPr>
              <w:t>3</w:t>
            </w:r>
            <w:r w:rsidR="00AA3C8B" w:rsidRPr="00D57E43">
              <w:rPr>
                <w:sz w:val="16"/>
                <w:szCs w:val="16"/>
              </w:rPr>
              <w:t>.30</w:t>
            </w:r>
          </w:p>
        </w:tc>
        <w:tc>
          <w:tcPr>
            <w:tcW w:w="1260" w:type="dxa"/>
            <w:vAlign w:val="center"/>
          </w:tcPr>
          <w:p w:rsidR="00AA3C8B" w:rsidRPr="00D57E43" w:rsidRDefault="00AA3C8B" w:rsidP="00A01090">
            <w:pPr>
              <w:jc w:val="center"/>
              <w:rPr>
                <w:sz w:val="16"/>
                <w:szCs w:val="16"/>
              </w:rPr>
            </w:pPr>
            <w:r w:rsidRPr="00D57E43">
              <w:rPr>
                <w:sz w:val="16"/>
                <w:szCs w:val="16"/>
              </w:rPr>
              <w:t>Min: $13.45</w:t>
            </w:r>
          </w:p>
        </w:tc>
        <w:tc>
          <w:tcPr>
            <w:tcW w:w="1275" w:type="dxa"/>
            <w:vMerge w:val="restart"/>
            <w:vAlign w:val="center"/>
          </w:tcPr>
          <w:p w:rsidR="00AA3C8B" w:rsidRPr="00D57E43" w:rsidRDefault="00AA3C8B" w:rsidP="00A01090">
            <w:pPr>
              <w:jc w:val="center"/>
              <w:rPr>
                <w:sz w:val="16"/>
                <w:szCs w:val="16"/>
              </w:rPr>
            </w:pPr>
            <w:r w:rsidRPr="00D57E43">
              <w:rPr>
                <w:sz w:val="16"/>
                <w:szCs w:val="16"/>
              </w:rPr>
              <w:t>$ 1.32</w:t>
            </w:r>
          </w:p>
        </w:tc>
        <w:tc>
          <w:tcPr>
            <w:tcW w:w="993" w:type="dxa"/>
            <w:vMerge/>
            <w:vAlign w:val="center"/>
          </w:tcPr>
          <w:p w:rsidR="00AA3C8B" w:rsidRPr="00D57E43" w:rsidRDefault="00AA3C8B" w:rsidP="00A01090">
            <w:pPr>
              <w:jc w:val="center"/>
              <w:rPr>
                <w:sz w:val="16"/>
                <w:szCs w:val="16"/>
              </w:rPr>
            </w:pPr>
          </w:p>
        </w:tc>
        <w:tc>
          <w:tcPr>
            <w:tcW w:w="992" w:type="dxa"/>
            <w:vMerge/>
            <w:vAlign w:val="center"/>
          </w:tcPr>
          <w:p w:rsidR="00AA3C8B" w:rsidRPr="00D57E43" w:rsidRDefault="00AA3C8B" w:rsidP="00A01090">
            <w:pPr>
              <w:jc w:val="center"/>
              <w:rPr>
                <w:sz w:val="16"/>
                <w:szCs w:val="16"/>
              </w:rPr>
            </w:pPr>
          </w:p>
        </w:tc>
        <w:tc>
          <w:tcPr>
            <w:tcW w:w="992" w:type="dxa"/>
            <w:vMerge/>
            <w:vAlign w:val="center"/>
          </w:tcPr>
          <w:p w:rsidR="00AA3C8B" w:rsidRPr="00D57E43" w:rsidRDefault="00AA3C8B" w:rsidP="00A01090">
            <w:pPr>
              <w:jc w:val="center"/>
              <w:rPr>
                <w:sz w:val="16"/>
                <w:szCs w:val="16"/>
              </w:rPr>
            </w:pPr>
          </w:p>
        </w:tc>
      </w:tr>
      <w:tr w:rsidR="00AA3C8B" w:rsidRPr="00D57E43" w:rsidTr="00A01090">
        <w:trPr>
          <w:jc w:val="center"/>
        </w:trPr>
        <w:tc>
          <w:tcPr>
            <w:tcW w:w="1258" w:type="dxa"/>
            <w:vAlign w:val="center"/>
          </w:tcPr>
          <w:p w:rsidR="00AA3C8B" w:rsidRPr="00D57E43" w:rsidRDefault="00AA3C8B" w:rsidP="00A01090">
            <w:pPr>
              <w:jc w:val="center"/>
              <w:rPr>
                <w:sz w:val="16"/>
                <w:szCs w:val="16"/>
              </w:rPr>
            </w:pPr>
            <w:r w:rsidRPr="00D57E43">
              <w:rPr>
                <w:sz w:val="16"/>
                <w:szCs w:val="16"/>
              </w:rPr>
              <w:t>Estados Unidos</w:t>
            </w:r>
          </w:p>
        </w:tc>
        <w:tc>
          <w:tcPr>
            <w:tcW w:w="882" w:type="dxa"/>
            <w:vMerge/>
            <w:vAlign w:val="center"/>
          </w:tcPr>
          <w:p w:rsidR="00AA3C8B" w:rsidRPr="00D57E43" w:rsidRDefault="00AA3C8B" w:rsidP="00A01090">
            <w:pPr>
              <w:jc w:val="center"/>
              <w:rPr>
                <w:sz w:val="16"/>
                <w:szCs w:val="16"/>
              </w:rPr>
            </w:pPr>
          </w:p>
        </w:tc>
        <w:tc>
          <w:tcPr>
            <w:tcW w:w="1260" w:type="dxa"/>
            <w:vAlign w:val="center"/>
          </w:tcPr>
          <w:p w:rsidR="00AA3C8B" w:rsidRPr="00D57E43" w:rsidRDefault="00AA3C8B" w:rsidP="00A01090">
            <w:pPr>
              <w:jc w:val="center"/>
              <w:rPr>
                <w:sz w:val="16"/>
                <w:szCs w:val="16"/>
              </w:rPr>
            </w:pPr>
            <w:r w:rsidRPr="00D57E43">
              <w:rPr>
                <w:sz w:val="16"/>
                <w:szCs w:val="16"/>
              </w:rPr>
              <w:t>Max:$15.82</w:t>
            </w:r>
          </w:p>
        </w:tc>
        <w:tc>
          <w:tcPr>
            <w:tcW w:w="1275" w:type="dxa"/>
            <w:vMerge/>
            <w:vAlign w:val="center"/>
          </w:tcPr>
          <w:p w:rsidR="00AA3C8B" w:rsidRPr="00D57E43" w:rsidRDefault="00AA3C8B" w:rsidP="00A01090">
            <w:pPr>
              <w:jc w:val="center"/>
              <w:rPr>
                <w:sz w:val="16"/>
                <w:szCs w:val="16"/>
              </w:rPr>
            </w:pPr>
          </w:p>
        </w:tc>
        <w:tc>
          <w:tcPr>
            <w:tcW w:w="993" w:type="dxa"/>
            <w:vMerge/>
            <w:vAlign w:val="center"/>
          </w:tcPr>
          <w:p w:rsidR="00AA3C8B" w:rsidRPr="00D57E43" w:rsidRDefault="00AA3C8B" w:rsidP="00A01090">
            <w:pPr>
              <w:jc w:val="center"/>
              <w:rPr>
                <w:sz w:val="16"/>
                <w:szCs w:val="16"/>
              </w:rPr>
            </w:pPr>
          </w:p>
        </w:tc>
        <w:tc>
          <w:tcPr>
            <w:tcW w:w="992" w:type="dxa"/>
            <w:vMerge/>
            <w:vAlign w:val="center"/>
          </w:tcPr>
          <w:p w:rsidR="00AA3C8B" w:rsidRPr="00D57E43" w:rsidRDefault="00AA3C8B" w:rsidP="00A01090">
            <w:pPr>
              <w:jc w:val="center"/>
              <w:rPr>
                <w:sz w:val="16"/>
                <w:szCs w:val="16"/>
              </w:rPr>
            </w:pPr>
          </w:p>
        </w:tc>
        <w:tc>
          <w:tcPr>
            <w:tcW w:w="992" w:type="dxa"/>
            <w:vMerge/>
            <w:vAlign w:val="center"/>
          </w:tcPr>
          <w:p w:rsidR="00AA3C8B" w:rsidRPr="00D57E43" w:rsidRDefault="00AA3C8B" w:rsidP="00A01090">
            <w:pPr>
              <w:jc w:val="center"/>
              <w:rPr>
                <w:sz w:val="16"/>
                <w:szCs w:val="16"/>
              </w:rPr>
            </w:pPr>
          </w:p>
        </w:tc>
      </w:tr>
    </w:tbl>
    <w:p w:rsidR="00AA3C8B" w:rsidRPr="00D57E43" w:rsidRDefault="00AA3C8B" w:rsidP="00AA3C8B">
      <w:pPr>
        <w:ind w:left="708"/>
        <w:rPr>
          <w:sz w:val="16"/>
          <w:szCs w:val="16"/>
        </w:rPr>
      </w:pPr>
      <w:r w:rsidRPr="00D57E43">
        <w:rPr>
          <w:sz w:val="16"/>
          <w:szCs w:val="16"/>
        </w:rPr>
        <w:t xml:space="preserve">Fuente: </w:t>
      </w:r>
      <w:proofErr w:type="spellStart"/>
      <w:r w:rsidRPr="00D57E43">
        <w:rPr>
          <w:sz w:val="16"/>
          <w:szCs w:val="16"/>
        </w:rPr>
        <w:t>Sopisco</w:t>
      </w:r>
      <w:proofErr w:type="spellEnd"/>
    </w:p>
    <w:p w:rsidR="00AA3C8B" w:rsidRPr="00AA3C8B" w:rsidRDefault="00AA3C8B" w:rsidP="00AA3C8B">
      <w:pPr>
        <w:jc w:val="center"/>
        <w:rPr>
          <w:sz w:val="18"/>
          <w:szCs w:val="18"/>
        </w:rPr>
      </w:pPr>
      <w:r w:rsidRPr="00AA3C8B">
        <w:rPr>
          <w:sz w:val="18"/>
          <w:szCs w:val="18"/>
        </w:rPr>
        <w:t xml:space="preserve">Precios referenciales en Europa de la caja de banano para la variedad </w:t>
      </w:r>
      <w:proofErr w:type="spellStart"/>
      <w:r w:rsidRPr="00AA3C8B">
        <w:rPr>
          <w:sz w:val="18"/>
          <w:szCs w:val="18"/>
        </w:rPr>
        <w:t>Cavendish</w:t>
      </w:r>
      <w:proofErr w:type="spellEnd"/>
      <w:r w:rsidRPr="00AA3C8B">
        <w:rPr>
          <w:sz w:val="18"/>
          <w:szCs w:val="18"/>
        </w:rPr>
        <w:t xml:space="preserve"> tipo 22XU (T/C: 1 euro: 1.30 dólares)</w:t>
      </w:r>
    </w:p>
    <w:tbl>
      <w:tblPr>
        <w:tblStyle w:val="Tablaconcuadrcula"/>
        <w:tblW w:w="0" w:type="auto"/>
        <w:jc w:val="center"/>
        <w:tblInd w:w="-1462" w:type="dxa"/>
        <w:tblLook w:val="04A0"/>
      </w:tblPr>
      <w:tblGrid>
        <w:gridCol w:w="835"/>
        <w:gridCol w:w="882"/>
        <w:gridCol w:w="1101"/>
        <w:gridCol w:w="987"/>
        <w:gridCol w:w="853"/>
        <w:gridCol w:w="984"/>
        <w:gridCol w:w="853"/>
        <w:gridCol w:w="1071"/>
        <w:gridCol w:w="1027"/>
        <w:gridCol w:w="853"/>
        <w:gridCol w:w="854"/>
      </w:tblGrid>
      <w:tr w:rsidR="00AA3C8B" w:rsidRPr="00D57E43" w:rsidTr="00A01090">
        <w:trPr>
          <w:jc w:val="center"/>
        </w:trPr>
        <w:tc>
          <w:tcPr>
            <w:tcW w:w="835" w:type="dxa"/>
            <w:vAlign w:val="center"/>
          </w:tcPr>
          <w:p w:rsidR="00AA3C8B" w:rsidRPr="00D57E43" w:rsidRDefault="00AA3C8B" w:rsidP="00A01090">
            <w:pPr>
              <w:jc w:val="center"/>
              <w:rPr>
                <w:sz w:val="16"/>
                <w:szCs w:val="16"/>
              </w:rPr>
            </w:pPr>
            <w:r w:rsidRPr="00D57E43">
              <w:rPr>
                <w:sz w:val="16"/>
                <w:szCs w:val="16"/>
              </w:rPr>
              <w:t>DESTINO</w:t>
            </w:r>
          </w:p>
        </w:tc>
        <w:tc>
          <w:tcPr>
            <w:tcW w:w="882" w:type="dxa"/>
            <w:vAlign w:val="center"/>
          </w:tcPr>
          <w:p w:rsidR="00AA3C8B" w:rsidRPr="00D57E43" w:rsidRDefault="00AA3C8B" w:rsidP="00A01090">
            <w:pPr>
              <w:jc w:val="center"/>
              <w:rPr>
                <w:sz w:val="16"/>
                <w:szCs w:val="16"/>
              </w:rPr>
            </w:pPr>
            <w:r w:rsidRPr="00D57E43">
              <w:rPr>
                <w:sz w:val="16"/>
                <w:szCs w:val="16"/>
              </w:rPr>
              <w:t xml:space="preserve">Cajas </w:t>
            </w:r>
            <w:proofErr w:type="spellStart"/>
            <w:r w:rsidRPr="00D57E43">
              <w:rPr>
                <w:sz w:val="16"/>
                <w:szCs w:val="16"/>
              </w:rPr>
              <w:t>Cavendish</w:t>
            </w:r>
            <w:proofErr w:type="spellEnd"/>
            <w:r w:rsidRPr="00D57E43">
              <w:rPr>
                <w:sz w:val="16"/>
                <w:szCs w:val="16"/>
              </w:rPr>
              <w:t xml:space="preserve"> (millones)</w:t>
            </w:r>
          </w:p>
        </w:tc>
        <w:tc>
          <w:tcPr>
            <w:tcW w:w="1101" w:type="dxa"/>
            <w:vAlign w:val="center"/>
          </w:tcPr>
          <w:p w:rsidR="00AA3C8B" w:rsidRPr="00D57E43" w:rsidRDefault="00AA3C8B" w:rsidP="00A01090">
            <w:pPr>
              <w:jc w:val="center"/>
              <w:rPr>
                <w:sz w:val="16"/>
                <w:szCs w:val="16"/>
              </w:rPr>
            </w:pPr>
            <w:r w:rsidRPr="00D57E43">
              <w:rPr>
                <w:sz w:val="16"/>
                <w:szCs w:val="16"/>
              </w:rPr>
              <w:t>FOT (</w:t>
            </w:r>
            <w:proofErr w:type="spellStart"/>
            <w:r w:rsidRPr="00D57E43">
              <w:rPr>
                <w:sz w:val="16"/>
                <w:szCs w:val="16"/>
              </w:rPr>
              <w:t>Sopisco</w:t>
            </w:r>
            <w:proofErr w:type="spellEnd"/>
            <w:r w:rsidRPr="00D57E43">
              <w:rPr>
                <w:sz w:val="16"/>
                <w:szCs w:val="16"/>
              </w:rPr>
              <w:t>)</w:t>
            </w:r>
          </w:p>
          <w:p w:rsidR="00AA3C8B" w:rsidRPr="00D57E43" w:rsidRDefault="00AA3C8B" w:rsidP="00A01090">
            <w:pPr>
              <w:jc w:val="center"/>
              <w:rPr>
                <w:sz w:val="16"/>
                <w:szCs w:val="16"/>
              </w:rPr>
            </w:pPr>
            <w:r w:rsidRPr="00D57E43">
              <w:rPr>
                <w:sz w:val="16"/>
                <w:szCs w:val="16"/>
              </w:rPr>
              <w:t>En euros</w:t>
            </w:r>
          </w:p>
        </w:tc>
        <w:tc>
          <w:tcPr>
            <w:tcW w:w="987" w:type="dxa"/>
            <w:vAlign w:val="center"/>
          </w:tcPr>
          <w:p w:rsidR="00AA3C8B" w:rsidRPr="00D57E43" w:rsidRDefault="00AA3C8B" w:rsidP="00A01090">
            <w:pPr>
              <w:jc w:val="center"/>
              <w:rPr>
                <w:sz w:val="16"/>
                <w:szCs w:val="16"/>
              </w:rPr>
            </w:pPr>
            <w:r w:rsidRPr="00D57E43">
              <w:rPr>
                <w:sz w:val="16"/>
                <w:szCs w:val="16"/>
              </w:rPr>
              <w:t>Descarga promedio por caja</w:t>
            </w:r>
          </w:p>
          <w:p w:rsidR="00AA3C8B" w:rsidRPr="00D57E43" w:rsidRDefault="00AA3C8B" w:rsidP="00A01090">
            <w:pPr>
              <w:jc w:val="center"/>
              <w:rPr>
                <w:sz w:val="16"/>
                <w:szCs w:val="16"/>
              </w:rPr>
            </w:pPr>
            <w:r w:rsidRPr="00D57E43">
              <w:rPr>
                <w:sz w:val="16"/>
                <w:szCs w:val="16"/>
              </w:rPr>
              <w:t>En euros</w:t>
            </w:r>
          </w:p>
        </w:tc>
        <w:tc>
          <w:tcPr>
            <w:tcW w:w="853" w:type="dxa"/>
            <w:vAlign w:val="center"/>
          </w:tcPr>
          <w:p w:rsidR="00AA3C8B" w:rsidRPr="00D57E43" w:rsidRDefault="00AA3C8B" w:rsidP="00A01090">
            <w:pPr>
              <w:jc w:val="center"/>
              <w:rPr>
                <w:sz w:val="16"/>
                <w:szCs w:val="16"/>
              </w:rPr>
            </w:pPr>
            <w:r w:rsidRPr="00D57E43">
              <w:rPr>
                <w:sz w:val="16"/>
                <w:szCs w:val="16"/>
              </w:rPr>
              <w:t>Carga promedio por caja en euros</w:t>
            </w:r>
          </w:p>
        </w:tc>
        <w:tc>
          <w:tcPr>
            <w:tcW w:w="984" w:type="dxa"/>
            <w:vAlign w:val="center"/>
          </w:tcPr>
          <w:p w:rsidR="00AA3C8B" w:rsidRPr="00D57E43" w:rsidRDefault="00AA3C8B" w:rsidP="00A01090">
            <w:pPr>
              <w:jc w:val="center"/>
              <w:rPr>
                <w:sz w:val="16"/>
                <w:szCs w:val="16"/>
              </w:rPr>
            </w:pPr>
            <w:r w:rsidRPr="00D57E43">
              <w:rPr>
                <w:sz w:val="16"/>
                <w:szCs w:val="16"/>
              </w:rPr>
              <w:t>Costos Puerto Amberes por caja en euros</w:t>
            </w:r>
          </w:p>
        </w:tc>
        <w:tc>
          <w:tcPr>
            <w:tcW w:w="853" w:type="dxa"/>
            <w:vAlign w:val="center"/>
          </w:tcPr>
          <w:p w:rsidR="00AA3C8B" w:rsidRPr="00D57E43" w:rsidRDefault="00AA3C8B" w:rsidP="00A01090">
            <w:pPr>
              <w:jc w:val="center"/>
              <w:rPr>
                <w:sz w:val="16"/>
                <w:szCs w:val="16"/>
              </w:rPr>
            </w:pPr>
            <w:r w:rsidRPr="00D57E43">
              <w:rPr>
                <w:sz w:val="16"/>
                <w:szCs w:val="16"/>
              </w:rPr>
              <w:t>Arancel promedio por caja en euros</w:t>
            </w:r>
          </w:p>
        </w:tc>
        <w:tc>
          <w:tcPr>
            <w:tcW w:w="1071" w:type="dxa"/>
            <w:vAlign w:val="center"/>
          </w:tcPr>
          <w:p w:rsidR="00AA3C8B" w:rsidRPr="00D57E43" w:rsidRDefault="00AA3C8B" w:rsidP="00A01090">
            <w:pPr>
              <w:jc w:val="center"/>
              <w:rPr>
                <w:sz w:val="16"/>
                <w:szCs w:val="16"/>
              </w:rPr>
            </w:pPr>
            <w:r w:rsidRPr="00D57E43">
              <w:rPr>
                <w:sz w:val="16"/>
                <w:szCs w:val="16"/>
              </w:rPr>
              <w:t>Precio CIF</w:t>
            </w:r>
          </w:p>
          <w:p w:rsidR="00AA3C8B" w:rsidRPr="00D57E43" w:rsidRDefault="00AA3C8B" w:rsidP="00A01090">
            <w:pPr>
              <w:jc w:val="center"/>
              <w:rPr>
                <w:sz w:val="16"/>
                <w:szCs w:val="16"/>
              </w:rPr>
            </w:pPr>
            <w:r w:rsidRPr="00D57E43">
              <w:rPr>
                <w:sz w:val="16"/>
                <w:szCs w:val="16"/>
              </w:rPr>
              <w:t>(en dólares)</w:t>
            </w:r>
          </w:p>
        </w:tc>
        <w:tc>
          <w:tcPr>
            <w:tcW w:w="1027" w:type="dxa"/>
            <w:vAlign w:val="center"/>
          </w:tcPr>
          <w:p w:rsidR="00AA3C8B" w:rsidRPr="00D57E43" w:rsidRDefault="00AA3C8B" w:rsidP="00A01090">
            <w:pPr>
              <w:jc w:val="center"/>
              <w:rPr>
                <w:sz w:val="16"/>
                <w:szCs w:val="16"/>
              </w:rPr>
            </w:pPr>
            <w:r w:rsidRPr="00D57E43">
              <w:rPr>
                <w:sz w:val="16"/>
                <w:szCs w:val="16"/>
              </w:rPr>
              <w:t>Flete promedio por caja</w:t>
            </w:r>
          </w:p>
          <w:p w:rsidR="00AA3C8B" w:rsidRPr="00D57E43" w:rsidRDefault="00AA3C8B" w:rsidP="00A01090">
            <w:pPr>
              <w:jc w:val="center"/>
              <w:rPr>
                <w:sz w:val="16"/>
                <w:szCs w:val="16"/>
              </w:rPr>
            </w:pPr>
            <w:r w:rsidRPr="00D57E43">
              <w:rPr>
                <w:sz w:val="16"/>
                <w:szCs w:val="16"/>
              </w:rPr>
              <w:t>(en dólares)</w:t>
            </w:r>
          </w:p>
        </w:tc>
        <w:tc>
          <w:tcPr>
            <w:tcW w:w="853" w:type="dxa"/>
            <w:vAlign w:val="center"/>
          </w:tcPr>
          <w:p w:rsidR="00AA3C8B" w:rsidRPr="00D57E43" w:rsidRDefault="00AA3C8B" w:rsidP="00A01090">
            <w:pPr>
              <w:jc w:val="center"/>
              <w:rPr>
                <w:sz w:val="16"/>
                <w:szCs w:val="16"/>
              </w:rPr>
            </w:pPr>
            <w:r w:rsidRPr="00D57E43">
              <w:rPr>
                <w:sz w:val="16"/>
                <w:szCs w:val="16"/>
              </w:rPr>
              <w:t>Seguro promedio por caja</w:t>
            </w:r>
          </w:p>
        </w:tc>
        <w:tc>
          <w:tcPr>
            <w:tcW w:w="854" w:type="dxa"/>
            <w:vAlign w:val="center"/>
          </w:tcPr>
          <w:p w:rsidR="00AA3C8B" w:rsidRPr="00D57E43" w:rsidRDefault="00AA3C8B" w:rsidP="00A01090">
            <w:pPr>
              <w:jc w:val="center"/>
              <w:rPr>
                <w:sz w:val="16"/>
                <w:szCs w:val="16"/>
              </w:rPr>
            </w:pPr>
            <w:r w:rsidRPr="00D57E43">
              <w:rPr>
                <w:sz w:val="16"/>
                <w:szCs w:val="16"/>
              </w:rPr>
              <w:t>Canal de Panamá</w:t>
            </w:r>
          </w:p>
        </w:tc>
      </w:tr>
      <w:tr w:rsidR="00AA3C8B" w:rsidRPr="00D57E43" w:rsidTr="00A01090">
        <w:trPr>
          <w:jc w:val="center"/>
        </w:trPr>
        <w:tc>
          <w:tcPr>
            <w:tcW w:w="835" w:type="dxa"/>
            <w:vMerge w:val="restart"/>
            <w:vAlign w:val="center"/>
          </w:tcPr>
          <w:p w:rsidR="00AA3C8B" w:rsidRPr="00D57E43" w:rsidRDefault="00AA3C8B" w:rsidP="00A01090">
            <w:pPr>
              <w:jc w:val="center"/>
              <w:rPr>
                <w:sz w:val="16"/>
                <w:szCs w:val="16"/>
              </w:rPr>
            </w:pPr>
            <w:r w:rsidRPr="00D57E43">
              <w:rPr>
                <w:sz w:val="16"/>
                <w:szCs w:val="16"/>
              </w:rPr>
              <w:t>Bélgica</w:t>
            </w:r>
          </w:p>
        </w:tc>
        <w:tc>
          <w:tcPr>
            <w:tcW w:w="882" w:type="dxa"/>
            <w:vMerge w:val="restart"/>
            <w:vAlign w:val="center"/>
          </w:tcPr>
          <w:p w:rsidR="00AA3C8B" w:rsidRPr="00D57E43" w:rsidRDefault="00AA3C8B" w:rsidP="00A01090">
            <w:pPr>
              <w:jc w:val="center"/>
              <w:rPr>
                <w:sz w:val="16"/>
                <w:szCs w:val="16"/>
              </w:rPr>
            </w:pPr>
            <w:r w:rsidRPr="00D57E43">
              <w:rPr>
                <w:sz w:val="16"/>
                <w:szCs w:val="16"/>
              </w:rPr>
              <w:t>8.60</w:t>
            </w:r>
          </w:p>
        </w:tc>
        <w:tc>
          <w:tcPr>
            <w:tcW w:w="1101" w:type="dxa"/>
            <w:vAlign w:val="center"/>
          </w:tcPr>
          <w:p w:rsidR="00AA3C8B" w:rsidRPr="00D57E43" w:rsidRDefault="00AA3C8B" w:rsidP="00A01090">
            <w:pPr>
              <w:jc w:val="center"/>
              <w:rPr>
                <w:sz w:val="16"/>
                <w:szCs w:val="16"/>
              </w:rPr>
            </w:pPr>
            <w:r w:rsidRPr="00D57E43">
              <w:rPr>
                <w:sz w:val="16"/>
                <w:szCs w:val="16"/>
              </w:rPr>
              <w:t xml:space="preserve">Min: </w:t>
            </w:r>
            <w:r w:rsidRPr="00D57E43">
              <w:rPr>
                <w:rFonts w:cstheme="minorHAnsi"/>
                <w:sz w:val="16"/>
                <w:szCs w:val="16"/>
              </w:rPr>
              <w:t>€</w:t>
            </w:r>
            <w:r w:rsidRPr="00D57E43">
              <w:rPr>
                <w:sz w:val="16"/>
                <w:szCs w:val="16"/>
              </w:rPr>
              <w:t>13.40</w:t>
            </w:r>
          </w:p>
        </w:tc>
        <w:tc>
          <w:tcPr>
            <w:tcW w:w="987" w:type="dxa"/>
            <w:vMerge w:val="restart"/>
            <w:vAlign w:val="center"/>
          </w:tcPr>
          <w:p w:rsidR="00AA3C8B" w:rsidRPr="00D57E43" w:rsidRDefault="00AA3C8B" w:rsidP="00A01090">
            <w:pPr>
              <w:jc w:val="center"/>
              <w:rPr>
                <w:sz w:val="16"/>
                <w:szCs w:val="16"/>
              </w:rPr>
            </w:pPr>
            <w:r w:rsidRPr="00D57E43">
              <w:rPr>
                <w:rFonts w:cstheme="minorHAnsi"/>
                <w:sz w:val="16"/>
                <w:szCs w:val="16"/>
              </w:rPr>
              <w:t>€ 0.70</w:t>
            </w:r>
          </w:p>
        </w:tc>
        <w:tc>
          <w:tcPr>
            <w:tcW w:w="853" w:type="dxa"/>
            <w:vMerge w:val="restart"/>
            <w:vAlign w:val="center"/>
          </w:tcPr>
          <w:p w:rsidR="00AA3C8B" w:rsidRPr="00D57E43" w:rsidRDefault="00AA3C8B" w:rsidP="00A01090">
            <w:pPr>
              <w:jc w:val="center"/>
              <w:rPr>
                <w:sz w:val="16"/>
                <w:szCs w:val="16"/>
              </w:rPr>
            </w:pPr>
            <w:r w:rsidRPr="00D57E43">
              <w:rPr>
                <w:rFonts w:cstheme="minorHAnsi"/>
                <w:sz w:val="16"/>
                <w:szCs w:val="16"/>
              </w:rPr>
              <w:t>€ 0.10</w:t>
            </w:r>
          </w:p>
        </w:tc>
        <w:tc>
          <w:tcPr>
            <w:tcW w:w="984" w:type="dxa"/>
            <w:vMerge w:val="restart"/>
            <w:vAlign w:val="center"/>
          </w:tcPr>
          <w:p w:rsidR="00AA3C8B" w:rsidRPr="00D57E43" w:rsidRDefault="00AA3C8B" w:rsidP="00A01090">
            <w:pPr>
              <w:jc w:val="center"/>
              <w:rPr>
                <w:sz w:val="16"/>
                <w:szCs w:val="16"/>
              </w:rPr>
            </w:pPr>
            <w:r w:rsidRPr="00D57E43">
              <w:rPr>
                <w:rFonts w:cstheme="minorHAnsi"/>
                <w:sz w:val="16"/>
                <w:szCs w:val="16"/>
              </w:rPr>
              <w:t>€ 0.50</w:t>
            </w:r>
          </w:p>
        </w:tc>
        <w:tc>
          <w:tcPr>
            <w:tcW w:w="853" w:type="dxa"/>
            <w:vMerge w:val="restart"/>
            <w:vAlign w:val="center"/>
          </w:tcPr>
          <w:p w:rsidR="00AA3C8B" w:rsidRPr="00D57E43" w:rsidRDefault="00AA3C8B" w:rsidP="00A01090">
            <w:pPr>
              <w:jc w:val="center"/>
              <w:rPr>
                <w:sz w:val="16"/>
                <w:szCs w:val="16"/>
              </w:rPr>
            </w:pPr>
            <w:r w:rsidRPr="00D57E43">
              <w:rPr>
                <w:rFonts w:cstheme="minorHAnsi"/>
                <w:sz w:val="16"/>
                <w:szCs w:val="16"/>
              </w:rPr>
              <w:t>€ 3.20</w:t>
            </w:r>
          </w:p>
        </w:tc>
        <w:tc>
          <w:tcPr>
            <w:tcW w:w="1071" w:type="dxa"/>
            <w:shd w:val="clear" w:color="auto" w:fill="000000" w:themeFill="text1"/>
            <w:vAlign w:val="center"/>
          </w:tcPr>
          <w:p w:rsidR="00AA3C8B" w:rsidRPr="00D57E43" w:rsidRDefault="00AA3C8B" w:rsidP="00A01090">
            <w:pPr>
              <w:jc w:val="center"/>
              <w:rPr>
                <w:sz w:val="16"/>
                <w:szCs w:val="16"/>
              </w:rPr>
            </w:pPr>
          </w:p>
        </w:tc>
        <w:tc>
          <w:tcPr>
            <w:tcW w:w="1027" w:type="dxa"/>
            <w:vMerge w:val="restart"/>
            <w:vAlign w:val="center"/>
          </w:tcPr>
          <w:p w:rsidR="00AA3C8B" w:rsidRPr="00D57E43" w:rsidRDefault="00AA3C8B" w:rsidP="00A01090">
            <w:pPr>
              <w:jc w:val="center"/>
              <w:rPr>
                <w:sz w:val="16"/>
                <w:szCs w:val="16"/>
              </w:rPr>
            </w:pPr>
            <w:r w:rsidRPr="00D57E43">
              <w:rPr>
                <w:rFonts w:cstheme="minorHAnsi"/>
                <w:sz w:val="16"/>
                <w:szCs w:val="16"/>
              </w:rPr>
              <w:t>$ 6.94</w:t>
            </w:r>
          </w:p>
        </w:tc>
        <w:tc>
          <w:tcPr>
            <w:tcW w:w="853" w:type="dxa"/>
            <w:vMerge w:val="restart"/>
            <w:vAlign w:val="center"/>
          </w:tcPr>
          <w:p w:rsidR="00AA3C8B" w:rsidRPr="00D57E43" w:rsidRDefault="00AA3C8B" w:rsidP="00A01090">
            <w:pPr>
              <w:jc w:val="center"/>
              <w:rPr>
                <w:sz w:val="16"/>
                <w:szCs w:val="16"/>
              </w:rPr>
            </w:pPr>
            <w:r w:rsidRPr="00D57E43">
              <w:rPr>
                <w:sz w:val="16"/>
                <w:szCs w:val="16"/>
              </w:rPr>
              <w:t>$ 0.004</w:t>
            </w:r>
          </w:p>
        </w:tc>
        <w:tc>
          <w:tcPr>
            <w:tcW w:w="854" w:type="dxa"/>
            <w:vMerge w:val="restart"/>
            <w:vAlign w:val="center"/>
          </w:tcPr>
          <w:p w:rsidR="00AA3C8B" w:rsidRPr="00D57E43" w:rsidRDefault="00AA3C8B" w:rsidP="00A01090">
            <w:pPr>
              <w:jc w:val="center"/>
              <w:rPr>
                <w:sz w:val="16"/>
                <w:szCs w:val="16"/>
              </w:rPr>
            </w:pPr>
            <w:r w:rsidRPr="00D57E43">
              <w:rPr>
                <w:sz w:val="16"/>
                <w:szCs w:val="16"/>
              </w:rPr>
              <w:t>$ 0.18</w:t>
            </w:r>
          </w:p>
        </w:tc>
      </w:tr>
      <w:tr w:rsidR="00AA3C8B" w:rsidRPr="00D57E43" w:rsidTr="00A01090">
        <w:trPr>
          <w:jc w:val="center"/>
        </w:trPr>
        <w:tc>
          <w:tcPr>
            <w:tcW w:w="835" w:type="dxa"/>
            <w:vMerge/>
            <w:vAlign w:val="center"/>
          </w:tcPr>
          <w:p w:rsidR="00AA3C8B" w:rsidRPr="00D57E43" w:rsidRDefault="00AA3C8B" w:rsidP="00A01090">
            <w:pPr>
              <w:jc w:val="center"/>
              <w:rPr>
                <w:sz w:val="16"/>
                <w:szCs w:val="16"/>
              </w:rPr>
            </w:pPr>
          </w:p>
        </w:tc>
        <w:tc>
          <w:tcPr>
            <w:tcW w:w="882" w:type="dxa"/>
            <w:vMerge/>
            <w:vAlign w:val="center"/>
          </w:tcPr>
          <w:p w:rsidR="00AA3C8B" w:rsidRPr="00D57E43" w:rsidRDefault="00AA3C8B" w:rsidP="00A01090">
            <w:pPr>
              <w:jc w:val="center"/>
              <w:rPr>
                <w:sz w:val="16"/>
                <w:szCs w:val="16"/>
              </w:rPr>
            </w:pPr>
          </w:p>
        </w:tc>
        <w:tc>
          <w:tcPr>
            <w:tcW w:w="1101" w:type="dxa"/>
            <w:vAlign w:val="center"/>
          </w:tcPr>
          <w:p w:rsidR="00AA3C8B" w:rsidRPr="00D57E43" w:rsidRDefault="00AA3C8B" w:rsidP="00A01090">
            <w:pPr>
              <w:jc w:val="center"/>
              <w:rPr>
                <w:sz w:val="16"/>
                <w:szCs w:val="16"/>
              </w:rPr>
            </w:pPr>
            <w:r w:rsidRPr="00D57E43">
              <w:rPr>
                <w:sz w:val="16"/>
                <w:szCs w:val="16"/>
              </w:rPr>
              <w:t>Max:</w:t>
            </w:r>
            <w:r w:rsidRPr="00D57E43">
              <w:rPr>
                <w:rFonts w:cstheme="minorHAnsi"/>
                <w:sz w:val="16"/>
                <w:szCs w:val="16"/>
              </w:rPr>
              <w:t xml:space="preserve"> €</w:t>
            </w:r>
            <w:r w:rsidRPr="00D57E43">
              <w:rPr>
                <w:sz w:val="16"/>
                <w:szCs w:val="16"/>
              </w:rPr>
              <w:t xml:space="preserve"> 13.45</w:t>
            </w:r>
          </w:p>
        </w:tc>
        <w:tc>
          <w:tcPr>
            <w:tcW w:w="987" w:type="dxa"/>
            <w:vMerge/>
            <w:vAlign w:val="center"/>
          </w:tcPr>
          <w:p w:rsidR="00AA3C8B" w:rsidRPr="00D57E43" w:rsidRDefault="00AA3C8B" w:rsidP="00A01090">
            <w:pPr>
              <w:jc w:val="center"/>
              <w:rPr>
                <w:sz w:val="16"/>
                <w:szCs w:val="16"/>
              </w:rPr>
            </w:pPr>
          </w:p>
        </w:tc>
        <w:tc>
          <w:tcPr>
            <w:tcW w:w="853" w:type="dxa"/>
            <w:vMerge/>
            <w:vAlign w:val="center"/>
          </w:tcPr>
          <w:p w:rsidR="00AA3C8B" w:rsidRPr="00D57E43" w:rsidRDefault="00AA3C8B" w:rsidP="00A01090">
            <w:pPr>
              <w:jc w:val="center"/>
              <w:rPr>
                <w:sz w:val="16"/>
                <w:szCs w:val="16"/>
              </w:rPr>
            </w:pPr>
          </w:p>
        </w:tc>
        <w:tc>
          <w:tcPr>
            <w:tcW w:w="984" w:type="dxa"/>
            <w:vMerge/>
            <w:vAlign w:val="center"/>
          </w:tcPr>
          <w:p w:rsidR="00AA3C8B" w:rsidRPr="00D57E43" w:rsidRDefault="00AA3C8B" w:rsidP="00A01090">
            <w:pPr>
              <w:jc w:val="center"/>
              <w:rPr>
                <w:sz w:val="16"/>
                <w:szCs w:val="16"/>
              </w:rPr>
            </w:pPr>
          </w:p>
        </w:tc>
        <w:tc>
          <w:tcPr>
            <w:tcW w:w="853" w:type="dxa"/>
            <w:vMerge/>
            <w:vAlign w:val="center"/>
          </w:tcPr>
          <w:p w:rsidR="00AA3C8B" w:rsidRPr="00D57E43" w:rsidRDefault="00AA3C8B" w:rsidP="00A01090">
            <w:pPr>
              <w:jc w:val="center"/>
              <w:rPr>
                <w:sz w:val="16"/>
                <w:szCs w:val="16"/>
              </w:rPr>
            </w:pPr>
          </w:p>
        </w:tc>
        <w:tc>
          <w:tcPr>
            <w:tcW w:w="1071" w:type="dxa"/>
            <w:shd w:val="clear" w:color="auto" w:fill="000000" w:themeFill="text1"/>
            <w:vAlign w:val="center"/>
          </w:tcPr>
          <w:p w:rsidR="00AA3C8B" w:rsidRPr="00D57E43" w:rsidRDefault="00AA3C8B" w:rsidP="00A01090">
            <w:pPr>
              <w:jc w:val="center"/>
              <w:rPr>
                <w:sz w:val="16"/>
                <w:szCs w:val="16"/>
              </w:rPr>
            </w:pPr>
          </w:p>
        </w:tc>
        <w:tc>
          <w:tcPr>
            <w:tcW w:w="1027" w:type="dxa"/>
            <w:vMerge/>
            <w:vAlign w:val="center"/>
          </w:tcPr>
          <w:p w:rsidR="00AA3C8B" w:rsidRPr="00D57E43" w:rsidRDefault="00AA3C8B" w:rsidP="00A01090">
            <w:pPr>
              <w:jc w:val="center"/>
              <w:rPr>
                <w:sz w:val="16"/>
                <w:szCs w:val="16"/>
              </w:rPr>
            </w:pPr>
          </w:p>
        </w:tc>
        <w:tc>
          <w:tcPr>
            <w:tcW w:w="853" w:type="dxa"/>
            <w:vMerge/>
            <w:vAlign w:val="center"/>
          </w:tcPr>
          <w:p w:rsidR="00AA3C8B" w:rsidRPr="00D57E43" w:rsidRDefault="00AA3C8B" w:rsidP="00A01090">
            <w:pPr>
              <w:jc w:val="center"/>
              <w:rPr>
                <w:sz w:val="16"/>
                <w:szCs w:val="16"/>
              </w:rPr>
            </w:pPr>
          </w:p>
        </w:tc>
        <w:tc>
          <w:tcPr>
            <w:tcW w:w="854" w:type="dxa"/>
            <w:vMerge/>
            <w:vAlign w:val="center"/>
          </w:tcPr>
          <w:p w:rsidR="00AA3C8B" w:rsidRPr="00D57E43" w:rsidRDefault="00AA3C8B" w:rsidP="00A01090">
            <w:pPr>
              <w:jc w:val="center"/>
              <w:rPr>
                <w:sz w:val="16"/>
                <w:szCs w:val="16"/>
              </w:rPr>
            </w:pPr>
          </w:p>
        </w:tc>
      </w:tr>
      <w:tr w:rsidR="00AA3C8B" w:rsidRPr="00D57E43" w:rsidTr="00A01090">
        <w:trPr>
          <w:jc w:val="center"/>
        </w:trPr>
        <w:tc>
          <w:tcPr>
            <w:tcW w:w="835" w:type="dxa"/>
            <w:vMerge w:val="restart"/>
            <w:vAlign w:val="center"/>
          </w:tcPr>
          <w:p w:rsidR="00AA3C8B" w:rsidRPr="00D57E43" w:rsidRDefault="00AA3C8B" w:rsidP="00A01090">
            <w:pPr>
              <w:jc w:val="center"/>
              <w:rPr>
                <w:sz w:val="16"/>
                <w:szCs w:val="16"/>
              </w:rPr>
            </w:pPr>
            <w:r w:rsidRPr="00D57E43">
              <w:rPr>
                <w:sz w:val="16"/>
                <w:szCs w:val="16"/>
              </w:rPr>
              <w:t>España</w:t>
            </w:r>
          </w:p>
        </w:tc>
        <w:tc>
          <w:tcPr>
            <w:tcW w:w="882" w:type="dxa"/>
            <w:vMerge w:val="restart"/>
            <w:vAlign w:val="center"/>
          </w:tcPr>
          <w:p w:rsidR="00AA3C8B" w:rsidRPr="00D57E43" w:rsidRDefault="00AA3C8B" w:rsidP="00A01090">
            <w:pPr>
              <w:jc w:val="center"/>
              <w:rPr>
                <w:sz w:val="16"/>
                <w:szCs w:val="16"/>
              </w:rPr>
            </w:pPr>
            <w:r w:rsidRPr="00D57E43">
              <w:rPr>
                <w:sz w:val="16"/>
                <w:szCs w:val="16"/>
              </w:rPr>
              <w:t>0.06</w:t>
            </w:r>
          </w:p>
        </w:tc>
        <w:tc>
          <w:tcPr>
            <w:tcW w:w="1101" w:type="dxa"/>
            <w:vAlign w:val="center"/>
          </w:tcPr>
          <w:p w:rsidR="00AA3C8B" w:rsidRPr="00D57E43" w:rsidRDefault="00AA3C8B" w:rsidP="00A01090">
            <w:pPr>
              <w:jc w:val="center"/>
              <w:rPr>
                <w:sz w:val="16"/>
                <w:szCs w:val="16"/>
              </w:rPr>
            </w:pPr>
            <w:r w:rsidRPr="00D57E43">
              <w:rPr>
                <w:sz w:val="16"/>
                <w:szCs w:val="16"/>
              </w:rPr>
              <w:t xml:space="preserve">Min: </w:t>
            </w:r>
            <w:r w:rsidRPr="00D57E43">
              <w:rPr>
                <w:rFonts w:cstheme="minorHAnsi"/>
                <w:sz w:val="16"/>
                <w:szCs w:val="16"/>
              </w:rPr>
              <w:t>€</w:t>
            </w:r>
            <w:r w:rsidRPr="00D57E43">
              <w:rPr>
                <w:sz w:val="16"/>
                <w:szCs w:val="16"/>
              </w:rPr>
              <w:t>13.40</w:t>
            </w:r>
          </w:p>
        </w:tc>
        <w:tc>
          <w:tcPr>
            <w:tcW w:w="987" w:type="dxa"/>
            <w:vMerge/>
            <w:vAlign w:val="center"/>
          </w:tcPr>
          <w:p w:rsidR="00AA3C8B" w:rsidRPr="00D57E43" w:rsidRDefault="00AA3C8B" w:rsidP="00A01090">
            <w:pPr>
              <w:jc w:val="center"/>
              <w:rPr>
                <w:sz w:val="16"/>
                <w:szCs w:val="16"/>
              </w:rPr>
            </w:pPr>
          </w:p>
        </w:tc>
        <w:tc>
          <w:tcPr>
            <w:tcW w:w="853" w:type="dxa"/>
            <w:vMerge/>
            <w:vAlign w:val="center"/>
          </w:tcPr>
          <w:p w:rsidR="00AA3C8B" w:rsidRPr="00D57E43" w:rsidRDefault="00AA3C8B" w:rsidP="00A01090">
            <w:pPr>
              <w:jc w:val="center"/>
              <w:rPr>
                <w:sz w:val="16"/>
                <w:szCs w:val="16"/>
              </w:rPr>
            </w:pPr>
          </w:p>
        </w:tc>
        <w:tc>
          <w:tcPr>
            <w:tcW w:w="984" w:type="dxa"/>
            <w:vMerge w:val="restart"/>
            <w:shd w:val="clear" w:color="auto" w:fill="000000" w:themeFill="text1"/>
            <w:vAlign w:val="center"/>
          </w:tcPr>
          <w:p w:rsidR="00AA3C8B" w:rsidRPr="00D57E43" w:rsidRDefault="00AA3C8B" w:rsidP="00A01090">
            <w:pPr>
              <w:jc w:val="center"/>
              <w:rPr>
                <w:sz w:val="16"/>
                <w:szCs w:val="16"/>
              </w:rPr>
            </w:pPr>
          </w:p>
        </w:tc>
        <w:tc>
          <w:tcPr>
            <w:tcW w:w="853" w:type="dxa"/>
            <w:vMerge/>
            <w:vAlign w:val="center"/>
          </w:tcPr>
          <w:p w:rsidR="00AA3C8B" w:rsidRPr="00D57E43" w:rsidRDefault="00AA3C8B" w:rsidP="00A01090">
            <w:pPr>
              <w:jc w:val="center"/>
              <w:rPr>
                <w:sz w:val="16"/>
                <w:szCs w:val="16"/>
              </w:rPr>
            </w:pPr>
          </w:p>
        </w:tc>
        <w:tc>
          <w:tcPr>
            <w:tcW w:w="1071" w:type="dxa"/>
            <w:shd w:val="clear" w:color="auto" w:fill="000000" w:themeFill="text1"/>
            <w:vAlign w:val="center"/>
          </w:tcPr>
          <w:p w:rsidR="00AA3C8B" w:rsidRPr="00D57E43" w:rsidRDefault="00AA3C8B" w:rsidP="00A01090">
            <w:pPr>
              <w:jc w:val="center"/>
              <w:rPr>
                <w:sz w:val="16"/>
                <w:szCs w:val="16"/>
              </w:rPr>
            </w:pPr>
          </w:p>
        </w:tc>
        <w:tc>
          <w:tcPr>
            <w:tcW w:w="1027" w:type="dxa"/>
            <w:vMerge/>
            <w:vAlign w:val="center"/>
          </w:tcPr>
          <w:p w:rsidR="00AA3C8B" w:rsidRPr="00D57E43" w:rsidRDefault="00AA3C8B" w:rsidP="00A01090">
            <w:pPr>
              <w:jc w:val="center"/>
              <w:rPr>
                <w:sz w:val="16"/>
                <w:szCs w:val="16"/>
              </w:rPr>
            </w:pPr>
          </w:p>
        </w:tc>
        <w:tc>
          <w:tcPr>
            <w:tcW w:w="853" w:type="dxa"/>
            <w:vMerge/>
            <w:vAlign w:val="center"/>
          </w:tcPr>
          <w:p w:rsidR="00AA3C8B" w:rsidRPr="00D57E43" w:rsidRDefault="00AA3C8B" w:rsidP="00A01090">
            <w:pPr>
              <w:jc w:val="center"/>
              <w:rPr>
                <w:sz w:val="16"/>
                <w:szCs w:val="16"/>
              </w:rPr>
            </w:pPr>
          </w:p>
        </w:tc>
        <w:tc>
          <w:tcPr>
            <w:tcW w:w="854" w:type="dxa"/>
            <w:vMerge/>
            <w:vAlign w:val="center"/>
          </w:tcPr>
          <w:p w:rsidR="00AA3C8B" w:rsidRPr="00D57E43" w:rsidRDefault="00AA3C8B" w:rsidP="00A01090">
            <w:pPr>
              <w:jc w:val="center"/>
              <w:rPr>
                <w:sz w:val="16"/>
                <w:szCs w:val="16"/>
              </w:rPr>
            </w:pPr>
          </w:p>
        </w:tc>
      </w:tr>
      <w:tr w:rsidR="00AA3C8B" w:rsidRPr="00D57E43" w:rsidTr="00A01090">
        <w:trPr>
          <w:jc w:val="center"/>
        </w:trPr>
        <w:tc>
          <w:tcPr>
            <w:tcW w:w="835" w:type="dxa"/>
            <w:vMerge/>
            <w:vAlign w:val="center"/>
          </w:tcPr>
          <w:p w:rsidR="00AA3C8B" w:rsidRPr="00D57E43" w:rsidRDefault="00AA3C8B" w:rsidP="00A01090">
            <w:pPr>
              <w:jc w:val="center"/>
              <w:rPr>
                <w:sz w:val="16"/>
                <w:szCs w:val="16"/>
              </w:rPr>
            </w:pPr>
          </w:p>
        </w:tc>
        <w:tc>
          <w:tcPr>
            <w:tcW w:w="882" w:type="dxa"/>
            <w:vMerge/>
            <w:vAlign w:val="center"/>
          </w:tcPr>
          <w:p w:rsidR="00AA3C8B" w:rsidRPr="00D57E43" w:rsidRDefault="00AA3C8B" w:rsidP="00A01090">
            <w:pPr>
              <w:jc w:val="center"/>
              <w:rPr>
                <w:sz w:val="16"/>
                <w:szCs w:val="16"/>
              </w:rPr>
            </w:pPr>
          </w:p>
        </w:tc>
        <w:tc>
          <w:tcPr>
            <w:tcW w:w="1101" w:type="dxa"/>
            <w:vAlign w:val="center"/>
          </w:tcPr>
          <w:p w:rsidR="00AA3C8B" w:rsidRPr="00D57E43" w:rsidRDefault="00AA3C8B" w:rsidP="00A01090">
            <w:pPr>
              <w:jc w:val="center"/>
              <w:rPr>
                <w:sz w:val="16"/>
                <w:szCs w:val="16"/>
              </w:rPr>
            </w:pPr>
            <w:r w:rsidRPr="00D57E43">
              <w:rPr>
                <w:sz w:val="16"/>
                <w:szCs w:val="16"/>
              </w:rPr>
              <w:t>Max:</w:t>
            </w:r>
            <w:r w:rsidRPr="00D57E43">
              <w:rPr>
                <w:rFonts w:cstheme="minorHAnsi"/>
                <w:sz w:val="16"/>
                <w:szCs w:val="16"/>
              </w:rPr>
              <w:t xml:space="preserve"> €</w:t>
            </w:r>
            <w:r w:rsidRPr="00D57E43">
              <w:rPr>
                <w:sz w:val="16"/>
                <w:szCs w:val="16"/>
              </w:rPr>
              <w:t>13.45</w:t>
            </w:r>
          </w:p>
        </w:tc>
        <w:tc>
          <w:tcPr>
            <w:tcW w:w="987" w:type="dxa"/>
            <w:vMerge/>
            <w:vAlign w:val="center"/>
          </w:tcPr>
          <w:p w:rsidR="00AA3C8B" w:rsidRPr="00D57E43" w:rsidRDefault="00AA3C8B" w:rsidP="00A01090">
            <w:pPr>
              <w:jc w:val="center"/>
              <w:rPr>
                <w:sz w:val="16"/>
                <w:szCs w:val="16"/>
              </w:rPr>
            </w:pPr>
          </w:p>
        </w:tc>
        <w:tc>
          <w:tcPr>
            <w:tcW w:w="853" w:type="dxa"/>
            <w:vMerge/>
            <w:vAlign w:val="center"/>
          </w:tcPr>
          <w:p w:rsidR="00AA3C8B" w:rsidRPr="00D57E43" w:rsidRDefault="00AA3C8B" w:rsidP="00A01090">
            <w:pPr>
              <w:jc w:val="center"/>
              <w:rPr>
                <w:sz w:val="16"/>
                <w:szCs w:val="16"/>
              </w:rPr>
            </w:pPr>
          </w:p>
        </w:tc>
        <w:tc>
          <w:tcPr>
            <w:tcW w:w="984" w:type="dxa"/>
            <w:vMerge/>
            <w:shd w:val="clear" w:color="auto" w:fill="000000" w:themeFill="text1"/>
            <w:vAlign w:val="center"/>
          </w:tcPr>
          <w:p w:rsidR="00AA3C8B" w:rsidRPr="00D57E43" w:rsidRDefault="00AA3C8B" w:rsidP="00A01090">
            <w:pPr>
              <w:jc w:val="center"/>
              <w:rPr>
                <w:sz w:val="16"/>
                <w:szCs w:val="16"/>
              </w:rPr>
            </w:pPr>
          </w:p>
        </w:tc>
        <w:tc>
          <w:tcPr>
            <w:tcW w:w="853" w:type="dxa"/>
            <w:vMerge/>
            <w:vAlign w:val="center"/>
          </w:tcPr>
          <w:p w:rsidR="00AA3C8B" w:rsidRPr="00D57E43" w:rsidRDefault="00AA3C8B" w:rsidP="00A01090">
            <w:pPr>
              <w:jc w:val="center"/>
              <w:rPr>
                <w:sz w:val="16"/>
                <w:szCs w:val="16"/>
              </w:rPr>
            </w:pPr>
          </w:p>
        </w:tc>
        <w:tc>
          <w:tcPr>
            <w:tcW w:w="1071" w:type="dxa"/>
            <w:shd w:val="clear" w:color="auto" w:fill="000000" w:themeFill="text1"/>
            <w:vAlign w:val="center"/>
          </w:tcPr>
          <w:p w:rsidR="00AA3C8B" w:rsidRPr="00D57E43" w:rsidRDefault="00AA3C8B" w:rsidP="00A01090">
            <w:pPr>
              <w:jc w:val="center"/>
              <w:rPr>
                <w:sz w:val="16"/>
                <w:szCs w:val="16"/>
              </w:rPr>
            </w:pPr>
          </w:p>
        </w:tc>
        <w:tc>
          <w:tcPr>
            <w:tcW w:w="1027" w:type="dxa"/>
            <w:vMerge/>
            <w:vAlign w:val="center"/>
          </w:tcPr>
          <w:p w:rsidR="00AA3C8B" w:rsidRPr="00D57E43" w:rsidRDefault="00AA3C8B" w:rsidP="00A01090">
            <w:pPr>
              <w:jc w:val="center"/>
              <w:rPr>
                <w:sz w:val="16"/>
                <w:szCs w:val="16"/>
              </w:rPr>
            </w:pPr>
          </w:p>
        </w:tc>
        <w:tc>
          <w:tcPr>
            <w:tcW w:w="853" w:type="dxa"/>
            <w:vMerge/>
            <w:vAlign w:val="center"/>
          </w:tcPr>
          <w:p w:rsidR="00AA3C8B" w:rsidRPr="00D57E43" w:rsidRDefault="00AA3C8B" w:rsidP="00A01090">
            <w:pPr>
              <w:jc w:val="center"/>
              <w:rPr>
                <w:sz w:val="16"/>
                <w:szCs w:val="16"/>
              </w:rPr>
            </w:pPr>
          </w:p>
        </w:tc>
        <w:tc>
          <w:tcPr>
            <w:tcW w:w="854" w:type="dxa"/>
            <w:vMerge/>
            <w:vAlign w:val="center"/>
          </w:tcPr>
          <w:p w:rsidR="00AA3C8B" w:rsidRPr="00D57E43" w:rsidRDefault="00AA3C8B" w:rsidP="00A01090">
            <w:pPr>
              <w:jc w:val="center"/>
              <w:rPr>
                <w:sz w:val="16"/>
                <w:szCs w:val="16"/>
              </w:rPr>
            </w:pPr>
          </w:p>
        </w:tc>
      </w:tr>
      <w:tr w:rsidR="00AA3C8B" w:rsidRPr="00D57E43" w:rsidTr="00A01090">
        <w:trPr>
          <w:jc w:val="center"/>
        </w:trPr>
        <w:tc>
          <w:tcPr>
            <w:tcW w:w="835" w:type="dxa"/>
            <w:vMerge w:val="restart"/>
            <w:vAlign w:val="center"/>
          </w:tcPr>
          <w:p w:rsidR="00AA3C8B" w:rsidRPr="00D57E43" w:rsidRDefault="00AA3C8B" w:rsidP="00A01090">
            <w:pPr>
              <w:jc w:val="center"/>
              <w:rPr>
                <w:sz w:val="16"/>
                <w:szCs w:val="16"/>
              </w:rPr>
            </w:pPr>
            <w:r w:rsidRPr="00D57E43">
              <w:rPr>
                <w:sz w:val="16"/>
                <w:szCs w:val="16"/>
              </w:rPr>
              <w:t>Italia</w:t>
            </w:r>
          </w:p>
        </w:tc>
        <w:tc>
          <w:tcPr>
            <w:tcW w:w="882" w:type="dxa"/>
            <w:vMerge w:val="restart"/>
            <w:vAlign w:val="center"/>
          </w:tcPr>
          <w:p w:rsidR="00AA3C8B" w:rsidRPr="00D57E43" w:rsidRDefault="00AA3C8B" w:rsidP="00A01090">
            <w:pPr>
              <w:jc w:val="center"/>
              <w:rPr>
                <w:sz w:val="16"/>
                <w:szCs w:val="16"/>
              </w:rPr>
            </w:pPr>
            <w:r w:rsidRPr="00D57E43">
              <w:rPr>
                <w:sz w:val="16"/>
                <w:szCs w:val="16"/>
              </w:rPr>
              <w:t>7.70</w:t>
            </w:r>
          </w:p>
        </w:tc>
        <w:tc>
          <w:tcPr>
            <w:tcW w:w="1101" w:type="dxa"/>
            <w:vAlign w:val="center"/>
          </w:tcPr>
          <w:p w:rsidR="00AA3C8B" w:rsidRPr="00D57E43" w:rsidRDefault="00AA3C8B" w:rsidP="00A01090">
            <w:pPr>
              <w:jc w:val="center"/>
              <w:rPr>
                <w:sz w:val="16"/>
                <w:szCs w:val="16"/>
              </w:rPr>
            </w:pPr>
            <w:r w:rsidRPr="00D57E43">
              <w:rPr>
                <w:sz w:val="16"/>
                <w:szCs w:val="16"/>
              </w:rPr>
              <w:t>Min:</w:t>
            </w:r>
            <w:r w:rsidRPr="00D57E43">
              <w:rPr>
                <w:rFonts w:cstheme="minorHAnsi"/>
                <w:sz w:val="16"/>
                <w:szCs w:val="16"/>
              </w:rPr>
              <w:t xml:space="preserve"> €</w:t>
            </w:r>
            <w:r w:rsidRPr="00D57E43">
              <w:rPr>
                <w:sz w:val="16"/>
                <w:szCs w:val="16"/>
              </w:rPr>
              <w:t>11.25</w:t>
            </w:r>
          </w:p>
        </w:tc>
        <w:tc>
          <w:tcPr>
            <w:tcW w:w="987" w:type="dxa"/>
            <w:vMerge/>
            <w:vAlign w:val="center"/>
          </w:tcPr>
          <w:p w:rsidR="00AA3C8B" w:rsidRPr="00D57E43" w:rsidRDefault="00AA3C8B" w:rsidP="00A01090">
            <w:pPr>
              <w:jc w:val="center"/>
              <w:rPr>
                <w:sz w:val="16"/>
                <w:szCs w:val="16"/>
              </w:rPr>
            </w:pPr>
          </w:p>
        </w:tc>
        <w:tc>
          <w:tcPr>
            <w:tcW w:w="853" w:type="dxa"/>
            <w:vMerge/>
            <w:vAlign w:val="center"/>
          </w:tcPr>
          <w:p w:rsidR="00AA3C8B" w:rsidRPr="00D57E43" w:rsidRDefault="00AA3C8B" w:rsidP="00A01090">
            <w:pPr>
              <w:jc w:val="center"/>
              <w:rPr>
                <w:sz w:val="16"/>
                <w:szCs w:val="16"/>
              </w:rPr>
            </w:pPr>
          </w:p>
        </w:tc>
        <w:tc>
          <w:tcPr>
            <w:tcW w:w="984" w:type="dxa"/>
            <w:vMerge w:val="restart"/>
            <w:shd w:val="clear" w:color="auto" w:fill="000000" w:themeFill="text1"/>
            <w:vAlign w:val="center"/>
          </w:tcPr>
          <w:p w:rsidR="00AA3C8B" w:rsidRPr="00D57E43" w:rsidRDefault="00AA3C8B" w:rsidP="00A01090">
            <w:pPr>
              <w:jc w:val="center"/>
              <w:rPr>
                <w:sz w:val="16"/>
                <w:szCs w:val="16"/>
              </w:rPr>
            </w:pPr>
          </w:p>
        </w:tc>
        <w:tc>
          <w:tcPr>
            <w:tcW w:w="853" w:type="dxa"/>
            <w:vMerge/>
            <w:vAlign w:val="center"/>
          </w:tcPr>
          <w:p w:rsidR="00AA3C8B" w:rsidRPr="00D57E43" w:rsidRDefault="00AA3C8B" w:rsidP="00A01090">
            <w:pPr>
              <w:jc w:val="center"/>
              <w:rPr>
                <w:sz w:val="16"/>
                <w:szCs w:val="16"/>
              </w:rPr>
            </w:pPr>
          </w:p>
        </w:tc>
        <w:tc>
          <w:tcPr>
            <w:tcW w:w="1071" w:type="dxa"/>
            <w:shd w:val="clear" w:color="auto" w:fill="000000" w:themeFill="text1"/>
            <w:vAlign w:val="center"/>
          </w:tcPr>
          <w:p w:rsidR="00AA3C8B" w:rsidRPr="00D57E43" w:rsidRDefault="00AA3C8B" w:rsidP="00A01090">
            <w:pPr>
              <w:jc w:val="center"/>
              <w:rPr>
                <w:sz w:val="16"/>
                <w:szCs w:val="16"/>
              </w:rPr>
            </w:pPr>
          </w:p>
        </w:tc>
        <w:tc>
          <w:tcPr>
            <w:tcW w:w="1027" w:type="dxa"/>
            <w:vMerge/>
            <w:vAlign w:val="center"/>
          </w:tcPr>
          <w:p w:rsidR="00AA3C8B" w:rsidRPr="00D57E43" w:rsidRDefault="00AA3C8B" w:rsidP="00A01090">
            <w:pPr>
              <w:jc w:val="center"/>
              <w:rPr>
                <w:sz w:val="16"/>
                <w:szCs w:val="16"/>
              </w:rPr>
            </w:pPr>
          </w:p>
        </w:tc>
        <w:tc>
          <w:tcPr>
            <w:tcW w:w="853" w:type="dxa"/>
            <w:vMerge/>
            <w:vAlign w:val="center"/>
          </w:tcPr>
          <w:p w:rsidR="00AA3C8B" w:rsidRPr="00D57E43" w:rsidRDefault="00AA3C8B" w:rsidP="00A01090">
            <w:pPr>
              <w:jc w:val="center"/>
              <w:rPr>
                <w:sz w:val="16"/>
                <w:szCs w:val="16"/>
              </w:rPr>
            </w:pPr>
          </w:p>
        </w:tc>
        <w:tc>
          <w:tcPr>
            <w:tcW w:w="854" w:type="dxa"/>
            <w:vMerge/>
            <w:vAlign w:val="center"/>
          </w:tcPr>
          <w:p w:rsidR="00AA3C8B" w:rsidRPr="00D57E43" w:rsidRDefault="00AA3C8B" w:rsidP="00A01090">
            <w:pPr>
              <w:jc w:val="center"/>
              <w:rPr>
                <w:sz w:val="16"/>
                <w:szCs w:val="16"/>
              </w:rPr>
            </w:pPr>
          </w:p>
        </w:tc>
      </w:tr>
      <w:tr w:rsidR="00AA3C8B" w:rsidRPr="00D57E43" w:rsidTr="00A01090">
        <w:trPr>
          <w:jc w:val="center"/>
        </w:trPr>
        <w:tc>
          <w:tcPr>
            <w:tcW w:w="835" w:type="dxa"/>
            <w:vMerge/>
            <w:vAlign w:val="center"/>
          </w:tcPr>
          <w:p w:rsidR="00AA3C8B" w:rsidRPr="00D57E43" w:rsidRDefault="00AA3C8B" w:rsidP="00A01090">
            <w:pPr>
              <w:jc w:val="center"/>
              <w:rPr>
                <w:sz w:val="16"/>
                <w:szCs w:val="16"/>
              </w:rPr>
            </w:pPr>
          </w:p>
        </w:tc>
        <w:tc>
          <w:tcPr>
            <w:tcW w:w="882" w:type="dxa"/>
            <w:vMerge/>
            <w:vAlign w:val="center"/>
          </w:tcPr>
          <w:p w:rsidR="00AA3C8B" w:rsidRPr="00D57E43" w:rsidRDefault="00AA3C8B" w:rsidP="00A01090">
            <w:pPr>
              <w:jc w:val="center"/>
              <w:rPr>
                <w:sz w:val="16"/>
                <w:szCs w:val="16"/>
              </w:rPr>
            </w:pPr>
          </w:p>
        </w:tc>
        <w:tc>
          <w:tcPr>
            <w:tcW w:w="1101" w:type="dxa"/>
            <w:vAlign w:val="center"/>
          </w:tcPr>
          <w:p w:rsidR="00AA3C8B" w:rsidRPr="00D57E43" w:rsidRDefault="00AA3C8B" w:rsidP="00A01090">
            <w:pPr>
              <w:jc w:val="center"/>
              <w:rPr>
                <w:sz w:val="16"/>
                <w:szCs w:val="16"/>
              </w:rPr>
            </w:pPr>
            <w:r w:rsidRPr="00D57E43">
              <w:rPr>
                <w:sz w:val="16"/>
                <w:szCs w:val="16"/>
              </w:rPr>
              <w:t>Max:</w:t>
            </w:r>
            <w:r w:rsidRPr="00D57E43">
              <w:rPr>
                <w:rFonts w:cstheme="minorHAnsi"/>
                <w:sz w:val="16"/>
                <w:szCs w:val="16"/>
              </w:rPr>
              <w:t xml:space="preserve"> €</w:t>
            </w:r>
            <w:r w:rsidRPr="00D57E43">
              <w:rPr>
                <w:sz w:val="16"/>
                <w:szCs w:val="16"/>
              </w:rPr>
              <w:t>12.03</w:t>
            </w:r>
          </w:p>
        </w:tc>
        <w:tc>
          <w:tcPr>
            <w:tcW w:w="987" w:type="dxa"/>
            <w:vMerge/>
            <w:vAlign w:val="center"/>
          </w:tcPr>
          <w:p w:rsidR="00AA3C8B" w:rsidRPr="00D57E43" w:rsidRDefault="00AA3C8B" w:rsidP="00A01090">
            <w:pPr>
              <w:jc w:val="center"/>
              <w:rPr>
                <w:sz w:val="16"/>
                <w:szCs w:val="16"/>
              </w:rPr>
            </w:pPr>
          </w:p>
        </w:tc>
        <w:tc>
          <w:tcPr>
            <w:tcW w:w="853" w:type="dxa"/>
            <w:vMerge/>
            <w:vAlign w:val="center"/>
          </w:tcPr>
          <w:p w:rsidR="00AA3C8B" w:rsidRPr="00D57E43" w:rsidRDefault="00AA3C8B" w:rsidP="00A01090">
            <w:pPr>
              <w:jc w:val="center"/>
              <w:rPr>
                <w:sz w:val="16"/>
                <w:szCs w:val="16"/>
              </w:rPr>
            </w:pPr>
          </w:p>
        </w:tc>
        <w:tc>
          <w:tcPr>
            <w:tcW w:w="984" w:type="dxa"/>
            <w:vMerge/>
            <w:shd w:val="clear" w:color="auto" w:fill="000000" w:themeFill="text1"/>
            <w:vAlign w:val="center"/>
          </w:tcPr>
          <w:p w:rsidR="00AA3C8B" w:rsidRPr="00D57E43" w:rsidRDefault="00AA3C8B" w:rsidP="00A01090">
            <w:pPr>
              <w:jc w:val="center"/>
              <w:rPr>
                <w:sz w:val="16"/>
                <w:szCs w:val="16"/>
              </w:rPr>
            </w:pPr>
          </w:p>
        </w:tc>
        <w:tc>
          <w:tcPr>
            <w:tcW w:w="853" w:type="dxa"/>
            <w:vMerge/>
            <w:vAlign w:val="center"/>
          </w:tcPr>
          <w:p w:rsidR="00AA3C8B" w:rsidRPr="00D57E43" w:rsidRDefault="00AA3C8B" w:rsidP="00A01090">
            <w:pPr>
              <w:jc w:val="center"/>
              <w:rPr>
                <w:sz w:val="16"/>
                <w:szCs w:val="16"/>
              </w:rPr>
            </w:pPr>
          </w:p>
        </w:tc>
        <w:tc>
          <w:tcPr>
            <w:tcW w:w="1071" w:type="dxa"/>
            <w:shd w:val="clear" w:color="auto" w:fill="000000" w:themeFill="text1"/>
            <w:vAlign w:val="center"/>
          </w:tcPr>
          <w:p w:rsidR="00AA3C8B" w:rsidRPr="00D57E43" w:rsidRDefault="00AA3C8B" w:rsidP="00A01090">
            <w:pPr>
              <w:jc w:val="center"/>
              <w:rPr>
                <w:sz w:val="16"/>
                <w:szCs w:val="16"/>
              </w:rPr>
            </w:pPr>
          </w:p>
        </w:tc>
        <w:tc>
          <w:tcPr>
            <w:tcW w:w="1027" w:type="dxa"/>
            <w:vMerge/>
            <w:vAlign w:val="center"/>
          </w:tcPr>
          <w:p w:rsidR="00AA3C8B" w:rsidRPr="00D57E43" w:rsidRDefault="00AA3C8B" w:rsidP="00A01090">
            <w:pPr>
              <w:jc w:val="center"/>
              <w:rPr>
                <w:sz w:val="16"/>
                <w:szCs w:val="16"/>
              </w:rPr>
            </w:pPr>
          </w:p>
        </w:tc>
        <w:tc>
          <w:tcPr>
            <w:tcW w:w="853" w:type="dxa"/>
            <w:vMerge/>
            <w:vAlign w:val="center"/>
          </w:tcPr>
          <w:p w:rsidR="00AA3C8B" w:rsidRPr="00D57E43" w:rsidRDefault="00AA3C8B" w:rsidP="00A01090">
            <w:pPr>
              <w:jc w:val="center"/>
              <w:rPr>
                <w:sz w:val="16"/>
                <w:szCs w:val="16"/>
              </w:rPr>
            </w:pPr>
          </w:p>
        </w:tc>
        <w:tc>
          <w:tcPr>
            <w:tcW w:w="854" w:type="dxa"/>
            <w:vMerge/>
            <w:vAlign w:val="center"/>
          </w:tcPr>
          <w:p w:rsidR="00AA3C8B" w:rsidRPr="00D57E43" w:rsidRDefault="00AA3C8B" w:rsidP="00A01090">
            <w:pPr>
              <w:jc w:val="center"/>
              <w:rPr>
                <w:sz w:val="16"/>
                <w:szCs w:val="16"/>
              </w:rPr>
            </w:pPr>
          </w:p>
        </w:tc>
      </w:tr>
      <w:tr w:rsidR="00AA3C8B" w:rsidRPr="00D57E43" w:rsidTr="00A01090">
        <w:trPr>
          <w:jc w:val="center"/>
        </w:trPr>
        <w:tc>
          <w:tcPr>
            <w:tcW w:w="835" w:type="dxa"/>
            <w:vMerge w:val="restart"/>
            <w:vAlign w:val="center"/>
          </w:tcPr>
          <w:p w:rsidR="00AA3C8B" w:rsidRPr="00D57E43" w:rsidRDefault="00AA3C8B" w:rsidP="00A01090">
            <w:pPr>
              <w:jc w:val="center"/>
              <w:rPr>
                <w:sz w:val="16"/>
                <w:szCs w:val="16"/>
              </w:rPr>
            </w:pPr>
            <w:r w:rsidRPr="00D57E43">
              <w:rPr>
                <w:sz w:val="16"/>
                <w:szCs w:val="16"/>
              </w:rPr>
              <w:t>Alemania</w:t>
            </w:r>
          </w:p>
        </w:tc>
        <w:tc>
          <w:tcPr>
            <w:tcW w:w="882" w:type="dxa"/>
            <w:vMerge w:val="restart"/>
            <w:vAlign w:val="center"/>
          </w:tcPr>
          <w:p w:rsidR="00AA3C8B" w:rsidRPr="00D57E43" w:rsidRDefault="00AA3C8B" w:rsidP="00A01090">
            <w:pPr>
              <w:jc w:val="center"/>
              <w:rPr>
                <w:sz w:val="16"/>
                <w:szCs w:val="16"/>
              </w:rPr>
            </w:pPr>
            <w:r w:rsidRPr="00D57E43">
              <w:rPr>
                <w:sz w:val="16"/>
                <w:szCs w:val="16"/>
              </w:rPr>
              <w:t>2.00</w:t>
            </w:r>
          </w:p>
        </w:tc>
        <w:tc>
          <w:tcPr>
            <w:tcW w:w="1101" w:type="dxa"/>
            <w:vAlign w:val="center"/>
          </w:tcPr>
          <w:p w:rsidR="00AA3C8B" w:rsidRPr="00D57E43" w:rsidRDefault="00AA3C8B" w:rsidP="00A01090">
            <w:pPr>
              <w:jc w:val="center"/>
              <w:rPr>
                <w:sz w:val="16"/>
                <w:szCs w:val="16"/>
              </w:rPr>
            </w:pPr>
            <w:r w:rsidRPr="00D57E43">
              <w:rPr>
                <w:sz w:val="16"/>
                <w:szCs w:val="16"/>
              </w:rPr>
              <w:t xml:space="preserve">Min: </w:t>
            </w:r>
            <w:r w:rsidRPr="00D57E43">
              <w:rPr>
                <w:rFonts w:cstheme="minorHAnsi"/>
                <w:sz w:val="16"/>
                <w:szCs w:val="16"/>
              </w:rPr>
              <w:t>€</w:t>
            </w:r>
            <w:r w:rsidRPr="00D57E43">
              <w:rPr>
                <w:sz w:val="16"/>
                <w:szCs w:val="16"/>
              </w:rPr>
              <w:t>11.25</w:t>
            </w:r>
          </w:p>
        </w:tc>
        <w:tc>
          <w:tcPr>
            <w:tcW w:w="987" w:type="dxa"/>
            <w:vMerge/>
            <w:vAlign w:val="center"/>
          </w:tcPr>
          <w:p w:rsidR="00AA3C8B" w:rsidRPr="00D57E43" w:rsidRDefault="00AA3C8B" w:rsidP="00A01090">
            <w:pPr>
              <w:jc w:val="center"/>
              <w:rPr>
                <w:sz w:val="16"/>
                <w:szCs w:val="16"/>
              </w:rPr>
            </w:pPr>
          </w:p>
        </w:tc>
        <w:tc>
          <w:tcPr>
            <w:tcW w:w="853" w:type="dxa"/>
            <w:vMerge/>
            <w:vAlign w:val="center"/>
          </w:tcPr>
          <w:p w:rsidR="00AA3C8B" w:rsidRPr="00D57E43" w:rsidRDefault="00AA3C8B" w:rsidP="00A01090">
            <w:pPr>
              <w:jc w:val="center"/>
              <w:rPr>
                <w:sz w:val="16"/>
                <w:szCs w:val="16"/>
              </w:rPr>
            </w:pPr>
          </w:p>
        </w:tc>
        <w:tc>
          <w:tcPr>
            <w:tcW w:w="984" w:type="dxa"/>
            <w:vMerge w:val="restart"/>
            <w:shd w:val="clear" w:color="auto" w:fill="000000" w:themeFill="text1"/>
            <w:vAlign w:val="center"/>
          </w:tcPr>
          <w:p w:rsidR="00AA3C8B" w:rsidRPr="00D57E43" w:rsidRDefault="00AA3C8B" w:rsidP="00A01090">
            <w:pPr>
              <w:jc w:val="center"/>
              <w:rPr>
                <w:sz w:val="16"/>
                <w:szCs w:val="16"/>
              </w:rPr>
            </w:pPr>
          </w:p>
        </w:tc>
        <w:tc>
          <w:tcPr>
            <w:tcW w:w="853" w:type="dxa"/>
            <w:vMerge/>
            <w:vAlign w:val="center"/>
          </w:tcPr>
          <w:p w:rsidR="00AA3C8B" w:rsidRPr="00D57E43" w:rsidRDefault="00AA3C8B" w:rsidP="00A01090">
            <w:pPr>
              <w:jc w:val="center"/>
              <w:rPr>
                <w:sz w:val="16"/>
                <w:szCs w:val="16"/>
              </w:rPr>
            </w:pPr>
          </w:p>
        </w:tc>
        <w:tc>
          <w:tcPr>
            <w:tcW w:w="1071" w:type="dxa"/>
            <w:shd w:val="clear" w:color="auto" w:fill="000000" w:themeFill="text1"/>
            <w:vAlign w:val="center"/>
          </w:tcPr>
          <w:p w:rsidR="00AA3C8B" w:rsidRPr="00D57E43" w:rsidRDefault="00AA3C8B" w:rsidP="00A01090">
            <w:pPr>
              <w:jc w:val="center"/>
              <w:rPr>
                <w:sz w:val="16"/>
                <w:szCs w:val="16"/>
              </w:rPr>
            </w:pPr>
          </w:p>
        </w:tc>
        <w:tc>
          <w:tcPr>
            <w:tcW w:w="1027" w:type="dxa"/>
            <w:vMerge/>
            <w:vAlign w:val="center"/>
          </w:tcPr>
          <w:p w:rsidR="00AA3C8B" w:rsidRPr="00D57E43" w:rsidRDefault="00AA3C8B" w:rsidP="00A01090">
            <w:pPr>
              <w:jc w:val="center"/>
              <w:rPr>
                <w:sz w:val="16"/>
                <w:szCs w:val="16"/>
              </w:rPr>
            </w:pPr>
          </w:p>
        </w:tc>
        <w:tc>
          <w:tcPr>
            <w:tcW w:w="853" w:type="dxa"/>
            <w:vMerge/>
            <w:vAlign w:val="center"/>
          </w:tcPr>
          <w:p w:rsidR="00AA3C8B" w:rsidRPr="00D57E43" w:rsidRDefault="00AA3C8B" w:rsidP="00A01090">
            <w:pPr>
              <w:jc w:val="center"/>
              <w:rPr>
                <w:sz w:val="16"/>
                <w:szCs w:val="16"/>
              </w:rPr>
            </w:pPr>
          </w:p>
        </w:tc>
        <w:tc>
          <w:tcPr>
            <w:tcW w:w="854" w:type="dxa"/>
            <w:vMerge/>
            <w:vAlign w:val="center"/>
          </w:tcPr>
          <w:p w:rsidR="00AA3C8B" w:rsidRPr="00D57E43" w:rsidRDefault="00AA3C8B" w:rsidP="00A01090">
            <w:pPr>
              <w:jc w:val="center"/>
              <w:rPr>
                <w:sz w:val="16"/>
                <w:szCs w:val="16"/>
              </w:rPr>
            </w:pPr>
          </w:p>
        </w:tc>
      </w:tr>
      <w:tr w:rsidR="00AA3C8B" w:rsidRPr="00D57E43" w:rsidTr="00A01090">
        <w:trPr>
          <w:jc w:val="center"/>
        </w:trPr>
        <w:tc>
          <w:tcPr>
            <w:tcW w:w="835" w:type="dxa"/>
            <w:vMerge/>
            <w:vAlign w:val="center"/>
          </w:tcPr>
          <w:p w:rsidR="00AA3C8B" w:rsidRPr="00D57E43" w:rsidRDefault="00AA3C8B" w:rsidP="00A01090">
            <w:pPr>
              <w:jc w:val="center"/>
              <w:rPr>
                <w:sz w:val="16"/>
                <w:szCs w:val="16"/>
              </w:rPr>
            </w:pPr>
          </w:p>
        </w:tc>
        <w:tc>
          <w:tcPr>
            <w:tcW w:w="882" w:type="dxa"/>
            <w:vMerge/>
            <w:vAlign w:val="center"/>
          </w:tcPr>
          <w:p w:rsidR="00AA3C8B" w:rsidRPr="00D57E43" w:rsidRDefault="00AA3C8B" w:rsidP="00A01090">
            <w:pPr>
              <w:jc w:val="center"/>
              <w:rPr>
                <w:sz w:val="16"/>
                <w:szCs w:val="16"/>
              </w:rPr>
            </w:pPr>
          </w:p>
        </w:tc>
        <w:tc>
          <w:tcPr>
            <w:tcW w:w="1101" w:type="dxa"/>
            <w:vAlign w:val="center"/>
          </w:tcPr>
          <w:p w:rsidR="00AA3C8B" w:rsidRPr="00D57E43" w:rsidRDefault="00AA3C8B" w:rsidP="00A01090">
            <w:pPr>
              <w:jc w:val="center"/>
              <w:rPr>
                <w:sz w:val="16"/>
                <w:szCs w:val="16"/>
              </w:rPr>
            </w:pPr>
            <w:r w:rsidRPr="00D57E43">
              <w:rPr>
                <w:sz w:val="16"/>
                <w:szCs w:val="16"/>
              </w:rPr>
              <w:t>Max:</w:t>
            </w:r>
            <w:r w:rsidRPr="00D57E43">
              <w:rPr>
                <w:rFonts w:cstheme="minorHAnsi"/>
                <w:sz w:val="16"/>
                <w:szCs w:val="16"/>
              </w:rPr>
              <w:t xml:space="preserve"> €</w:t>
            </w:r>
            <w:r w:rsidRPr="00D57E43">
              <w:rPr>
                <w:sz w:val="16"/>
                <w:szCs w:val="16"/>
              </w:rPr>
              <w:t>12.04</w:t>
            </w:r>
          </w:p>
        </w:tc>
        <w:tc>
          <w:tcPr>
            <w:tcW w:w="987" w:type="dxa"/>
            <w:vMerge/>
            <w:vAlign w:val="center"/>
          </w:tcPr>
          <w:p w:rsidR="00AA3C8B" w:rsidRPr="00D57E43" w:rsidRDefault="00AA3C8B" w:rsidP="00A01090">
            <w:pPr>
              <w:jc w:val="center"/>
              <w:rPr>
                <w:sz w:val="16"/>
                <w:szCs w:val="16"/>
              </w:rPr>
            </w:pPr>
          </w:p>
        </w:tc>
        <w:tc>
          <w:tcPr>
            <w:tcW w:w="853" w:type="dxa"/>
            <w:vMerge/>
            <w:vAlign w:val="center"/>
          </w:tcPr>
          <w:p w:rsidR="00AA3C8B" w:rsidRPr="00D57E43" w:rsidRDefault="00AA3C8B" w:rsidP="00A01090">
            <w:pPr>
              <w:jc w:val="center"/>
              <w:rPr>
                <w:sz w:val="16"/>
                <w:szCs w:val="16"/>
              </w:rPr>
            </w:pPr>
          </w:p>
        </w:tc>
        <w:tc>
          <w:tcPr>
            <w:tcW w:w="984" w:type="dxa"/>
            <w:vMerge/>
            <w:shd w:val="clear" w:color="auto" w:fill="000000" w:themeFill="text1"/>
            <w:vAlign w:val="center"/>
          </w:tcPr>
          <w:p w:rsidR="00AA3C8B" w:rsidRPr="00D57E43" w:rsidRDefault="00AA3C8B" w:rsidP="00A01090">
            <w:pPr>
              <w:jc w:val="center"/>
              <w:rPr>
                <w:sz w:val="16"/>
                <w:szCs w:val="16"/>
              </w:rPr>
            </w:pPr>
          </w:p>
        </w:tc>
        <w:tc>
          <w:tcPr>
            <w:tcW w:w="853" w:type="dxa"/>
            <w:vMerge/>
            <w:vAlign w:val="center"/>
          </w:tcPr>
          <w:p w:rsidR="00AA3C8B" w:rsidRPr="00D57E43" w:rsidRDefault="00AA3C8B" w:rsidP="00A01090">
            <w:pPr>
              <w:jc w:val="center"/>
              <w:rPr>
                <w:sz w:val="16"/>
                <w:szCs w:val="16"/>
              </w:rPr>
            </w:pPr>
          </w:p>
        </w:tc>
        <w:tc>
          <w:tcPr>
            <w:tcW w:w="1071" w:type="dxa"/>
            <w:shd w:val="clear" w:color="auto" w:fill="000000" w:themeFill="text1"/>
            <w:vAlign w:val="center"/>
          </w:tcPr>
          <w:p w:rsidR="00AA3C8B" w:rsidRPr="00D57E43" w:rsidRDefault="00AA3C8B" w:rsidP="00A01090">
            <w:pPr>
              <w:jc w:val="center"/>
              <w:rPr>
                <w:sz w:val="16"/>
                <w:szCs w:val="16"/>
              </w:rPr>
            </w:pPr>
          </w:p>
        </w:tc>
        <w:tc>
          <w:tcPr>
            <w:tcW w:w="1027" w:type="dxa"/>
            <w:vMerge/>
            <w:vAlign w:val="center"/>
          </w:tcPr>
          <w:p w:rsidR="00AA3C8B" w:rsidRPr="00D57E43" w:rsidRDefault="00AA3C8B" w:rsidP="00A01090">
            <w:pPr>
              <w:jc w:val="center"/>
              <w:rPr>
                <w:sz w:val="16"/>
                <w:szCs w:val="16"/>
              </w:rPr>
            </w:pPr>
          </w:p>
        </w:tc>
        <w:tc>
          <w:tcPr>
            <w:tcW w:w="853" w:type="dxa"/>
            <w:vMerge/>
            <w:vAlign w:val="center"/>
          </w:tcPr>
          <w:p w:rsidR="00AA3C8B" w:rsidRPr="00D57E43" w:rsidRDefault="00AA3C8B" w:rsidP="00A01090">
            <w:pPr>
              <w:jc w:val="center"/>
              <w:rPr>
                <w:sz w:val="16"/>
                <w:szCs w:val="16"/>
              </w:rPr>
            </w:pPr>
          </w:p>
        </w:tc>
        <w:tc>
          <w:tcPr>
            <w:tcW w:w="854" w:type="dxa"/>
            <w:vMerge/>
            <w:vAlign w:val="center"/>
          </w:tcPr>
          <w:p w:rsidR="00AA3C8B" w:rsidRPr="00D57E43" w:rsidRDefault="00AA3C8B" w:rsidP="00A01090">
            <w:pPr>
              <w:jc w:val="center"/>
              <w:rPr>
                <w:sz w:val="16"/>
                <w:szCs w:val="16"/>
              </w:rPr>
            </w:pPr>
          </w:p>
        </w:tc>
      </w:tr>
      <w:tr w:rsidR="00AA3C8B" w:rsidRPr="00D57E43" w:rsidTr="00A01090">
        <w:trPr>
          <w:jc w:val="center"/>
        </w:trPr>
        <w:tc>
          <w:tcPr>
            <w:tcW w:w="835" w:type="dxa"/>
            <w:vMerge w:val="restart"/>
            <w:vAlign w:val="center"/>
          </w:tcPr>
          <w:p w:rsidR="00AA3C8B" w:rsidRPr="00D57E43" w:rsidRDefault="00AA3C8B" w:rsidP="00A01090">
            <w:pPr>
              <w:jc w:val="center"/>
              <w:rPr>
                <w:sz w:val="16"/>
                <w:szCs w:val="16"/>
              </w:rPr>
            </w:pPr>
            <w:r w:rsidRPr="00D57E43">
              <w:rPr>
                <w:sz w:val="16"/>
                <w:szCs w:val="16"/>
              </w:rPr>
              <w:t>Rusia</w:t>
            </w:r>
          </w:p>
        </w:tc>
        <w:tc>
          <w:tcPr>
            <w:tcW w:w="882" w:type="dxa"/>
            <w:vMerge w:val="restart"/>
            <w:vAlign w:val="center"/>
          </w:tcPr>
          <w:p w:rsidR="00AA3C8B" w:rsidRPr="00D57E43" w:rsidRDefault="00AA3C8B" w:rsidP="00A01090">
            <w:pPr>
              <w:jc w:val="center"/>
              <w:rPr>
                <w:sz w:val="16"/>
                <w:szCs w:val="16"/>
              </w:rPr>
            </w:pPr>
            <w:r w:rsidRPr="00D57E43">
              <w:rPr>
                <w:sz w:val="16"/>
                <w:szCs w:val="16"/>
              </w:rPr>
              <w:t>0.01</w:t>
            </w:r>
          </w:p>
        </w:tc>
        <w:tc>
          <w:tcPr>
            <w:tcW w:w="1101" w:type="dxa"/>
            <w:vMerge w:val="restart"/>
            <w:shd w:val="clear" w:color="auto" w:fill="000000" w:themeFill="text1"/>
            <w:vAlign w:val="center"/>
          </w:tcPr>
          <w:p w:rsidR="00AA3C8B" w:rsidRPr="00D57E43" w:rsidRDefault="00AA3C8B" w:rsidP="00A01090">
            <w:pPr>
              <w:jc w:val="center"/>
              <w:rPr>
                <w:sz w:val="16"/>
                <w:szCs w:val="16"/>
              </w:rPr>
            </w:pPr>
          </w:p>
        </w:tc>
        <w:tc>
          <w:tcPr>
            <w:tcW w:w="987" w:type="dxa"/>
            <w:vMerge w:val="restart"/>
            <w:shd w:val="clear" w:color="auto" w:fill="000000" w:themeFill="text1"/>
            <w:vAlign w:val="center"/>
          </w:tcPr>
          <w:p w:rsidR="00AA3C8B" w:rsidRPr="00D57E43" w:rsidRDefault="00AA3C8B" w:rsidP="00A01090">
            <w:pPr>
              <w:jc w:val="center"/>
              <w:rPr>
                <w:sz w:val="16"/>
                <w:szCs w:val="16"/>
              </w:rPr>
            </w:pPr>
          </w:p>
        </w:tc>
        <w:tc>
          <w:tcPr>
            <w:tcW w:w="853" w:type="dxa"/>
            <w:vMerge w:val="restart"/>
            <w:shd w:val="clear" w:color="auto" w:fill="000000" w:themeFill="text1"/>
            <w:vAlign w:val="center"/>
          </w:tcPr>
          <w:p w:rsidR="00AA3C8B" w:rsidRPr="00D57E43" w:rsidRDefault="00AA3C8B" w:rsidP="00A01090">
            <w:pPr>
              <w:jc w:val="center"/>
              <w:rPr>
                <w:sz w:val="16"/>
                <w:szCs w:val="16"/>
              </w:rPr>
            </w:pPr>
          </w:p>
        </w:tc>
        <w:tc>
          <w:tcPr>
            <w:tcW w:w="984" w:type="dxa"/>
            <w:vMerge w:val="restart"/>
            <w:shd w:val="clear" w:color="auto" w:fill="000000" w:themeFill="text1"/>
            <w:vAlign w:val="center"/>
          </w:tcPr>
          <w:p w:rsidR="00AA3C8B" w:rsidRPr="00D57E43" w:rsidRDefault="00AA3C8B" w:rsidP="00A01090">
            <w:pPr>
              <w:jc w:val="center"/>
              <w:rPr>
                <w:sz w:val="16"/>
                <w:szCs w:val="16"/>
              </w:rPr>
            </w:pPr>
          </w:p>
        </w:tc>
        <w:tc>
          <w:tcPr>
            <w:tcW w:w="853" w:type="dxa"/>
            <w:vMerge w:val="restart"/>
            <w:shd w:val="clear" w:color="auto" w:fill="000000" w:themeFill="text1"/>
            <w:vAlign w:val="center"/>
          </w:tcPr>
          <w:p w:rsidR="00AA3C8B" w:rsidRPr="00D57E43" w:rsidRDefault="00AA3C8B" w:rsidP="00A01090">
            <w:pPr>
              <w:jc w:val="center"/>
              <w:rPr>
                <w:sz w:val="16"/>
                <w:szCs w:val="16"/>
              </w:rPr>
            </w:pPr>
          </w:p>
        </w:tc>
        <w:tc>
          <w:tcPr>
            <w:tcW w:w="1071" w:type="dxa"/>
            <w:vAlign w:val="center"/>
          </w:tcPr>
          <w:p w:rsidR="00AA3C8B" w:rsidRPr="00D57E43" w:rsidRDefault="00AA3C8B" w:rsidP="00A01090">
            <w:pPr>
              <w:jc w:val="center"/>
              <w:rPr>
                <w:sz w:val="16"/>
                <w:szCs w:val="16"/>
              </w:rPr>
            </w:pPr>
            <w:r w:rsidRPr="00D57E43">
              <w:rPr>
                <w:sz w:val="16"/>
                <w:szCs w:val="16"/>
              </w:rPr>
              <w:t xml:space="preserve">Min: </w:t>
            </w:r>
            <w:r w:rsidRPr="00D57E43">
              <w:rPr>
                <w:rFonts w:cstheme="minorHAnsi"/>
                <w:sz w:val="16"/>
                <w:szCs w:val="16"/>
              </w:rPr>
              <w:t>$</w:t>
            </w:r>
            <w:r w:rsidRPr="00D57E43">
              <w:rPr>
                <w:sz w:val="16"/>
                <w:szCs w:val="16"/>
              </w:rPr>
              <w:t>12.91</w:t>
            </w:r>
          </w:p>
        </w:tc>
        <w:tc>
          <w:tcPr>
            <w:tcW w:w="1027" w:type="dxa"/>
            <w:vMerge w:val="restart"/>
            <w:vAlign w:val="center"/>
          </w:tcPr>
          <w:p w:rsidR="00AA3C8B" w:rsidRPr="00D57E43" w:rsidRDefault="00AA3C8B" w:rsidP="00A01090">
            <w:pPr>
              <w:jc w:val="center"/>
              <w:rPr>
                <w:sz w:val="16"/>
                <w:szCs w:val="16"/>
              </w:rPr>
            </w:pPr>
            <w:r w:rsidRPr="00D57E43">
              <w:rPr>
                <w:rFonts w:cstheme="minorHAnsi"/>
                <w:sz w:val="16"/>
                <w:szCs w:val="16"/>
              </w:rPr>
              <w:t>$ 6.54</w:t>
            </w:r>
          </w:p>
        </w:tc>
        <w:tc>
          <w:tcPr>
            <w:tcW w:w="853" w:type="dxa"/>
            <w:vMerge w:val="restart"/>
            <w:vAlign w:val="center"/>
          </w:tcPr>
          <w:p w:rsidR="00AA3C8B" w:rsidRPr="00D57E43" w:rsidRDefault="00AA3C8B" w:rsidP="00A01090">
            <w:pPr>
              <w:jc w:val="center"/>
              <w:rPr>
                <w:sz w:val="16"/>
                <w:szCs w:val="16"/>
              </w:rPr>
            </w:pPr>
            <w:r w:rsidRPr="00D57E43">
              <w:rPr>
                <w:sz w:val="16"/>
                <w:szCs w:val="16"/>
              </w:rPr>
              <w:t>$ 0.039</w:t>
            </w:r>
          </w:p>
        </w:tc>
        <w:tc>
          <w:tcPr>
            <w:tcW w:w="854" w:type="dxa"/>
            <w:vMerge/>
            <w:vAlign w:val="center"/>
          </w:tcPr>
          <w:p w:rsidR="00AA3C8B" w:rsidRPr="00D57E43" w:rsidRDefault="00AA3C8B" w:rsidP="00A01090">
            <w:pPr>
              <w:jc w:val="center"/>
              <w:rPr>
                <w:sz w:val="16"/>
                <w:szCs w:val="16"/>
              </w:rPr>
            </w:pPr>
          </w:p>
        </w:tc>
      </w:tr>
      <w:tr w:rsidR="00AA3C8B" w:rsidRPr="00D57E43" w:rsidTr="00A01090">
        <w:trPr>
          <w:jc w:val="center"/>
        </w:trPr>
        <w:tc>
          <w:tcPr>
            <w:tcW w:w="835" w:type="dxa"/>
            <w:vMerge/>
            <w:vAlign w:val="center"/>
          </w:tcPr>
          <w:p w:rsidR="00AA3C8B" w:rsidRPr="00D57E43" w:rsidRDefault="00AA3C8B" w:rsidP="00A01090">
            <w:pPr>
              <w:jc w:val="center"/>
              <w:rPr>
                <w:sz w:val="16"/>
                <w:szCs w:val="16"/>
              </w:rPr>
            </w:pPr>
          </w:p>
        </w:tc>
        <w:tc>
          <w:tcPr>
            <w:tcW w:w="882" w:type="dxa"/>
            <w:vMerge/>
            <w:vAlign w:val="center"/>
          </w:tcPr>
          <w:p w:rsidR="00AA3C8B" w:rsidRPr="00D57E43" w:rsidRDefault="00AA3C8B" w:rsidP="00A01090">
            <w:pPr>
              <w:jc w:val="center"/>
              <w:rPr>
                <w:sz w:val="16"/>
                <w:szCs w:val="16"/>
              </w:rPr>
            </w:pPr>
          </w:p>
        </w:tc>
        <w:tc>
          <w:tcPr>
            <w:tcW w:w="1101" w:type="dxa"/>
            <w:vMerge/>
            <w:shd w:val="clear" w:color="auto" w:fill="000000" w:themeFill="text1"/>
            <w:vAlign w:val="center"/>
          </w:tcPr>
          <w:p w:rsidR="00AA3C8B" w:rsidRPr="00D57E43" w:rsidRDefault="00AA3C8B" w:rsidP="00A01090">
            <w:pPr>
              <w:jc w:val="center"/>
              <w:rPr>
                <w:sz w:val="16"/>
                <w:szCs w:val="16"/>
              </w:rPr>
            </w:pPr>
          </w:p>
        </w:tc>
        <w:tc>
          <w:tcPr>
            <w:tcW w:w="987" w:type="dxa"/>
            <w:vMerge/>
            <w:shd w:val="clear" w:color="auto" w:fill="000000" w:themeFill="text1"/>
            <w:vAlign w:val="center"/>
          </w:tcPr>
          <w:p w:rsidR="00AA3C8B" w:rsidRPr="00D57E43" w:rsidRDefault="00AA3C8B" w:rsidP="00A01090">
            <w:pPr>
              <w:jc w:val="center"/>
              <w:rPr>
                <w:sz w:val="16"/>
                <w:szCs w:val="16"/>
              </w:rPr>
            </w:pPr>
          </w:p>
        </w:tc>
        <w:tc>
          <w:tcPr>
            <w:tcW w:w="853" w:type="dxa"/>
            <w:vMerge/>
            <w:shd w:val="clear" w:color="auto" w:fill="000000" w:themeFill="text1"/>
            <w:vAlign w:val="center"/>
          </w:tcPr>
          <w:p w:rsidR="00AA3C8B" w:rsidRPr="00D57E43" w:rsidRDefault="00AA3C8B" w:rsidP="00A01090">
            <w:pPr>
              <w:jc w:val="center"/>
              <w:rPr>
                <w:sz w:val="16"/>
                <w:szCs w:val="16"/>
              </w:rPr>
            </w:pPr>
          </w:p>
        </w:tc>
        <w:tc>
          <w:tcPr>
            <w:tcW w:w="984" w:type="dxa"/>
            <w:vMerge/>
            <w:shd w:val="clear" w:color="auto" w:fill="000000" w:themeFill="text1"/>
            <w:vAlign w:val="center"/>
          </w:tcPr>
          <w:p w:rsidR="00AA3C8B" w:rsidRPr="00D57E43" w:rsidRDefault="00AA3C8B" w:rsidP="00A01090">
            <w:pPr>
              <w:jc w:val="center"/>
              <w:rPr>
                <w:sz w:val="16"/>
                <w:szCs w:val="16"/>
              </w:rPr>
            </w:pPr>
          </w:p>
        </w:tc>
        <w:tc>
          <w:tcPr>
            <w:tcW w:w="853" w:type="dxa"/>
            <w:vMerge/>
            <w:shd w:val="clear" w:color="auto" w:fill="000000" w:themeFill="text1"/>
            <w:vAlign w:val="center"/>
          </w:tcPr>
          <w:p w:rsidR="00AA3C8B" w:rsidRPr="00D57E43" w:rsidRDefault="00AA3C8B" w:rsidP="00A01090">
            <w:pPr>
              <w:jc w:val="center"/>
              <w:rPr>
                <w:sz w:val="16"/>
                <w:szCs w:val="16"/>
              </w:rPr>
            </w:pPr>
          </w:p>
        </w:tc>
        <w:tc>
          <w:tcPr>
            <w:tcW w:w="1071" w:type="dxa"/>
            <w:vAlign w:val="center"/>
          </w:tcPr>
          <w:p w:rsidR="00AA3C8B" w:rsidRPr="00D57E43" w:rsidRDefault="00AA3C8B" w:rsidP="00A01090">
            <w:pPr>
              <w:jc w:val="center"/>
              <w:rPr>
                <w:sz w:val="16"/>
                <w:szCs w:val="16"/>
              </w:rPr>
            </w:pPr>
            <w:r w:rsidRPr="00D57E43">
              <w:rPr>
                <w:sz w:val="16"/>
                <w:szCs w:val="16"/>
              </w:rPr>
              <w:t>Max:</w:t>
            </w:r>
            <w:r w:rsidRPr="00D57E43">
              <w:rPr>
                <w:rFonts w:cstheme="minorHAnsi"/>
                <w:sz w:val="16"/>
                <w:szCs w:val="16"/>
              </w:rPr>
              <w:t xml:space="preserve"> $</w:t>
            </w:r>
            <w:r w:rsidRPr="00D57E43">
              <w:rPr>
                <w:sz w:val="16"/>
                <w:szCs w:val="16"/>
              </w:rPr>
              <w:t>13.10</w:t>
            </w:r>
          </w:p>
        </w:tc>
        <w:tc>
          <w:tcPr>
            <w:tcW w:w="1027" w:type="dxa"/>
            <w:vMerge/>
            <w:vAlign w:val="center"/>
          </w:tcPr>
          <w:p w:rsidR="00AA3C8B" w:rsidRPr="00D57E43" w:rsidRDefault="00AA3C8B" w:rsidP="00A01090">
            <w:pPr>
              <w:jc w:val="center"/>
              <w:rPr>
                <w:sz w:val="16"/>
                <w:szCs w:val="16"/>
              </w:rPr>
            </w:pPr>
          </w:p>
        </w:tc>
        <w:tc>
          <w:tcPr>
            <w:tcW w:w="853" w:type="dxa"/>
            <w:vMerge/>
            <w:vAlign w:val="center"/>
          </w:tcPr>
          <w:p w:rsidR="00AA3C8B" w:rsidRPr="00D57E43" w:rsidRDefault="00AA3C8B" w:rsidP="00A01090">
            <w:pPr>
              <w:jc w:val="center"/>
              <w:rPr>
                <w:sz w:val="16"/>
                <w:szCs w:val="16"/>
              </w:rPr>
            </w:pPr>
          </w:p>
        </w:tc>
        <w:tc>
          <w:tcPr>
            <w:tcW w:w="854" w:type="dxa"/>
            <w:vMerge/>
            <w:vAlign w:val="center"/>
          </w:tcPr>
          <w:p w:rsidR="00AA3C8B" w:rsidRPr="00D57E43" w:rsidRDefault="00AA3C8B" w:rsidP="00A01090">
            <w:pPr>
              <w:jc w:val="center"/>
              <w:rPr>
                <w:sz w:val="16"/>
                <w:szCs w:val="16"/>
              </w:rPr>
            </w:pPr>
          </w:p>
        </w:tc>
      </w:tr>
    </w:tbl>
    <w:p w:rsidR="00AA3C8B" w:rsidRPr="00D57E43" w:rsidRDefault="00AA3C8B" w:rsidP="00AA3C8B">
      <w:pPr>
        <w:rPr>
          <w:sz w:val="16"/>
          <w:szCs w:val="16"/>
        </w:rPr>
      </w:pPr>
      <w:r w:rsidRPr="00D57E43">
        <w:rPr>
          <w:sz w:val="16"/>
          <w:szCs w:val="16"/>
        </w:rPr>
        <w:t xml:space="preserve">Fuente: </w:t>
      </w:r>
      <w:proofErr w:type="spellStart"/>
      <w:r w:rsidRPr="00D57E43">
        <w:rPr>
          <w:sz w:val="16"/>
          <w:szCs w:val="16"/>
        </w:rPr>
        <w:t>Sopisco</w:t>
      </w:r>
      <w:proofErr w:type="spellEnd"/>
      <w:r w:rsidRPr="00D57E43">
        <w:rPr>
          <w:sz w:val="16"/>
          <w:szCs w:val="16"/>
        </w:rPr>
        <w:t xml:space="preserve">. </w:t>
      </w:r>
    </w:p>
    <w:p w:rsidR="005B0CFD" w:rsidRDefault="005B0CFD" w:rsidP="00AA3C8B">
      <w:pPr>
        <w:jc w:val="center"/>
        <w:rPr>
          <w:sz w:val="18"/>
          <w:szCs w:val="18"/>
        </w:rPr>
      </w:pPr>
    </w:p>
    <w:p w:rsidR="00AA3C8B" w:rsidRPr="00AA3C8B" w:rsidRDefault="00AA3C8B" w:rsidP="00AA3C8B">
      <w:pPr>
        <w:jc w:val="center"/>
        <w:rPr>
          <w:sz w:val="18"/>
          <w:szCs w:val="18"/>
        </w:rPr>
      </w:pPr>
      <w:r w:rsidRPr="00AA3C8B">
        <w:rPr>
          <w:sz w:val="18"/>
          <w:szCs w:val="18"/>
        </w:rPr>
        <w:lastRenderedPageBreak/>
        <w:t xml:space="preserve">Precios FOB mensuales en dólares del banano declarados para la variedad </w:t>
      </w:r>
      <w:proofErr w:type="spellStart"/>
      <w:r w:rsidRPr="00AA3C8B">
        <w:rPr>
          <w:sz w:val="18"/>
          <w:szCs w:val="18"/>
        </w:rPr>
        <w:t>Cavendish</w:t>
      </w:r>
      <w:proofErr w:type="spellEnd"/>
      <w:r w:rsidRPr="00AA3C8B">
        <w:rPr>
          <w:sz w:val="18"/>
          <w:szCs w:val="18"/>
        </w:rPr>
        <w:t xml:space="preserve"> tipo 22XU</w:t>
      </w:r>
    </w:p>
    <w:tbl>
      <w:tblPr>
        <w:tblW w:w="4144" w:type="pct"/>
        <w:jc w:val="center"/>
        <w:tblCellMar>
          <w:left w:w="70" w:type="dxa"/>
          <w:right w:w="70" w:type="dxa"/>
        </w:tblCellMar>
        <w:tblLook w:val="04A0"/>
      </w:tblPr>
      <w:tblGrid>
        <w:gridCol w:w="914"/>
        <w:gridCol w:w="1157"/>
        <w:gridCol w:w="985"/>
        <w:gridCol w:w="997"/>
        <w:gridCol w:w="995"/>
        <w:gridCol w:w="705"/>
        <w:gridCol w:w="849"/>
        <w:gridCol w:w="995"/>
      </w:tblGrid>
      <w:tr w:rsidR="00AA3C8B" w:rsidRPr="00D57E43" w:rsidTr="00A01090">
        <w:trPr>
          <w:trHeight w:val="98"/>
          <w:jc w:val="center"/>
        </w:trPr>
        <w:tc>
          <w:tcPr>
            <w:tcW w:w="601" w:type="pct"/>
            <w:tcBorders>
              <w:top w:val="single" w:sz="8" w:space="0" w:color="auto"/>
              <w:left w:val="single" w:sz="8" w:space="0" w:color="auto"/>
              <w:bottom w:val="single" w:sz="4" w:space="0" w:color="auto"/>
              <w:right w:val="nil"/>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Meses</w:t>
            </w:r>
          </w:p>
        </w:tc>
        <w:tc>
          <w:tcPr>
            <w:tcW w:w="761" w:type="pct"/>
            <w:tcBorders>
              <w:top w:val="single" w:sz="8" w:space="0" w:color="auto"/>
              <w:left w:val="single" w:sz="8" w:space="0" w:color="auto"/>
              <w:bottom w:val="single" w:sz="4" w:space="0" w:color="auto"/>
              <w:right w:val="single" w:sz="8"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Estados Unidos</w:t>
            </w:r>
          </w:p>
        </w:tc>
        <w:tc>
          <w:tcPr>
            <w:tcW w:w="648" w:type="pct"/>
            <w:tcBorders>
              <w:top w:val="single" w:sz="8" w:space="0" w:color="auto"/>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Alemania</w:t>
            </w:r>
          </w:p>
        </w:tc>
        <w:tc>
          <w:tcPr>
            <w:tcW w:w="656" w:type="pct"/>
            <w:tcBorders>
              <w:top w:val="single" w:sz="8" w:space="0" w:color="auto"/>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Bélgica</w:t>
            </w:r>
          </w:p>
        </w:tc>
        <w:tc>
          <w:tcPr>
            <w:tcW w:w="655" w:type="pct"/>
            <w:tcBorders>
              <w:top w:val="single" w:sz="8" w:space="0" w:color="auto"/>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España</w:t>
            </w:r>
          </w:p>
        </w:tc>
        <w:tc>
          <w:tcPr>
            <w:tcW w:w="464" w:type="pct"/>
            <w:tcBorders>
              <w:top w:val="single" w:sz="8" w:space="0" w:color="auto"/>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Italia</w:t>
            </w:r>
          </w:p>
        </w:tc>
        <w:tc>
          <w:tcPr>
            <w:tcW w:w="559" w:type="pct"/>
            <w:tcBorders>
              <w:top w:val="single" w:sz="8" w:space="0" w:color="auto"/>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Japón</w:t>
            </w:r>
          </w:p>
        </w:tc>
        <w:tc>
          <w:tcPr>
            <w:tcW w:w="655" w:type="pct"/>
            <w:tcBorders>
              <w:top w:val="single" w:sz="8" w:space="0" w:color="auto"/>
              <w:left w:val="nil"/>
              <w:bottom w:val="single" w:sz="4" w:space="0" w:color="auto"/>
              <w:right w:val="single" w:sz="8"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Rusia</w:t>
            </w:r>
          </w:p>
        </w:tc>
      </w:tr>
      <w:tr w:rsidR="00AA3C8B" w:rsidRPr="00D57E43" w:rsidTr="00A01090">
        <w:trPr>
          <w:trHeight w:val="98"/>
          <w:jc w:val="center"/>
        </w:trPr>
        <w:tc>
          <w:tcPr>
            <w:tcW w:w="601" w:type="pct"/>
            <w:tcBorders>
              <w:top w:val="nil"/>
              <w:left w:val="single" w:sz="8" w:space="0" w:color="auto"/>
              <w:bottom w:val="single" w:sz="4" w:space="0" w:color="auto"/>
              <w:right w:val="nil"/>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Enero</w:t>
            </w:r>
          </w:p>
        </w:tc>
        <w:tc>
          <w:tcPr>
            <w:tcW w:w="761" w:type="pct"/>
            <w:tcBorders>
              <w:top w:val="nil"/>
              <w:left w:val="single" w:sz="8" w:space="0" w:color="auto"/>
              <w:bottom w:val="single" w:sz="4" w:space="0" w:color="auto"/>
              <w:right w:val="single" w:sz="8"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5.38</w:t>
            </w:r>
          </w:p>
        </w:tc>
        <w:tc>
          <w:tcPr>
            <w:tcW w:w="648"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5.41</w:t>
            </w:r>
          </w:p>
        </w:tc>
        <w:tc>
          <w:tcPr>
            <w:tcW w:w="656"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5.50</w:t>
            </w:r>
          </w:p>
        </w:tc>
        <w:tc>
          <w:tcPr>
            <w:tcW w:w="655"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 xml:space="preserve"> </w:t>
            </w:r>
          </w:p>
        </w:tc>
        <w:tc>
          <w:tcPr>
            <w:tcW w:w="464"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5.81</w:t>
            </w:r>
          </w:p>
        </w:tc>
        <w:tc>
          <w:tcPr>
            <w:tcW w:w="559"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5.30</w:t>
            </w:r>
          </w:p>
        </w:tc>
        <w:tc>
          <w:tcPr>
            <w:tcW w:w="655" w:type="pct"/>
            <w:tcBorders>
              <w:top w:val="nil"/>
              <w:left w:val="nil"/>
              <w:bottom w:val="single" w:sz="4" w:space="0" w:color="auto"/>
              <w:right w:val="single" w:sz="8"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5.47</w:t>
            </w:r>
          </w:p>
        </w:tc>
      </w:tr>
      <w:tr w:rsidR="00AA3C8B" w:rsidRPr="00D57E43" w:rsidTr="00A01090">
        <w:trPr>
          <w:trHeight w:val="64"/>
          <w:jc w:val="center"/>
        </w:trPr>
        <w:tc>
          <w:tcPr>
            <w:tcW w:w="601" w:type="pct"/>
            <w:tcBorders>
              <w:top w:val="nil"/>
              <w:left w:val="single" w:sz="8" w:space="0" w:color="auto"/>
              <w:bottom w:val="single" w:sz="4" w:space="0" w:color="auto"/>
              <w:right w:val="nil"/>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Febrero</w:t>
            </w:r>
          </w:p>
        </w:tc>
        <w:tc>
          <w:tcPr>
            <w:tcW w:w="761" w:type="pct"/>
            <w:tcBorders>
              <w:top w:val="nil"/>
              <w:left w:val="single" w:sz="8" w:space="0" w:color="auto"/>
              <w:bottom w:val="single" w:sz="4" w:space="0" w:color="auto"/>
              <w:right w:val="single" w:sz="8"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5.30</w:t>
            </w:r>
          </w:p>
        </w:tc>
        <w:tc>
          <w:tcPr>
            <w:tcW w:w="648"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5.30</w:t>
            </w:r>
          </w:p>
        </w:tc>
        <w:tc>
          <w:tcPr>
            <w:tcW w:w="656"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5.30</w:t>
            </w:r>
          </w:p>
        </w:tc>
        <w:tc>
          <w:tcPr>
            <w:tcW w:w="655"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 xml:space="preserve"> </w:t>
            </w:r>
          </w:p>
        </w:tc>
        <w:tc>
          <w:tcPr>
            <w:tcW w:w="464"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5.30</w:t>
            </w:r>
          </w:p>
        </w:tc>
        <w:tc>
          <w:tcPr>
            <w:tcW w:w="559"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5.30</w:t>
            </w:r>
          </w:p>
        </w:tc>
        <w:tc>
          <w:tcPr>
            <w:tcW w:w="655" w:type="pct"/>
            <w:tcBorders>
              <w:top w:val="nil"/>
              <w:left w:val="nil"/>
              <w:bottom w:val="single" w:sz="4" w:space="0" w:color="auto"/>
              <w:right w:val="single" w:sz="8"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5.30</w:t>
            </w:r>
          </w:p>
        </w:tc>
      </w:tr>
      <w:tr w:rsidR="00AA3C8B" w:rsidRPr="00D57E43" w:rsidTr="00A01090">
        <w:trPr>
          <w:trHeight w:val="64"/>
          <w:jc w:val="center"/>
        </w:trPr>
        <w:tc>
          <w:tcPr>
            <w:tcW w:w="601" w:type="pct"/>
            <w:tcBorders>
              <w:top w:val="nil"/>
              <w:left w:val="single" w:sz="8" w:space="0" w:color="auto"/>
              <w:bottom w:val="single" w:sz="4" w:space="0" w:color="auto"/>
              <w:right w:val="nil"/>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Marzo</w:t>
            </w:r>
          </w:p>
        </w:tc>
        <w:tc>
          <w:tcPr>
            <w:tcW w:w="761" w:type="pct"/>
            <w:tcBorders>
              <w:top w:val="nil"/>
              <w:left w:val="single" w:sz="8" w:space="0" w:color="auto"/>
              <w:bottom w:val="single" w:sz="4" w:space="0" w:color="auto"/>
              <w:right w:val="single" w:sz="8"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6.67</w:t>
            </w:r>
          </w:p>
        </w:tc>
        <w:tc>
          <w:tcPr>
            <w:tcW w:w="648"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6.03</w:t>
            </w:r>
          </w:p>
        </w:tc>
        <w:tc>
          <w:tcPr>
            <w:tcW w:w="656"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5.95</w:t>
            </w:r>
          </w:p>
        </w:tc>
        <w:tc>
          <w:tcPr>
            <w:tcW w:w="655"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 xml:space="preserve"> </w:t>
            </w:r>
          </w:p>
        </w:tc>
        <w:tc>
          <w:tcPr>
            <w:tcW w:w="464"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6.37</w:t>
            </w:r>
          </w:p>
        </w:tc>
        <w:tc>
          <w:tcPr>
            <w:tcW w:w="559"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6.54</w:t>
            </w:r>
          </w:p>
        </w:tc>
        <w:tc>
          <w:tcPr>
            <w:tcW w:w="655" w:type="pct"/>
            <w:tcBorders>
              <w:top w:val="nil"/>
              <w:left w:val="nil"/>
              <w:bottom w:val="single" w:sz="4" w:space="0" w:color="auto"/>
              <w:right w:val="single" w:sz="8"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6.54</w:t>
            </w:r>
          </w:p>
        </w:tc>
      </w:tr>
      <w:tr w:rsidR="00AA3C8B" w:rsidRPr="00D57E43" w:rsidTr="00A01090">
        <w:trPr>
          <w:trHeight w:val="64"/>
          <w:jc w:val="center"/>
        </w:trPr>
        <w:tc>
          <w:tcPr>
            <w:tcW w:w="601" w:type="pct"/>
            <w:tcBorders>
              <w:top w:val="nil"/>
              <w:left w:val="single" w:sz="8" w:space="0" w:color="auto"/>
              <w:bottom w:val="single" w:sz="4" w:space="0" w:color="auto"/>
              <w:right w:val="nil"/>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Abril</w:t>
            </w:r>
          </w:p>
        </w:tc>
        <w:tc>
          <w:tcPr>
            <w:tcW w:w="761" w:type="pct"/>
            <w:tcBorders>
              <w:top w:val="nil"/>
              <w:left w:val="single" w:sz="8" w:space="0" w:color="auto"/>
              <w:bottom w:val="single" w:sz="4" w:space="0" w:color="auto"/>
              <w:right w:val="single" w:sz="8"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6.23</w:t>
            </w:r>
          </w:p>
        </w:tc>
        <w:tc>
          <w:tcPr>
            <w:tcW w:w="648"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6.18</w:t>
            </w:r>
          </w:p>
        </w:tc>
        <w:tc>
          <w:tcPr>
            <w:tcW w:w="656"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6.18</w:t>
            </w:r>
          </w:p>
        </w:tc>
        <w:tc>
          <w:tcPr>
            <w:tcW w:w="655"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6.25</w:t>
            </w:r>
          </w:p>
        </w:tc>
        <w:tc>
          <w:tcPr>
            <w:tcW w:w="464"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6.15</w:t>
            </w:r>
          </w:p>
        </w:tc>
        <w:tc>
          <w:tcPr>
            <w:tcW w:w="559"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6.26</w:t>
            </w:r>
          </w:p>
        </w:tc>
        <w:tc>
          <w:tcPr>
            <w:tcW w:w="655" w:type="pct"/>
            <w:tcBorders>
              <w:top w:val="nil"/>
              <w:left w:val="nil"/>
              <w:bottom w:val="single" w:sz="4" w:space="0" w:color="auto"/>
              <w:right w:val="single" w:sz="8"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6.02</w:t>
            </w:r>
          </w:p>
        </w:tc>
      </w:tr>
      <w:tr w:rsidR="00AA3C8B" w:rsidRPr="00D57E43" w:rsidTr="00A01090">
        <w:trPr>
          <w:trHeight w:val="64"/>
          <w:jc w:val="center"/>
        </w:trPr>
        <w:tc>
          <w:tcPr>
            <w:tcW w:w="601" w:type="pct"/>
            <w:tcBorders>
              <w:top w:val="nil"/>
              <w:left w:val="single" w:sz="8" w:space="0" w:color="auto"/>
              <w:bottom w:val="single" w:sz="4" w:space="0" w:color="auto"/>
              <w:right w:val="nil"/>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Mayo</w:t>
            </w:r>
          </w:p>
        </w:tc>
        <w:tc>
          <w:tcPr>
            <w:tcW w:w="761" w:type="pct"/>
            <w:tcBorders>
              <w:top w:val="nil"/>
              <w:left w:val="single" w:sz="8" w:space="0" w:color="auto"/>
              <w:bottom w:val="single" w:sz="4" w:space="0" w:color="auto"/>
              <w:right w:val="single" w:sz="8"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6.28</w:t>
            </w:r>
          </w:p>
        </w:tc>
        <w:tc>
          <w:tcPr>
            <w:tcW w:w="648"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6.32</w:t>
            </w:r>
          </w:p>
        </w:tc>
        <w:tc>
          <w:tcPr>
            <w:tcW w:w="656"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6.30</w:t>
            </w:r>
          </w:p>
        </w:tc>
        <w:tc>
          <w:tcPr>
            <w:tcW w:w="655"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6.25</w:t>
            </w:r>
          </w:p>
        </w:tc>
        <w:tc>
          <w:tcPr>
            <w:tcW w:w="464"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6.32</w:t>
            </w:r>
          </w:p>
        </w:tc>
        <w:tc>
          <w:tcPr>
            <w:tcW w:w="559"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6.30</w:t>
            </w:r>
          </w:p>
        </w:tc>
        <w:tc>
          <w:tcPr>
            <w:tcW w:w="655" w:type="pct"/>
            <w:tcBorders>
              <w:top w:val="nil"/>
              <w:left w:val="nil"/>
              <w:bottom w:val="single" w:sz="4" w:space="0" w:color="auto"/>
              <w:right w:val="single" w:sz="8"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6.27</w:t>
            </w:r>
          </w:p>
        </w:tc>
      </w:tr>
      <w:tr w:rsidR="00AA3C8B" w:rsidRPr="00D57E43" w:rsidTr="00A01090">
        <w:trPr>
          <w:trHeight w:val="64"/>
          <w:jc w:val="center"/>
        </w:trPr>
        <w:tc>
          <w:tcPr>
            <w:tcW w:w="601" w:type="pct"/>
            <w:tcBorders>
              <w:top w:val="nil"/>
              <w:left w:val="single" w:sz="8" w:space="0" w:color="auto"/>
              <w:bottom w:val="single" w:sz="4" w:space="0" w:color="auto"/>
              <w:right w:val="nil"/>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Junio</w:t>
            </w:r>
          </w:p>
        </w:tc>
        <w:tc>
          <w:tcPr>
            <w:tcW w:w="761" w:type="pct"/>
            <w:tcBorders>
              <w:top w:val="nil"/>
              <w:left w:val="single" w:sz="8" w:space="0" w:color="auto"/>
              <w:bottom w:val="single" w:sz="4" w:space="0" w:color="auto"/>
              <w:right w:val="single" w:sz="8"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6.25</w:t>
            </w:r>
          </w:p>
        </w:tc>
        <w:tc>
          <w:tcPr>
            <w:tcW w:w="648"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6.26</w:t>
            </w:r>
          </w:p>
        </w:tc>
        <w:tc>
          <w:tcPr>
            <w:tcW w:w="656"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6.25</w:t>
            </w:r>
          </w:p>
        </w:tc>
        <w:tc>
          <w:tcPr>
            <w:tcW w:w="655"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 xml:space="preserve"> </w:t>
            </w:r>
          </w:p>
        </w:tc>
        <w:tc>
          <w:tcPr>
            <w:tcW w:w="464"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6.26</w:t>
            </w:r>
          </w:p>
        </w:tc>
        <w:tc>
          <w:tcPr>
            <w:tcW w:w="559"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6.25</w:t>
            </w:r>
          </w:p>
        </w:tc>
        <w:tc>
          <w:tcPr>
            <w:tcW w:w="655" w:type="pct"/>
            <w:tcBorders>
              <w:top w:val="nil"/>
              <w:left w:val="nil"/>
              <w:bottom w:val="single" w:sz="4" w:space="0" w:color="auto"/>
              <w:right w:val="single" w:sz="8"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6.26</w:t>
            </w:r>
          </w:p>
        </w:tc>
      </w:tr>
      <w:tr w:rsidR="00AA3C8B" w:rsidRPr="00D57E43" w:rsidTr="00A01090">
        <w:trPr>
          <w:trHeight w:val="64"/>
          <w:jc w:val="center"/>
        </w:trPr>
        <w:tc>
          <w:tcPr>
            <w:tcW w:w="601" w:type="pct"/>
            <w:tcBorders>
              <w:top w:val="nil"/>
              <w:left w:val="single" w:sz="8" w:space="0" w:color="auto"/>
              <w:bottom w:val="single" w:sz="4" w:space="0" w:color="auto"/>
              <w:right w:val="nil"/>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Julio</w:t>
            </w:r>
          </w:p>
        </w:tc>
        <w:tc>
          <w:tcPr>
            <w:tcW w:w="761" w:type="pct"/>
            <w:tcBorders>
              <w:top w:val="nil"/>
              <w:left w:val="single" w:sz="8" w:space="0" w:color="auto"/>
              <w:bottom w:val="single" w:sz="4" w:space="0" w:color="auto"/>
              <w:right w:val="single" w:sz="8"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6.34</w:t>
            </w:r>
          </w:p>
        </w:tc>
        <w:tc>
          <w:tcPr>
            <w:tcW w:w="648"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6.28</w:t>
            </w:r>
          </w:p>
        </w:tc>
        <w:tc>
          <w:tcPr>
            <w:tcW w:w="656"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6.32</w:t>
            </w:r>
          </w:p>
        </w:tc>
        <w:tc>
          <w:tcPr>
            <w:tcW w:w="655"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 xml:space="preserve"> </w:t>
            </w:r>
          </w:p>
        </w:tc>
        <w:tc>
          <w:tcPr>
            <w:tcW w:w="464"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6.35</w:t>
            </w:r>
          </w:p>
        </w:tc>
        <w:tc>
          <w:tcPr>
            <w:tcW w:w="559"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6.35</w:t>
            </w:r>
          </w:p>
        </w:tc>
        <w:tc>
          <w:tcPr>
            <w:tcW w:w="655" w:type="pct"/>
            <w:tcBorders>
              <w:top w:val="nil"/>
              <w:left w:val="nil"/>
              <w:bottom w:val="single" w:sz="4" w:space="0" w:color="auto"/>
              <w:right w:val="single" w:sz="8"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6.35</w:t>
            </w:r>
          </w:p>
        </w:tc>
      </w:tr>
      <w:tr w:rsidR="00AA3C8B" w:rsidRPr="00D57E43" w:rsidTr="00A01090">
        <w:trPr>
          <w:trHeight w:val="64"/>
          <w:jc w:val="center"/>
        </w:trPr>
        <w:tc>
          <w:tcPr>
            <w:tcW w:w="601" w:type="pct"/>
            <w:tcBorders>
              <w:top w:val="nil"/>
              <w:left w:val="single" w:sz="8" w:space="0" w:color="auto"/>
              <w:bottom w:val="single" w:sz="4" w:space="0" w:color="auto"/>
              <w:right w:val="nil"/>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Agosto</w:t>
            </w:r>
          </w:p>
        </w:tc>
        <w:tc>
          <w:tcPr>
            <w:tcW w:w="761" w:type="pct"/>
            <w:tcBorders>
              <w:top w:val="nil"/>
              <w:left w:val="single" w:sz="8" w:space="0" w:color="auto"/>
              <w:bottom w:val="single" w:sz="4" w:space="0" w:color="auto"/>
              <w:right w:val="single" w:sz="8"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6.31</w:t>
            </w:r>
          </w:p>
        </w:tc>
        <w:tc>
          <w:tcPr>
            <w:tcW w:w="648"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6.31</w:t>
            </w:r>
          </w:p>
        </w:tc>
        <w:tc>
          <w:tcPr>
            <w:tcW w:w="656"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6.31</w:t>
            </w:r>
          </w:p>
        </w:tc>
        <w:tc>
          <w:tcPr>
            <w:tcW w:w="655"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 xml:space="preserve"> </w:t>
            </w:r>
          </w:p>
        </w:tc>
        <w:tc>
          <w:tcPr>
            <w:tcW w:w="464"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6.30</w:t>
            </w:r>
          </w:p>
        </w:tc>
        <w:tc>
          <w:tcPr>
            <w:tcW w:w="559"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6.31</w:t>
            </w:r>
          </w:p>
        </w:tc>
        <w:tc>
          <w:tcPr>
            <w:tcW w:w="655" w:type="pct"/>
            <w:tcBorders>
              <w:top w:val="nil"/>
              <w:left w:val="nil"/>
              <w:bottom w:val="single" w:sz="4" w:space="0" w:color="auto"/>
              <w:right w:val="single" w:sz="8"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6.31</w:t>
            </w:r>
          </w:p>
        </w:tc>
      </w:tr>
      <w:tr w:rsidR="00AA3C8B" w:rsidRPr="00D57E43" w:rsidTr="00A01090">
        <w:trPr>
          <w:trHeight w:val="64"/>
          <w:jc w:val="center"/>
        </w:trPr>
        <w:tc>
          <w:tcPr>
            <w:tcW w:w="601" w:type="pct"/>
            <w:tcBorders>
              <w:top w:val="nil"/>
              <w:left w:val="single" w:sz="8" w:space="0" w:color="auto"/>
              <w:bottom w:val="single" w:sz="4" w:space="0" w:color="auto"/>
              <w:right w:val="nil"/>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Septiembre</w:t>
            </w:r>
          </w:p>
        </w:tc>
        <w:tc>
          <w:tcPr>
            <w:tcW w:w="761" w:type="pct"/>
            <w:tcBorders>
              <w:top w:val="nil"/>
              <w:left w:val="single" w:sz="8" w:space="0" w:color="auto"/>
              <w:bottom w:val="single" w:sz="4" w:space="0" w:color="auto"/>
              <w:right w:val="single" w:sz="8"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6.32</w:t>
            </w:r>
          </w:p>
        </w:tc>
        <w:tc>
          <w:tcPr>
            <w:tcW w:w="648"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6.31</w:t>
            </w:r>
          </w:p>
        </w:tc>
        <w:tc>
          <w:tcPr>
            <w:tcW w:w="656"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6.31</w:t>
            </w:r>
          </w:p>
        </w:tc>
        <w:tc>
          <w:tcPr>
            <w:tcW w:w="655"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 xml:space="preserve"> </w:t>
            </w:r>
          </w:p>
        </w:tc>
        <w:tc>
          <w:tcPr>
            <w:tcW w:w="464"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6.31</w:t>
            </w:r>
          </w:p>
        </w:tc>
        <w:tc>
          <w:tcPr>
            <w:tcW w:w="559"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6.31</w:t>
            </w:r>
          </w:p>
        </w:tc>
        <w:tc>
          <w:tcPr>
            <w:tcW w:w="655" w:type="pct"/>
            <w:tcBorders>
              <w:top w:val="nil"/>
              <w:left w:val="nil"/>
              <w:bottom w:val="single" w:sz="4" w:space="0" w:color="auto"/>
              <w:right w:val="single" w:sz="8"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6.31</w:t>
            </w:r>
          </w:p>
        </w:tc>
      </w:tr>
      <w:tr w:rsidR="00AA3C8B" w:rsidRPr="00D57E43" w:rsidTr="00A01090">
        <w:trPr>
          <w:trHeight w:val="64"/>
          <w:jc w:val="center"/>
        </w:trPr>
        <w:tc>
          <w:tcPr>
            <w:tcW w:w="601" w:type="pct"/>
            <w:tcBorders>
              <w:top w:val="nil"/>
              <w:left w:val="single" w:sz="8" w:space="0" w:color="auto"/>
              <w:bottom w:val="single" w:sz="4" w:space="0" w:color="auto"/>
              <w:right w:val="nil"/>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Octubre</w:t>
            </w:r>
          </w:p>
        </w:tc>
        <w:tc>
          <w:tcPr>
            <w:tcW w:w="761" w:type="pct"/>
            <w:tcBorders>
              <w:top w:val="nil"/>
              <w:left w:val="single" w:sz="8" w:space="0" w:color="auto"/>
              <w:bottom w:val="single" w:sz="4" w:space="0" w:color="auto"/>
              <w:right w:val="single" w:sz="8"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6.36</w:t>
            </w:r>
          </w:p>
        </w:tc>
        <w:tc>
          <w:tcPr>
            <w:tcW w:w="648"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6.36</w:t>
            </w:r>
          </w:p>
        </w:tc>
        <w:tc>
          <w:tcPr>
            <w:tcW w:w="656"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6.36</w:t>
            </w:r>
          </w:p>
        </w:tc>
        <w:tc>
          <w:tcPr>
            <w:tcW w:w="655"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 xml:space="preserve"> </w:t>
            </w:r>
          </w:p>
        </w:tc>
        <w:tc>
          <w:tcPr>
            <w:tcW w:w="464"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6.35</w:t>
            </w:r>
          </w:p>
        </w:tc>
        <w:tc>
          <w:tcPr>
            <w:tcW w:w="559"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6.36</w:t>
            </w:r>
          </w:p>
        </w:tc>
        <w:tc>
          <w:tcPr>
            <w:tcW w:w="655" w:type="pct"/>
            <w:tcBorders>
              <w:top w:val="nil"/>
              <w:left w:val="nil"/>
              <w:bottom w:val="single" w:sz="4" w:space="0" w:color="auto"/>
              <w:right w:val="single" w:sz="8"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6.36</w:t>
            </w:r>
          </w:p>
        </w:tc>
      </w:tr>
      <w:tr w:rsidR="00AA3C8B" w:rsidRPr="00D57E43" w:rsidTr="00A01090">
        <w:trPr>
          <w:trHeight w:val="64"/>
          <w:jc w:val="center"/>
        </w:trPr>
        <w:tc>
          <w:tcPr>
            <w:tcW w:w="601" w:type="pct"/>
            <w:tcBorders>
              <w:top w:val="nil"/>
              <w:left w:val="single" w:sz="8" w:space="0" w:color="auto"/>
              <w:bottom w:val="single" w:sz="4" w:space="0" w:color="auto"/>
              <w:right w:val="nil"/>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Noviembre</w:t>
            </w:r>
          </w:p>
        </w:tc>
        <w:tc>
          <w:tcPr>
            <w:tcW w:w="761" w:type="pct"/>
            <w:tcBorders>
              <w:top w:val="nil"/>
              <w:left w:val="single" w:sz="8" w:space="0" w:color="auto"/>
              <w:bottom w:val="single" w:sz="4" w:space="0" w:color="auto"/>
              <w:right w:val="single" w:sz="8"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6.35</w:t>
            </w:r>
          </w:p>
        </w:tc>
        <w:tc>
          <w:tcPr>
            <w:tcW w:w="648"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6.35</w:t>
            </w:r>
          </w:p>
        </w:tc>
        <w:tc>
          <w:tcPr>
            <w:tcW w:w="656"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6.35</w:t>
            </w:r>
          </w:p>
        </w:tc>
        <w:tc>
          <w:tcPr>
            <w:tcW w:w="655"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 xml:space="preserve"> </w:t>
            </w:r>
          </w:p>
        </w:tc>
        <w:tc>
          <w:tcPr>
            <w:tcW w:w="464"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6.34</w:t>
            </w:r>
          </w:p>
        </w:tc>
        <w:tc>
          <w:tcPr>
            <w:tcW w:w="559" w:type="pct"/>
            <w:tcBorders>
              <w:top w:val="nil"/>
              <w:left w:val="nil"/>
              <w:bottom w:val="single" w:sz="4"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6.35</w:t>
            </w:r>
          </w:p>
        </w:tc>
        <w:tc>
          <w:tcPr>
            <w:tcW w:w="655" w:type="pct"/>
            <w:tcBorders>
              <w:top w:val="nil"/>
              <w:left w:val="nil"/>
              <w:bottom w:val="single" w:sz="4" w:space="0" w:color="auto"/>
              <w:right w:val="single" w:sz="8"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6.35</w:t>
            </w:r>
          </w:p>
        </w:tc>
      </w:tr>
      <w:tr w:rsidR="00AA3C8B" w:rsidRPr="00D57E43" w:rsidTr="00A01090">
        <w:trPr>
          <w:trHeight w:val="64"/>
          <w:jc w:val="center"/>
        </w:trPr>
        <w:tc>
          <w:tcPr>
            <w:tcW w:w="601" w:type="pct"/>
            <w:tcBorders>
              <w:top w:val="nil"/>
              <w:left w:val="single" w:sz="8" w:space="0" w:color="auto"/>
              <w:bottom w:val="single" w:sz="8" w:space="0" w:color="auto"/>
              <w:right w:val="nil"/>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Diciembre</w:t>
            </w:r>
          </w:p>
        </w:tc>
        <w:tc>
          <w:tcPr>
            <w:tcW w:w="761" w:type="pct"/>
            <w:tcBorders>
              <w:top w:val="nil"/>
              <w:left w:val="single" w:sz="8" w:space="0" w:color="auto"/>
              <w:bottom w:val="single" w:sz="8" w:space="0" w:color="auto"/>
              <w:right w:val="single" w:sz="8"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6.32</w:t>
            </w:r>
          </w:p>
        </w:tc>
        <w:tc>
          <w:tcPr>
            <w:tcW w:w="648" w:type="pct"/>
            <w:tcBorders>
              <w:top w:val="nil"/>
              <w:left w:val="nil"/>
              <w:bottom w:val="single" w:sz="8"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6.32</w:t>
            </w:r>
          </w:p>
        </w:tc>
        <w:tc>
          <w:tcPr>
            <w:tcW w:w="656" w:type="pct"/>
            <w:tcBorders>
              <w:top w:val="nil"/>
              <w:left w:val="nil"/>
              <w:bottom w:val="single" w:sz="8"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6.32</w:t>
            </w:r>
          </w:p>
        </w:tc>
        <w:tc>
          <w:tcPr>
            <w:tcW w:w="655" w:type="pct"/>
            <w:tcBorders>
              <w:top w:val="nil"/>
              <w:left w:val="nil"/>
              <w:bottom w:val="single" w:sz="8"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 xml:space="preserve"> </w:t>
            </w:r>
          </w:p>
        </w:tc>
        <w:tc>
          <w:tcPr>
            <w:tcW w:w="464" w:type="pct"/>
            <w:tcBorders>
              <w:top w:val="nil"/>
              <w:left w:val="nil"/>
              <w:bottom w:val="single" w:sz="8"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6.32</w:t>
            </w:r>
          </w:p>
        </w:tc>
        <w:tc>
          <w:tcPr>
            <w:tcW w:w="559" w:type="pct"/>
            <w:tcBorders>
              <w:top w:val="nil"/>
              <w:left w:val="nil"/>
              <w:bottom w:val="single" w:sz="8" w:space="0" w:color="auto"/>
              <w:right w:val="single" w:sz="4"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6.32</w:t>
            </w:r>
          </w:p>
        </w:tc>
        <w:tc>
          <w:tcPr>
            <w:tcW w:w="655" w:type="pct"/>
            <w:tcBorders>
              <w:top w:val="nil"/>
              <w:left w:val="nil"/>
              <w:bottom w:val="single" w:sz="8" w:space="0" w:color="auto"/>
              <w:right w:val="single" w:sz="8" w:space="0" w:color="auto"/>
            </w:tcBorders>
            <w:shd w:val="clear" w:color="auto" w:fill="auto"/>
            <w:noWrap/>
            <w:hideMark/>
          </w:tcPr>
          <w:p w:rsidR="00AA3C8B" w:rsidRPr="00D57E43" w:rsidRDefault="00AA3C8B" w:rsidP="00A01090">
            <w:pPr>
              <w:spacing w:after="0" w:line="240" w:lineRule="auto"/>
              <w:jc w:val="center"/>
              <w:rPr>
                <w:sz w:val="16"/>
                <w:szCs w:val="16"/>
              </w:rPr>
            </w:pPr>
            <w:r w:rsidRPr="00D57E43">
              <w:rPr>
                <w:sz w:val="16"/>
                <w:szCs w:val="16"/>
              </w:rPr>
              <w:t>6.33</w:t>
            </w:r>
          </w:p>
        </w:tc>
      </w:tr>
    </w:tbl>
    <w:p w:rsidR="00AA3C8B" w:rsidRPr="00D57E43" w:rsidRDefault="00AA3C8B" w:rsidP="00AA3C8B">
      <w:pPr>
        <w:ind w:left="708"/>
        <w:rPr>
          <w:sz w:val="16"/>
          <w:szCs w:val="16"/>
        </w:rPr>
      </w:pPr>
      <w:r w:rsidRPr="00D57E43">
        <w:rPr>
          <w:sz w:val="16"/>
          <w:szCs w:val="16"/>
        </w:rPr>
        <w:t>Fuente: BCE</w:t>
      </w:r>
    </w:p>
    <w:p w:rsidR="00AA3C8B" w:rsidRPr="005B0CFD" w:rsidRDefault="00AA3C8B" w:rsidP="005B0CFD">
      <w:pPr>
        <w:pStyle w:val="Prrafodelista"/>
        <w:numPr>
          <w:ilvl w:val="0"/>
          <w:numId w:val="8"/>
        </w:numPr>
        <w:jc w:val="both"/>
        <w:rPr>
          <w:sz w:val="20"/>
          <w:szCs w:val="20"/>
        </w:rPr>
      </w:pPr>
      <w:r w:rsidRPr="005B0CFD">
        <w:rPr>
          <w:sz w:val="20"/>
          <w:szCs w:val="20"/>
        </w:rPr>
        <w:t>Análisis de Precio FOB de la caja de banano reportado por el contribuyente.</w:t>
      </w:r>
    </w:p>
    <w:p w:rsidR="00AA3C8B" w:rsidRPr="005B0CFD" w:rsidRDefault="00AA3C8B" w:rsidP="00B374AD">
      <w:pPr>
        <w:pStyle w:val="Prrafodelista"/>
        <w:numPr>
          <w:ilvl w:val="0"/>
          <w:numId w:val="8"/>
        </w:numPr>
        <w:jc w:val="both"/>
        <w:rPr>
          <w:sz w:val="20"/>
          <w:szCs w:val="20"/>
        </w:rPr>
      </w:pPr>
      <w:r w:rsidRPr="005B0CFD">
        <w:rPr>
          <w:sz w:val="20"/>
          <w:szCs w:val="20"/>
        </w:rPr>
        <w:t>Análisis de las exportaciones FOB declarado por el contribuyente</w:t>
      </w:r>
    </w:p>
    <w:p w:rsidR="00AA3C8B" w:rsidRPr="005B0CFD" w:rsidRDefault="00AA3C8B" w:rsidP="00B374AD">
      <w:pPr>
        <w:pStyle w:val="Prrafodelista"/>
        <w:numPr>
          <w:ilvl w:val="0"/>
          <w:numId w:val="8"/>
        </w:numPr>
        <w:jc w:val="both"/>
        <w:rPr>
          <w:sz w:val="20"/>
          <w:szCs w:val="20"/>
        </w:rPr>
      </w:pPr>
      <w:r w:rsidRPr="005B0CFD">
        <w:rPr>
          <w:sz w:val="20"/>
          <w:szCs w:val="20"/>
        </w:rPr>
        <w:t>Precio FOB estimado de la caja de banano determinado por la Administración Tributaria</w:t>
      </w:r>
    </w:p>
    <w:p w:rsidR="00AA3C8B" w:rsidRPr="005B0CFD" w:rsidRDefault="00AA3C8B" w:rsidP="00B374AD">
      <w:pPr>
        <w:pStyle w:val="Prrafodelista"/>
        <w:numPr>
          <w:ilvl w:val="0"/>
          <w:numId w:val="8"/>
        </w:numPr>
        <w:jc w:val="both"/>
        <w:rPr>
          <w:sz w:val="20"/>
          <w:szCs w:val="20"/>
        </w:rPr>
      </w:pPr>
      <w:r w:rsidRPr="005B0CFD">
        <w:rPr>
          <w:sz w:val="20"/>
          <w:szCs w:val="20"/>
        </w:rPr>
        <w:t>Ajuste por precio de transferencia determinado por la Administración Tributaria</w:t>
      </w:r>
    </w:p>
    <w:p w:rsidR="00AA3C8B" w:rsidRPr="005B0CFD" w:rsidRDefault="00AA3C8B" w:rsidP="00B374AD">
      <w:pPr>
        <w:pStyle w:val="Prrafodelista"/>
        <w:numPr>
          <w:ilvl w:val="0"/>
          <w:numId w:val="8"/>
        </w:numPr>
        <w:jc w:val="both"/>
        <w:rPr>
          <w:sz w:val="20"/>
          <w:szCs w:val="20"/>
        </w:rPr>
      </w:pPr>
      <w:r w:rsidRPr="005B0CFD">
        <w:rPr>
          <w:sz w:val="20"/>
          <w:szCs w:val="20"/>
        </w:rPr>
        <w:t>Si se consideran los siguientes precios a valores de mercado, cuál sería el ajuste por precios de transferencia:</w:t>
      </w:r>
    </w:p>
    <w:p w:rsidR="00AA3C8B" w:rsidRPr="005B0CFD" w:rsidRDefault="00AA3C8B" w:rsidP="00B374AD">
      <w:pPr>
        <w:pStyle w:val="Prrafodelista"/>
        <w:numPr>
          <w:ilvl w:val="1"/>
          <w:numId w:val="8"/>
        </w:numPr>
        <w:jc w:val="both"/>
        <w:rPr>
          <w:sz w:val="20"/>
          <w:szCs w:val="20"/>
        </w:rPr>
      </w:pPr>
      <w:r w:rsidRPr="005B0CFD">
        <w:rPr>
          <w:sz w:val="20"/>
          <w:szCs w:val="20"/>
        </w:rPr>
        <w:t>Documentos de embarque del Flete marítimo a Estados Unidos para la costa este de: $ 5.000 y para la costa oeste de $ 4.800 por contenedor de 20 pies en ambos casos, que transporta 960 cajas de banano. En el caso de Europa, el flete marítimo es de aproximadamente $ 7.500</w:t>
      </w:r>
    </w:p>
    <w:p w:rsidR="00AA3C8B" w:rsidRPr="005B0CFD" w:rsidRDefault="00AA3C8B" w:rsidP="00B374AD">
      <w:pPr>
        <w:pStyle w:val="Prrafodelista"/>
        <w:numPr>
          <w:ilvl w:val="1"/>
          <w:numId w:val="8"/>
        </w:numPr>
        <w:jc w:val="both"/>
        <w:rPr>
          <w:sz w:val="20"/>
          <w:szCs w:val="20"/>
        </w:rPr>
      </w:pPr>
      <w:r w:rsidRPr="005B0CFD">
        <w:rPr>
          <w:sz w:val="20"/>
          <w:szCs w:val="20"/>
        </w:rPr>
        <w:t>Seguro, calculado como un porcentaje equivalente al 0,3% del valor CIF.</w:t>
      </w:r>
    </w:p>
    <w:p w:rsidR="00AA3C8B" w:rsidRPr="005B0CFD" w:rsidRDefault="00AA3C8B" w:rsidP="00B374AD">
      <w:pPr>
        <w:pStyle w:val="Prrafodelista"/>
        <w:numPr>
          <w:ilvl w:val="1"/>
          <w:numId w:val="8"/>
        </w:numPr>
        <w:jc w:val="both"/>
        <w:rPr>
          <w:sz w:val="20"/>
          <w:szCs w:val="20"/>
        </w:rPr>
      </w:pPr>
      <w:r w:rsidRPr="005B0CFD">
        <w:rPr>
          <w:sz w:val="20"/>
          <w:szCs w:val="20"/>
        </w:rPr>
        <w:t>Tránsito por el canal de Panamá, considerando el costo del peaje para la carga refrigerada por un valor de $ 0.45 por caja.</w:t>
      </w:r>
    </w:p>
    <w:p w:rsidR="00AA3C8B" w:rsidRPr="005B0CFD" w:rsidRDefault="00AA3C8B" w:rsidP="00B374AD">
      <w:pPr>
        <w:pStyle w:val="Prrafodelista"/>
        <w:numPr>
          <w:ilvl w:val="1"/>
          <w:numId w:val="8"/>
        </w:numPr>
        <w:jc w:val="both"/>
        <w:rPr>
          <w:sz w:val="20"/>
          <w:szCs w:val="20"/>
        </w:rPr>
      </w:pPr>
      <w:r w:rsidRPr="005B0CFD">
        <w:rPr>
          <w:sz w:val="20"/>
          <w:szCs w:val="20"/>
        </w:rPr>
        <w:t xml:space="preserve">Otros gastos adicionales relacionados a la logística, comercialización y puertos de $ 3.50 por caja. </w:t>
      </w:r>
    </w:p>
    <w:p w:rsidR="007944C0" w:rsidRPr="005B0CFD" w:rsidRDefault="007944C0" w:rsidP="007944C0">
      <w:pPr>
        <w:pStyle w:val="Prrafodelista"/>
        <w:numPr>
          <w:ilvl w:val="0"/>
          <w:numId w:val="1"/>
        </w:numPr>
        <w:jc w:val="both"/>
        <w:rPr>
          <w:rFonts w:cstheme="minorHAnsi"/>
          <w:b/>
          <w:sz w:val="20"/>
          <w:szCs w:val="20"/>
        </w:rPr>
      </w:pPr>
      <w:r w:rsidRPr="005B0CFD">
        <w:rPr>
          <w:rFonts w:cstheme="minorHAnsi"/>
          <w:b/>
          <w:sz w:val="20"/>
          <w:szCs w:val="20"/>
        </w:rPr>
        <w:t>CASO ENRON Y CASO PUBLIFAST</w:t>
      </w:r>
    </w:p>
    <w:p w:rsidR="007944C0" w:rsidRPr="005B0CFD" w:rsidRDefault="007944C0" w:rsidP="007944C0">
      <w:pPr>
        <w:pStyle w:val="Prrafodelista"/>
        <w:numPr>
          <w:ilvl w:val="0"/>
          <w:numId w:val="7"/>
        </w:numPr>
        <w:jc w:val="both"/>
        <w:rPr>
          <w:sz w:val="20"/>
          <w:szCs w:val="20"/>
        </w:rPr>
      </w:pPr>
      <w:r w:rsidRPr="005B0CFD">
        <w:rPr>
          <w:sz w:val="20"/>
          <w:szCs w:val="20"/>
        </w:rPr>
        <w:t>¿Cómo está normado este tipo de caso  de acuerdo a las NIA?</w:t>
      </w:r>
    </w:p>
    <w:p w:rsidR="007944C0" w:rsidRPr="005B0CFD" w:rsidRDefault="007944C0" w:rsidP="007944C0">
      <w:pPr>
        <w:pStyle w:val="Prrafodelista"/>
        <w:numPr>
          <w:ilvl w:val="0"/>
          <w:numId w:val="7"/>
        </w:numPr>
        <w:jc w:val="both"/>
        <w:rPr>
          <w:sz w:val="20"/>
          <w:szCs w:val="20"/>
        </w:rPr>
      </w:pPr>
      <w:r w:rsidRPr="005B0CFD">
        <w:rPr>
          <w:sz w:val="20"/>
          <w:szCs w:val="20"/>
        </w:rPr>
        <w:t>¿Cómo se manejo el criterio de independencia del auditor y su posible impacto en la caída de la empresa, que otros valores a nivel de directivos y auditores se comprometieron?</w:t>
      </w:r>
    </w:p>
    <w:p w:rsidR="007944C0" w:rsidRPr="005B0CFD" w:rsidRDefault="007944C0" w:rsidP="007944C0">
      <w:pPr>
        <w:pStyle w:val="Prrafodelista"/>
        <w:numPr>
          <w:ilvl w:val="0"/>
          <w:numId w:val="7"/>
        </w:numPr>
        <w:jc w:val="both"/>
        <w:rPr>
          <w:sz w:val="20"/>
          <w:szCs w:val="20"/>
        </w:rPr>
      </w:pPr>
      <w:r w:rsidRPr="005B0CFD">
        <w:rPr>
          <w:sz w:val="20"/>
          <w:szCs w:val="20"/>
        </w:rPr>
        <w:t>¿Puede una empresa auditora como ARTHUR ANDERSEN  en el estudio de este caso, ofrecer otro tipo de servicios, que representan una parte sustancial de sus ingresos, sin perder la independencia esencial que su función de auditor le demanda?</w:t>
      </w:r>
    </w:p>
    <w:p w:rsidR="007944C0" w:rsidRPr="005B0CFD" w:rsidRDefault="007944C0" w:rsidP="007944C0">
      <w:pPr>
        <w:pStyle w:val="Prrafodelista"/>
        <w:numPr>
          <w:ilvl w:val="0"/>
          <w:numId w:val="7"/>
        </w:numPr>
        <w:jc w:val="both"/>
        <w:rPr>
          <w:sz w:val="20"/>
          <w:szCs w:val="20"/>
        </w:rPr>
      </w:pPr>
      <w:r w:rsidRPr="005B0CFD">
        <w:rPr>
          <w:sz w:val="20"/>
          <w:szCs w:val="20"/>
        </w:rPr>
        <w:t xml:space="preserve">¿Cómo se origina </w:t>
      </w:r>
      <w:r w:rsidRPr="005B0CFD">
        <w:rPr>
          <w:sz w:val="20"/>
          <w:szCs w:val="20"/>
        </w:rPr>
        <w:t xml:space="preserve">la presunción de un </w:t>
      </w:r>
      <w:r w:rsidRPr="005B0CFD">
        <w:rPr>
          <w:sz w:val="20"/>
          <w:szCs w:val="20"/>
        </w:rPr>
        <w:t xml:space="preserve"> fraude piramidal</w:t>
      </w:r>
      <w:r w:rsidRPr="005B0CFD">
        <w:rPr>
          <w:sz w:val="20"/>
          <w:szCs w:val="20"/>
        </w:rPr>
        <w:t xml:space="preserve"> en el caso de </w:t>
      </w:r>
      <w:proofErr w:type="spellStart"/>
      <w:r w:rsidRPr="005B0CFD">
        <w:rPr>
          <w:sz w:val="20"/>
          <w:szCs w:val="20"/>
        </w:rPr>
        <w:t>Publifast</w:t>
      </w:r>
      <w:proofErr w:type="spellEnd"/>
      <w:r w:rsidRPr="005B0CFD">
        <w:rPr>
          <w:sz w:val="20"/>
          <w:szCs w:val="20"/>
        </w:rPr>
        <w:t>?</w:t>
      </w:r>
    </w:p>
    <w:p w:rsidR="00B374AD" w:rsidRPr="005B0CFD" w:rsidRDefault="007944C0" w:rsidP="007944C0">
      <w:pPr>
        <w:pStyle w:val="Prrafodelista"/>
        <w:numPr>
          <w:ilvl w:val="0"/>
          <w:numId w:val="7"/>
        </w:numPr>
        <w:jc w:val="both"/>
        <w:rPr>
          <w:sz w:val="20"/>
          <w:szCs w:val="20"/>
        </w:rPr>
      </w:pPr>
      <w:r w:rsidRPr="005B0CFD">
        <w:rPr>
          <w:sz w:val="20"/>
          <w:szCs w:val="20"/>
        </w:rPr>
        <w:t xml:space="preserve">¿Cómo funcionan los esquemas </w:t>
      </w:r>
      <w:proofErr w:type="spellStart"/>
      <w:r w:rsidRPr="005B0CFD">
        <w:rPr>
          <w:sz w:val="20"/>
          <w:szCs w:val="20"/>
        </w:rPr>
        <w:t>Ponzi</w:t>
      </w:r>
      <w:proofErr w:type="spellEnd"/>
      <w:r w:rsidRPr="005B0CFD">
        <w:rPr>
          <w:sz w:val="20"/>
          <w:szCs w:val="20"/>
        </w:rPr>
        <w:t xml:space="preserve"> </w:t>
      </w:r>
      <w:r w:rsidRPr="005B0CFD">
        <w:rPr>
          <w:sz w:val="20"/>
          <w:szCs w:val="20"/>
        </w:rPr>
        <w:t>en la captación de clientes</w:t>
      </w:r>
      <w:r w:rsidR="00B374AD" w:rsidRPr="005B0CFD">
        <w:rPr>
          <w:sz w:val="20"/>
          <w:szCs w:val="20"/>
        </w:rPr>
        <w:t>?</w:t>
      </w:r>
    </w:p>
    <w:p w:rsidR="005B0CFD" w:rsidRDefault="005B0CFD" w:rsidP="005B0CFD">
      <w:pPr>
        <w:pStyle w:val="Prrafodelista"/>
        <w:jc w:val="both"/>
        <w:rPr>
          <w:rFonts w:cstheme="minorHAnsi"/>
          <w:sz w:val="20"/>
          <w:szCs w:val="20"/>
        </w:rPr>
      </w:pPr>
    </w:p>
    <w:p w:rsidR="005B0CFD" w:rsidRDefault="005B0CFD" w:rsidP="00AA3C8B">
      <w:pPr>
        <w:pStyle w:val="Prrafodelista"/>
        <w:numPr>
          <w:ilvl w:val="0"/>
          <w:numId w:val="1"/>
        </w:numPr>
        <w:jc w:val="both"/>
        <w:rPr>
          <w:rFonts w:cstheme="minorHAnsi"/>
          <w:sz w:val="20"/>
          <w:szCs w:val="20"/>
        </w:rPr>
      </w:pPr>
      <w:r w:rsidRPr="005B0CFD">
        <w:rPr>
          <w:rFonts w:cstheme="minorHAnsi"/>
          <w:b/>
          <w:sz w:val="20"/>
          <w:szCs w:val="20"/>
        </w:rPr>
        <w:t>CASO DEFRAUDACIÓN TRIBUTARIA</w:t>
      </w:r>
      <w:r>
        <w:rPr>
          <w:rFonts w:cstheme="minorHAnsi"/>
          <w:sz w:val="20"/>
          <w:szCs w:val="20"/>
        </w:rPr>
        <w:t>.</w:t>
      </w:r>
    </w:p>
    <w:p w:rsidR="00B374AD" w:rsidRPr="005B0CFD" w:rsidRDefault="005B0CFD" w:rsidP="005B0CFD">
      <w:pPr>
        <w:pStyle w:val="Prrafodelista"/>
        <w:jc w:val="both"/>
        <w:rPr>
          <w:rFonts w:cstheme="minorHAnsi"/>
          <w:sz w:val="20"/>
          <w:szCs w:val="20"/>
        </w:rPr>
      </w:pPr>
      <w:r>
        <w:rPr>
          <w:rFonts w:cstheme="minorHAnsi"/>
          <w:sz w:val="20"/>
          <w:szCs w:val="20"/>
        </w:rPr>
        <w:t xml:space="preserve"> </w:t>
      </w:r>
      <w:r w:rsidR="00B374AD" w:rsidRPr="005B0CFD">
        <w:rPr>
          <w:rFonts w:cstheme="minorHAnsi"/>
          <w:sz w:val="20"/>
          <w:szCs w:val="20"/>
        </w:rPr>
        <w:t>Al Sr. X  se le conoció como el genio del fraude porque utilizaba los sistemas informáticos con claves secretas, para llevar doble contabilidad de su empresa. Cuando recibió la inspección contable de los funcionarios de la AT y revisaron su servidor, no hallaron evidencia de alguna anomalía, porque la información estaba muy bien oculta en archivos de programa. El contador de la empresa era el único que tenía conocimiento del fraude, sin embargo el Sr. X había tenido cuidado en no enterarlo de las claves. En cierta ocasión se presentó una discusión muy fuerte entre los dos y el contador fue despedido dando pie para que lo denunciara ante la AT, y aunque ignoraba la clave sabia el nombre del archivo y la ruta donde se hallaba, facilitando dicha información. El Sr. X recibió nuevamente la visita del ente fiscalizador confiado en no ser descubierto y aunque no colaboró, los ingenieros investigadores lograron descifrar las claves pertinentes.</w:t>
      </w:r>
    </w:p>
    <w:p w:rsidR="007A52DA" w:rsidRDefault="00B374AD" w:rsidP="005B0CFD">
      <w:pPr>
        <w:pStyle w:val="Prrafodelista"/>
        <w:jc w:val="both"/>
      </w:pPr>
      <w:r w:rsidRPr="005B0CFD">
        <w:rPr>
          <w:rFonts w:cstheme="minorHAnsi"/>
          <w:sz w:val="20"/>
          <w:szCs w:val="20"/>
        </w:rPr>
        <w:t xml:space="preserve">Explique con fundamentos de </w:t>
      </w:r>
      <w:r w:rsidR="005B0CFD">
        <w:rPr>
          <w:rFonts w:cstheme="minorHAnsi"/>
          <w:sz w:val="20"/>
          <w:szCs w:val="20"/>
        </w:rPr>
        <w:t xml:space="preserve">hecho y de </w:t>
      </w:r>
      <w:r w:rsidRPr="005B0CFD">
        <w:rPr>
          <w:rFonts w:cstheme="minorHAnsi"/>
          <w:sz w:val="20"/>
          <w:szCs w:val="20"/>
        </w:rPr>
        <w:t>derecho</w:t>
      </w:r>
      <w:r w:rsidR="005B0CFD">
        <w:rPr>
          <w:rFonts w:cstheme="minorHAnsi"/>
          <w:sz w:val="20"/>
          <w:szCs w:val="20"/>
        </w:rPr>
        <w:t xml:space="preserve"> </w:t>
      </w:r>
      <w:r w:rsidRPr="005B0CFD">
        <w:rPr>
          <w:rFonts w:cstheme="minorHAnsi"/>
          <w:sz w:val="20"/>
          <w:szCs w:val="20"/>
        </w:rPr>
        <w:t xml:space="preserve">las presunciones e implicaciones de una defraudación tributaria y enmarque sus argumentos de acuerdo al COIP. </w:t>
      </w:r>
    </w:p>
    <w:sectPr w:rsidR="007A52DA" w:rsidSect="007A52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35B9"/>
    <w:multiLevelType w:val="hybridMultilevel"/>
    <w:tmpl w:val="8508E9E6"/>
    <w:lvl w:ilvl="0" w:tplc="203B0001">
      <w:start w:val="1"/>
      <w:numFmt w:val="bullet"/>
      <w:lvlText w:val=""/>
      <w:lvlJc w:val="left"/>
      <w:pPr>
        <w:ind w:left="1080" w:hanging="360"/>
      </w:pPr>
      <w:rPr>
        <w:rFonts w:ascii="Symbol" w:hAnsi="Symbol" w:hint="default"/>
      </w:rPr>
    </w:lvl>
    <w:lvl w:ilvl="1" w:tplc="203B0003">
      <w:start w:val="1"/>
      <w:numFmt w:val="bullet"/>
      <w:lvlText w:val="o"/>
      <w:lvlJc w:val="left"/>
      <w:pPr>
        <w:ind w:left="1800" w:hanging="360"/>
      </w:pPr>
      <w:rPr>
        <w:rFonts w:ascii="Courier New" w:hAnsi="Courier New" w:cs="Courier New" w:hint="default"/>
      </w:rPr>
    </w:lvl>
    <w:lvl w:ilvl="2" w:tplc="203B0005" w:tentative="1">
      <w:start w:val="1"/>
      <w:numFmt w:val="bullet"/>
      <w:lvlText w:val=""/>
      <w:lvlJc w:val="left"/>
      <w:pPr>
        <w:ind w:left="2520" w:hanging="360"/>
      </w:pPr>
      <w:rPr>
        <w:rFonts w:ascii="Wingdings" w:hAnsi="Wingdings" w:hint="default"/>
      </w:rPr>
    </w:lvl>
    <w:lvl w:ilvl="3" w:tplc="203B0001" w:tentative="1">
      <w:start w:val="1"/>
      <w:numFmt w:val="bullet"/>
      <w:lvlText w:val=""/>
      <w:lvlJc w:val="left"/>
      <w:pPr>
        <w:ind w:left="3240" w:hanging="360"/>
      </w:pPr>
      <w:rPr>
        <w:rFonts w:ascii="Symbol" w:hAnsi="Symbol" w:hint="default"/>
      </w:rPr>
    </w:lvl>
    <w:lvl w:ilvl="4" w:tplc="203B0003" w:tentative="1">
      <w:start w:val="1"/>
      <w:numFmt w:val="bullet"/>
      <w:lvlText w:val="o"/>
      <w:lvlJc w:val="left"/>
      <w:pPr>
        <w:ind w:left="3960" w:hanging="360"/>
      </w:pPr>
      <w:rPr>
        <w:rFonts w:ascii="Courier New" w:hAnsi="Courier New" w:cs="Courier New" w:hint="default"/>
      </w:rPr>
    </w:lvl>
    <w:lvl w:ilvl="5" w:tplc="203B0005" w:tentative="1">
      <w:start w:val="1"/>
      <w:numFmt w:val="bullet"/>
      <w:lvlText w:val=""/>
      <w:lvlJc w:val="left"/>
      <w:pPr>
        <w:ind w:left="4680" w:hanging="360"/>
      </w:pPr>
      <w:rPr>
        <w:rFonts w:ascii="Wingdings" w:hAnsi="Wingdings" w:hint="default"/>
      </w:rPr>
    </w:lvl>
    <w:lvl w:ilvl="6" w:tplc="203B0001" w:tentative="1">
      <w:start w:val="1"/>
      <w:numFmt w:val="bullet"/>
      <w:lvlText w:val=""/>
      <w:lvlJc w:val="left"/>
      <w:pPr>
        <w:ind w:left="5400" w:hanging="360"/>
      </w:pPr>
      <w:rPr>
        <w:rFonts w:ascii="Symbol" w:hAnsi="Symbol" w:hint="default"/>
      </w:rPr>
    </w:lvl>
    <w:lvl w:ilvl="7" w:tplc="203B0003" w:tentative="1">
      <w:start w:val="1"/>
      <w:numFmt w:val="bullet"/>
      <w:lvlText w:val="o"/>
      <w:lvlJc w:val="left"/>
      <w:pPr>
        <w:ind w:left="6120" w:hanging="360"/>
      </w:pPr>
      <w:rPr>
        <w:rFonts w:ascii="Courier New" w:hAnsi="Courier New" w:cs="Courier New" w:hint="default"/>
      </w:rPr>
    </w:lvl>
    <w:lvl w:ilvl="8" w:tplc="203B0005" w:tentative="1">
      <w:start w:val="1"/>
      <w:numFmt w:val="bullet"/>
      <w:lvlText w:val=""/>
      <w:lvlJc w:val="left"/>
      <w:pPr>
        <w:ind w:left="6840" w:hanging="360"/>
      </w:pPr>
      <w:rPr>
        <w:rFonts w:ascii="Wingdings" w:hAnsi="Wingdings" w:hint="default"/>
      </w:rPr>
    </w:lvl>
  </w:abstractNum>
  <w:abstractNum w:abstractNumId="1">
    <w:nsid w:val="05193146"/>
    <w:multiLevelType w:val="hybridMultilevel"/>
    <w:tmpl w:val="DBE22798"/>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5A33D0C"/>
    <w:multiLevelType w:val="hybridMultilevel"/>
    <w:tmpl w:val="A4CCB61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19F04F73"/>
    <w:multiLevelType w:val="hybridMultilevel"/>
    <w:tmpl w:val="5F5836E4"/>
    <w:lvl w:ilvl="0" w:tplc="47BAF9B4">
      <w:start w:val="1"/>
      <w:numFmt w:val="decimal"/>
      <w:lvlText w:val="%1."/>
      <w:lvlJc w:val="left"/>
      <w:pPr>
        <w:ind w:left="720" w:hanging="360"/>
      </w:pPr>
      <w:rPr>
        <w:rFonts w:hint="default"/>
      </w:rPr>
    </w:lvl>
    <w:lvl w:ilvl="1" w:tplc="203B0019">
      <w:start w:val="1"/>
      <w:numFmt w:val="lowerLetter"/>
      <w:lvlText w:val="%2."/>
      <w:lvlJc w:val="left"/>
      <w:pPr>
        <w:ind w:left="1440" w:hanging="360"/>
      </w:pPr>
    </w:lvl>
    <w:lvl w:ilvl="2" w:tplc="203B001B" w:tentative="1">
      <w:start w:val="1"/>
      <w:numFmt w:val="lowerRoman"/>
      <w:lvlText w:val="%3."/>
      <w:lvlJc w:val="right"/>
      <w:pPr>
        <w:ind w:left="2160" w:hanging="180"/>
      </w:pPr>
    </w:lvl>
    <w:lvl w:ilvl="3" w:tplc="203B000F" w:tentative="1">
      <w:start w:val="1"/>
      <w:numFmt w:val="decimal"/>
      <w:lvlText w:val="%4."/>
      <w:lvlJc w:val="left"/>
      <w:pPr>
        <w:ind w:left="2880" w:hanging="360"/>
      </w:pPr>
    </w:lvl>
    <w:lvl w:ilvl="4" w:tplc="203B0019" w:tentative="1">
      <w:start w:val="1"/>
      <w:numFmt w:val="lowerLetter"/>
      <w:lvlText w:val="%5."/>
      <w:lvlJc w:val="left"/>
      <w:pPr>
        <w:ind w:left="3600" w:hanging="360"/>
      </w:pPr>
    </w:lvl>
    <w:lvl w:ilvl="5" w:tplc="203B001B" w:tentative="1">
      <w:start w:val="1"/>
      <w:numFmt w:val="lowerRoman"/>
      <w:lvlText w:val="%6."/>
      <w:lvlJc w:val="right"/>
      <w:pPr>
        <w:ind w:left="4320" w:hanging="180"/>
      </w:pPr>
    </w:lvl>
    <w:lvl w:ilvl="6" w:tplc="203B000F" w:tentative="1">
      <w:start w:val="1"/>
      <w:numFmt w:val="decimal"/>
      <w:lvlText w:val="%7."/>
      <w:lvlJc w:val="left"/>
      <w:pPr>
        <w:ind w:left="5040" w:hanging="360"/>
      </w:pPr>
    </w:lvl>
    <w:lvl w:ilvl="7" w:tplc="203B0019" w:tentative="1">
      <w:start w:val="1"/>
      <w:numFmt w:val="lowerLetter"/>
      <w:lvlText w:val="%8."/>
      <w:lvlJc w:val="left"/>
      <w:pPr>
        <w:ind w:left="5760" w:hanging="360"/>
      </w:pPr>
    </w:lvl>
    <w:lvl w:ilvl="8" w:tplc="203B001B" w:tentative="1">
      <w:start w:val="1"/>
      <w:numFmt w:val="lowerRoman"/>
      <w:lvlText w:val="%9."/>
      <w:lvlJc w:val="right"/>
      <w:pPr>
        <w:ind w:left="6480" w:hanging="180"/>
      </w:pPr>
    </w:lvl>
  </w:abstractNum>
  <w:abstractNum w:abstractNumId="4">
    <w:nsid w:val="306E2B07"/>
    <w:multiLevelType w:val="hybridMultilevel"/>
    <w:tmpl w:val="C80059D6"/>
    <w:lvl w:ilvl="0" w:tplc="300A0019">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59415B7F"/>
    <w:multiLevelType w:val="hybridMultilevel"/>
    <w:tmpl w:val="DCCC180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68CA69C1"/>
    <w:multiLevelType w:val="hybridMultilevel"/>
    <w:tmpl w:val="AFDAAC68"/>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6ACC7403"/>
    <w:multiLevelType w:val="hybridMultilevel"/>
    <w:tmpl w:val="F9561C5E"/>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6"/>
  </w:num>
  <w:num w:numId="5">
    <w:abstractNumId w:val="1"/>
  </w:num>
  <w:num w:numId="6">
    <w:abstractNumId w:val="2"/>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AA3C8B"/>
    <w:rsid w:val="000A0C70"/>
    <w:rsid w:val="000D17B6"/>
    <w:rsid w:val="0014556C"/>
    <w:rsid w:val="001D68D6"/>
    <w:rsid w:val="001E488E"/>
    <w:rsid w:val="00222821"/>
    <w:rsid w:val="0031662D"/>
    <w:rsid w:val="004A2B9B"/>
    <w:rsid w:val="005B0CFD"/>
    <w:rsid w:val="006614FB"/>
    <w:rsid w:val="006879ED"/>
    <w:rsid w:val="006B40BF"/>
    <w:rsid w:val="006E743C"/>
    <w:rsid w:val="007933EB"/>
    <w:rsid w:val="007944C0"/>
    <w:rsid w:val="007A0165"/>
    <w:rsid w:val="007A52DA"/>
    <w:rsid w:val="007B65F5"/>
    <w:rsid w:val="0086139F"/>
    <w:rsid w:val="00A8221B"/>
    <w:rsid w:val="00AA3C8B"/>
    <w:rsid w:val="00B374AD"/>
    <w:rsid w:val="00B94963"/>
    <w:rsid w:val="00BC0A73"/>
    <w:rsid w:val="00BC25C7"/>
    <w:rsid w:val="00BF4F70"/>
    <w:rsid w:val="00C73D45"/>
    <w:rsid w:val="00CD6593"/>
    <w:rsid w:val="00D14023"/>
    <w:rsid w:val="00D33547"/>
    <w:rsid w:val="00D87A41"/>
    <w:rsid w:val="00E77C03"/>
    <w:rsid w:val="00FA0705"/>
  </w:rsids>
  <m:mathPr>
    <m:mathFont m:val="Cambria Math"/>
    <m:brkBin m:val="before"/>
    <m:brkBinSub m:val="--"/>
    <m:smallFrac m:val="off"/>
    <m:dispDef/>
    <m:lMargin m:val="0"/>
    <m:rMargin m:val="0"/>
    <m:defJc m:val="centerGroup"/>
    <m:wrapIndent m:val="1440"/>
    <m:intLim m:val="subSup"/>
    <m:naryLim m:val="undOvr"/>
  </m:mathPr>
  <w:themeFontLang w:val="sms-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ms-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C8B"/>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3C8B"/>
    <w:pPr>
      <w:ind w:left="720"/>
      <w:contextualSpacing/>
    </w:pPr>
  </w:style>
  <w:style w:type="table" w:styleId="Tablaconcuadrcula">
    <w:name w:val="Table Grid"/>
    <w:basedOn w:val="Tablanormal"/>
    <w:uiPriority w:val="59"/>
    <w:rsid w:val="00AA3C8B"/>
    <w:pPr>
      <w:spacing w:after="0" w:line="240" w:lineRule="auto"/>
    </w:pPr>
    <w:rPr>
      <w:lang w:val="es-EC"/>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854</Words>
  <Characters>4870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Freddy Parra</dc:creator>
  <cp:lastModifiedBy>Freddy Parra</cp:lastModifiedBy>
  <cp:revision>2</cp:revision>
  <dcterms:created xsi:type="dcterms:W3CDTF">2015-09-06T02:33:00Z</dcterms:created>
  <dcterms:modified xsi:type="dcterms:W3CDTF">2015-09-06T02:33:00Z</dcterms:modified>
</cp:coreProperties>
</file>