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CF" w:rsidRDefault="005B3DCF" w:rsidP="005B3DCF"/>
    <w:p w:rsidR="005B3DCF" w:rsidRDefault="005B3DCF" w:rsidP="005B3DCF">
      <w:r w:rsidRPr="005B3DCF">
        <w:drawing>
          <wp:inline distT="0" distB="0" distL="0" distR="0">
            <wp:extent cx="6000750" cy="9239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2888" cy="924254"/>
                    </a:xfrm>
                    <a:prstGeom prst="rect">
                      <a:avLst/>
                    </a:prstGeom>
                    <a:noFill/>
                    <a:ln>
                      <a:noFill/>
                    </a:ln>
                  </pic:spPr>
                </pic:pic>
              </a:graphicData>
            </a:graphic>
          </wp:inline>
        </w:drawing>
      </w:r>
    </w:p>
    <w:p w:rsidR="005B3DCF" w:rsidRDefault="005B3DCF" w:rsidP="004467F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COMPROMISO DE HONOR</w:t>
      </w:r>
      <w:r w:rsidRPr="005B3DCF">
        <w:rPr>
          <w:rFonts w:ascii="Calibri" w:eastAsia="Times New Roman" w:hAnsi="Calibri" w:cs="Arial"/>
          <w:color w:val="000000"/>
          <w:sz w:val="24"/>
          <w:szCs w:val="24"/>
          <w:lang w:eastAsia="es-EC"/>
        </w:rPr>
        <w:b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5B3DCF">
        <w:rPr>
          <w:rFonts w:ascii="Calibri" w:eastAsia="Times New Roman" w:hAnsi="Calibri" w:cs="Arial"/>
          <w:color w:val="000000"/>
          <w:sz w:val="24"/>
          <w:szCs w:val="24"/>
          <w:lang w:eastAsia="es-EC"/>
        </w:rPr>
        <w:br/>
        <w:t>Firmo al pie del presente compromiso, como constancia de haber leído y aceptar la declaración anterior.</w:t>
      </w:r>
      <w:r w:rsidRPr="005B3DCF">
        <w:rPr>
          <w:rFonts w:ascii="Calibri" w:eastAsia="Times New Roman" w:hAnsi="Calibri" w:cs="Arial"/>
          <w:color w:val="000000"/>
          <w:sz w:val="24"/>
          <w:szCs w:val="24"/>
          <w:lang w:eastAsia="es-EC"/>
        </w:rPr>
        <w:br/>
      </w:r>
      <w:r w:rsidRPr="005B3DCF">
        <w:rPr>
          <w:rFonts w:ascii="Calibri" w:eastAsia="Times New Roman" w:hAnsi="Calibri" w:cs="Arial"/>
          <w:color w:val="000000"/>
          <w:sz w:val="24"/>
          <w:szCs w:val="24"/>
          <w:lang w:eastAsia="es-EC"/>
        </w:rPr>
        <w:br/>
      </w:r>
      <w:r w:rsidRPr="005B3DCF">
        <w:rPr>
          <w:rFonts w:ascii="Calibri" w:eastAsia="Times New Roman" w:hAnsi="Calibri" w:cs="Arial"/>
          <w:color w:val="000000"/>
          <w:sz w:val="24"/>
          <w:szCs w:val="24"/>
          <w:lang w:eastAsia="es-EC"/>
        </w:rPr>
        <w:br/>
        <w:t xml:space="preserve">                        FIRMA                   NÚMERO DE MATRÍCULA:…………..…… PARALELO:….......</w:t>
      </w:r>
    </w:p>
    <w:p w:rsidR="004467FF" w:rsidRDefault="004467FF" w:rsidP="004467FF">
      <w:pPr>
        <w:spacing w:after="0" w:line="240" w:lineRule="auto"/>
        <w:jc w:val="both"/>
        <w:rPr>
          <w:rFonts w:ascii="Calibri" w:eastAsia="Times New Roman" w:hAnsi="Calibri" w:cs="Arial"/>
          <w:color w:val="000000"/>
          <w:sz w:val="24"/>
          <w:szCs w:val="24"/>
          <w:lang w:eastAsia="es-EC"/>
        </w:rPr>
      </w:pPr>
    </w:p>
    <w:p w:rsidR="004467FF" w:rsidRPr="005B3DCF" w:rsidRDefault="004467FF" w:rsidP="004467FF">
      <w:pPr>
        <w:spacing w:after="0" w:line="240" w:lineRule="auto"/>
        <w:jc w:val="both"/>
        <w:rPr>
          <w:rFonts w:ascii="Calibri" w:eastAsia="Times New Roman" w:hAnsi="Calibri" w:cs="Arial"/>
          <w:color w:val="000000"/>
          <w:sz w:val="24"/>
          <w:szCs w:val="24"/>
          <w:lang w:eastAsia="es-EC"/>
        </w:rPr>
      </w:pPr>
    </w:p>
    <w:tbl>
      <w:tblPr>
        <w:tblW w:w="9480" w:type="dxa"/>
        <w:tblCellMar>
          <w:left w:w="70" w:type="dxa"/>
          <w:right w:w="70" w:type="dxa"/>
        </w:tblCellMar>
        <w:tblLook w:val="04A0" w:firstRow="1" w:lastRow="0" w:firstColumn="1" w:lastColumn="0" w:noHBand="0" w:noVBand="1"/>
      </w:tblPr>
      <w:tblGrid>
        <w:gridCol w:w="600"/>
        <w:gridCol w:w="1860"/>
        <w:gridCol w:w="1540"/>
        <w:gridCol w:w="1220"/>
        <w:gridCol w:w="1120"/>
        <w:gridCol w:w="1600"/>
        <w:gridCol w:w="1540"/>
      </w:tblGrid>
      <w:tr w:rsidR="005B3DCF" w:rsidRPr="005B3DCF" w:rsidTr="005B3DCF">
        <w:trPr>
          <w:trHeight w:val="645"/>
        </w:trPr>
        <w:tc>
          <w:tcPr>
            <w:tcW w:w="600" w:type="dxa"/>
            <w:tcBorders>
              <w:top w:val="nil"/>
              <w:left w:val="nil"/>
              <w:bottom w:val="nil"/>
              <w:right w:val="nil"/>
            </w:tcBorders>
            <w:shd w:val="clear" w:color="auto" w:fill="auto"/>
            <w:hideMark/>
          </w:tcPr>
          <w:p w:rsidR="004467FF" w:rsidRDefault="004467FF" w:rsidP="005B3DCF">
            <w:pPr>
              <w:spacing w:after="0" w:line="240" w:lineRule="auto"/>
              <w:jc w:val="both"/>
              <w:rPr>
                <w:rFonts w:ascii="Calibri" w:eastAsia="Times New Roman" w:hAnsi="Calibri" w:cs="Arial"/>
                <w:b/>
                <w:bCs/>
                <w:sz w:val="24"/>
                <w:szCs w:val="24"/>
                <w:lang w:eastAsia="es-EC"/>
              </w:rPr>
            </w:pPr>
          </w:p>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xml:space="preserve">1.-    </w:t>
            </w:r>
          </w:p>
        </w:tc>
        <w:tc>
          <w:tcPr>
            <w:tcW w:w="8880" w:type="dxa"/>
            <w:gridSpan w:val="6"/>
            <w:tcBorders>
              <w:top w:val="nil"/>
              <w:left w:val="nil"/>
              <w:bottom w:val="nil"/>
              <w:right w:val="nil"/>
            </w:tcBorders>
            <w:shd w:val="clear" w:color="auto" w:fill="auto"/>
            <w:hideMark/>
          </w:tcPr>
          <w:p w:rsid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TEORÍA.- ELIJA LA MEJOR RESPUESTA - OBJETIVOS Y PROCEDIMIENTOS DE AUDITORÍA (10 PUNTOS)</w:t>
            </w:r>
          </w:p>
          <w:p w:rsidR="004467FF" w:rsidRPr="005B3DCF" w:rsidRDefault="004467FF" w:rsidP="005B3DCF">
            <w:pPr>
              <w:spacing w:after="0" w:line="240" w:lineRule="auto"/>
              <w:jc w:val="both"/>
              <w:rPr>
                <w:rFonts w:ascii="Calibri" w:eastAsia="Times New Roman" w:hAnsi="Calibri" w:cs="Arial"/>
                <w:b/>
                <w:bCs/>
                <w:sz w:val="24"/>
                <w:szCs w:val="24"/>
                <w:lang w:eastAsia="es-EC"/>
              </w:rPr>
            </w:pPr>
          </w:p>
        </w:tc>
      </w:tr>
      <w:tr w:rsidR="005B3DCF" w:rsidRPr="005B3DCF" w:rsidTr="005B3DCF">
        <w:trPr>
          <w:trHeight w:val="100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1.-</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Los procedimientos para identificar hechos que puedan requerir ajuste de, o revelación en, los estados financieros, serían realizados tan cerca como sea factible de la fecha del dictamen del auditor y ordinariamente incluyen lo siguiente:</w:t>
            </w:r>
          </w:p>
        </w:tc>
      </w:tr>
      <w:tr w:rsidR="005B3DCF" w:rsidRPr="005B3DCF" w:rsidTr="005B3DCF">
        <w:trPr>
          <w:trHeight w:val="106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Leer minutas de las juntas de accionistas, consejo de directores y comités ejecutivos llevadas a cabo después del final del período e investigar sobre asuntos discutidos en las juntas de las cuales aún no hay minuta disponible.</w:t>
            </w:r>
          </w:p>
        </w:tc>
      </w:tr>
      <w:tr w:rsidR="005B3DCF" w:rsidRPr="005B3DCF" w:rsidTr="005B3DCF">
        <w:trPr>
          <w:trHeight w:val="73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b.</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Investigar, o ampliar las investigaciones previas orales o escritas, con los abogados de la entidad respecto de litigios y reclamos.</w:t>
            </w:r>
          </w:p>
        </w:tc>
      </w:tr>
      <w:tr w:rsidR="005B3DCF" w:rsidRPr="005B3DCF" w:rsidTr="005B3DCF">
        <w:trPr>
          <w:trHeight w:val="72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Investigar con la administración si han ocurrido hechos posteriores que podrían afectar a los Estados Financieros.</w:t>
            </w:r>
          </w:p>
        </w:tc>
      </w:tr>
      <w:tr w:rsidR="005B3DCF" w:rsidRPr="005B3DCF" w:rsidTr="005B3DCF">
        <w:trPr>
          <w:trHeight w:val="70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d.</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Revisar procedimientos que la administración han establecido para asegurar que los hechos posteriores sean identificados.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Todas las anteriores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Default="005B3DCF" w:rsidP="005B3DCF">
            <w:pPr>
              <w:spacing w:after="0" w:line="240" w:lineRule="auto"/>
              <w:jc w:val="both"/>
              <w:rPr>
                <w:rFonts w:ascii="Calibri" w:eastAsia="Times New Roman" w:hAnsi="Calibri" w:cs="Arial"/>
                <w:color w:val="000000"/>
                <w:sz w:val="24"/>
                <w:szCs w:val="24"/>
                <w:lang w:eastAsia="es-EC"/>
              </w:rPr>
            </w:pPr>
          </w:p>
          <w:p w:rsidR="004467FF" w:rsidRDefault="004467FF" w:rsidP="005B3DCF">
            <w:pPr>
              <w:spacing w:after="0" w:line="240" w:lineRule="auto"/>
              <w:jc w:val="both"/>
              <w:rPr>
                <w:rFonts w:ascii="Calibri" w:eastAsia="Times New Roman" w:hAnsi="Calibri" w:cs="Arial"/>
                <w:color w:val="000000"/>
                <w:sz w:val="24"/>
                <w:szCs w:val="24"/>
                <w:lang w:eastAsia="es-EC"/>
              </w:rPr>
            </w:pPr>
          </w:p>
          <w:p w:rsidR="004467FF" w:rsidRDefault="004467FF" w:rsidP="005B3DCF">
            <w:pPr>
              <w:spacing w:after="0" w:line="240" w:lineRule="auto"/>
              <w:jc w:val="both"/>
              <w:rPr>
                <w:rFonts w:ascii="Calibri" w:eastAsia="Times New Roman" w:hAnsi="Calibri" w:cs="Arial"/>
                <w:color w:val="000000"/>
                <w:sz w:val="24"/>
                <w:szCs w:val="24"/>
                <w:lang w:eastAsia="es-EC"/>
              </w:rPr>
            </w:pPr>
          </w:p>
          <w:p w:rsidR="004467FF" w:rsidRPr="005B3DCF" w:rsidRDefault="004467FF" w:rsidP="005B3DCF">
            <w:pPr>
              <w:spacing w:after="0" w:line="240" w:lineRule="auto"/>
              <w:jc w:val="both"/>
              <w:rPr>
                <w:rFonts w:ascii="Calibri" w:eastAsia="Times New Roman" w:hAnsi="Calibri" w:cs="Arial"/>
                <w:color w:val="000000"/>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66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lastRenderedPageBreak/>
              <w:t>2.-</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Con cuál de los siguientes procedimientos el Auditor lograría alcanzar el objetivo de verificar la existencia de la deuda que devenga intereses:</w:t>
            </w:r>
          </w:p>
        </w:tc>
      </w:tr>
      <w:tr w:rsidR="005B3DCF" w:rsidRPr="005B3DCF" w:rsidTr="005B3DCF">
        <w:trPr>
          <w:trHeight w:val="69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Confirmar la deuda que devenga intereses con los tenedores o con las terceras partes pertinentes.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b.</w:t>
            </w:r>
          </w:p>
        </w:tc>
        <w:tc>
          <w:tcPr>
            <w:tcW w:w="3400" w:type="dxa"/>
            <w:gridSpan w:val="2"/>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Evaluar el control interno.</w:t>
            </w: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w:t>
            </w:r>
          </w:p>
        </w:tc>
        <w:tc>
          <w:tcPr>
            <w:tcW w:w="3400" w:type="dxa"/>
            <w:gridSpan w:val="2"/>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Ejecutar pruebas de control.</w:t>
            </w: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0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d.</w:t>
            </w:r>
          </w:p>
        </w:tc>
        <w:tc>
          <w:tcPr>
            <w:tcW w:w="8880" w:type="dxa"/>
            <w:gridSpan w:val="6"/>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Revisar  la presentación y revelación de la deuda en los Estados Financieros.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w:t>
            </w:r>
          </w:p>
        </w:tc>
        <w:tc>
          <w:tcPr>
            <w:tcW w:w="3400" w:type="dxa"/>
            <w:gridSpan w:val="2"/>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Ninguna de las anteriores</w:t>
            </w: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13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Default="005B3DCF" w:rsidP="005B3DCF">
            <w:pPr>
              <w:spacing w:after="0" w:line="240" w:lineRule="auto"/>
              <w:jc w:val="both"/>
              <w:rPr>
                <w:rFonts w:ascii="Times New Roman" w:eastAsia="Times New Roman" w:hAnsi="Times New Roman" w:cs="Times New Roman"/>
                <w:sz w:val="20"/>
                <w:szCs w:val="20"/>
                <w:lang w:eastAsia="es-EC"/>
              </w:rPr>
            </w:pPr>
          </w:p>
          <w:p w:rsidR="004467FF" w:rsidRPr="005B3DCF" w:rsidRDefault="004467F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70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3.-</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¿Cuál de las siguientes enunciados son verdaderos, cuando evaluamos aseveraciones equívocas?</w:t>
            </w:r>
          </w:p>
        </w:tc>
      </w:tr>
      <w:tr w:rsidR="005B3DCF" w:rsidRPr="005B3DCF" w:rsidTr="005B3DCF">
        <w:trPr>
          <w:trHeight w:val="1080"/>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No se deben de incluir los ajustes identificados y registrados por la Gerencia ya que estos no son considerados aseveraciones equívocas, sino correcciones realizadas durante el proceso de cierre normal de la gerencia.</w:t>
            </w:r>
          </w:p>
        </w:tc>
      </w:tr>
      <w:tr w:rsidR="005B3DCF" w:rsidRPr="005B3DCF" w:rsidTr="005B3DCF">
        <w:trPr>
          <w:trHeight w:val="64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b.</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Los aseveraciones equívocas  determinadas por el auditor y corregidas por la Compañía,  son acumuladas en la planilla o resumen de ajustes</w:t>
            </w:r>
          </w:p>
        </w:tc>
      </w:tr>
      <w:tr w:rsidR="005B3DCF" w:rsidRPr="005B3DCF" w:rsidTr="005B3DCF">
        <w:trPr>
          <w:trHeight w:val="136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Los encargados de revisar los papeles de trabajo, son responsables de asegurarse que todos las aseveraciones equívocas identificadas que están por encima de nuestro importe nominal , corregidos o no corregidos estén acumulados en la planilla o resumen de ajustes.</w:t>
            </w:r>
          </w:p>
        </w:tc>
      </w:tr>
      <w:tr w:rsidR="005B3DCF" w:rsidRPr="005B3DCF" w:rsidTr="005B3DCF">
        <w:trPr>
          <w:trHeight w:val="31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d.</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Todas las anteriores.</w:t>
            </w:r>
          </w:p>
        </w:tc>
      </w:tr>
      <w:tr w:rsidR="005B3DCF" w:rsidRPr="005B3DCF" w:rsidTr="005B3DCF">
        <w:trPr>
          <w:trHeight w:val="31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Ninguna de las anteriores.</w:t>
            </w:r>
          </w:p>
        </w:tc>
      </w:tr>
      <w:tr w:rsidR="005B3DCF" w:rsidRPr="005B3DCF" w:rsidTr="005B3DCF">
        <w:trPr>
          <w:trHeight w:val="12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109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4.-</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 xml:space="preserve">¿Cuál de las siguientes es la </w:t>
            </w:r>
            <w:r w:rsidRPr="005B3DCF">
              <w:rPr>
                <w:rFonts w:ascii="Calibri" w:eastAsia="Times New Roman" w:hAnsi="Calibri" w:cs="Arial"/>
                <w:i/>
                <w:iCs/>
                <w:color w:val="000000"/>
                <w:sz w:val="24"/>
                <w:szCs w:val="24"/>
                <w:lang w:eastAsia="es-EC"/>
              </w:rPr>
              <w:t>mejor</w:t>
            </w:r>
            <w:r w:rsidRPr="005B3DCF">
              <w:rPr>
                <w:rFonts w:ascii="Calibri" w:eastAsia="Times New Roman" w:hAnsi="Calibri" w:cs="Arial"/>
                <w:color w:val="000000"/>
                <w:sz w:val="24"/>
                <w:szCs w:val="24"/>
                <w:lang w:eastAsia="es-EC"/>
              </w:rPr>
              <w:t xml:space="preserve"> manera en que los auditores pueden determinar que cada uno de los nombres que aparecen en una nómina de una compañía corresponde a un empleado que de buena fe actualmente se encuentra trabajando?</w:t>
            </w:r>
          </w:p>
        </w:tc>
      </w:tr>
      <w:tr w:rsidR="005B3DCF" w:rsidRPr="005B3DCF" w:rsidTr="005B3DCF">
        <w:trPr>
          <w:trHeight w:val="100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 xml:space="preserve"> Analizar los nombres de los empleados que aparecen en las declaraciones de impuestos sobre la renta para verificar su concordancia con los registros contables correspondientes a la nómina.</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b.</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Analizar los registros de recursos humanos en lo relativo a exactitud e integridad.</w:t>
            </w:r>
          </w:p>
        </w:tc>
      </w:tr>
      <w:tr w:rsidR="005B3DCF" w:rsidRPr="005B3DCF" w:rsidTr="005B3DCF">
        <w:trPr>
          <w:trHeight w:val="79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 xml:space="preserve"> A manera de prueba, observar en forma sorpresiva la distribución de cheques de pago que de manera habitual se efectúa en la compañía.</w:t>
            </w:r>
          </w:p>
        </w:tc>
      </w:tr>
      <w:tr w:rsidR="005B3DCF" w:rsidRPr="005B3DCF" w:rsidTr="005B3DCF">
        <w:trPr>
          <w:trHeight w:val="64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d.</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Visitar las áreas de trabajo y verificar que los empleados existen, revisando sus documentos de identidad o sus números de identificación.</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w:t>
            </w:r>
          </w:p>
        </w:tc>
        <w:tc>
          <w:tcPr>
            <w:tcW w:w="8880" w:type="dxa"/>
            <w:gridSpan w:val="6"/>
            <w:tcBorders>
              <w:top w:val="nil"/>
              <w:left w:val="nil"/>
              <w:bottom w:val="nil"/>
              <w:right w:val="nil"/>
            </w:tcBorders>
            <w:shd w:val="clear" w:color="auto" w:fill="auto"/>
            <w:hideMark/>
          </w:tcPr>
          <w:p w:rsidR="004467FF" w:rsidRPr="005B3DCF" w:rsidRDefault="005B3DCF" w:rsidP="00D814BA">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Ninguna de las anteriores.</w:t>
            </w:r>
            <w:bookmarkStart w:id="0" w:name="_GoBack"/>
            <w:bookmarkEnd w:id="0"/>
          </w:p>
        </w:tc>
      </w:tr>
      <w:tr w:rsidR="005B3DCF" w:rsidRPr="005B3DCF" w:rsidTr="005B3DCF">
        <w:trPr>
          <w:trHeight w:val="18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66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5.-</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Para determinar si todas las ventas se registraron, es decir para alcanzar el objetivo de integridad, los auditores deberán escoger una muestra de las transacciones en:</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El mayor auxiliar de cuentas por cobrar.</w:t>
            </w:r>
          </w:p>
        </w:tc>
      </w:tr>
      <w:tr w:rsidR="005B3DCF" w:rsidRPr="005B3DCF" w:rsidTr="005B3DCF">
        <w:trPr>
          <w:trHeight w:val="66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b.</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 xml:space="preserve"> Comprobantes de Egresos de Bodega y  archivo de Guías de Remisión autorizadas por el Servicio de Rentas Internas por la movilización de la mercadería.</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lastRenderedPageBreak/>
              <w:t>c.</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Avisos de Cobros entregados a los clientes morosos.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d.</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El diario de ventas.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e.</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Todas las anteriores</w:t>
            </w:r>
          </w:p>
        </w:tc>
      </w:tr>
      <w:tr w:rsidR="005B3DCF" w:rsidRPr="005B3DCF" w:rsidTr="005B3DCF">
        <w:trPr>
          <w:trHeight w:val="10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2.-</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HECHOS POSTERIORES (10 PUNTOS)</w:t>
            </w:r>
          </w:p>
        </w:tc>
      </w:tr>
      <w:tr w:rsidR="005B3DCF" w:rsidRPr="005B3DCF" w:rsidTr="005B3DCF">
        <w:trPr>
          <w:trHeight w:val="2250"/>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 xml:space="preserve">En conexión con la auditoría que está usted efectuando de los Estados Financieros de la Compañía XYZ, correspondiente al año que terminó el 31 de diciembre del 20X1, la revisión que llevó a cabo de los eventos subsecuentes reveló los aspectos siguientes.   Suponga que esos aspectos le llamaron la atención antes de que terminara de elaborar su recomendación del trabajo de auditoría de campo.   Seleccione  una sola  alternativa   e  indique  si los hechos  posteriores detallados a continuación requieren revelación en Notas a los Estados Financieros o ajustes:   </w:t>
            </w:r>
          </w:p>
        </w:tc>
      </w:tr>
      <w:tr w:rsidR="005B3DCF" w:rsidRPr="005B3DCF" w:rsidTr="005B3DCF">
        <w:trPr>
          <w:trHeight w:val="60"/>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vMerge w:val="restart"/>
            <w:tcBorders>
              <w:top w:val="single" w:sz="4" w:space="0" w:color="auto"/>
              <w:left w:val="single" w:sz="4" w:space="0" w:color="auto"/>
              <w:bottom w:val="single" w:sz="4" w:space="0" w:color="000000"/>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No.</w:t>
            </w:r>
          </w:p>
        </w:tc>
        <w:tc>
          <w:tcPr>
            <w:tcW w:w="57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EVENTO SUBSECUENTE</w:t>
            </w:r>
          </w:p>
        </w:tc>
        <w:tc>
          <w:tcPr>
            <w:tcW w:w="3140" w:type="dxa"/>
            <w:gridSpan w:val="2"/>
            <w:tcBorders>
              <w:top w:val="single" w:sz="4" w:space="0" w:color="auto"/>
              <w:left w:val="nil"/>
              <w:bottom w:val="single" w:sz="4" w:space="0" w:color="auto"/>
              <w:right w:val="single" w:sz="4" w:space="0" w:color="000000"/>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ESTADOS FINANCIEROS</w:t>
            </w:r>
          </w:p>
        </w:tc>
      </w:tr>
      <w:tr w:rsidR="005B3DCF" w:rsidRPr="005B3DCF" w:rsidTr="005B3DCF">
        <w:trPr>
          <w:trHeight w:val="585"/>
        </w:trPr>
        <w:tc>
          <w:tcPr>
            <w:tcW w:w="600" w:type="dxa"/>
            <w:vMerge/>
            <w:tcBorders>
              <w:top w:val="single" w:sz="4" w:space="0" w:color="auto"/>
              <w:left w:val="single" w:sz="4" w:space="0" w:color="auto"/>
              <w:bottom w:val="single" w:sz="4" w:space="0" w:color="000000"/>
              <w:right w:val="nil"/>
            </w:tcBorders>
            <w:vAlign w:val="center"/>
            <w:hideMark/>
          </w:tcPr>
          <w:p w:rsidR="005B3DCF" w:rsidRPr="005B3DCF" w:rsidRDefault="005B3DCF" w:rsidP="005B3DCF">
            <w:pPr>
              <w:spacing w:after="0" w:line="240" w:lineRule="auto"/>
              <w:rPr>
                <w:rFonts w:ascii="Calibri" w:eastAsia="Times New Roman" w:hAnsi="Calibri" w:cs="Arial"/>
                <w:b/>
                <w:bCs/>
                <w:sz w:val="24"/>
                <w:szCs w:val="24"/>
                <w:lang w:eastAsia="es-EC"/>
              </w:rPr>
            </w:pPr>
          </w:p>
        </w:tc>
        <w:tc>
          <w:tcPr>
            <w:tcW w:w="5740" w:type="dxa"/>
            <w:gridSpan w:val="4"/>
            <w:vMerge/>
            <w:tcBorders>
              <w:top w:val="single" w:sz="4" w:space="0" w:color="auto"/>
              <w:left w:val="single" w:sz="4" w:space="0" w:color="auto"/>
              <w:bottom w:val="single" w:sz="4" w:space="0" w:color="000000"/>
              <w:right w:val="single" w:sz="4" w:space="0" w:color="000000"/>
            </w:tcBorders>
            <w:vAlign w:val="center"/>
            <w:hideMark/>
          </w:tcPr>
          <w:p w:rsidR="005B3DCF" w:rsidRPr="005B3DCF" w:rsidRDefault="005B3DCF" w:rsidP="005B3DCF">
            <w:pPr>
              <w:spacing w:after="0" w:line="240" w:lineRule="auto"/>
              <w:rPr>
                <w:rFonts w:ascii="Calibri" w:eastAsia="Times New Roman" w:hAnsi="Calibri" w:cs="Arial"/>
                <w:b/>
                <w:bCs/>
                <w:sz w:val="24"/>
                <w:szCs w:val="24"/>
                <w:lang w:eastAsia="es-EC"/>
              </w:rPr>
            </w:pP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AJUSTES</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REVELACIÓN EN NOTA</w:t>
            </w:r>
          </w:p>
        </w:tc>
      </w:tr>
      <w:tr w:rsidR="005B3DCF" w:rsidRPr="005B3DCF" w:rsidTr="005B3DCF">
        <w:trPr>
          <w:trHeight w:val="2160"/>
        </w:trPr>
        <w:tc>
          <w:tcPr>
            <w:tcW w:w="600" w:type="dxa"/>
            <w:tcBorders>
              <w:top w:val="nil"/>
              <w:left w:val="single" w:sz="4" w:space="0" w:color="auto"/>
              <w:bottom w:val="single" w:sz="4" w:space="0" w:color="auto"/>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1.-</w:t>
            </w:r>
          </w:p>
        </w:tc>
        <w:tc>
          <w:tcPr>
            <w:tcW w:w="574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La determinación, con posterioridad a la fecha del balance, del importe de la participación en las ganancias netas o de los pagos por incentivos, si en la fecha del balance la entidad tiene la obligación, ya sea de carácter legal o implícita, de efectuar tales pagos, como resultado de hechos anteriores a esa fecha.</w:t>
            </w: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r>
      <w:tr w:rsidR="005B3DCF" w:rsidRPr="005B3DCF" w:rsidTr="005B3DCF">
        <w:trPr>
          <w:trHeight w:val="975"/>
        </w:trPr>
        <w:tc>
          <w:tcPr>
            <w:tcW w:w="600" w:type="dxa"/>
            <w:tcBorders>
              <w:top w:val="nil"/>
              <w:left w:val="single" w:sz="4" w:space="0" w:color="auto"/>
              <w:bottom w:val="single" w:sz="4" w:space="0" w:color="auto"/>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2.-</w:t>
            </w:r>
          </w:p>
        </w:tc>
        <w:tc>
          <w:tcPr>
            <w:tcW w:w="574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El inicio de litigios importantes, surgidos exclusivamente como consecuencia de eventos posteriores a la fecha de los Estados Financieros.</w:t>
            </w: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r>
      <w:tr w:rsidR="005B3DCF" w:rsidRPr="005B3DCF" w:rsidTr="005B3DCF">
        <w:trPr>
          <w:trHeight w:val="960"/>
        </w:trPr>
        <w:tc>
          <w:tcPr>
            <w:tcW w:w="600" w:type="dxa"/>
            <w:tcBorders>
              <w:top w:val="nil"/>
              <w:left w:val="single" w:sz="4" w:space="0" w:color="auto"/>
              <w:bottom w:val="single" w:sz="4" w:space="0" w:color="auto"/>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3.-</w:t>
            </w:r>
          </w:p>
        </w:tc>
        <w:tc>
          <w:tcPr>
            <w:tcW w:w="574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Una combinación de negocios significativa, que haya tenido lugar después de la fecha de los Estados Financieros.</w:t>
            </w: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sz w:val="24"/>
                <w:szCs w:val="24"/>
                <w:lang w:eastAsia="es-EC"/>
              </w:rPr>
            </w:pPr>
            <w:r w:rsidRPr="005B3DCF">
              <w:rPr>
                <w:rFonts w:ascii="Calibri" w:eastAsia="Times New Roman" w:hAnsi="Calibri" w:cs="Arial"/>
                <w:sz w:val="24"/>
                <w:szCs w:val="24"/>
                <w:lang w:eastAsia="es-EC"/>
              </w:rPr>
              <w:t> </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r>
      <w:tr w:rsidR="005B3DCF" w:rsidRPr="005B3DCF" w:rsidTr="005B3DCF">
        <w:trPr>
          <w:trHeight w:val="3105"/>
        </w:trPr>
        <w:tc>
          <w:tcPr>
            <w:tcW w:w="600" w:type="dxa"/>
            <w:tcBorders>
              <w:top w:val="nil"/>
              <w:left w:val="single" w:sz="4" w:space="0" w:color="auto"/>
              <w:bottom w:val="single" w:sz="4" w:space="0" w:color="auto"/>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4.-</w:t>
            </w:r>
          </w:p>
        </w:tc>
        <w:tc>
          <w:tcPr>
            <w:tcW w:w="574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Poco después de la fecha del Balance General, un cliente se declara en bancarrota, con la consecuencia de que un documento por cobrar de considerable cuantía que antes se consideraba como cobrable en su totalidad ahora aparece ser incobrable.   La quiebra del cliente fue resultado de un deterioro constante de su posición financiera, el evento subsecuente aporta evidencia de que en realidad el documento por cobrar  era incobrable a fin de año.</w:t>
            </w: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sz w:val="24"/>
                <w:szCs w:val="24"/>
                <w:lang w:eastAsia="es-EC"/>
              </w:rPr>
            </w:pPr>
            <w:r w:rsidRPr="005B3DCF">
              <w:rPr>
                <w:rFonts w:ascii="Calibri" w:eastAsia="Times New Roman" w:hAnsi="Calibri" w:cs="Arial"/>
                <w:sz w:val="24"/>
                <w:szCs w:val="24"/>
                <w:lang w:eastAsia="es-EC"/>
              </w:rPr>
              <w:t> </w:t>
            </w:r>
          </w:p>
        </w:tc>
      </w:tr>
      <w:tr w:rsidR="005B3DCF" w:rsidRPr="005B3DCF" w:rsidTr="005B3DCF">
        <w:trPr>
          <w:trHeight w:val="1275"/>
        </w:trPr>
        <w:tc>
          <w:tcPr>
            <w:tcW w:w="600" w:type="dxa"/>
            <w:tcBorders>
              <w:top w:val="nil"/>
              <w:left w:val="single" w:sz="4" w:space="0" w:color="auto"/>
              <w:bottom w:val="single" w:sz="4" w:space="0" w:color="auto"/>
              <w:right w:val="nil"/>
            </w:tcBorders>
            <w:shd w:val="clear" w:color="000000" w:fill="FFFFFF"/>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5.-</w:t>
            </w:r>
          </w:p>
        </w:tc>
        <w:tc>
          <w:tcPr>
            <w:tcW w:w="574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Las variaciones en los tipos impositivos aprobados o anunciados con posterioridad a la fecha del Balance, que vayan a tener un efecto significativo en los Activos y Pasivos por Impuestos Corrientes o Diferidos.</w:t>
            </w:r>
          </w:p>
        </w:tc>
        <w:tc>
          <w:tcPr>
            <w:tcW w:w="160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sz w:val="24"/>
                <w:szCs w:val="24"/>
                <w:lang w:eastAsia="es-EC"/>
              </w:rPr>
            </w:pPr>
            <w:r w:rsidRPr="005B3DCF">
              <w:rPr>
                <w:rFonts w:ascii="Calibri" w:eastAsia="Times New Roman" w:hAnsi="Calibri" w:cs="Arial"/>
                <w:sz w:val="24"/>
                <w:szCs w:val="24"/>
                <w:lang w:eastAsia="es-EC"/>
              </w:rPr>
              <w:t> </w:t>
            </w:r>
          </w:p>
        </w:tc>
        <w:tc>
          <w:tcPr>
            <w:tcW w:w="1540" w:type="dxa"/>
            <w:tcBorders>
              <w:top w:val="nil"/>
              <w:left w:val="nil"/>
              <w:bottom w:val="single" w:sz="4" w:space="0" w:color="auto"/>
              <w:right w:val="single" w:sz="4" w:space="0" w:color="auto"/>
            </w:tcBorders>
            <w:shd w:val="clear" w:color="auto" w:fill="auto"/>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r>
      <w:tr w:rsidR="005B3DCF" w:rsidRPr="005B3DCF" w:rsidTr="005B3DCF">
        <w:trPr>
          <w:trHeight w:val="90"/>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6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lastRenderedPageBreak/>
              <w:t>3.-</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INFORMES DE AUDITORÍA (20 PUNTOS)</w:t>
            </w:r>
          </w:p>
        </w:tc>
      </w:tr>
      <w:tr w:rsidR="005B3DCF" w:rsidRPr="005B3DCF" w:rsidTr="005B3DCF">
        <w:trPr>
          <w:trHeight w:val="1305"/>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 </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¿Qué tipo de  opinión en el Informe de los auditores se emitiría en cada uno de los casos siguientes (opinión sin salvedades, opinión sin salvedades con párrafo de énfasis - lenguaje explicativo, opinión con salvedades, opinión negativa, abstención de opinión)?  Justifique su respuesta.</w:t>
            </w:r>
          </w:p>
        </w:tc>
      </w:tr>
      <w:tr w:rsidR="005B3DCF" w:rsidRPr="005B3DCF" w:rsidTr="005B3DCF">
        <w:trPr>
          <w:trHeight w:val="7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129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3.1.</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La evidencia recopilada por el Auditor sustenta que existe una desviación muy material  de  los  Estados Financieros con  respecto a  Normas Internacionales de Información Financiera, debido a un  desacuerdo total sobre políticas contables  y la revelación inadecuada.</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205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3.2.</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Al auditar la cuenta de inversiones a largo plazo (rubro representa el 95% del total de los Activos), un auditor se ve imposibilitado para obtener Estados Financieros auditados de un negocio en el que se hicieron inversiones ubicado en un país extranjero.  Los auditores llegan a la conclusión de que es imposible obtener evidencia apropiada acerca de la inversión, y consideran que el posible efecto de está limitación en el alcance es tan importante y omnipresente.</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1620"/>
        </w:trPr>
        <w:tc>
          <w:tcPr>
            <w:tcW w:w="600" w:type="dxa"/>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3.3.</w:t>
            </w:r>
          </w:p>
        </w:tc>
        <w:tc>
          <w:tcPr>
            <w:tcW w:w="8880" w:type="dxa"/>
            <w:gridSpan w:val="6"/>
            <w:tcBorders>
              <w:top w:val="nil"/>
              <w:left w:val="nil"/>
              <w:bottom w:val="nil"/>
              <w:right w:val="nil"/>
            </w:tcBorders>
            <w:shd w:val="clear" w:color="000000" w:fill="FFFFFF"/>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 xml:space="preserve">La Compañía en el año X3 (ejercicio anterior) fue auditado por otros auditores cuya fecha de emisión fue 12 de mayo de X4.   </w:t>
            </w:r>
            <w:r w:rsidRPr="005B3DCF">
              <w:rPr>
                <w:rFonts w:ascii="Calibri" w:eastAsia="Times New Roman" w:hAnsi="Calibri" w:cs="Arial"/>
                <w:sz w:val="24"/>
                <w:szCs w:val="24"/>
                <w:lang w:eastAsia="es-EC"/>
              </w:rPr>
              <w:br/>
              <w:t>Para la auditoría X4 (ejercicio actual), cual debería ser la opinión del auditor actual respecto a la situación citada; además el Auditor considera que los Estados Financieros en su conjunto cumplen con Normas Internacionales de Información Financiera.</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102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t>3.4.</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Una empresa cambia su método de valoración de las existencias del método del costo promedio ponderado a  FIFO o PEPS (Primeras Entradas o Primeras Salidas).  En Nota a los Estados Financieros  se describe la naturaleza y la justificación de los cambios.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262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color w:val="000000"/>
                <w:sz w:val="24"/>
                <w:szCs w:val="24"/>
                <w:lang w:eastAsia="es-EC"/>
              </w:rPr>
            </w:pPr>
            <w:r w:rsidRPr="005B3DCF">
              <w:rPr>
                <w:rFonts w:ascii="Calibri" w:eastAsia="Times New Roman" w:hAnsi="Calibri" w:cs="Arial"/>
                <w:b/>
                <w:bCs/>
                <w:color w:val="000000"/>
                <w:sz w:val="24"/>
                <w:szCs w:val="24"/>
                <w:lang w:eastAsia="es-EC"/>
              </w:rPr>
              <w:lastRenderedPageBreak/>
              <w:t>3.5.</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Paris Company tiene inversiones importantes en acciones de compañías subsidiarias. Las acciones de compañías subsidiarias no  se comercializan de manera activa en el mercado, y el compromiso con el despacho contable no es extensivo a ninguna compañía subsidiaria.  Debido a la naturaleza de los registros de la Compañía, no pudimos quedar satisfechos respecto de las cantidades de las inversiones por otros procedimientos de auditoría, sin embargo el despacho de Auditores Externos considera que los efectos de dichos ajustes si los hubiera no son tan importantes  y omnipresentes sobre los Estados  Financieros.</w:t>
            </w: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28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86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Times New Roman" w:eastAsia="Times New Roman" w:hAnsi="Times New Roman" w:cs="Times New Roman"/>
                <w:sz w:val="20"/>
                <w:szCs w:val="20"/>
                <w:lang w:eastAsia="es-EC"/>
              </w:rPr>
            </w:pP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645"/>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4.-</w:t>
            </w: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PAPELES DE TRABAJO Y PROCEDIMIENTOS EN UNA AUDITORÍA DEL PATRIMONIO (20 PUNTOS)</w:t>
            </w:r>
          </w:p>
        </w:tc>
      </w:tr>
      <w:tr w:rsidR="005B3DCF" w:rsidRPr="005B3DCF" w:rsidTr="005B3DCF">
        <w:trPr>
          <w:trHeight w:val="64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Calibri" w:eastAsia="Times New Roman" w:hAnsi="Calibri" w:cs="Arial"/>
                <w:b/>
                <w:bCs/>
                <w:sz w:val="24"/>
                <w:szCs w:val="24"/>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r w:rsidRPr="005B3DCF">
              <w:rPr>
                <w:rFonts w:ascii="Calibri" w:eastAsia="Times New Roman" w:hAnsi="Calibri" w:cs="Arial"/>
                <w:color w:val="000000"/>
                <w:sz w:val="24"/>
                <w:szCs w:val="24"/>
                <w:lang w:eastAsia="es-EC"/>
              </w:rPr>
              <w:t>Completar los siguientes Papeles de Trabajo en una Auditoría de Patrimonio e identificarlos con los índices detallados a continuación:</w:t>
            </w: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both"/>
              <w:rPr>
                <w:rFonts w:ascii="Calibri" w:eastAsia="Times New Roman" w:hAnsi="Calibri" w:cs="Arial"/>
                <w:color w:val="000000"/>
                <w:sz w:val="24"/>
                <w:szCs w:val="24"/>
                <w:lang w:eastAsia="es-EC"/>
              </w:rPr>
            </w:pPr>
          </w:p>
        </w:tc>
        <w:tc>
          <w:tcPr>
            <w:tcW w:w="5740" w:type="dxa"/>
            <w:gridSpan w:val="4"/>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CÉDULA</w:t>
            </w: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p>
        </w:tc>
        <w:tc>
          <w:tcPr>
            <w:tcW w:w="154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r w:rsidRPr="005B3DCF">
              <w:rPr>
                <w:rFonts w:ascii="Calibri" w:eastAsia="Times New Roman" w:hAnsi="Calibri" w:cs="Arial"/>
                <w:b/>
                <w:bCs/>
                <w:sz w:val="24"/>
                <w:szCs w:val="24"/>
                <w:lang w:eastAsia="es-EC"/>
              </w:rPr>
              <w:t>ÍNDICE</w:t>
            </w: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b/>
                <w:bCs/>
                <w:sz w:val="24"/>
                <w:szCs w:val="24"/>
                <w:lang w:eastAsia="es-EC"/>
              </w:rPr>
            </w:pPr>
          </w:p>
        </w:tc>
        <w:tc>
          <w:tcPr>
            <w:tcW w:w="4620" w:type="dxa"/>
            <w:gridSpan w:val="3"/>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Sumaria (Detalle de Saldos Contables):</w:t>
            </w: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center"/>
              <w:rPr>
                <w:rFonts w:ascii="Calibri" w:eastAsia="Times New Roman" w:hAnsi="Calibri" w:cs="Arial"/>
                <w:sz w:val="24"/>
                <w:szCs w:val="24"/>
                <w:lang w:eastAsia="es-EC"/>
              </w:rPr>
            </w:pPr>
            <w:r w:rsidRPr="005B3DCF">
              <w:rPr>
                <w:rFonts w:ascii="Calibri" w:eastAsia="Times New Roman" w:hAnsi="Calibri" w:cs="Arial"/>
                <w:sz w:val="24"/>
                <w:szCs w:val="24"/>
                <w:lang w:eastAsia="es-EC"/>
              </w:rPr>
              <w:t>BA-1</w:t>
            </w: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sz w:val="24"/>
                <w:szCs w:val="24"/>
                <w:lang w:eastAsia="es-EC"/>
              </w:rPr>
            </w:pPr>
          </w:p>
        </w:tc>
        <w:tc>
          <w:tcPr>
            <w:tcW w:w="3400" w:type="dxa"/>
            <w:gridSpan w:val="2"/>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 xml:space="preserve">Detalle de Movimientos  </w:t>
            </w: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hideMark/>
          </w:tcPr>
          <w:p w:rsidR="005B3DCF" w:rsidRPr="005B3DCF" w:rsidRDefault="005B3DCF" w:rsidP="005B3DCF">
            <w:pPr>
              <w:spacing w:after="0" w:line="240" w:lineRule="auto"/>
              <w:jc w:val="center"/>
              <w:rPr>
                <w:rFonts w:ascii="Calibri" w:eastAsia="Times New Roman" w:hAnsi="Calibri" w:cs="Arial"/>
                <w:sz w:val="24"/>
                <w:szCs w:val="24"/>
                <w:lang w:eastAsia="es-EC"/>
              </w:rPr>
            </w:pPr>
            <w:r w:rsidRPr="005B3DCF">
              <w:rPr>
                <w:rFonts w:ascii="Calibri" w:eastAsia="Times New Roman" w:hAnsi="Calibri" w:cs="Arial"/>
                <w:sz w:val="24"/>
                <w:szCs w:val="24"/>
                <w:lang w:eastAsia="es-EC"/>
              </w:rPr>
              <w:t>BA-2</w:t>
            </w: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Calibri" w:eastAsia="Times New Roman" w:hAnsi="Calibri" w:cs="Arial"/>
                <w:sz w:val="24"/>
                <w:szCs w:val="24"/>
                <w:lang w:eastAsia="es-EC"/>
              </w:rPr>
            </w:pPr>
          </w:p>
        </w:tc>
        <w:tc>
          <w:tcPr>
            <w:tcW w:w="5740" w:type="dxa"/>
            <w:gridSpan w:val="4"/>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Evidenciar los procedimientos de auditoría con:</w:t>
            </w: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540" w:type="dxa"/>
            <w:tcBorders>
              <w:top w:val="nil"/>
              <w:left w:val="nil"/>
              <w:bottom w:val="nil"/>
              <w:right w:val="nil"/>
            </w:tcBorders>
            <w:shd w:val="clear" w:color="auto" w:fill="auto"/>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Times New Roman" w:eastAsia="Times New Roman" w:hAnsi="Times New Roman" w:cs="Times New Roman"/>
                <w:sz w:val="20"/>
                <w:szCs w:val="20"/>
                <w:lang w:eastAsia="es-EC"/>
              </w:rPr>
            </w:pPr>
          </w:p>
        </w:tc>
        <w:tc>
          <w:tcPr>
            <w:tcW w:w="3400" w:type="dxa"/>
            <w:gridSpan w:val="2"/>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r w:rsidRPr="005B3DCF">
              <w:rPr>
                <w:rFonts w:ascii="Calibri" w:eastAsia="Times New Roman" w:hAnsi="Calibri" w:cs="Arial"/>
                <w:sz w:val="24"/>
                <w:szCs w:val="24"/>
                <w:lang w:eastAsia="es-EC"/>
              </w:rPr>
              <w:t>Marcas de revisión.</w:t>
            </w:r>
          </w:p>
        </w:tc>
        <w:tc>
          <w:tcPr>
            <w:tcW w:w="12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c>
          <w:tcPr>
            <w:tcW w:w="1540" w:type="dxa"/>
            <w:tcBorders>
              <w:top w:val="nil"/>
              <w:left w:val="nil"/>
              <w:bottom w:val="nil"/>
              <w:right w:val="nil"/>
            </w:tcBorders>
            <w:shd w:val="clear" w:color="auto" w:fill="auto"/>
            <w:vAlign w:val="bottom"/>
            <w:hideMark/>
          </w:tcPr>
          <w:p w:rsidR="005B3DCF" w:rsidRPr="005B3DCF" w:rsidRDefault="005B3DCF" w:rsidP="005B3DCF">
            <w:pPr>
              <w:spacing w:after="0" w:line="240" w:lineRule="auto"/>
              <w:rPr>
                <w:rFonts w:ascii="Times New Roman" w:eastAsia="Times New Roman" w:hAnsi="Times New Roman" w:cs="Times New Roman"/>
                <w:sz w:val="20"/>
                <w:szCs w:val="20"/>
                <w:lang w:eastAsia="es-EC"/>
              </w:rPr>
            </w:pPr>
          </w:p>
        </w:tc>
      </w:tr>
      <w:tr w:rsidR="005B3DCF" w:rsidRPr="005B3DCF" w:rsidTr="005B3DCF">
        <w:trPr>
          <w:trHeight w:val="315"/>
        </w:trPr>
        <w:tc>
          <w:tcPr>
            <w:tcW w:w="600" w:type="dxa"/>
            <w:tcBorders>
              <w:top w:val="nil"/>
              <w:left w:val="nil"/>
              <w:bottom w:val="nil"/>
              <w:right w:val="nil"/>
            </w:tcBorders>
            <w:shd w:val="clear" w:color="auto" w:fill="auto"/>
            <w:noWrap/>
            <w:vAlign w:val="bottom"/>
            <w:hideMark/>
          </w:tcPr>
          <w:p w:rsidR="005B3DCF" w:rsidRPr="005B3DCF" w:rsidRDefault="005B3DCF" w:rsidP="005B3DCF">
            <w:pPr>
              <w:spacing w:after="0" w:line="240" w:lineRule="auto"/>
              <w:jc w:val="center"/>
              <w:rPr>
                <w:rFonts w:ascii="Times New Roman" w:eastAsia="Times New Roman" w:hAnsi="Times New Roman" w:cs="Times New Roman"/>
                <w:sz w:val="20"/>
                <w:szCs w:val="20"/>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Referencias cruzadas  por la información que coincida en ambas cédulas.</w:t>
            </w:r>
          </w:p>
        </w:tc>
      </w:tr>
      <w:tr w:rsidR="005B3DCF" w:rsidRPr="005B3DCF" w:rsidTr="005B3DCF">
        <w:trPr>
          <w:trHeight w:val="960"/>
        </w:trPr>
        <w:tc>
          <w:tcPr>
            <w:tcW w:w="600" w:type="dxa"/>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p>
        </w:tc>
        <w:tc>
          <w:tcPr>
            <w:tcW w:w="8880" w:type="dxa"/>
            <w:gridSpan w:val="6"/>
            <w:tcBorders>
              <w:top w:val="nil"/>
              <w:left w:val="nil"/>
              <w:bottom w:val="nil"/>
              <w:right w:val="nil"/>
            </w:tcBorders>
            <w:shd w:val="clear" w:color="auto" w:fill="auto"/>
            <w:hideMark/>
          </w:tcPr>
          <w:p w:rsidR="005B3DCF" w:rsidRPr="005B3DCF" w:rsidRDefault="005B3DCF" w:rsidP="005B3DCF">
            <w:pPr>
              <w:spacing w:after="0" w:line="240" w:lineRule="auto"/>
              <w:jc w:val="both"/>
              <w:rPr>
                <w:rFonts w:ascii="Calibri" w:eastAsia="Times New Roman" w:hAnsi="Calibri" w:cs="Arial"/>
                <w:sz w:val="24"/>
                <w:szCs w:val="24"/>
                <w:lang w:eastAsia="es-EC"/>
              </w:rPr>
            </w:pPr>
            <w:r w:rsidRPr="005B3DCF">
              <w:rPr>
                <w:rFonts w:ascii="Calibri" w:eastAsia="Times New Roman" w:hAnsi="Calibri" w:cs="Arial"/>
                <w:sz w:val="24"/>
                <w:szCs w:val="24"/>
                <w:lang w:eastAsia="es-EC"/>
              </w:rPr>
              <w:t>Nota: En la cédula del detalle de movimientos de Cuentas de Patrimonio incluir  marcas de revisión por  la documentación soporte que revisaría para verificar la razonabilidad de  sus movimientos, y otras  que considere necesarias.</w:t>
            </w:r>
          </w:p>
        </w:tc>
      </w:tr>
    </w:tbl>
    <w:p w:rsidR="005B3DCF" w:rsidRDefault="005B3DCF"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 w:rsidR="006F0A99" w:rsidRDefault="006F0A99" w:rsidP="005B3DCF">
      <w:pPr>
        <w:sectPr w:rsidR="006F0A99" w:rsidSect="000578C9">
          <w:pgSz w:w="11906" w:h="16838"/>
          <w:pgMar w:top="1418" w:right="1418" w:bottom="1418" w:left="1134" w:header="709" w:footer="709" w:gutter="0"/>
          <w:cols w:space="708"/>
          <w:docGrid w:linePitch="360"/>
        </w:sectPr>
      </w:pPr>
    </w:p>
    <w:tbl>
      <w:tblPr>
        <w:tblW w:w="14034" w:type="dxa"/>
        <w:tblCellMar>
          <w:left w:w="70" w:type="dxa"/>
          <w:right w:w="70" w:type="dxa"/>
        </w:tblCellMar>
        <w:tblLook w:val="04A0" w:firstRow="1" w:lastRow="0" w:firstColumn="1" w:lastColumn="0" w:noHBand="0" w:noVBand="1"/>
      </w:tblPr>
      <w:tblGrid>
        <w:gridCol w:w="3946"/>
        <w:gridCol w:w="2130"/>
        <w:gridCol w:w="1716"/>
        <w:gridCol w:w="195"/>
        <w:gridCol w:w="146"/>
        <w:gridCol w:w="1394"/>
        <w:gridCol w:w="1316"/>
        <w:gridCol w:w="642"/>
        <w:gridCol w:w="1217"/>
        <w:gridCol w:w="1332"/>
      </w:tblGrid>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bookmarkStart w:id="1" w:name="RANGE!A1:J22"/>
            <w:r w:rsidRPr="00D814BA">
              <w:rPr>
                <w:rFonts w:ascii="Calibri" w:eastAsia="Times New Roman" w:hAnsi="Calibri" w:cs="Arial"/>
                <w:b/>
                <w:bCs/>
                <w:sz w:val="24"/>
                <w:szCs w:val="24"/>
                <w:lang w:eastAsia="es-EC"/>
              </w:rPr>
              <w:lastRenderedPageBreak/>
              <w:t>GRUPO DEL SUR  S.A.</w:t>
            </w:r>
            <w:bookmarkEnd w:id="1"/>
          </w:p>
        </w:tc>
        <w:tc>
          <w:tcPr>
            <w:tcW w:w="1316" w:type="dxa"/>
            <w:tcBorders>
              <w:top w:val="single" w:sz="8" w:space="0" w:color="auto"/>
              <w:left w:val="nil"/>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color w:val="000000"/>
                <w:sz w:val="24"/>
                <w:szCs w:val="24"/>
                <w:lang w:eastAsia="es-EC"/>
              </w:rPr>
            </w:pPr>
            <w:r w:rsidRPr="00D814BA">
              <w:rPr>
                <w:rFonts w:ascii="Calibri" w:eastAsia="Times New Roman" w:hAnsi="Calibri" w:cs="Arial"/>
                <w:color w:val="000000"/>
                <w:sz w:val="24"/>
                <w:szCs w:val="24"/>
                <w:lang w:eastAsia="es-EC"/>
              </w:rPr>
              <w:t xml:space="preserve">Fecha: </w:t>
            </w:r>
          </w:p>
        </w:tc>
        <w:tc>
          <w:tcPr>
            <w:tcW w:w="642" w:type="dxa"/>
            <w:tcBorders>
              <w:top w:val="single" w:sz="8" w:space="0" w:color="auto"/>
              <w:left w:val="nil"/>
              <w:bottom w:val="nil"/>
              <w:right w:val="nil"/>
            </w:tcBorders>
            <w:shd w:val="clear" w:color="000000" w:fill="FFFFFF"/>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w:t>
            </w:r>
          </w:p>
        </w:tc>
        <w:tc>
          <w:tcPr>
            <w:tcW w:w="1217" w:type="dxa"/>
            <w:tcBorders>
              <w:top w:val="single" w:sz="8" w:space="0" w:color="auto"/>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c>
          <w:tcPr>
            <w:tcW w:w="1332" w:type="dxa"/>
            <w:tcBorders>
              <w:top w:val="single" w:sz="8" w:space="0" w:color="auto"/>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r>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PATRIMONIO</w:t>
            </w:r>
          </w:p>
        </w:tc>
        <w:tc>
          <w:tcPr>
            <w:tcW w:w="1958" w:type="dxa"/>
            <w:gridSpan w:val="2"/>
            <w:tcBorders>
              <w:top w:val="nil"/>
              <w:left w:val="single" w:sz="8" w:space="0" w:color="auto"/>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Preparado por:</w:t>
            </w:r>
          </w:p>
        </w:tc>
        <w:tc>
          <w:tcPr>
            <w:tcW w:w="1217" w:type="dxa"/>
            <w:tcBorders>
              <w:top w:val="nil"/>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c>
          <w:tcPr>
            <w:tcW w:w="1332" w:type="dxa"/>
            <w:tcBorders>
              <w:top w:val="nil"/>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r>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SUMARIA</w:t>
            </w:r>
          </w:p>
        </w:tc>
        <w:tc>
          <w:tcPr>
            <w:tcW w:w="1958" w:type="dxa"/>
            <w:gridSpan w:val="2"/>
            <w:tcBorders>
              <w:top w:val="nil"/>
              <w:left w:val="single" w:sz="8" w:space="0" w:color="auto"/>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Aprobado por:</w:t>
            </w:r>
          </w:p>
        </w:tc>
        <w:tc>
          <w:tcPr>
            <w:tcW w:w="1217" w:type="dxa"/>
            <w:tcBorders>
              <w:top w:val="nil"/>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ind w:left="49" w:hanging="49"/>
              <w:jc w:val="center"/>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332" w:type="dxa"/>
            <w:tcBorders>
              <w:top w:val="nil"/>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r>
      <w:tr w:rsidR="00D814BA" w:rsidRPr="00D814BA" w:rsidTr="00D814BA">
        <w:trPr>
          <w:trHeight w:val="330"/>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AL 31 DE DICIEMBRE DEL 20X1</w:t>
            </w:r>
          </w:p>
        </w:tc>
        <w:tc>
          <w:tcPr>
            <w:tcW w:w="1316"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642"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w:t>
            </w:r>
          </w:p>
        </w:tc>
        <w:tc>
          <w:tcPr>
            <w:tcW w:w="1217"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332" w:type="dxa"/>
            <w:tcBorders>
              <w:top w:val="nil"/>
              <w:left w:val="nil"/>
              <w:bottom w:val="single" w:sz="8" w:space="0" w:color="auto"/>
              <w:right w:val="single" w:sz="8" w:space="0" w:color="auto"/>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r>
      <w:tr w:rsidR="00D814BA" w:rsidRPr="00D814BA" w:rsidTr="00D814BA">
        <w:trPr>
          <w:trHeight w:val="180"/>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6047" w:type="dxa"/>
            <w:gridSpan w:val="6"/>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GRUPO CONTABLE</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b/>
                <w:bCs/>
                <w:color w:val="000000"/>
                <w:sz w:val="24"/>
                <w:szCs w:val="24"/>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31.12.20X1</w:t>
            </w: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31.12.20X0</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Patrimonio</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$ 245,730</w:t>
            </w: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$ 204,167</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r>
      <w:tr w:rsidR="00D814BA" w:rsidRPr="00D814BA" w:rsidTr="00D814BA">
        <w:trPr>
          <w:trHeight w:val="330"/>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r>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GRUPO DEL SUR  S.A.</w:t>
            </w:r>
          </w:p>
        </w:tc>
        <w:tc>
          <w:tcPr>
            <w:tcW w:w="1316" w:type="dxa"/>
            <w:tcBorders>
              <w:top w:val="single" w:sz="8" w:space="0" w:color="auto"/>
              <w:left w:val="nil"/>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color w:val="000000"/>
                <w:sz w:val="24"/>
                <w:szCs w:val="24"/>
                <w:lang w:eastAsia="es-EC"/>
              </w:rPr>
            </w:pPr>
            <w:r w:rsidRPr="00D814BA">
              <w:rPr>
                <w:rFonts w:ascii="Calibri" w:eastAsia="Times New Roman" w:hAnsi="Calibri" w:cs="Arial"/>
                <w:color w:val="000000"/>
                <w:sz w:val="24"/>
                <w:szCs w:val="24"/>
                <w:lang w:eastAsia="es-EC"/>
              </w:rPr>
              <w:t xml:space="preserve">Fecha: </w:t>
            </w:r>
          </w:p>
        </w:tc>
        <w:tc>
          <w:tcPr>
            <w:tcW w:w="642" w:type="dxa"/>
            <w:tcBorders>
              <w:top w:val="single" w:sz="8" w:space="0" w:color="auto"/>
              <w:left w:val="nil"/>
              <w:bottom w:val="nil"/>
              <w:right w:val="nil"/>
            </w:tcBorders>
            <w:shd w:val="clear" w:color="000000" w:fill="FFFFFF"/>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w:t>
            </w:r>
          </w:p>
        </w:tc>
        <w:tc>
          <w:tcPr>
            <w:tcW w:w="1217" w:type="dxa"/>
            <w:tcBorders>
              <w:top w:val="single" w:sz="8" w:space="0" w:color="auto"/>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c>
          <w:tcPr>
            <w:tcW w:w="1332" w:type="dxa"/>
            <w:tcBorders>
              <w:top w:val="single" w:sz="8" w:space="0" w:color="auto"/>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r>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PATRIMONIO</w:t>
            </w:r>
          </w:p>
        </w:tc>
        <w:tc>
          <w:tcPr>
            <w:tcW w:w="1958" w:type="dxa"/>
            <w:gridSpan w:val="2"/>
            <w:tcBorders>
              <w:top w:val="nil"/>
              <w:left w:val="single" w:sz="8" w:space="0" w:color="auto"/>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Preparado por:</w:t>
            </w:r>
          </w:p>
        </w:tc>
        <w:tc>
          <w:tcPr>
            <w:tcW w:w="1217" w:type="dxa"/>
            <w:tcBorders>
              <w:top w:val="nil"/>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c>
          <w:tcPr>
            <w:tcW w:w="1332" w:type="dxa"/>
            <w:tcBorders>
              <w:top w:val="nil"/>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color w:val="000000"/>
                <w:sz w:val="24"/>
                <w:szCs w:val="24"/>
                <w:u w:val="single"/>
                <w:lang w:eastAsia="es-EC"/>
              </w:rPr>
            </w:pPr>
            <w:r w:rsidRPr="00D814BA">
              <w:rPr>
                <w:rFonts w:ascii="Calibri" w:eastAsia="Times New Roman" w:hAnsi="Calibri" w:cs="Arial"/>
                <w:color w:val="000000"/>
                <w:sz w:val="24"/>
                <w:szCs w:val="24"/>
                <w:u w:val="single"/>
                <w:lang w:eastAsia="es-EC"/>
              </w:rPr>
              <w:t> </w:t>
            </w:r>
          </w:p>
        </w:tc>
      </w:tr>
      <w:tr w:rsidR="00D814BA" w:rsidRPr="00D814BA" w:rsidTr="00D814BA">
        <w:trPr>
          <w:trHeight w:val="315"/>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DETALLE DE MOVIMIENTOS</w:t>
            </w:r>
          </w:p>
        </w:tc>
        <w:tc>
          <w:tcPr>
            <w:tcW w:w="1958" w:type="dxa"/>
            <w:gridSpan w:val="2"/>
            <w:tcBorders>
              <w:top w:val="nil"/>
              <w:left w:val="single" w:sz="8" w:space="0" w:color="auto"/>
              <w:bottom w:val="nil"/>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Aprobado por:</w:t>
            </w:r>
          </w:p>
        </w:tc>
        <w:tc>
          <w:tcPr>
            <w:tcW w:w="1217" w:type="dxa"/>
            <w:tcBorders>
              <w:top w:val="nil"/>
              <w:left w:val="nil"/>
              <w:bottom w:val="dashed" w:sz="4" w:space="0" w:color="auto"/>
              <w:right w:val="nil"/>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332" w:type="dxa"/>
            <w:tcBorders>
              <w:top w:val="nil"/>
              <w:left w:val="nil"/>
              <w:bottom w:val="dashed" w:sz="4" w:space="0" w:color="auto"/>
              <w:right w:val="single" w:sz="8" w:space="0" w:color="auto"/>
            </w:tcBorders>
            <w:shd w:val="clear" w:color="000000" w:fill="FFFFFF"/>
            <w:noWrap/>
            <w:vAlign w:val="bottom"/>
            <w:hideMark/>
          </w:tcPr>
          <w:p w:rsidR="00D814BA" w:rsidRPr="00D814BA" w:rsidRDefault="00D814BA" w:rsidP="00D814BA">
            <w:pPr>
              <w:spacing w:after="0" w:line="240" w:lineRule="auto"/>
              <w:jc w:val="center"/>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r>
      <w:tr w:rsidR="00D814BA" w:rsidRPr="00D814BA" w:rsidTr="00D814BA">
        <w:trPr>
          <w:trHeight w:val="330"/>
        </w:trPr>
        <w:tc>
          <w:tcPr>
            <w:tcW w:w="9527" w:type="dxa"/>
            <w:gridSpan w:val="6"/>
            <w:tcBorders>
              <w:top w:val="nil"/>
              <w:left w:val="nil"/>
              <w:bottom w:val="nil"/>
              <w:right w:val="single" w:sz="8" w:space="0" w:color="000000"/>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AL 31 DE DICIEMBRE DEL 20X1</w:t>
            </w:r>
          </w:p>
        </w:tc>
        <w:tc>
          <w:tcPr>
            <w:tcW w:w="1316"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642"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w:t>
            </w:r>
          </w:p>
        </w:tc>
        <w:tc>
          <w:tcPr>
            <w:tcW w:w="1217" w:type="dxa"/>
            <w:tcBorders>
              <w:top w:val="nil"/>
              <w:left w:val="nil"/>
              <w:bottom w:val="single" w:sz="8" w:space="0" w:color="auto"/>
              <w:right w:val="nil"/>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332" w:type="dxa"/>
            <w:tcBorders>
              <w:top w:val="nil"/>
              <w:left w:val="nil"/>
              <w:bottom w:val="single" w:sz="8" w:space="0" w:color="auto"/>
              <w:right w:val="single" w:sz="8" w:space="0" w:color="auto"/>
            </w:tcBorders>
            <w:shd w:val="clear" w:color="000000" w:fill="FFFFFF"/>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CUENTAS</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31/12/20X0</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ALTAS</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BAJAS</w:t>
            </w: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TRASPASOS</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center"/>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31/12/20X1</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xml:space="preserve">Capital Social </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145,833 </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14,583 </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   </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160,417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xml:space="preserve">Reserva legal </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14,583 </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   </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2,188 </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16,771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Reserva voluntaria</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29,167 </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   </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19,688 </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48,854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 xml:space="preserve">Prima en emisión de acciones </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   </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5,105 </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   </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5,105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Arial" w:eastAsia="Times New Roman" w:hAnsi="Arial" w:cs="Arial"/>
                <w:sz w:val="24"/>
                <w:szCs w:val="24"/>
                <w:lang w:eastAsia="es-EC"/>
              </w:rPr>
            </w:pPr>
            <w:r w:rsidRPr="00D814BA">
              <w:rPr>
                <w:rFonts w:ascii="Arial" w:eastAsia="Times New Roman" w:hAnsi="Arial" w:cs="Arial"/>
                <w:sz w:val="24"/>
                <w:szCs w:val="24"/>
                <w:lang w:eastAsia="es-EC"/>
              </w:rPr>
              <w:t>Utilidad  del Año</w:t>
            </w:r>
          </w:p>
        </w:tc>
        <w:tc>
          <w:tcPr>
            <w:tcW w:w="2130"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14,583 </w:t>
            </w:r>
          </w:p>
        </w:tc>
        <w:tc>
          <w:tcPr>
            <w:tcW w:w="1716"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21,875 </w:t>
            </w:r>
          </w:p>
        </w:tc>
        <w:tc>
          <w:tcPr>
            <w:tcW w:w="195"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394"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w:t>
            </w:r>
          </w:p>
        </w:tc>
        <w:tc>
          <w:tcPr>
            <w:tcW w:w="1316"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(21,875)</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32" w:type="dxa"/>
            <w:tcBorders>
              <w:top w:val="nil"/>
              <w:left w:val="nil"/>
              <w:bottom w:val="single" w:sz="4" w:space="0" w:color="auto"/>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sz w:val="24"/>
                <w:szCs w:val="24"/>
                <w:lang w:eastAsia="es-EC"/>
              </w:rPr>
            </w:pPr>
            <w:r w:rsidRPr="00D814BA">
              <w:rPr>
                <w:rFonts w:ascii="Calibri" w:eastAsia="Times New Roman" w:hAnsi="Calibri" w:cs="Arial"/>
                <w:sz w:val="24"/>
                <w:szCs w:val="24"/>
                <w:lang w:eastAsia="es-EC"/>
              </w:rPr>
              <w:t xml:space="preserve">               14,583 </w:t>
            </w:r>
          </w:p>
        </w:tc>
      </w:tr>
      <w:tr w:rsidR="00D814BA" w:rsidRPr="00D814BA" w:rsidTr="00D814BA">
        <w:trPr>
          <w:trHeight w:val="315"/>
        </w:trPr>
        <w:tc>
          <w:tcPr>
            <w:tcW w:w="39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b/>
                <w:bCs/>
                <w:color w:val="000000"/>
                <w:sz w:val="24"/>
                <w:szCs w:val="24"/>
                <w:lang w:eastAsia="es-EC"/>
              </w:rPr>
            </w:pPr>
            <w:r w:rsidRPr="00D814BA">
              <w:rPr>
                <w:rFonts w:ascii="Calibri" w:eastAsia="Times New Roman" w:hAnsi="Calibri" w:cs="Arial"/>
                <w:b/>
                <w:bCs/>
                <w:color w:val="000000"/>
                <w:sz w:val="24"/>
                <w:szCs w:val="24"/>
                <w:lang w:eastAsia="es-EC"/>
              </w:rPr>
              <w:t>TOTAL</w:t>
            </w:r>
          </w:p>
        </w:tc>
        <w:tc>
          <w:tcPr>
            <w:tcW w:w="2130"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 xml:space="preserve">                 204,167 </w:t>
            </w:r>
          </w:p>
        </w:tc>
        <w:tc>
          <w:tcPr>
            <w:tcW w:w="17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 xml:space="preserve">             41,563 </w:t>
            </w:r>
          </w:p>
        </w:tc>
        <w:tc>
          <w:tcPr>
            <w:tcW w:w="195"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p>
        </w:tc>
        <w:tc>
          <w:tcPr>
            <w:tcW w:w="14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Times New Roman" w:eastAsia="Times New Roman" w:hAnsi="Times New Roman" w:cs="Times New Roman"/>
                <w:sz w:val="20"/>
                <w:szCs w:val="20"/>
                <w:lang w:eastAsia="es-EC"/>
              </w:rPr>
            </w:pPr>
          </w:p>
        </w:tc>
        <w:tc>
          <w:tcPr>
            <w:tcW w:w="1394"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 xml:space="preserve">                -   </w:t>
            </w:r>
          </w:p>
        </w:tc>
        <w:tc>
          <w:tcPr>
            <w:tcW w:w="1316"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 xml:space="preserve">                -   </w:t>
            </w:r>
          </w:p>
        </w:tc>
        <w:tc>
          <w:tcPr>
            <w:tcW w:w="64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Calibri" w:eastAsia="Times New Roman" w:hAnsi="Calibri" w:cs="Arial"/>
                <w:b/>
                <w:bCs/>
                <w:sz w:val="24"/>
                <w:szCs w:val="24"/>
                <w:lang w:eastAsia="es-EC"/>
              </w:rPr>
            </w:pPr>
          </w:p>
        </w:tc>
        <w:tc>
          <w:tcPr>
            <w:tcW w:w="1217"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rPr>
                <w:rFonts w:ascii="Times New Roman" w:eastAsia="Times New Roman" w:hAnsi="Times New Roman" w:cs="Times New Roman"/>
                <w:sz w:val="20"/>
                <w:szCs w:val="20"/>
                <w:lang w:eastAsia="es-EC"/>
              </w:rPr>
            </w:pPr>
          </w:p>
        </w:tc>
        <w:tc>
          <w:tcPr>
            <w:tcW w:w="1332" w:type="dxa"/>
            <w:tcBorders>
              <w:top w:val="nil"/>
              <w:left w:val="nil"/>
              <w:bottom w:val="nil"/>
              <w:right w:val="nil"/>
            </w:tcBorders>
            <w:shd w:val="clear" w:color="auto" w:fill="auto"/>
            <w:noWrap/>
            <w:vAlign w:val="bottom"/>
            <w:hideMark/>
          </w:tcPr>
          <w:p w:rsidR="00D814BA" w:rsidRPr="00D814BA" w:rsidRDefault="00D814BA" w:rsidP="00D814BA">
            <w:pPr>
              <w:spacing w:after="0" w:line="240" w:lineRule="auto"/>
              <w:jc w:val="right"/>
              <w:rPr>
                <w:rFonts w:ascii="Calibri" w:eastAsia="Times New Roman" w:hAnsi="Calibri" w:cs="Arial"/>
                <w:b/>
                <w:bCs/>
                <w:sz w:val="24"/>
                <w:szCs w:val="24"/>
                <w:lang w:eastAsia="es-EC"/>
              </w:rPr>
            </w:pPr>
            <w:r w:rsidRPr="00D814BA">
              <w:rPr>
                <w:rFonts w:ascii="Calibri" w:eastAsia="Times New Roman" w:hAnsi="Calibri" w:cs="Arial"/>
                <w:b/>
                <w:bCs/>
                <w:sz w:val="24"/>
                <w:szCs w:val="24"/>
                <w:lang w:eastAsia="es-EC"/>
              </w:rPr>
              <w:t xml:space="preserve">             245,730</w:t>
            </w:r>
          </w:p>
        </w:tc>
      </w:tr>
    </w:tbl>
    <w:p w:rsidR="00D814BA" w:rsidRDefault="00D814BA" w:rsidP="00D814BA"/>
    <w:sectPr w:rsidR="00D814BA" w:rsidSect="006F0A99">
      <w:pgSz w:w="16838" w:h="11906" w:orient="landscape"/>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9"/>
    <w:rsid w:val="000578C9"/>
    <w:rsid w:val="004467FF"/>
    <w:rsid w:val="005B3DCF"/>
    <w:rsid w:val="006F0A99"/>
    <w:rsid w:val="007E2B12"/>
    <w:rsid w:val="008D6C09"/>
    <w:rsid w:val="00D814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35FB7-ECB1-4722-B036-995398FD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3DCF"/>
    <w:pPr>
      <w:spacing w:before="100" w:beforeAutospacing="1" w:after="100" w:afterAutospacing="1" w:line="240" w:lineRule="auto"/>
    </w:pPr>
    <w:rPr>
      <w:rFonts w:ascii="Times New Roman" w:eastAsiaTheme="minorEastAsia"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04906">
      <w:bodyDiv w:val="1"/>
      <w:marLeft w:val="0"/>
      <w:marRight w:val="0"/>
      <w:marTop w:val="0"/>
      <w:marBottom w:val="0"/>
      <w:divBdr>
        <w:top w:val="none" w:sz="0" w:space="0" w:color="auto"/>
        <w:left w:val="none" w:sz="0" w:space="0" w:color="auto"/>
        <w:bottom w:val="none" w:sz="0" w:space="0" w:color="auto"/>
        <w:right w:val="none" w:sz="0" w:space="0" w:color="auto"/>
      </w:divBdr>
    </w:div>
    <w:div w:id="1242981692">
      <w:bodyDiv w:val="1"/>
      <w:marLeft w:val="0"/>
      <w:marRight w:val="0"/>
      <w:marTop w:val="0"/>
      <w:marBottom w:val="0"/>
      <w:divBdr>
        <w:top w:val="none" w:sz="0" w:space="0" w:color="auto"/>
        <w:left w:val="none" w:sz="0" w:space="0" w:color="auto"/>
        <w:bottom w:val="none" w:sz="0" w:space="0" w:color="auto"/>
        <w:right w:val="none" w:sz="0" w:space="0" w:color="auto"/>
      </w:divBdr>
    </w:div>
    <w:div w:id="1469588457">
      <w:bodyDiv w:val="1"/>
      <w:marLeft w:val="0"/>
      <w:marRight w:val="0"/>
      <w:marTop w:val="0"/>
      <w:marBottom w:val="0"/>
      <w:divBdr>
        <w:top w:val="none" w:sz="0" w:space="0" w:color="auto"/>
        <w:left w:val="none" w:sz="0" w:space="0" w:color="auto"/>
        <w:bottom w:val="none" w:sz="0" w:space="0" w:color="auto"/>
        <w:right w:val="none" w:sz="0" w:space="0" w:color="auto"/>
      </w:divBdr>
    </w:div>
    <w:div w:id="2017999342">
      <w:bodyDiv w:val="1"/>
      <w:marLeft w:val="0"/>
      <w:marRight w:val="0"/>
      <w:marTop w:val="0"/>
      <w:marBottom w:val="0"/>
      <w:divBdr>
        <w:top w:val="none" w:sz="0" w:space="0" w:color="auto"/>
        <w:left w:val="none" w:sz="0" w:space="0" w:color="auto"/>
        <w:bottom w:val="none" w:sz="0" w:space="0" w:color="auto"/>
        <w:right w:val="none" w:sz="0" w:space="0" w:color="auto"/>
      </w:divBdr>
    </w:div>
    <w:div w:id="21189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1664</Words>
  <Characters>9154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Gonzalez</dc:creator>
  <cp:keywords/>
  <dc:description/>
  <cp:lastModifiedBy>Yessenia Gonzalez</cp:lastModifiedBy>
  <cp:revision>9</cp:revision>
  <dcterms:created xsi:type="dcterms:W3CDTF">2015-10-02T21:57:00Z</dcterms:created>
  <dcterms:modified xsi:type="dcterms:W3CDTF">2015-10-02T22:05:00Z</dcterms:modified>
</cp:coreProperties>
</file>