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C1" w:rsidRDefault="00A526C1" w:rsidP="00A526C1">
      <w:pPr>
        <w:jc w:val="center"/>
        <w:rPr>
          <w:b/>
        </w:rPr>
      </w:pPr>
      <w:r>
        <w:rPr>
          <w:b/>
          <w:noProof/>
          <w:lang w:eastAsia="es-EC"/>
        </w:rPr>
        <w:drawing>
          <wp:anchor distT="0" distB="0" distL="114300" distR="114300" simplePos="0" relativeHeight="251659264" behindDoc="1" locked="0" layoutInCell="1" allowOverlap="1" wp14:anchorId="1D1902B9" wp14:editId="638A373D">
            <wp:simplePos x="0" y="0"/>
            <wp:positionH relativeFrom="column">
              <wp:posOffset>-41910</wp:posOffset>
            </wp:positionH>
            <wp:positionV relativeFrom="paragraph">
              <wp:posOffset>0</wp:posOffset>
            </wp:positionV>
            <wp:extent cx="683218" cy="771525"/>
            <wp:effectExtent l="0" t="0" r="3175" b="0"/>
            <wp:wrapTight wrapText="bothSides">
              <wp:wrapPolygon edited="0">
                <wp:start x="0" y="0"/>
                <wp:lineTo x="0" y="20800"/>
                <wp:lineTo x="21098" y="20800"/>
                <wp:lineTo x="210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8">
                      <a:extLst>
                        <a:ext uri="{28A0092B-C50C-407E-A947-70E740481C1C}">
                          <a14:useLocalDpi xmlns:a14="http://schemas.microsoft.com/office/drawing/2010/main" val="0"/>
                        </a:ext>
                      </a:extLst>
                    </a:blip>
                    <a:stretch>
                      <a:fillRect/>
                    </a:stretch>
                  </pic:blipFill>
                  <pic:spPr>
                    <a:xfrm>
                      <a:off x="0" y="0"/>
                      <a:ext cx="683218" cy="771525"/>
                    </a:xfrm>
                    <a:prstGeom prst="rect">
                      <a:avLst/>
                    </a:prstGeom>
                  </pic:spPr>
                </pic:pic>
              </a:graphicData>
            </a:graphic>
            <wp14:sizeRelH relativeFrom="page">
              <wp14:pctWidth>0</wp14:pctWidth>
            </wp14:sizeRelH>
            <wp14:sizeRelV relativeFrom="page">
              <wp14:pctHeight>0</wp14:pctHeight>
            </wp14:sizeRelV>
          </wp:anchor>
        </w:drawing>
      </w:r>
      <w:r>
        <w:rPr>
          <w:b/>
        </w:rPr>
        <w:t>ESCUELA SUPERIOR POLITÉCNICA DEL LITORAL</w:t>
      </w:r>
    </w:p>
    <w:p w:rsidR="00A526C1" w:rsidRPr="0067296F" w:rsidRDefault="00A526C1" w:rsidP="00A526C1">
      <w:pPr>
        <w:jc w:val="center"/>
        <w:rPr>
          <w:b/>
        </w:rPr>
      </w:pPr>
      <w:r w:rsidRPr="0067296F">
        <w:rPr>
          <w:b/>
        </w:rPr>
        <w:t>FACULTA</w:t>
      </w:r>
      <w:r>
        <w:rPr>
          <w:b/>
        </w:rPr>
        <w:t>D DE CIENCIAS NATURALES Y MATEMÁ</w:t>
      </w:r>
      <w:r w:rsidRPr="0067296F">
        <w:rPr>
          <w:b/>
        </w:rPr>
        <w:t>TICAS</w:t>
      </w:r>
    </w:p>
    <w:p w:rsidR="00A526C1" w:rsidRDefault="00A526C1" w:rsidP="00A526C1">
      <w:pPr>
        <w:jc w:val="center"/>
        <w:rPr>
          <w:b/>
        </w:rPr>
      </w:pPr>
      <w:r>
        <w:rPr>
          <w:b/>
        </w:rPr>
        <w:t>DEPARTAMENTO DE  AUDITORÍA</w:t>
      </w:r>
    </w:p>
    <w:tbl>
      <w:tblPr>
        <w:tblStyle w:val="Tablaconcuadrcula"/>
        <w:tblW w:w="8926" w:type="dxa"/>
        <w:tblLook w:val="04A0" w:firstRow="1" w:lastRow="0" w:firstColumn="1" w:lastColumn="0" w:noHBand="0" w:noVBand="1"/>
      </w:tblPr>
      <w:tblGrid>
        <w:gridCol w:w="4247"/>
        <w:gridCol w:w="4679"/>
      </w:tblGrid>
      <w:tr w:rsidR="00A526C1" w:rsidRPr="00A526C1" w:rsidTr="00976D6F">
        <w:tc>
          <w:tcPr>
            <w:tcW w:w="4247" w:type="dxa"/>
          </w:tcPr>
          <w:p w:rsidR="00A526C1" w:rsidRPr="00A526C1" w:rsidRDefault="003B4524" w:rsidP="00976D6F">
            <w:pPr>
              <w:rPr>
                <w:sz w:val="18"/>
                <w:szCs w:val="18"/>
              </w:rPr>
            </w:pPr>
            <w:r>
              <w:rPr>
                <w:sz w:val="18"/>
                <w:szCs w:val="18"/>
              </w:rPr>
              <w:t>Año:2016</w:t>
            </w:r>
          </w:p>
        </w:tc>
        <w:tc>
          <w:tcPr>
            <w:tcW w:w="4679" w:type="dxa"/>
          </w:tcPr>
          <w:p w:rsidR="00A526C1" w:rsidRPr="00A526C1" w:rsidRDefault="00A526C1" w:rsidP="00976D6F">
            <w:pPr>
              <w:rPr>
                <w:sz w:val="18"/>
                <w:szCs w:val="18"/>
              </w:rPr>
            </w:pPr>
            <w:r w:rsidRPr="00A526C1">
              <w:rPr>
                <w:sz w:val="18"/>
                <w:szCs w:val="18"/>
              </w:rPr>
              <w:t>Período: Segundo Término</w:t>
            </w:r>
          </w:p>
        </w:tc>
      </w:tr>
      <w:tr w:rsidR="00A526C1" w:rsidRPr="00A526C1" w:rsidTr="00976D6F">
        <w:tc>
          <w:tcPr>
            <w:tcW w:w="4247" w:type="dxa"/>
          </w:tcPr>
          <w:p w:rsidR="00A526C1" w:rsidRPr="00A526C1" w:rsidRDefault="00A526C1" w:rsidP="00976D6F">
            <w:pPr>
              <w:rPr>
                <w:sz w:val="18"/>
                <w:szCs w:val="18"/>
              </w:rPr>
            </w:pPr>
            <w:r w:rsidRPr="00A526C1">
              <w:rPr>
                <w:sz w:val="18"/>
                <w:szCs w:val="18"/>
              </w:rPr>
              <w:t>Materia:</w:t>
            </w:r>
            <w:r w:rsidR="003B4524">
              <w:rPr>
                <w:sz w:val="18"/>
                <w:szCs w:val="18"/>
              </w:rPr>
              <w:t xml:space="preserve"> Auditoría y Contabilidad Forense</w:t>
            </w:r>
          </w:p>
        </w:tc>
        <w:tc>
          <w:tcPr>
            <w:tcW w:w="4679" w:type="dxa"/>
          </w:tcPr>
          <w:p w:rsidR="00A526C1" w:rsidRPr="00A526C1" w:rsidRDefault="00A526C1" w:rsidP="00976D6F">
            <w:pPr>
              <w:rPr>
                <w:sz w:val="18"/>
                <w:szCs w:val="18"/>
              </w:rPr>
            </w:pPr>
            <w:r w:rsidRPr="00A526C1">
              <w:rPr>
                <w:sz w:val="18"/>
                <w:szCs w:val="18"/>
              </w:rPr>
              <w:t>Profesor:</w:t>
            </w:r>
          </w:p>
        </w:tc>
      </w:tr>
      <w:tr w:rsidR="00A526C1" w:rsidRPr="00A526C1" w:rsidTr="00976D6F">
        <w:tc>
          <w:tcPr>
            <w:tcW w:w="4247" w:type="dxa"/>
          </w:tcPr>
          <w:p w:rsidR="00A526C1" w:rsidRPr="00A526C1" w:rsidRDefault="003B4524" w:rsidP="00976D6F">
            <w:pPr>
              <w:rPr>
                <w:sz w:val="18"/>
                <w:szCs w:val="18"/>
              </w:rPr>
            </w:pPr>
            <w:r>
              <w:rPr>
                <w:sz w:val="18"/>
                <w:szCs w:val="18"/>
              </w:rPr>
              <w:t>Evaluación: Segunda</w:t>
            </w:r>
          </w:p>
        </w:tc>
        <w:tc>
          <w:tcPr>
            <w:tcW w:w="4679" w:type="dxa"/>
          </w:tcPr>
          <w:p w:rsidR="00A526C1" w:rsidRPr="00A526C1" w:rsidRDefault="00A526C1" w:rsidP="00976D6F">
            <w:pPr>
              <w:rPr>
                <w:sz w:val="18"/>
                <w:szCs w:val="18"/>
              </w:rPr>
            </w:pPr>
            <w:r w:rsidRPr="00A526C1">
              <w:rPr>
                <w:sz w:val="18"/>
                <w:szCs w:val="18"/>
              </w:rPr>
              <w:t xml:space="preserve">Fecha: </w:t>
            </w:r>
            <w:r w:rsidR="003B4524">
              <w:rPr>
                <w:sz w:val="18"/>
                <w:szCs w:val="18"/>
              </w:rPr>
              <w:t>1</w:t>
            </w:r>
            <w:r w:rsidR="00912E7D">
              <w:rPr>
                <w:sz w:val="18"/>
                <w:szCs w:val="18"/>
              </w:rPr>
              <w:t xml:space="preserve"> </w:t>
            </w:r>
            <w:r w:rsidR="003B4524">
              <w:rPr>
                <w:sz w:val="18"/>
                <w:szCs w:val="18"/>
              </w:rPr>
              <w:t>Febrero</w:t>
            </w:r>
            <w:r w:rsidRPr="00A526C1">
              <w:rPr>
                <w:sz w:val="18"/>
                <w:szCs w:val="18"/>
              </w:rPr>
              <w:t xml:space="preserve">  </w:t>
            </w:r>
            <w:r w:rsidR="00912E7D">
              <w:rPr>
                <w:sz w:val="18"/>
                <w:szCs w:val="18"/>
              </w:rPr>
              <w:t>de</w:t>
            </w:r>
            <w:r w:rsidR="003B4524">
              <w:rPr>
                <w:sz w:val="18"/>
                <w:szCs w:val="18"/>
              </w:rPr>
              <w:t xml:space="preserve">   2016</w:t>
            </w:r>
          </w:p>
        </w:tc>
      </w:tr>
    </w:tbl>
    <w:p w:rsidR="003532AA" w:rsidRPr="00B47B02" w:rsidRDefault="003B4524" w:rsidP="00A526C1">
      <w:pPr>
        <w:pStyle w:val="Prrafodelista"/>
        <w:numPr>
          <w:ilvl w:val="0"/>
          <w:numId w:val="9"/>
        </w:numPr>
        <w:jc w:val="both"/>
        <w:rPr>
          <w:b/>
          <w:sz w:val="16"/>
          <w:szCs w:val="16"/>
        </w:rPr>
      </w:pPr>
      <w:r w:rsidRPr="00B47B02">
        <w:rPr>
          <w:b/>
          <w:sz w:val="16"/>
          <w:szCs w:val="16"/>
        </w:rPr>
        <w:t>CASO ENRON</w:t>
      </w:r>
    </w:p>
    <w:p w:rsidR="003B4524" w:rsidRPr="00B47B02" w:rsidRDefault="003B4524" w:rsidP="003B4524">
      <w:pPr>
        <w:pStyle w:val="Prrafodelista"/>
        <w:numPr>
          <w:ilvl w:val="0"/>
          <w:numId w:val="14"/>
        </w:numPr>
        <w:jc w:val="both"/>
        <w:rPr>
          <w:sz w:val="16"/>
          <w:szCs w:val="16"/>
        </w:rPr>
      </w:pPr>
      <w:r w:rsidRPr="00B47B02">
        <w:rPr>
          <w:sz w:val="16"/>
          <w:szCs w:val="16"/>
        </w:rPr>
        <w:t>¿Cómo se manejó el criterio de independencia del auditor y su posible impacto en la caída de la empresa, que otros valores a nivel de directivos y auditores se comprometieron?</w:t>
      </w:r>
    </w:p>
    <w:p w:rsidR="003B4524" w:rsidRPr="00B47B02" w:rsidRDefault="003B4524" w:rsidP="003B4524">
      <w:pPr>
        <w:pStyle w:val="Prrafodelista"/>
        <w:numPr>
          <w:ilvl w:val="0"/>
          <w:numId w:val="14"/>
        </w:numPr>
        <w:jc w:val="both"/>
        <w:rPr>
          <w:sz w:val="16"/>
          <w:szCs w:val="16"/>
        </w:rPr>
      </w:pPr>
      <w:r w:rsidRPr="00B47B02">
        <w:rPr>
          <w:sz w:val="16"/>
          <w:szCs w:val="16"/>
        </w:rPr>
        <w:t>¿Cómo deben contabilizarse las opciones para compra de acciones otorgadas como remuneración a funcionarios o empleados de la misma compañía?</w:t>
      </w:r>
    </w:p>
    <w:p w:rsidR="003B4524" w:rsidRPr="00B47B02" w:rsidRDefault="003B4524" w:rsidP="003B4524">
      <w:pPr>
        <w:pStyle w:val="Prrafodelista"/>
        <w:numPr>
          <w:ilvl w:val="0"/>
          <w:numId w:val="14"/>
        </w:numPr>
        <w:jc w:val="both"/>
        <w:rPr>
          <w:sz w:val="16"/>
          <w:szCs w:val="16"/>
        </w:rPr>
      </w:pPr>
      <w:r w:rsidRPr="00B47B02">
        <w:rPr>
          <w:sz w:val="16"/>
          <w:szCs w:val="16"/>
        </w:rPr>
        <w:t>¿Es conveniente que los planes de ahorro se inviertan en acciones de la misma compañía?</w:t>
      </w:r>
    </w:p>
    <w:p w:rsidR="003B4524" w:rsidRPr="00B47B02" w:rsidRDefault="003B4524" w:rsidP="003B4524">
      <w:pPr>
        <w:pStyle w:val="Prrafodelista"/>
        <w:numPr>
          <w:ilvl w:val="0"/>
          <w:numId w:val="14"/>
        </w:numPr>
        <w:jc w:val="both"/>
        <w:rPr>
          <w:sz w:val="16"/>
          <w:szCs w:val="16"/>
        </w:rPr>
      </w:pPr>
      <w:r w:rsidRPr="00B47B02">
        <w:rPr>
          <w:sz w:val="16"/>
          <w:szCs w:val="16"/>
        </w:rPr>
        <w:t>¿Cuál fue el tratamiento de las Entidades instrumentales creadas para propósitos especiales?</w:t>
      </w:r>
    </w:p>
    <w:p w:rsidR="003B4524" w:rsidRPr="00B47B02" w:rsidRDefault="003B4524" w:rsidP="003B4524">
      <w:pPr>
        <w:pStyle w:val="Prrafodelista"/>
        <w:numPr>
          <w:ilvl w:val="0"/>
          <w:numId w:val="14"/>
        </w:numPr>
        <w:jc w:val="both"/>
        <w:rPr>
          <w:sz w:val="16"/>
          <w:szCs w:val="16"/>
        </w:rPr>
      </w:pPr>
      <w:r w:rsidRPr="00B47B02">
        <w:rPr>
          <w:sz w:val="16"/>
          <w:szCs w:val="16"/>
        </w:rPr>
        <w:t>Si usted hubiese establecido la siguiente estrategia especulativa con las opciones sobre ENRON:</w:t>
      </w:r>
    </w:p>
    <w:p w:rsidR="003B4524" w:rsidRPr="00B47B02" w:rsidRDefault="003B4524" w:rsidP="003B4524">
      <w:pPr>
        <w:pStyle w:val="Prrafodelista"/>
        <w:numPr>
          <w:ilvl w:val="1"/>
          <w:numId w:val="14"/>
        </w:numPr>
        <w:jc w:val="both"/>
        <w:rPr>
          <w:sz w:val="16"/>
          <w:szCs w:val="16"/>
        </w:rPr>
      </w:pPr>
      <w:r w:rsidRPr="00B47B02">
        <w:rPr>
          <w:sz w:val="16"/>
          <w:szCs w:val="16"/>
        </w:rPr>
        <w:t>Adquirió una opción de compra con un precio de ejercicio de $5.500 y una prima de $ 300.</w:t>
      </w:r>
    </w:p>
    <w:p w:rsidR="003B4524" w:rsidRPr="00B47B02" w:rsidRDefault="003B4524" w:rsidP="003B4524">
      <w:pPr>
        <w:pStyle w:val="Prrafodelista"/>
        <w:numPr>
          <w:ilvl w:val="1"/>
          <w:numId w:val="14"/>
        </w:numPr>
        <w:jc w:val="both"/>
        <w:rPr>
          <w:sz w:val="16"/>
          <w:szCs w:val="16"/>
        </w:rPr>
      </w:pPr>
      <w:r w:rsidRPr="00B47B02">
        <w:rPr>
          <w:sz w:val="16"/>
          <w:szCs w:val="16"/>
        </w:rPr>
        <w:t>Adquirió una opción de venta con un precio de ejercicio de $ 4.500 y una prima de $ 50.</w:t>
      </w:r>
    </w:p>
    <w:p w:rsidR="003B4524" w:rsidRPr="00B47B02" w:rsidRDefault="00D15B12" w:rsidP="003B4524">
      <w:pPr>
        <w:pStyle w:val="Prrafodelista"/>
        <w:jc w:val="both"/>
        <w:rPr>
          <w:sz w:val="16"/>
          <w:szCs w:val="16"/>
        </w:rPr>
      </w:pPr>
      <w:r w:rsidRPr="00B47B02">
        <w:rPr>
          <w:sz w:val="16"/>
          <w:szCs w:val="16"/>
        </w:rPr>
        <w:t>Considerando que e</w:t>
      </w:r>
      <w:r w:rsidR="003B4524" w:rsidRPr="00B47B02">
        <w:rPr>
          <w:sz w:val="16"/>
          <w:szCs w:val="16"/>
        </w:rPr>
        <w:t>l precio de las acciones de ENRON llegó a cotizarse en $ 5.000. Determine el resultado de la estrategia en la fecha de vencimiento cuando:</w:t>
      </w:r>
    </w:p>
    <w:p w:rsidR="003B4524" w:rsidRPr="00B47B02" w:rsidRDefault="003B4524" w:rsidP="00D15B12">
      <w:pPr>
        <w:pStyle w:val="Prrafodelista"/>
        <w:numPr>
          <w:ilvl w:val="1"/>
          <w:numId w:val="14"/>
        </w:numPr>
        <w:jc w:val="both"/>
        <w:rPr>
          <w:sz w:val="16"/>
          <w:szCs w:val="16"/>
        </w:rPr>
      </w:pPr>
      <w:r w:rsidRPr="00B47B02">
        <w:rPr>
          <w:sz w:val="16"/>
          <w:szCs w:val="16"/>
        </w:rPr>
        <w:t>El precio de las acciones de la empres</w:t>
      </w:r>
      <w:r w:rsidR="00D15B12" w:rsidRPr="00B47B02">
        <w:rPr>
          <w:sz w:val="16"/>
          <w:szCs w:val="16"/>
        </w:rPr>
        <w:t>a se mantiene idéntico a su cotización.</w:t>
      </w:r>
    </w:p>
    <w:p w:rsidR="003B4524" w:rsidRPr="00B47B02" w:rsidRDefault="003B4524" w:rsidP="00D15B12">
      <w:pPr>
        <w:pStyle w:val="Prrafodelista"/>
        <w:numPr>
          <w:ilvl w:val="1"/>
          <w:numId w:val="14"/>
        </w:numPr>
        <w:jc w:val="both"/>
        <w:rPr>
          <w:sz w:val="16"/>
          <w:szCs w:val="16"/>
        </w:rPr>
      </w:pPr>
      <w:r w:rsidRPr="00B47B02">
        <w:rPr>
          <w:sz w:val="16"/>
          <w:szCs w:val="16"/>
        </w:rPr>
        <w:t>El precio de las acciones disminuye a $3.500</w:t>
      </w:r>
    </w:p>
    <w:p w:rsidR="003B4524" w:rsidRPr="00B47B02" w:rsidRDefault="003B4524" w:rsidP="00D15B12">
      <w:pPr>
        <w:pStyle w:val="Prrafodelista"/>
        <w:numPr>
          <w:ilvl w:val="1"/>
          <w:numId w:val="14"/>
        </w:numPr>
        <w:jc w:val="both"/>
        <w:rPr>
          <w:sz w:val="16"/>
          <w:szCs w:val="16"/>
        </w:rPr>
      </w:pPr>
      <w:r w:rsidRPr="00B47B02">
        <w:rPr>
          <w:sz w:val="16"/>
          <w:szCs w:val="16"/>
        </w:rPr>
        <w:t>El precio de las acciones aumenta a $6.000</w:t>
      </w:r>
    </w:p>
    <w:p w:rsidR="00D15B12" w:rsidRPr="00B47B02" w:rsidRDefault="00B47B02" w:rsidP="00B47B02">
      <w:pPr>
        <w:pStyle w:val="Prrafodelista"/>
        <w:numPr>
          <w:ilvl w:val="0"/>
          <w:numId w:val="9"/>
        </w:numPr>
        <w:jc w:val="both"/>
        <w:rPr>
          <w:b/>
          <w:sz w:val="16"/>
          <w:szCs w:val="16"/>
        </w:rPr>
      </w:pPr>
      <w:r w:rsidRPr="00B47B02">
        <w:rPr>
          <w:b/>
          <w:sz w:val="16"/>
          <w:szCs w:val="16"/>
        </w:rPr>
        <w:t>ESTUDIO DE CASO</w:t>
      </w:r>
    </w:p>
    <w:p w:rsidR="00D15B12" w:rsidRPr="00B47B02" w:rsidRDefault="00D15B12" w:rsidP="009E3354">
      <w:pPr>
        <w:jc w:val="both"/>
        <w:rPr>
          <w:sz w:val="16"/>
          <w:szCs w:val="16"/>
        </w:rPr>
      </w:pPr>
      <w:r w:rsidRPr="00B47B02">
        <w:rPr>
          <w:sz w:val="16"/>
          <w:szCs w:val="16"/>
        </w:rPr>
        <w:t xml:space="preserve">La compañía </w:t>
      </w:r>
      <w:r w:rsidRPr="00B47B02">
        <w:rPr>
          <w:b/>
          <w:sz w:val="16"/>
          <w:szCs w:val="16"/>
        </w:rPr>
        <w:t>BANANITOS S</w:t>
      </w:r>
      <w:bookmarkStart w:id="0" w:name="_GoBack"/>
      <w:bookmarkEnd w:id="0"/>
      <w:r w:rsidRPr="00B47B02">
        <w:rPr>
          <w:b/>
          <w:sz w:val="16"/>
          <w:szCs w:val="16"/>
        </w:rPr>
        <w:t>.A.</w:t>
      </w:r>
      <w:r w:rsidRPr="00B47B02">
        <w:rPr>
          <w:sz w:val="16"/>
          <w:szCs w:val="16"/>
        </w:rPr>
        <w:t xml:space="preserve"> es una sociedad anónima, sujeta al control y vigilancia de la Superintendencia de Compañías, que en ejercicio de su actividad económica principal que es la “ACTIVIDADES DE CULTIVO DE FRUTAS TROPICALES.”, durante el ejercicio fiscal 201X obtuvo ingresos gravados por Impuesto a la Renta y por lo tanto se constituyó en sujeto pasivo de este tributo para dicho periodo, de acuerdo a la normativa antes señalada.</w:t>
      </w:r>
      <w:r w:rsidR="00B47B02" w:rsidRPr="00B47B02">
        <w:rPr>
          <w:sz w:val="16"/>
          <w:szCs w:val="16"/>
        </w:rPr>
        <w:t xml:space="preserve"> </w:t>
      </w:r>
      <w:r w:rsidRPr="00B47B02">
        <w:rPr>
          <w:sz w:val="16"/>
          <w:szCs w:val="16"/>
        </w:rPr>
        <w:t>Resulta importante para la Administración Tributaria determinar las actividades y operaciones del sujeto pasivo BANANITOS S. A. en lo que concierne a las exportaciones de banano para el periodo fiscal 201X, en particular la definición de mercado relevante o mercado de referencia.</w:t>
      </w:r>
      <w:r w:rsidR="00B47B02" w:rsidRPr="00B47B02">
        <w:rPr>
          <w:sz w:val="16"/>
          <w:szCs w:val="16"/>
        </w:rPr>
        <w:t xml:space="preserve"> </w:t>
      </w:r>
      <w:r w:rsidRPr="00B47B02">
        <w:rPr>
          <w:sz w:val="16"/>
          <w:szCs w:val="16"/>
        </w:rPr>
        <w:t>En este sentido, se verificó los precios que fueron reportados para el periodo fiscal 201X por el propio sujeto pasivo BANANITOS S. A. en la venta de banano a sus consignatarios en el exterior, y cuyos valores promedios declarados a los diferentes destinos se presentan a continuación:</w:t>
      </w:r>
      <w:r w:rsidR="00B47B02">
        <w:rPr>
          <w:sz w:val="16"/>
          <w:szCs w:val="16"/>
        </w:rPr>
        <w:t xml:space="preserve"> </w:t>
      </w:r>
      <w:r w:rsidR="009E3354" w:rsidRPr="00B47B02">
        <w:rPr>
          <w:sz w:val="16"/>
          <w:szCs w:val="16"/>
        </w:rPr>
        <w:t xml:space="preserve">Fuente: </w:t>
      </w:r>
      <w:proofErr w:type="spellStart"/>
      <w:r w:rsidR="009E3354" w:rsidRPr="00B47B02">
        <w:rPr>
          <w:sz w:val="16"/>
          <w:szCs w:val="16"/>
        </w:rPr>
        <w:t>Sopisco</w:t>
      </w:r>
      <w:proofErr w:type="spellEnd"/>
      <w:r w:rsidR="009E3354" w:rsidRPr="00B47B02">
        <w:rPr>
          <w:sz w:val="16"/>
          <w:szCs w:val="16"/>
        </w:rPr>
        <w:t xml:space="preserve">. </w:t>
      </w:r>
      <w:r w:rsidR="009E3354">
        <w:rPr>
          <w:sz w:val="16"/>
          <w:szCs w:val="16"/>
        </w:rPr>
        <w:t xml:space="preserve">1 </w:t>
      </w:r>
      <w:r w:rsidR="009E3354" w:rsidRPr="00B47B02">
        <w:rPr>
          <w:rFonts w:cstheme="minorHAnsi"/>
          <w:sz w:val="16"/>
          <w:szCs w:val="16"/>
        </w:rPr>
        <w:t>€</w:t>
      </w:r>
      <w:r w:rsidR="009E3354">
        <w:rPr>
          <w:rFonts w:cstheme="minorHAnsi"/>
          <w:sz w:val="16"/>
          <w:szCs w:val="16"/>
        </w:rPr>
        <w:t>: $ 1.10</w:t>
      </w:r>
    </w:p>
    <w:tbl>
      <w:tblPr>
        <w:tblStyle w:val="Tablaconcuadrcula"/>
        <w:tblW w:w="0" w:type="auto"/>
        <w:jc w:val="center"/>
        <w:tblInd w:w="-1462" w:type="dxa"/>
        <w:tblLook w:val="04A0" w:firstRow="1" w:lastRow="0" w:firstColumn="1" w:lastColumn="0" w:noHBand="0" w:noVBand="1"/>
      </w:tblPr>
      <w:tblGrid>
        <w:gridCol w:w="1258"/>
        <w:gridCol w:w="882"/>
        <w:gridCol w:w="1260"/>
        <w:gridCol w:w="1275"/>
        <w:gridCol w:w="993"/>
        <w:gridCol w:w="992"/>
        <w:gridCol w:w="992"/>
      </w:tblGrid>
      <w:tr w:rsidR="00D15B12" w:rsidRPr="009E3354" w:rsidTr="00C87434">
        <w:trPr>
          <w:jc w:val="center"/>
        </w:trPr>
        <w:tc>
          <w:tcPr>
            <w:tcW w:w="1258" w:type="dxa"/>
            <w:vAlign w:val="center"/>
          </w:tcPr>
          <w:p w:rsidR="00D15B12" w:rsidRPr="009E3354" w:rsidRDefault="00D15B12" w:rsidP="00C87434">
            <w:pPr>
              <w:jc w:val="center"/>
              <w:rPr>
                <w:sz w:val="15"/>
                <w:szCs w:val="15"/>
              </w:rPr>
            </w:pPr>
            <w:r w:rsidRPr="009E3354">
              <w:rPr>
                <w:sz w:val="15"/>
                <w:szCs w:val="15"/>
              </w:rPr>
              <w:t>Destino</w:t>
            </w:r>
          </w:p>
        </w:tc>
        <w:tc>
          <w:tcPr>
            <w:tcW w:w="882" w:type="dxa"/>
            <w:vAlign w:val="center"/>
          </w:tcPr>
          <w:p w:rsidR="00D15B12" w:rsidRPr="009E3354" w:rsidRDefault="00D15B12" w:rsidP="00C87434">
            <w:pPr>
              <w:jc w:val="center"/>
              <w:rPr>
                <w:sz w:val="15"/>
                <w:szCs w:val="15"/>
              </w:rPr>
            </w:pPr>
            <w:r w:rsidRPr="009E3354">
              <w:rPr>
                <w:sz w:val="15"/>
                <w:szCs w:val="15"/>
              </w:rPr>
              <w:t>Cajas Cavendish (millones)</w:t>
            </w:r>
          </w:p>
        </w:tc>
        <w:tc>
          <w:tcPr>
            <w:tcW w:w="1260" w:type="dxa"/>
            <w:vAlign w:val="center"/>
          </w:tcPr>
          <w:p w:rsidR="00D15B12" w:rsidRPr="009E3354" w:rsidRDefault="00D15B12" w:rsidP="00C87434">
            <w:pPr>
              <w:jc w:val="center"/>
              <w:rPr>
                <w:sz w:val="15"/>
                <w:szCs w:val="15"/>
              </w:rPr>
            </w:pPr>
            <w:r w:rsidRPr="009E3354">
              <w:rPr>
                <w:sz w:val="15"/>
                <w:szCs w:val="15"/>
              </w:rPr>
              <w:t>FOT (</w:t>
            </w:r>
            <w:proofErr w:type="spellStart"/>
            <w:r w:rsidRPr="009E3354">
              <w:rPr>
                <w:sz w:val="15"/>
                <w:szCs w:val="15"/>
              </w:rPr>
              <w:t>Sopisco</w:t>
            </w:r>
            <w:proofErr w:type="spellEnd"/>
            <w:r w:rsidRPr="009E3354">
              <w:rPr>
                <w:sz w:val="15"/>
                <w:szCs w:val="15"/>
              </w:rPr>
              <w:t>)</w:t>
            </w:r>
          </w:p>
        </w:tc>
        <w:tc>
          <w:tcPr>
            <w:tcW w:w="1275" w:type="dxa"/>
            <w:vAlign w:val="center"/>
          </w:tcPr>
          <w:p w:rsidR="00D15B12" w:rsidRPr="009E3354" w:rsidRDefault="00D15B12" w:rsidP="00C87434">
            <w:pPr>
              <w:jc w:val="center"/>
              <w:rPr>
                <w:sz w:val="15"/>
                <w:szCs w:val="15"/>
              </w:rPr>
            </w:pPr>
            <w:r w:rsidRPr="009E3354">
              <w:rPr>
                <w:sz w:val="15"/>
                <w:szCs w:val="15"/>
              </w:rPr>
              <w:t>Flete promedio por caja</w:t>
            </w:r>
          </w:p>
        </w:tc>
        <w:tc>
          <w:tcPr>
            <w:tcW w:w="993" w:type="dxa"/>
            <w:vAlign w:val="center"/>
          </w:tcPr>
          <w:p w:rsidR="00D15B12" w:rsidRPr="009E3354" w:rsidRDefault="00D15B12" w:rsidP="00C87434">
            <w:pPr>
              <w:jc w:val="center"/>
              <w:rPr>
                <w:sz w:val="15"/>
                <w:szCs w:val="15"/>
              </w:rPr>
            </w:pPr>
            <w:r w:rsidRPr="009E3354">
              <w:rPr>
                <w:sz w:val="15"/>
                <w:szCs w:val="15"/>
              </w:rPr>
              <w:t>Seguro promedio por caja</w:t>
            </w:r>
          </w:p>
        </w:tc>
        <w:tc>
          <w:tcPr>
            <w:tcW w:w="992" w:type="dxa"/>
            <w:vAlign w:val="center"/>
          </w:tcPr>
          <w:p w:rsidR="00D15B12" w:rsidRPr="009E3354" w:rsidRDefault="00D15B12" w:rsidP="00C87434">
            <w:pPr>
              <w:jc w:val="center"/>
              <w:rPr>
                <w:sz w:val="15"/>
                <w:szCs w:val="15"/>
              </w:rPr>
            </w:pPr>
            <w:r w:rsidRPr="009E3354">
              <w:rPr>
                <w:sz w:val="15"/>
                <w:szCs w:val="15"/>
              </w:rPr>
              <w:t>Canal de Panamá</w:t>
            </w:r>
          </w:p>
        </w:tc>
        <w:tc>
          <w:tcPr>
            <w:tcW w:w="992" w:type="dxa"/>
            <w:vAlign w:val="center"/>
          </w:tcPr>
          <w:p w:rsidR="00D15B12" w:rsidRPr="009E3354" w:rsidRDefault="00D15B12" w:rsidP="00C87434">
            <w:pPr>
              <w:jc w:val="center"/>
              <w:rPr>
                <w:sz w:val="15"/>
                <w:szCs w:val="15"/>
              </w:rPr>
            </w:pPr>
            <w:r w:rsidRPr="009E3354">
              <w:rPr>
                <w:sz w:val="15"/>
                <w:szCs w:val="15"/>
              </w:rPr>
              <w:t>Otros gastos</w:t>
            </w:r>
          </w:p>
        </w:tc>
      </w:tr>
      <w:tr w:rsidR="00D15B12" w:rsidRPr="00B47B02" w:rsidTr="00C87434">
        <w:trPr>
          <w:jc w:val="center"/>
        </w:trPr>
        <w:tc>
          <w:tcPr>
            <w:tcW w:w="1258" w:type="dxa"/>
            <w:vAlign w:val="center"/>
          </w:tcPr>
          <w:p w:rsidR="00D15B12" w:rsidRPr="00B47B02" w:rsidRDefault="00D15B12" w:rsidP="00C87434">
            <w:pPr>
              <w:jc w:val="center"/>
              <w:rPr>
                <w:sz w:val="16"/>
                <w:szCs w:val="16"/>
              </w:rPr>
            </w:pPr>
            <w:r w:rsidRPr="00B47B02">
              <w:rPr>
                <w:sz w:val="16"/>
                <w:szCs w:val="16"/>
              </w:rPr>
              <w:t>Costa Este</w:t>
            </w:r>
          </w:p>
        </w:tc>
        <w:tc>
          <w:tcPr>
            <w:tcW w:w="882" w:type="dxa"/>
            <w:vMerge w:val="restart"/>
            <w:vAlign w:val="center"/>
          </w:tcPr>
          <w:p w:rsidR="00D15B12" w:rsidRPr="00B47B02" w:rsidRDefault="00D15B12" w:rsidP="00C87434">
            <w:pPr>
              <w:jc w:val="center"/>
              <w:rPr>
                <w:sz w:val="16"/>
                <w:szCs w:val="16"/>
              </w:rPr>
            </w:pPr>
            <w:r w:rsidRPr="00B47B02">
              <w:rPr>
                <w:sz w:val="16"/>
                <w:szCs w:val="16"/>
              </w:rPr>
              <w:t>5.80</w:t>
            </w:r>
          </w:p>
        </w:tc>
        <w:tc>
          <w:tcPr>
            <w:tcW w:w="1260" w:type="dxa"/>
            <w:vAlign w:val="center"/>
          </w:tcPr>
          <w:p w:rsidR="00D15B12" w:rsidRPr="00B47B02" w:rsidRDefault="00D15B12" w:rsidP="00C87434">
            <w:pPr>
              <w:jc w:val="center"/>
              <w:rPr>
                <w:sz w:val="16"/>
                <w:szCs w:val="16"/>
              </w:rPr>
            </w:pPr>
            <w:r w:rsidRPr="00B47B02">
              <w:rPr>
                <w:sz w:val="16"/>
                <w:szCs w:val="16"/>
              </w:rPr>
              <w:t>Min: $14.04</w:t>
            </w:r>
          </w:p>
        </w:tc>
        <w:tc>
          <w:tcPr>
            <w:tcW w:w="1275" w:type="dxa"/>
            <w:vMerge w:val="restart"/>
            <w:vAlign w:val="center"/>
          </w:tcPr>
          <w:p w:rsidR="00D15B12" w:rsidRPr="00B47B02" w:rsidRDefault="00D15B12" w:rsidP="00C87434">
            <w:pPr>
              <w:jc w:val="center"/>
              <w:rPr>
                <w:sz w:val="16"/>
                <w:szCs w:val="16"/>
              </w:rPr>
            </w:pPr>
            <w:r w:rsidRPr="00B47B02">
              <w:rPr>
                <w:sz w:val="16"/>
                <w:szCs w:val="16"/>
              </w:rPr>
              <w:t>$ 1.37</w:t>
            </w:r>
          </w:p>
        </w:tc>
        <w:tc>
          <w:tcPr>
            <w:tcW w:w="993" w:type="dxa"/>
            <w:vMerge w:val="restart"/>
            <w:vAlign w:val="center"/>
          </w:tcPr>
          <w:p w:rsidR="00D15B12" w:rsidRPr="00B47B02" w:rsidRDefault="00D15B12" w:rsidP="00C87434">
            <w:pPr>
              <w:jc w:val="center"/>
              <w:rPr>
                <w:sz w:val="16"/>
                <w:szCs w:val="16"/>
              </w:rPr>
            </w:pPr>
            <w:r w:rsidRPr="00B47B02">
              <w:rPr>
                <w:sz w:val="16"/>
                <w:szCs w:val="16"/>
              </w:rPr>
              <w:t>$ 0.004</w:t>
            </w:r>
          </w:p>
        </w:tc>
        <w:tc>
          <w:tcPr>
            <w:tcW w:w="992" w:type="dxa"/>
            <w:vMerge w:val="restart"/>
            <w:vAlign w:val="center"/>
          </w:tcPr>
          <w:p w:rsidR="00D15B12" w:rsidRPr="00B47B02" w:rsidRDefault="00D15B12" w:rsidP="00C87434">
            <w:pPr>
              <w:jc w:val="center"/>
              <w:rPr>
                <w:sz w:val="16"/>
                <w:szCs w:val="16"/>
              </w:rPr>
            </w:pPr>
            <w:r w:rsidRPr="00B47B02">
              <w:rPr>
                <w:sz w:val="16"/>
                <w:szCs w:val="16"/>
              </w:rPr>
              <w:t>$ 0.18</w:t>
            </w:r>
          </w:p>
        </w:tc>
        <w:tc>
          <w:tcPr>
            <w:tcW w:w="992" w:type="dxa"/>
            <w:vMerge w:val="restart"/>
            <w:vAlign w:val="center"/>
          </w:tcPr>
          <w:p w:rsidR="00D15B12" w:rsidRPr="00B47B02" w:rsidRDefault="00D15B12" w:rsidP="00C87434">
            <w:pPr>
              <w:jc w:val="center"/>
              <w:rPr>
                <w:sz w:val="16"/>
                <w:szCs w:val="16"/>
              </w:rPr>
            </w:pPr>
            <w:r w:rsidRPr="00B47B02">
              <w:rPr>
                <w:sz w:val="16"/>
                <w:szCs w:val="16"/>
              </w:rPr>
              <w:t>$ 2.70</w:t>
            </w:r>
          </w:p>
        </w:tc>
      </w:tr>
      <w:tr w:rsidR="00D15B12" w:rsidRPr="00B47B02" w:rsidTr="00C87434">
        <w:trPr>
          <w:jc w:val="center"/>
        </w:trPr>
        <w:tc>
          <w:tcPr>
            <w:tcW w:w="1258" w:type="dxa"/>
            <w:vAlign w:val="center"/>
          </w:tcPr>
          <w:p w:rsidR="00D15B12" w:rsidRPr="00B47B02" w:rsidRDefault="00D15B12" w:rsidP="00C87434">
            <w:pPr>
              <w:jc w:val="center"/>
              <w:rPr>
                <w:sz w:val="16"/>
                <w:szCs w:val="16"/>
              </w:rPr>
            </w:pPr>
            <w:r w:rsidRPr="00B47B02">
              <w:rPr>
                <w:sz w:val="16"/>
                <w:szCs w:val="16"/>
              </w:rPr>
              <w:t>Estados Unidos</w:t>
            </w:r>
          </w:p>
        </w:tc>
        <w:tc>
          <w:tcPr>
            <w:tcW w:w="882" w:type="dxa"/>
            <w:vMerge/>
            <w:vAlign w:val="center"/>
          </w:tcPr>
          <w:p w:rsidR="00D15B12" w:rsidRPr="00B47B02" w:rsidRDefault="00D15B12" w:rsidP="00C87434">
            <w:pPr>
              <w:jc w:val="center"/>
              <w:rPr>
                <w:sz w:val="16"/>
                <w:szCs w:val="16"/>
              </w:rPr>
            </w:pPr>
          </w:p>
        </w:tc>
        <w:tc>
          <w:tcPr>
            <w:tcW w:w="1260" w:type="dxa"/>
            <w:vAlign w:val="center"/>
          </w:tcPr>
          <w:p w:rsidR="00D15B12" w:rsidRPr="00B47B02" w:rsidRDefault="00D15B12" w:rsidP="00C87434">
            <w:pPr>
              <w:jc w:val="center"/>
              <w:rPr>
                <w:sz w:val="16"/>
                <w:szCs w:val="16"/>
              </w:rPr>
            </w:pPr>
            <w:r w:rsidRPr="00B47B02">
              <w:rPr>
                <w:sz w:val="16"/>
                <w:szCs w:val="16"/>
              </w:rPr>
              <w:t>Max:$16.31</w:t>
            </w:r>
          </w:p>
        </w:tc>
        <w:tc>
          <w:tcPr>
            <w:tcW w:w="1275" w:type="dxa"/>
            <w:vMerge/>
            <w:vAlign w:val="center"/>
          </w:tcPr>
          <w:p w:rsidR="00D15B12" w:rsidRPr="00B47B02" w:rsidRDefault="00D15B12" w:rsidP="00C87434">
            <w:pPr>
              <w:jc w:val="center"/>
              <w:rPr>
                <w:sz w:val="16"/>
                <w:szCs w:val="16"/>
              </w:rPr>
            </w:pPr>
          </w:p>
        </w:tc>
        <w:tc>
          <w:tcPr>
            <w:tcW w:w="993" w:type="dxa"/>
            <w:vMerge/>
            <w:vAlign w:val="center"/>
          </w:tcPr>
          <w:p w:rsidR="00D15B12" w:rsidRPr="00B47B02" w:rsidRDefault="00D15B12" w:rsidP="00C87434">
            <w:pPr>
              <w:jc w:val="center"/>
              <w:rPr>
                <w:sz w:val="16"/>
                <w:szCs w:val="16"/>
              </w:rPr>
            </w:pPr>
          </w:p>
        </w:tc>
        <w:tc>
          <w:tcPr>
            <w:tcW w:w="992" w:type="dxa"/>
            <w:vMerge/>
            <w:vAlign w:val="center"/>
          </w:tcPr>
          <w:p w:rsidR="00D15B12" w:rsidRPr="00B47B02" w:rsidRDefault="00D15B12" w:rsidP="00C87434">
            <w:pPr>
              <w:jc w:val="center"/>
              <w:rPr>
                <w:sz w:val="16"/>
                <w:szCs w:val="16"/>
              </w:rPr>
            </w:pPr>
          </w:p>
        </w:tc>
        <w:tc>
          <w:tcPr>
            <w:tcW w:w="992"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1258" w:type="dxa"/>
            <w:vAlign w:val="center"/>
          </w:tcPr>
          <w:p w:rsidR="00D15B12" w:rsidRPr="00B47B02" w:rsidRDefault="00D15B12" w:rsidP="00C87434">
            <w:pPr>
              <w:jc w:val="center"/>
              <w:rPr>
                <w:sz w:val="16"/>
                <w:szCs w:val="16"/>
              </w:rPr>
            </w:pPr>
            <w:r w:rsidRPr="00B47B02">
              <w:rPr>
                <w:sz w:val="16"/>
                <w:szCs w:val="16"/>
              </w:rPr>
              <w:t>Costa Oeste</w:t>
            </w:r>
          </w:p>
        </w:tc>
        <w:tc>
          <w:tcPr>
            <w:tcW w:w="882" w:type="dxa"/>
            <w:vMerge w:val="restart"/>
            <w:vAlign w:val="center"/>
          </w:tcPr>
          <w:p w:rsidR="00D15B12" w:rsidRPr="00B47B02" w:rsidRDefault="00D15B12" w:rsidP="00C87434">
            <w:pPr>
              <w:jc w:val="center"/>
              <w:rPr>
                <w:sz w:val="16"/>
                <w:szCs w:val="16"/>
              </w:rPr>
            </w:pPr>
            <w:r w:rsidRPr="00B47B02">
              <w:rPr>
                <w:sz w:val="16"/>
                <w:szCs w:val="16"/>
              </w:rPr>
              <w:t>3.30</w:t>
            </w:r>
          </w:p>
        </w:tc>
        <w:tc>
          <w:tcPr>
            <w:tcW w:w="1260" w:type="dxa"/>
            <w:vAlign w:val="center"/>
          </w:tcPr>
          <w:p w:rsidR="00D15B12" w:rsidRPr="00B47B02" w:rsidRDefault="00D15B12" w:rsidP="00C87434">
            <w:pPr>
              <w:jc w:val="center"/>
              <w:rPr>
                <w:sz w:val="16"/>
                <w:szCs w:val="16"/>
              </w:rPr>
            </w:pPr>
            <w:r w:rsidRPr="00B47B02">
              <w:rPr>
                <w:sz w:val="16"/>
                <w:szCs w:val="16"/>
              </w:rPr>
              <w:t>Min: $13.45</w:t>
            </w:r>
          </w:p>
        </w:tc>
        <w:tc>
          <w:tcPr>
            <w:tcW w:w="1275" w:type="dxa"/>
            <w:vMerge w:val="restart"/>
            <w:vAlign w:val="center"/>
          </w:tcPr>
          <w:p w:rsidR="00D15B12" w:rsidRPr="00B47B02" w:rsidRDefault="00D15B12" w:rsidP="00C87434">
            <w:pPr>
              <w:jc w:val="center"/>
              <w:rPr>
                <w:sz w:val="16"/>
                <w:szCs w:val="16"/>
              </w:rPr>
            </w:pPr>
            <w:r w:rsidRPr="00B47B02">
              <w:rPr>
                <w:sz w:val="16"/>
                <w:szCs w:val="16"/>
              </w:rPr>
              <w:t>$ 1.32</w:t>
            </w:r>
          </w:p>
        </w:tc>
        <w:tc>
          <w:tcPr>
            <w:tcW w:w="993" w:type="dxa"/>
            <w:vMerge/>
            <w:vAlign w:val="center"/>
          </w:tcPr>
          <w:p w:rsidR="00D15B12" w:rsidRPr="00B47B02" w:rsidRDefault="00D15B12" w:rsidP="00C87434">
            <w:pPr>
              <w:jc w:val="center"/>
              <w:rPr>
                <w:sz w:val="16"/>
                <w:szCs w:val="16"/>
              </w:rPr>
            </w:pPr>
          </w:p>
        </w:tc>
        <w:tc>
          <w:tcPr>
            <w:tcW w:w="992" w:type="dxa"/>
            <w:vMerge/>
            <w:vAlign w:val="center"/>
          </w:tcPr>
          <w:p w:rsidR="00D15B12" w:rsidRPr="00B47B02" w:rsidRDefault="00D15B12" w:rsidP="00C87434">
            <w:pPr>
              <w:jc w:val="center"/>
              <w:rPr>
                <w:sz w:val="16"/>
                <w:szCs w:val="16"/>
              </w:rPr>
            </w:pPr>
          </w:p>
        </w:tc>
        <w:tc>
          <w:tcPr>
            <w:tcW w:w="992"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1258" w:type="dxa"/>
            <w:vAlign w:val="center"/>
          </w:tcPr>
          <w:p w:rsidR="00D15B12" w:rsidRPr="00B47B02" w:rsidRDefault="00D15B12" w:rsidP="00C87434">
            <w:pPr>
              <w:jc w:val="center"/>
              <w:rPr>
                <w:sz w:val="16"/>
                <w:szCs w:val="16"/>
              </w:rPr>
            </w:pPr>
            <w:r w:rsidRPr="00B47B02">
              <w:rPr>
                <w:sz w:val="16"/>
                <w:szCs w:val="16"/>
              </w:rPr>
              <w:t>Estados Unidos</w:t>
            </w:r>
          </w:p>
        </w:tc>
        <w:tc>
          <w:tcPr>
            <w:tcW w:w="882" w:type="dxa"/>
            <w:vMerge/>
            <w:vAlign w:val="center"/>
          </w:tcPr>
          <w:p w:rsidR="00D15B12" w:rsidRPr="00B47B02" w:rsidRDefault="00D15B12" w:rsidP="00C87434">
            <w:pPr>
              <w:jc w:val="center"/>
              <w:rPr>
                <w:sz w:val="16"/>
                <w:szCs w:val="16"/>
              </w:rPr>
            </w:pPr>
          </w:p>
        </w:tc>
        <w:tc>
          <w:tcPr>
            <w:tcW w:w="1260" w:type="dxa"/>
            <w:vAlign w:val="center"/>
          </w:tcPr>
          <w:p w:rsidR="00D15B12" w:rsidRPr="00B47B02" w:rsidRDefault="00D15B12" w:rsidP="00C87434">
            <w:pPr>
              <w:jc w:val="center"/>
              <w:rPr>
                <w:sz w:val="16"/>
                <w:szCs w:val="16"/>
              </w:rPr>
            </w:pPr>
            <w:r w:rsidRPr="00B47B02">
              <w:rPr>
                <w:sz w:val="16"/>
                <w:szCs w:val="16"/>
              </w:rPr>
              <w:t>Max:$15.82</w:t>
            </w:r>
          </w:p>
        </w:tc>
        <w:tc>
          <w:tcPr>
            <w:tcW w:w="1275" w:type="dxa"/>
            <w:vMerge/>
            <w:vAlign w:val="center"/>
          </w:tcPr>
          <w:p w:rsidR="00D15B12" w:rsidRPr="00B47B02" w:rsidRDefault="00D15B12" w:rsidP="00C87434">
            <w:pPr>
              <w:jc w:val="center"/>
              <w:rPr>
                <w:sz w:val="16"/>
                <w:szCs w:val="16"/>
              </w:rPr>
            </w:pPr>
          </w:p>
        </w:tc>
        <w:tc>
          <w:tcPr>
            <w:tcW w:w="993" w:type="dxa"/>
            <w:vMerge/>
            <w:vAlign w:val="center"/>
          </w:tcPr>
          <w:p w:rsidR="00D15B12" w:rsidRPr="00B47B02" w:rsidRDefault="00D15B12" w:rsidP="00C87434">
            <w:pPr>
              <w:jc w:val="center"/>
              <w:rPr>
                <w:sz w:val="16"/>
                <w:szCs w:val="16"/>
              </w:rPr>
            </w:pPr>
          </w:p>
        </w:tc>
        <w:tc>
          <w:tcPr>
            <w:tcW w:w="992" w:type="dxa"/>
            <w:vMerge/>
            <w:vAlign w:val="center"/>
          </w:tcPr>
          <w:p w:rsidR="00D15B12" w:rsidRPr="00B47B02" w:rsidRDefault="00D15B12" w:rsidP="00C87434">
            <w:pPr>
              <w:jc w:val="center"/>
              <w:rPr>
                <w:sz w:val="16"/>
                <w:szCs w:val="16"/>
              </w:rPr>
            </w:pPr>
          </w:p>
        </w:tc>
        <w:tc>
          <w:tcPr>
            <w:tcW w:w="992" w:type="dxa"/>
            <w:vMerge/>
            <w:vAlign w:val="center"/>
          </w:tcPr>
          <w:p w:rsidR="00D15B12" w:rsidRPr="00B47B02" w:rsidRDefault="00D15B12" w:rsidP="00C87434">
            <w:pPr>
              <w:jc w:val="center"/>
              <w:rPr>
                <w:sz w:val="16"/>
                <w:szCs w:val="16"/>
              </w:rPr>
            </w:pPr>
          </w:p>
        </w:tc>
      </w:tr>
    </w:tbl>
    <w:p w:rsidR="00D15B12" w:rsidRPr="00B47B02" w:rsidRDefault="00D15B12" w:rsidP="00D15B12">
      <w:pPr>
        <w:jc w:val="center"/>
        <w:rPr>
          <w:sz w:val="16"/>
          <w:szCs w:val="16"/>
        </w:rPr>
      </w:pPr>
    </w:p>
    <w:tbl>
      <w:tblPr>
        <w:tblStyle w:val="Tablaconcuadrcula"/>
        <w:tblW w:w="0" w:type="auto"/>
        <w:jc w:val="center"/>
        <w:tblInd w:w="-1462" w:type="dxa"/>
        <w:tblLook w:val="04A0" w:firstRow="1" w:lastRow="0" w:firstColumn="1" w:lastColumn="0" w:noHBand="0" w:noVBand="1"/>
      </w:tblPr>
      <w:tblGrid>
        <w:gridCol w:w="835"/>
        <w:gridCol w:w="882"/>
        <w:gridCol w:w="1101"/>
        <w:gridCol w:w="987"/>
        <w:gridCol w:w="853"/>
        <w:gridCol w:w="984"/>
        <w:gridCol w:w="853"/>
        <w:gridCol w:w="1071"/>
        <w:gridCol w:w="1027"/>
        <w:gridCol w:w="853"/>
        <w:gridCol w:w="854"/>
      </w:tblGrid>
      <w:tr w:rsidR="00D15B12" w:rsidRPr="009E3354" w:rsidTr="00C87434">
        <w:trPr>
          <w:jc w:val="center"/>
        </w:trPr>
        <w:tc>
          <w:tcPr>
            <w:tcW w:w="835" w:type="dxa"/>
            <w:vAlign w:val="center"/>
          </w:tcPr>
          <w:p w:rsidR="00D15B12" w:rsidRPr="009E3354" w:rsidRDefault="00D15B12" w:rsidP="00C87434">
            <w:pPr>
              <w:jc w:val="center"/>
              <w:rPr>
                <w:sz w:val="15"/>
                <w:szCs w:val="15"/>
              </w:rPr>
            </w:pPr>
            <w:r w:rsidRPr="009E3354">
              <w:rPr>
                <w:sz w:val="15"/>
                <w:szCs w:val="15"/>
              </w:rPr>
              <w:t>DESTINO</w:t>
            </w:r>
          </w:p>
        </w:tc>
        <w:tc>
          <w:tcPr>
            <w:tcW w:w="882" w:type="dxa"/>
            <w:vAlign w:val="center"/>
          </w:tcPr>
          <w:p w:rsidR="00D15B12" w:rsidRPr="009E3354" w:rsidRDefault="00D15B12" w:rsidP="00C87434">
            <w:pPr>
              <w:jc w:val="center"/>
              <w:rPr>
                <w:sz w:val="15"/>
                <w:szCs w:val="15"/>
              </w:rPr>
            </w:pPr>
            <w:r w:rsidRPr="009E3354">
              <w:rPr>
                <w:sz w:val="15"/>
                <w:szCs w:val="15"/>
              </w:rPr>
              <w:t>Cajas Cavendish (millones)</w:t>
            </w:r>
          </w:p>
        </w:tc>
        <w:tc>
          <w:tcPr>
            <w:tcW w:w="1101" w:type="dxa"/>
            <w:vAlign w:val="center"/>
          </w:tcPr>
          <w:p w:rsidR="00D15B12" w:rsidRPr="009E3354" w:rsidRDefault="00D15B12" w:rsidP="00C87434">
            <w:pPr>
              <w:jc w:val="center"/>
              <w:rPr>
                <w:sz w:val="15"/>
                <w:szCs w:val="15"/>
              </w:rPr>
            </w:pPr>
            <w:r w:rsidRPr="009E3354">
              <w:rPr>
                <w:sz w:val="15"/>
                <w:szCs w:val="15"/>
              </w:rPr>
              <w:t>FOT (</w:t>
            </w:r>
            <w:proofErr w:type="spellStart"/>
            <w:r w:rsidRPr="009E3354">
              <w:rPr>
                <w:sz w:val="15"/>
                <w:szCs w:val="15"/>
              </w:rPr>
              <w:t>Sopisco</w:t>
            </w:r>
            <w:proofErr w:type="spellEnd"/>
            <w:r w:rsidRPr="009E3354">
              <w:rPr>
                <w:sz w:val="15"/>
                <w:szCs w:val="15"/>
              </w:rPr>
              <w:t>)</w:t>
            </w:r>
          </w:p>
          <w:p w:rsidR="00D15B12" w:rsidRPr="009E3354" w:rsidRDefault="00D15B12" w:rsidP="00C87434">
            <w:pPr>
              <w:jc w:val="center"/>
              <w:rPr>
                <w:sz w:val="15"/>
                <w:szCs w:val="15"/>
              </w:rPr>
            </w:pPr>
            <w:r w:rsidRPr="009E3354">
              <w:rPr>
                <w:sz w:val="15"/>
                <w:szCs w:val="15"/>
              </w:rPr>
              <w:t>En euros</w:t>
            </w:r>
          </w:p>
        </w:tc>
        <w:tc>
          <w:tcPr>
            <w:tcW w:w="987" w:type="dxa"/>
            <w:vAlign w:val="center"/>
          </w:tcPr>
          <w:p w:rsidR="00D15B12" w:rsidRPr="009E3354" w:rsidRDefault="00D15B12" w:rsidP="00C87434">
            <w:pPr>
              <w:jc w:val="center"/>
              <w:rPr>
                <w:sz w:val="15"/>
                <w:szCs w:val="15"/>
              </w:rPr>
            </w:pPr>
            <w:r w:rsidRPr="009E3354">
              <w:rPr>
                <w:sz w:val="15"/>
                <w:szCs w:val="15"/>
              </w:rPr>
              <w:t>Descarga promedio por caja</w:t>
            </w:r>
          </w:p>
          <w:p w:rsidR="00D15B12" w:rsidRPr="009E3354" w:rsidRDefault="00D15B12" w:rsidP="00C87434">
            <w:pPr>
              <w:jc w:val="center"/>
              <w:rPr>
                <w:sz w:val="15"/>
                <w:szCs w:val="15"/>
              </w:rPr>
            </w:pPr>
            <w:r w:rsidRPr="009E3354">
              <w:rPr>
                <w:sz w:val="15"/>
                <w:szCs w:val="15"/>
              </w:rPr>
              <w:t>En euros</w:t>
            </w:r>
          </w:p>
        </w:tc>
        <w:tc>
          <w:tcPr>
            <w:tcW w:w="853" w:type="dxa"/>
            <w:vAlign w:val="center"/>
          </w:tcPr>
          <w:p w:rsidR="00D15B12" w:rsidRPr="009E3354" w:rsidRDefault="00D15B12" w:rsidP="00C87434">
            <w:pPr>
              <w:jc w:val="center"/>
              <w:rPr>
                <w:sz w:val="15"/>
                <w:szCs w:val="15"/>
              </w:rPr>
            </w:pPr>
            <w:r w:rsidRPr="009E3354">
              <w:rPr>
                <w:sz w:val="15"/>
                <w:szCs w:val="15"/>
              </w:rPr>
              <w:t>Carga promedio por caja en euros</w:t>
            </w:r>
          </w:p>
        </w:tc>
        <w:tc>
          <w:tcPr>
            <w:tcW w:w="984" w:type="dxa"/>
            <w:vAlign w:val="center"/>
          </w:tcPr>
          <w:p w:rsidR="00D15B12" w:rsidRPr="009E3354" w:rsidRDefault="00D15B12" w:rsidP="00C87434">
            <w:pPr>
              <w:jc w:val="center"/>
              <w:rPr>
                <w:sz w:val="15"/>
                <w:szCs w:val="15"/>
              </w:rPr>
            </w:pPr>
            <w:r w:rsidRPr="009E3354">
              <w:rPr>
                <w:sz w:val="15"/>
                <w:szCs w:val="15"/>
              </w:rPr>
              <w:t>Costos Puerto Amberes por caja en euros</w:t>
            </w:r>
          </w:p>
        </w:tc>
        <w:tc>
          <w:tcPr>
            <w:tcW w:w="853" w:type="dxa"/>
            <w:vAlign w:val="center"/>
          </w:tcPr>
          <w:p w:rsidR="00D15B12" w:rsidRPr="009E3354" w:rsidRDefault="00D15B12" w:rsidP="00C87434">
            <w:pPr>
              <w:jc w:val="center"/>
              <w:rPr>
                <w:sz w:val="15"/>
                <w:szCs w:val="15"/>
              </w:rPr>
            </w:pPr>
            <w:r w:rsidRPr="009E3354">
              <w:rPr>
                <w:sz w:val="15"/>
                <w:szCs w:val="15"/>
              </w:rPr>
              <w:t>Arancel promedio por caja en euros</w:t>
            </w:r>
          </w:p>
        </w:tc>
        <w:tc>
          <w:tcPr>
            <w:tcW w:w="1071" w:type="dxa"/>
            <w:vAlign w:val="center"/>
          </w:tcPr>
          <w:p w:rsidR="00D15B12" w:rsidRPr="009E3354" w:rsidRDefault="00D15B12" w:rsidP="00C87434">
            <w:pPr>
              <w:jc w:val="center"/>
              <w:rPr>
                <w:sz w:val="15"/>
                <w:szCs w:val="15"/>
              </w:rPr>
            </w:pPr>
            <w:r w:rsidRPr="009E3354">
              <w:rPr>
                <w:sz w:val="15"/>
                <w:szCs w:val="15"/>
              </w:rPr>
              <w:t>Precio CIF</w:t>
            </w:r>
          </w:p>
          <w:p w:rsidR="00D15B12" w:rsidRPr="009E3354" w:rsidRDefault="00D15B12" w:rsidP="00C87434">
            <w:pPr>
              <w:jc w:val="center"/>
              <w:rPr>
                <w:sz w:val="15"/>
                <w:szCs w:val="15"/>
              </w:rPr>
            </w:pPr>
            <w:r w:rsidRPr="009E3354">
              <w:rPr>
                <w:sz w:val="15"/>
                <w:szCs w:val="15"/>
              </w:rPr>
              <w:t>(en dólares)</w:t>
            </w:r>
          </w:p>
        </w:tc>
        <w:tc>
          <w:tcPr>
            <w:tcW w:w="1027" w:type="dxa"/>
            <w:vAlign w:val="center"/>
          </w:tcPr>
          <w:p w:rsidR="00D15B12" w:rsidRPr="009E3354" w:rsidRDefault="00D15B12" w:rsidP="00C87434">
            <w:pPr>
              <w:jc w:val="center"/>
              <w:rPr>
                <w:sz w:val="15"/>
                <w:szCs w:val="15"/>
              </w:rPr>
            </w:pPr>
            <w:r w:rsidRPr="009E3354">
              <w:rPr>
                <w:sz w:val="15"/>
                <w:szCs w:val="15"/>
              </w:rPr>
              <w:t>Flete promedio por caja</w:t>
            </w:r>
          </w:p>
          <w:p w:rsidR="00D15B12" w:rsidRPr="009E3354" w:rsidRDefault="00D15B12" w:rsidP="00C87434">
            <w:pPr>
              <w:jc w:val="center"/>
              <w:rPr>
                <w:sz w:val="15"/>
                <w:szCs w:val="15"/>
              </w:rPr>
            </w:pPr>
            <w:r w:rsidRPr="009E3354">
              <w:rPr>
                <w:sz w:val="15"/>
                <w:szCs w:val="15"/>
              </w:rPr>
              <w:t>(en dólares)</w:t>
            </w:r>
          </w:p>
        </w:tc>
        <w:tc>
          <w:tcPr>
            <w:tcW w:w="853" w:type="dxa"/>
            <w:vAlign w:val="center"/>
          </w:tcPr>
          <w:p w:rsidR="00D15B12" w:rsidRPr="009E3354" w:rsidRDefault="00D15B12" w:rsidP="00C87434">
            <w:pPr>
              <w:jc w:val="center"/>
              <w:rPr>
                <w:sz w:val="15"/>
                <w:szCs w:val="15"/>
              </w:rPr>
            </w:pPr>
            <w:r w:rsidRPr="009E3354">
              <w:rPr>
                <w:sz w:val="15"/>
                <w:szCs w:val="15"/>
              </w:rPr>
              <w:t>Seguro promedio por caja</w:t>
            </w:r>
          </w:p>
        </w:tc>
        <w:tc>
          <w:tcPr>
            <w:tcW w:w="854" w:type="dxa"/>
            <w:vAlign w:val="center"/>
          </w:tcPr>
          <w:p w:rsidR="00D15B12" w:rsidRPr="009E3354" w:rsidRDefault="00D15B12" w:rsidP="00C87434">
            <w:pPr>
              <w:jc w:val="center"/>
              <w:rPr>
                <w:sz w:val="15"/>
                <w:szCs w:val="15"/>
              </w:rPr>
            </w:pPr>
            <w:r w:rsidRPr="009E3354">
              <w:rPr>
                <w:sz w:val="15"/>
                <w:szCs w:val="15"/>
              </w:rPr>
              <w:t>Canal de Panamá</w:t>
            </w:r>
          </w:p>
        </w:tc>
      </w:tr>
      <w:tr w:rsidR="00D15B12" w:rsidRPr="00B47B02" w:rsidTr="00C87434">
        <w:trPr>
          <w:jc w:val="center"/>
        </w:trPr>
        <w:tc>
          <w:tcPr>
            <w:tcW w:w="835" w:type="dxa"/>
            <w:vMerge w:val="restart"/>
            <w:vAlign w:val="center"/>
          </w:tcPr>
          <w:p w:rsidR="00D15B12" w:rsidRPr="00B47B02" w:rsidRDefault="00D15B12" w:rsidP="00C87434">
            <w:pPr>
              <w:jc w:val="center"/>
              <w:rPr>
                <w:sz w:val="16"/>
                <w:szCs w:val="16"/>
              </w:rPr>
            </w:pPr>
            <w:r w:rsidRPr="00B47B02">
              <w:rPr>
                <w:sz w:val="16"/>
                <w:szCs w:val="16"/>
              </w:rPr>
              <w:t>Bélgica</w:t>
            </w:r>
          </w:p>
        </w:tc>
        <w:tc>
          <w:tcPr>
            <w:tcW w:w="882" w:type="dxa"/>
            <w:vMerge w:val="restart"/>
            <w:vAlign w:val="center"/>
          </w:tcPr>
          <w:p w:rsidR="00D15B12" w:rsidRPr="00B47B02" w:rsidRDefault="00D15B12" w:rsidP="00C87434">
            <w:pPr>
              <w:jc w:val="center"/>
              <w:rPr>
                <w:sz w:val="16"/>
                <w:szCs w:val="16"/>
              </w:rPr>
            </w:pPr>
            <w:r w:rsidRPr="00B47B02">
              <w:rPr>
                <w:sz w:val="16"/>
                <w:szCs w:val="16"/>
              </w:rPr>
              <w:t>8.60</w:t>
            </w:r>
          </w:p>
        </w:tc>
        <w:tc>
          <w:tcPr>
            <w:tcW w:w="1101" w:type="dxa"/>
            <w:vAlign w:val="center"/>
          </w:tcPr>
          <w:p w:rsidR="00D15B12" w:rsidRPr="00B47B02" w:rsidRDefault="00D15B12" w:rsidP="00C87434">
            <w:pPr>
              <w:jc w:val="center"/>
              <w:rPr>
                <w:sz w:val="16"/>
                <w:szCs w:val="16"/>
              </w:rPr>
            </w:pPr>
            <w:r w:rsidRPr="00B47B02">
              <w:rPr>
                <w:sz w:val="16"/>
                <w:szCs w:val="16"/>
              </w:rPr>
              <w:t xml:space="preserve">Min: </w:t>
            </w:r>
            <w:r w:rsidRPr="00B47B02">
              <w:rPr>
                <w:rFonts w:cstheme="minorHAnsi"/>
                <w:sz w:val="16"/>
                <w:szCs w:val="16"/>
              </w:rPr>
              <w:t>€</w:t>
            </w:r>
            <w:r w:rsidRPr="00B47B02">
              <w:rPr>
                <w:sz w:val="16"/>
                <w:szCs w:val="16"/>
              </w:rPr>
              <w:t>13.40</w:t>
            </w:r>
          </w:p>
        </w:tc>
        <w:tc>
          <w:tcPr>
            <w:tcW w:w="987" w:type="dxa"/>
            <w:vMerge w:val="restart"/>
            <w:vAlign w:val="center"/>
          </w:tcPr>
          <w:p w:rsidR="00D15B12" w:rsidRPr="00B47B02" w:rsidRDefault="00D15B12" w:rsidP="00C87434">
            <w:pPr>
              <w:jc w:val="center"/>
              <w:rPr>
                <w:sz w:val="16"/>
                <w:szCs w:val="16"/>
              </w:rPr>
            </w:pPr>
            <w:r w:rsidRPr="00B47B02">
              <w:rPr>
                <w:rFonts w:cstheme="minorHAnsi"/>
                <w:sz w:val="16"/>
                <w:szCs w:val="16"/>
              </w:rPr>
              <w:t>€ 0.70</w:t>
            </w:r>
          </w:p>
        </w:tc>
        <w:tc>
          <w:tcPr>
            <w:tcW w:w="853" w:type="dxa"/>
            <w:vMerge w:val="restart"/>
            <w:vAlign w:val="center"/>
          </w:tcPr>
          <w:p w:rsidR="00D15B12" w:rsidRPr="00B47B02" w:rsidRDefault="00D15B12" w:rsidP="00C87434">
            <w:pPr>
              <w:jc w:val="center"/>
              <w:rPr>
                <w:sz w:val="16"/>
                <w:szCs w:val="16"/>
              </w:rPr>
            </w:pPr>
            <w:r w:rsidRPr="00B47B02">
              <w:rPr>
                <w:rFonts w:cstheme="minorHAnsi"/>
                <w:sz w:val="16"/>
                <w:szCs w:val="16"/>
              </w:rPr>
              <w:t>€ 0.10</w:t>
            </w:r>
          </w:p>
        </w:tc>
        <w:tc>
          <w:tcPr>
            <w:tcW w:w="984" w:type="dxa"/>
            <w:vMerge w:val="restart"/>
            <w:vAlign w:val="center"/>
          </w:tcPr>
          <w:p w:rsidR="00D15B12" w:rsidRPr="00B47B02" w:rsidRDefault="00D15B12" w:rsidP="00C87434">
            <w:pPr>
              <w:jc w:val="center"/>
              <w:rPr>
                <w:sz w:val="16"/>
                <w:szCs w:val="16"/>
              </w:rPr>
            </w:pPr>
            <w:r w:rsidRPr="00B47B02">
              <w:rPr>
                <w:rFonts w:cstheme="minorHAnsi"/>
                <w:sz w:val="16"/>
                <w:szCs w:val="16"/>
              </w:rPr>
              <w:t>€ 0.50</w:t>
            </w:r>
          </w:p>
        </w:tc>
        <w:tc>
          <w:tcPr>
            <w:tcW w:w="853" w:type="dxa"/>
            <w:vMerge w:val="restart"/>
            <w:vAlign w:val="center"/>
          </w:tcPr>
          <w:p w:rsidR="00D15B12" w:rsidRPr="00B47B02" w:rsidRDefault="00D15B12" w:rsidP="00C87434">
            <w:pPr>
              <w:jc w:val="center"/>
              <w:rPr>
                <w:sz w:val="16"/>
                <w:szCs w:val="16"/>
              </w:rPr>
            </w:pPr>
            <w:r w:rsidRPr="00B47B02">
              <w:rPr>
                <w:rFonts w:cstheme="minorHAnsi"/>
                <w:sz w:val="16"/>
                <w:szCs w:val="16"/>
              </w:rPr>
              <w:t>€ 3.20</w:t>
            </w: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restart"/>
            <w:vAlign w:val="center"/>
          </w:tcPr>
          <w:p w:rsidR="00D15B12" w:rsidRPr="00B47B02" w:rsidRDefault="00D15B12" w:rsidP="00C87434">
            <w:pPr>
              <w:jc w:val="center"/>
              <w:rPr>
                <w:sz w:val="16"/>
                <w:szCs w:val="16"/>
              </w:rPr>
            </w:pPr>
            <w:r w:rsidRPr="00B47B02">
              <w:rPr>
                <w:rFonts w:cstheme="minorHAnsi"/>
                <w:sz w:val="16"/>
                <w:szCs w:val="16"/>
              </w:rPr>
              <w:t>$ 6.94</w:t>
            </w:r>
          </w:p>
        </w:tc>
        <w:tc>
          <w:tcPr>
            <w:tcW w:w="853" w:type="dxa"/>
            <w:vMerge w:val="restart"/>
            <w:vAlign w:val="center"/>
          </w:tcPr>
          <w:p w:rsidR="00D15B12" w:rsidRPr="00B47B02" w:rsidRDefault="00D15B12" w:rsidP="00C87434">
            <w:pPr>
              <w:jc w:val="center"/>
              <w:rPr>
                <w:sz w:val="16"/>
                <w:szCs w:val="16"/>
              </w:rPr>
            </w:pPr>
            <w:r w:rsidRPr="00B47B02">
              <w:rPr>
                <w:sz w:val="16"/>
                <w:szCs w:val="16"/>
              </w:rPr>
              <w:t>$ 0.004</w:t>
            </w:r>
          </w:p>
        </w:tc>
        <w:tc>
          <w:tcPr>
            <w:tcW w:w="854" w:type="dxa"/>
            <w:vMerge w:val="restart"/>
            <w:vAlign w:val="center"/>
          </w:tcPr>
          <w:p w:rsidR="00D15B12" w:rsidRPr="00B47B02" w:rsidRDefault="00D15B12" w:rsidP="00C87434">
            <w:pPr>
              <w:jc w:val="center"/>
              <w:rPr>
                <w:sz w:val="16"/>
                <w:szCs w:val="16"/>
              </w:rPr>
            </w:pPr>
            <w:r w:rsidRPr="00B47B02">
              <w:rPr>
                <w:sz w:val="16"/>
                <w:szCs w:val="16"/>
              </w:rPr>
              <w:t>$ 0.18</w:t>
            </w:r>
          </w:p>
        </w:tc>
      </w:tr>
      <w:tr w:rsidR="00D15B12" w:rsidRPr="00B47B02" w:rsidTr="00C87434">
        <w:trPr>
          <w:jc w:val="center"/>
        </w:trPr>
        <w:tc>
          <w:tcPr>
            <w:tcW w:w="835" w:type="dxa"/>
            <w:vMerge/>
            <w:vAlign w:val="center"/>
          </w:tcPr>
          <w:p w:rsidR="00D15B12" w:rsidRPr="00B47B02" w:rsidRDefault="00D15B12" w:rsidP="00C87434">
            <w:pPr>
              <w:jc w:val="center"/>
              <w:rPr>
                <w:sz w:val="16"/>
                <w:szCs w:val="16"/>
              </w:rPr>
            </w:pPr>
          </w:p>
        </w:tc>
        <w:tc>
          <w:tcPr>
            <w:tcW w:w="882" w:type="dxa"/>
            <w:vMerge/>
            <w:vAlign w:val="center"/>
          </w:tcPr>
          <w:p w:rsidR="00D15B12" w:rsidRPr="00B47B02" w:rsidRDefault="00D15B12" w:rsidP="00C87434">
            <w:pPr>
              <w:jc w:val="center"/>
              <w:rPr>
                <w:sz w:val="16"/>
                <w:szCs w:val="16"/>
              </w:rPr>
            </w:pPr>
          </w:p>
        </w:tc>
        <w:tc>
          <w:tcPr>
            <w:tcW w:w="1101" w:type="dxa"/>
            <w:vAlign w:val="center"/>
          </w:tcPr>
          <w:p w:rsidR="00D15B12" w:rsidRPr="00B47B02" w:rsidRDefault="00D15B12" w:rsidP="00C87434">
            <w:pPr>
              <w:jc w:val="center"/>
              <w:rPr>
                <w:sz w:val="16"/>
                <w:szCs w:val="16"/>
              </w:rPr>
            </w:pPr>
            <w:r w:rsidRPr="00B47B02">
              <w:rPr>
                <w:sz w:val="16"/>
                <w:szCs w:val="16"/>
              </w:rPr>
              <w:t>Max:</w:t>
            </w:r>
            <w:r w:rsidRPr="00B47B02">
              <w:rPr>
                <w:rFonts w:cstheme="minorHAnsi"/>
                <w:sz w:val="16"/>
                <w:szCs w:val="16"/>
              </w:rPr>
              <w:t xml:space="preserve"> €</w:t>
            </w:r>
            <w:r w:rsidRPr="00B47B02">
              <w:rPr>
                <w:sz w:val="16"/>
                <w:szCs w:val="16"/>
              </w:rPr>
              <w:t xml:space="preserve"> 13.45</w:t>
            </w:r>
          </w:p>
        </w:tc>
        <w:tc>
          <w:tcPr>
            <w:tcW w:w="98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984"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restart"/>
            <w:vAlign w:val="center"/>
          </w:tcPr>
          <w:p w:rsidR="00D15B12" w:rsidRPr="00B47B02" w:rsidRDefault="00D15B12" w:rsidP="00C87434">
            <w:pPr>
              <w:jc w:val="center"/>
              <w:rPr>
                <w:sz w:val="16"/>
                <w:szCs w:val="16"/>
              </w:rPr>
            </w:pPr>
            <w:r w:rsidRPr="00B47B02">
              <w:rPr>
                <w:sz w:val="16"/>
                <w:szCs w:val="16"/>
              </w:rPr>
              <w:t>España</w:t>
            </w:r>
          </w:p>
        </w:tc>
        <w:tc>
          <w:tcPr>
            <w:tcW w:w="882" w:type="dxa"/>
            <w:vMerge w:val="restart"/>
            <w:vAlign w:val="center"/>
          </w:tcPr>
          <w:p w:rsidR="00D15B12" w:rsidRPr="00B47B02" w:rsidRDefault="00D15B12" w:rsidP="00C87434">
            <w:pPr>
              <w:jc w:val="center"/>
              <w:rPr>
                <w:sz w:val="16"/>
                <w:szCs w:val="16"/>
              </w:rPr>
            </w:pPr>
            <w:r w:rsidRPr="00B47B02">
              <w:rPr>
                <w:sz w:val="16"/>
                <w:szCs w:val="16"/>
              </w:rPr>
              <w:t>0.06</w:t>
            </w:r>
          </w:p>
        </w:tc>
        <w:tc>
          <w:tcPr>
            <w:tcW w:w="1101" w:type="dxa"/>
            <w:vAlign w:val="center"/>
          </w:tcPr>
          <w:p w:rsidR="00D15B12" w:rsidRPr="00B47B02" w:rsidRDefault="00D15B12" w:rsidP="00C87434">
            <w:pPr>
              <w:jc w:val="center"/>
              <w:rPr>
                <w:sz w:val="16"/>
                <w:szCs w:val="16"/>
              </w:rPr>
            </w:pPr>
            <w:r w:rsidRPr="00B47B02">
              <w:rPr>
                <w:sz w:val="16"/>
                <w:szCs w:val="16"/>
              </w:rPr>
              <w:t xml:space="preserve">Min: </w:t>
            </w:r>
            <w:r w:rsidRPr="00B47B02">
              <w:rPr>
                <w:rFonts w:cstheme="minorHAnsi"/>
                <w:sz w:val="16"/>
                <w:szCs w:val="16"/>
              </w:rPr>
              <w:t>€</w:t>
            </w:r>
            <w:r w:rsidRPr="00B47B02">
              <w:rPr>
                <w:sz w:val="16"/>
                <w:szCs w:val="16"/>
              </w:rPr>
              <w:t>13.40</w:t>
            </w:r>
          </w:p>
        </w:tc>
        <w:tc>
          <w:tcPr>
            <w:tcW w:w="98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984" w:type="dxa"/>
            <w:vMerge w:val="restart"/>
            <w:shd w:val="clear" w:color="auto" w:fill="000000" w:themeFill="text1"/>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ign w:val="center"/>
          </w:tcPr>
          <w:p w:rsidR="00D15B12" w:rsidRPr="00B47B02" w:rsidRDefault="00D15B12" w:rsidP="00C87434">
            <w:pPr>
              <w:jc w:val="center"/>
              <w:rPr>
                <w:sz w:val="16"/>
                <w:szCs w:val="16"/>
              </w:rPr>
            </w:pPr>
          </w:p>
        </w:tc>
        <w:tc>
          <w:tcPr>
            <w:tcW w:w="882" w:type="dxa"/>
            <w:vMerge/>
            <w:vAlign w:val="center"/>
          </w:tcPr>
          <w:p w:rsidR="00D15B12" w:rsidRPr="00B47B02" w:rsidRDefault="00D15B12" w:rsidP="00C87434">
            <w:pPr>
              <w:jc w:val="center"/>
              <w:rPr>
                <w:sz w:val="16"/>
                <w:szCs w:val="16"/>
              </w:rPr>
            </w:pPr>
          </w:p>
        </w:tc>
        <w:tc>
          <w:tcPr>
            <w:tcW w:w="1101" w:type="dxa"/>
            <w:vAlign w:val="center"/>
          </w:tcPr>
          <w:p w:rsidR="00D15B12" w:rsidRPr="00B47B02" w:rsidRDefault="00D15B12" w:rsidP="00C87434">
            <w:pPr>
              <w:jc w:val="center"/>
              <w:rPr>
                <w:sz w:val="16"/>
                <w:szCs w:val="16"/>
              </w:rPr>
            </w:pPr>
            <w:r w:rsidRPr="00B47B02">
              <w:rPr>
                <w:sz w:val="16"/>
                <w:szCs w:val="16"/>
              </w:rPr>
              <w:t>Max:</w:t>
            </w:r>
            <w:r w:rsidRPr="00B47B02">
              <w:rPr>
                <w:rFonts w:cstheme="minorHAnsi"/>
                <w:sz w:val="16"/>
                <w:szCs w:val="16"/>
              </w:rPr>
              <w:t xml:space="preserve"> €</w:t>
            </w:r>
            <w:r w:rsidRPr="00B47B02">
              <w:rPr>
                <w:sz w:val="16"/>
                <w:szCs w:val="16"/>
              </w:rPr>
              <w:t>13.45</w:t>
            </w:r>
          </w:p>
        </w:tc>
        <w:tc>
          <w:tcPr>
            <w:tcW w:w="98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984" w:type="dxa"/>
            <w:vMerge/>
            <w:shd w:val="clear" w:color="auto" w:fill="000000" w:themeFill="text1"/>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restart"/>
            <w:vAlign w:val="center"/>
          </w:tcPr>
          <w:p w:rsidR="00D15B12" w:rsidRPr="00B47B02" w:rsidRDefault="00D15B12" w:rsidP="00C87434">
            <w:pPr>
              <w:jc w:val="center"/>
              <w:rPr>
                <w:sz w:val="16"/>
                <w:szCs w:val="16"/>
              </w:rPr>
            </w:pPr>
            <w:r w:rsidRPr="00B47B02">
              <w:rPr>
                <w:sz w:val="16"/>
                <w:szCs w:val="16"/>
              </w:rPr>
              <w:t>Italia</w:t>
            </w:r>
          </w:p>
        </w:tc>
        <w:tc>
          <w:tcPr>
            <w:tcW w:w="882" w:type="dxa"/>
            <w:vMerge w:val="restart"/>
            <w:vAlign w:val="center"/>
          </w:tcPr>
          <w:p w:rsidR="00D15B12" w:rsidRPr="00B47B02" w:rsidRDefault="00D15B12" w:rsidP="00C87434">
            <w:pPr>
              <w:jc w:val="center"/>
              <w:rPr>
                <w:sz w:val="16"/>
                <w:szCs w:val="16"/>
              </w:rPr>
            </w:pPr>
            <w:r w:rsidRPr="00B47B02">
              <w:rPr>
                <w:sz w:val="16"/>
                <w:szCs w:val="16"/>
              </w:rPr>
              <w:t>7.70</w:t>
            </w:r>
          </w:p>
        </w:tc>
        <w:tc>
          <w:tcPr>
            <w:tcW w:w="1101" w:type="dxa"/>
            <w:vAlign w:val="center"/>
          </w:tcPr>
          <w:p w:rsidR="00D15B12" w:rsidRPr="00B47B02" w:rsidRDefault="00D15B12" w:rsidP="00C87434">
            <w:pPr>
              <w:jc w:val="center"/>
              <w:rPr>
                <w:sz w:val="16"/>
                <w:szCs w:val="16"/>
              </w:rPr>
            </w:pPr>
            <w:r w:rsidRPr="00B47B02">
              <w:rPr>
                <w:sz w:val="16"/>
                <w:szCs w:val="16"/>
              </w:rPr>
              <w:t>Min:</w:t>
            </w:r>
            <w:r w:rsidRPr="00B47B02">
              <w:rPr>
                <w:rFonts w:cstheme="minorHAnsi"/>
                <w:sz w:val="16"/>
                <w:szCs w:val="16"/>
              </w:rPr>
              <w:t xml:space="preserve"> €</w:t>
            </w:r>
            <w:r w:rsidRPr="00B47B02">
              <w:rPr>
                <w:sz w:val="16"/>
                <w:szCs w:val="16"/>
              </w:rPr>
              <w:t>11.25</w:t>
            </w:r>
          </w:p>
        </w:tc>
        <w:tc>
          <w:tcPr>
            <w:tcW w:w="98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984" w:type="dxa"/>
            <w:vMerge w:val="restart"/>
            <w:shd w:val="clear" w:color="auto" w:fill="000000" w:themeFill="text1"/>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ign w:val="center"/>
          </w:tcPr>
          <w:p w:rsidR="00D15B12" w:rsidRPr="00B47B02" w:rsidRDefault="00D15B12" w:rsidP="00C87434">
            <w:pPr>
              <w:jc w:val="center"/>
              <w:rPr>
                <w:sz w:val="16"/>
                <w:szCs w:val="16"/>
              </w:rPr>
            </w:pPr>
          </w:p>
        </w:tc>
        <w:tc>
          <w:tcPr>
            <w:tcW w:w="882" w:type="dxa"/>
            <w:vMerge/>
            <w:vAlign w:val="center"/>
          </w:tcPr>
          <w:p w:rsidR="00D15B12" w:rsidRPr="00B47B02" w:rsidRDefault="00D15B12" w:rsidP="00C87434">
            <w:pPr>
              <w:jc w:val="center"/>
              <w:rPr>
                <w:sz w:val="16"/>
                <w:szCs w:val="16"/>
              </w:rPr>
            </w:pPr>
          </w:p>
        </w:tc>
        <w:tc>
          <w:tcPr>
            <w:tcW w:w="1101" w:type="dxa"/>
            <w:vAlign w:val="center"/>
          </w:tcPr>
          <w:p w:rsidR="00D15B12" w:rsidRPr="00B47B02" w:rsidRDefault="00D15B12" w:rsidP="00C87434">
            <w:pPr>
              <w:jc w:val="center"/>
              <w:rPr>
                <w:sz w:val="16"/>
                <w:szCs w:val="16"/>
              </w:rPr>
            </w:pPr>
            <w:r w:rsidRPr="00B47B02">
              <w:rPr>
                <w:sz w:val="16"/>
                <w:szCs w:val="16"/>
              </w:rPr>
              <w:t>Max:</w:t>
            </w:r>
            <w:r w:rsidRPr="00B47B02">
              <w:rPr>
                <w:rFonts w:cstheme="minorHAnsi"/>
                <w:sz w:val="16"/>
                <w:szCs w:val="16"/>
              </w:rPr>
              <w:t xml:space="preserve"> €</w:t>
            </w:r>
            <w:r w:rsidRPr="00B47B02">
              <w:rPr>
                <w:sz w:val="16"/>
                <w:szCs w:val="16"/>
              </w:rPr>
              <w:t>12.03</w:t>
            </w:r>
          </w:p>
        </w:tc>
        <w:tc>
          <w:tcPr>
            <w:tcW w:w="98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984" w:type="dxa"/>
            <w:vMerge/>
            <w:shd w:val="clear" w:color="auto" w:fill="000000" w:themeFill="text1"/>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restart"/>
            <w:vAlign w:val="center"/>
          </w:tcPr>
          <w:p w:rsidR="00D15B12" w:rsidRPr="00B47B02" w:rsidRDefault="00D15B12" w:rsidP="00C87434">
            <w:pPr>
              <w:jc w:val="center"/>
              <w:rPr>
                <w:sz w:val="16"/>
                <w:szCs w:val="16"/>
              </w:rPr>
            </w:pPr>
            <w:r w:rsidRPr="00B47B02">
              <w:rPr>
                <w:sz w:val="16"/>
                <w:szCs w:val="16"/>
              </w:rPr>
              <w:t>Alemania</w:t>
            </w:r>
          </w:p>
        </w:tc>
        <w:tc>
          <w:tcPr>
            <w:tcW w:w="882" w:type="dxa"/>
            <w:vMerge w:val="restart"/>
            <w:vAlign w:val="center"/>
          </w:tcPr>
          <w:p w:rsidR="00D15B12" w:rsidRPr="00B47B02" w:rsidRDefault="00D15B12" w:rsidP="00C87434">
            <w:pPr>
              <w:jc w:val="center"/>
              <w:rPr>
                <w:sz w:val="16"/>
                <w:szCs w:val="16"/>
              </w:rPr>
            </w:pPr>
            <w:r w:rsidRPr="00B47B02">
              <w:rPr>
                <w:sz w:val="16"/>
                <w:szCs w:val="16"/>
              </w:rPr>
              <w:t>2.00</w:t>
            </w:r>
          </w:p>
        </w:tc>
        <w:tc>
          <w:tcPr>
            <w:tcW w:w="1101" w:type="dxa"/>
            <w:vAlign w:val="center"/>
          </w:tcPr>
          <w:p w:rsidR="00D15B12" w:rsidRPr="00B47B02" w:rsidRDefault="00D15B12" w:rsidP="00C87434">
            <w:pPr>
              <w:jc w:val="center"/>
              <w:rPr>
                <w:sz w:val="16"/>
                <w:szCs w:val="16"/>
              </w:rPr>
            </w:pPr>
            <w:r w:rsidRPr="00B47B02">
              <w:rPr>
                <w:sz w:val="16"/>
                <w:szCs w:val="16"/>
              </w:rPr>
              <w:t xml:space="preserve">Min: </w:t>
            </w:r>
            <w:r w:rsidRPr="00B47B02">
              <w:rPr>
                <w:rFonts w:cstheme="minorHAnsi"/>
                <w:sz w:val="16"/>
                <w:szCs w:val="16"/>
              </w:rPr>
              <w:t>€</w:t>
            </w:r>
            <w:r w:rsidRPr="00B47B02">
              <w:rPr>
                <w:sz w:val="16"/>
                <w:szCs w:val="16"/>
              </w:rPr>
              <w:t>11.25</w:t>
            </w:r>
          </w:p>
        </w:tc>
        <w:tc>
          <w:tcPr>
            <w:tcW w:w="98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984" w:type="dxa"/>
            <w:vMerge w:val="restart"/>
            <w:shd w:val="clear" w:color="auto" w:fill="000000" w:themeFill="text1"/>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ign w:val="center"/>
          </w:tcPr>
          <w:p w:rsidR="00D15B12" w:rsidRPr="00B47B02" w:rsidRDefault="00D15B12" w:rsidP="00C87434">
            <w:pPr>
              <w:jc w:val="center"/>
              <w:rPr>
                <w:sz w:val="16"/>
                <w:szCs w:val="16"/>
              </w:rPr>
            </w:pPr>
          </w:p>
        </w:tc>
        <w:tc>
          <w:tcPr>
            <w:tcW w:w="882" w:type="dxa"/>
            <w:vMerge/>
            <w:vAlign w:val="center"/>
          </w:tcPr>
          <w:p w:rsidR="00D15B12" w:rsidRPr="00B47B02" w:rsidRDefault="00D15B12" w:rsidP="00C87434">
            <w:pPr>
              <w:jc w:val="center"/>
              <w:rPr>
                <w:sz w:val="16"/>
                <w:szCs w:val="16"/>
              </w:rPr>
            </w:pPr>
          </w:p>
        </w:tc>
        <w:tc>
          <w:tcPr>
            <w:tcW w:w="1101" w:type="dxa"/>
            <w:vAlign w:val="center"/>
          </w:tcPr>
          <w:p w:rsidR="00D15B12" w:rsidRPr="00B47B02" w:rsidRDefault="00D15B12" w:rsidP="00C87434">
            <w:pPr>
              <w:jc w:val="center"/>
              <w:rPr>
                <w:sz w:val="16"/>
                <w:szCs w:val="16"/>
              </w:rPr>
            </w:pPr>
            <w:r w:rsidRPr="00B47B02">
              <w:rPr>
                <w:sz w:val="16"/>
                <w:szCs w:val="16"/>
              </w:rPr>
              <w:t>Max:</w:t>
            </w:r>
            <w:r w:rsidRPr="00B47B02">
              <w:rPr>
                <w:rFonts w:cstheme="minorHAnsi"/>
                <w:sz w:val="16"/>
                <w:szCs w:val="16"/>
              </w:rPr>
              <w:t xml:space="preserve"> €</w:t>
            </w:r>
            <w:r w:rsidRPr="00B47B02">
              <w:rPr>
                <w:sz w:val="16"/>
                <w:szCs w:val="16"/>
              </w:rPr>
              <w:t>12.04</w:t>
            </w:r>
          </w:p>
        </w:tc>
        <w:tc>
          <w:tcPr>
            <w:tcW w:w="98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984" w:type="dxa"/>
            <w:vMerge/>
            <w:shd w:val="clear" w:color="auto" w:fill="000000" w:themeFill="text1"/>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1071" w:type="dxa"/>
            <w:shd w:val="clear" w:color="auto" w:fill="000000" w:themeFill="text1"/>
            <w:vAlign w:val="center"/>
          </w:tcPr>
          <w:p w:rsidR="00D15B12" w:rsidRPr="00B47B02" w:rsidRDefault="00D15B12" w:rsidP="00C87434">
            <w:pPr>
              <w:jc w:val="center"/>
              <w:rPr>
                <w:sz w:val="16"/>
                <w:szCs w:val="16"/>
              </w:rPr>
            </w:pP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restart"/>
            <w:vAlign w:val="center"/>
          </w:tcPr>
          <w:p w:rsidR="00D15B12" w:rsidRPr="00B47B02" w:rsidRDefault="00D15B12" w:rsidP="00C87434">
            <w:pPr>
              <w:jc w:val="center"/>
              <w:rPr>
                <w:sz w:val="16"/>
                <w:szCs w:val="16"/>
              </w:rPr>
            </w:pPr>
            <w:r w:rsidRPr="00B47B02">
              <w:rPr>
                <w:sz w:val="16"/>
                <w:szCs w:val="16"/>
              </w:rPr>
              <w:t>Rusia</w:t>
            </w:r>
          </w:p>
        </w:tc>
        <w:tc>
          <w:tcPr>
            <w:tcW w:w="882" w:type="dxa"/>
            <w:vMerge w:val="restart"/>
            <w:vAlign w:val="center"/>
          </w:tcPr>
          <w:p w:rsidR="00D15B12" w:rsidRPr="00B47B02" w:rsidRDefault="00D15B12" w:rsidP="00C87434">
            <w:pPr>
              <w:jc w:val="center"/>
              <w:rPr>
                <w:sz w:val="16"/>
                <w:szCs w:val="16"/>
              </w:rPr>
            </w:pPr>
            <w:r w:rsidRPr="00B47B02">
              <w:rPr>
                <w:sz w:val="16"/>
                <w:szCs w:val="16"/>
              </w:rPr>
              <w:t>0.01</w:t>
            </w:r>
          </w:p>
        </w:tc>
        <w:tc>
          <w:tcPr>
            <w:tcW w:w="1101" w:type="dxa"/>
            <w:vMerge w:val="restart"/>
            <w:shd w:val="clear" w:color="auto" w:fill="000000" w:themeFill="text1"/>
            <w:vAlign w:val="center"/>
          </w:tcPr>
          <w:p w:rsidR="00D15B12" w:rsidRPr="00B47B02" w:rsidRDefault="00D15B12" w:rsidP="00C87434">
            <w:pPr>
              <w:jc w:val="center"/>
              <w:rPr>
                <w:sz w:val="16"/>
                <w:szCs w:val="16"/>
              </w:rPr>
            </w:pPr>
          </w:p>
        </w:tc>
        <w:tc>
          <w:tcPr>
            <w:tcW w:w="987" w:type="dxa"/>
            <w:vMerge w:val="restart"/>
            <w:shd w:val="clear" w:color="auto" w:fill="000000" w:themeFill="text1"/>
            <w:vAlign w:val="center"/>
          </w:tcPr>
          <w:p w:rsidR="00D15B12" w:rsidRPr="00B47B02" w:rsidRDefault="00D15B12" w:rsidP="00C87434">
            <w:pPr>
              <w:jc w:val="center"/>
              <w:rPr>
                <w:sz w:val="16"/>
                <w:szCs w:val="16"/>
              </w:rPr>
            </w:pPr>
          </w:p>
        </w:tc>
        <w:tc>
          <w:tcPr>
            <w:tcW w:w="853" w:type="dxa"/>
            <w:vMerge w:val="restart"/>
            <w:shd w:val="clear" w:color="auto" w:fill="000000" w:themeFill="text1"/>
            <w:vAlign w:val="center"/>
          </w:tcPr>
          <w:p w:rsidR="00D15B12" w:rsidRPr="00B47B02" w:rsidRDefault="00D15B12" w:rsidP="00C87434">
            <w:pPr>
              <w:jc w:val="center"/>
              <w:rPr>
                <w:sz w:val="16"/>
                <w:szCs w:val="16"/>
              </w:rPr>
            </w:pPr>
          </w:p>
        </w:tc>
        <w:tc>
          <w:tcPr>
            <w:tcW w:w="984" w:type="dxa"/>
            <w:vMerge w:val="restart"/>
            <w:shd w:val="clear" w:color="auto" w:fill="000000" w:themeFill="text1"/>
            <w:vAlign w:val="center"/>
          </w:tcPr>
          <w:p w:rsidR="00D15B12" w:rsidRPr="00B47B02" w:rsidRDefault="00D15B12" w:rsidP="00C87434">
            <w:pPr>
              <w:jc w:val="center"/>
              <w:rPr>
                <w:sz w:val="16"/>
                <w:szCs w:val="16"/>
              </w:rPr>
            </w:pPr>
          </w:p>
        </w:tc>
        <w:tc>
          <w:tcPr>
            <w:tcW w:w="853" w:type="dxa"/>
            <w:vMerge w:val="restart"/>
            <w:shd w:val="clear" w:color="auto" w:fill="000000" w:themeFill="text1"/>
            <w:vAlign w:val="center"/>
          </w:tcPr>
          <w:p w:rsidR="00D15B12" w:rsidRPr="00B47B02" w:rsidRDefault="00D15B12" w:rsidP="00C87434">
            <w:pPr>
              <w:jc w:val="center"/>
              <w:rPr>
                <w:sz w:val="16"/>
                <w:szCs w:val="16"/>
              </w:rPr>
            </w:pPr>
          </w:p>
        </w:tc>
        <w:tc>
          <w:tcPr>
            <w:tcW w:w="1071" w:type="dxa"/>
            <w:vAlign w:val="center"/>
          </w:tcPr>
          <w:p w:rsidR="00D15B12" w:rsidRPr="00B47B02" w:rsidRDefault="00D15B12" w:rsidP="00C87434">
            <w:pPr>
              <w:jc w:val="center"/>
              <w:rPr>
                <w:sz w:val="16"/>
                <w:szCs w:val="16"/>
              </w:rPr>
            </w:pPr>
            <w:r w:rsidRPr="00B47B02">
              <w:rPr>
                <w:sz w:val="16"/>
                <w:szCs w:val="16"/>
              </w:rPr>
              <w:t xml:space="preserve">Min: </w:t>
            </w:r>
            <w:r w:rsidRPr="00B47B02">
              <w:rPr>
                <w:rFonts w:cstheme="minorHAnsi"/>
                <w:sz w:val="16"/>
                <w:szCs w:val="16"/>
              </w:rPr>
              <w:t>$</w:t>
            </w:r>
            <w:r w:rsidRPr="00B47B02">
              <w:rPr>
                <w:sz w:val="16"/>
                <w:szCs w:val="16"/>
              </w:rPr>
              <w:t>12.91</w:t>
            </w:r>
          </w:p>
        </w:tc>
        <w:tc>
          <w:tcPr>
            <w:tcW w:w="1027" w:type="dxa"/>
            <w:vMerge w:val="restart"/>
            <w:vAlign w:val="center"/>
          </w:tcPr>
          <w:p w:rsidR="00D15B12" w:rsidRPr="00B47B02" w:rsidRDefault="00D15B12" w:rsidP="00C87434">
            <w:pPr>
              <w:jc w:val="center"/>
              <w:rPr>
                <w:sz w:val="16"/>
                <w:szCs w:val="16"/>
              </w:rPr>
            </w:pPr>
            <w:r w:rsidRPr="00B47B02">
              <w:rPr>
                <w:rFonts w:cstheme="minorHAnsi"/>
                <w:sz w:val="16"/>
                <w:szCs w:val="16"/>
              </w:rPr>
              <w:t>$ 6.54</w:t>
            </w:r>
          </w:p>
        </w:tc>
        <w:tc>
          <w:tcPr>
            <w:tcW w:w="853" w:type="dxa"/>
            <w:vMerge w:val="restart"/>
            <w:vAlign w:val="center"/>
          </w:tcPr>
          <w:p w:rsidR="00D15B12" w:rsidRPr="00B47B02" w:rsidRDefault="00D15B12" w:rsidP="00C87434">
            <w:pPr>
              <w:jc w:val="center"/>
              <w:rPr>
                <w:sz w:val="16"/>
                <w:szCs w:val="16"/>
              </w:rPr>
            </w:pPr>
            <w:r w:rsidRPr="00B47B02">
              <w:rPr>
                <w:sz w:val="16"/>
                <w:szCs w:val="16"/>
              </w:rPr>
              <w:t>$ 0.039</w:t>
            </w:r>
          </w:p>
        </w:tc>
        <w:tc>
          <w:tcPr>
            <w:tcW w:w="854" w:type="dxa"/>
            <w:vMerge/>
            <w:vAlign w:val="center"/>
          </w:tcPr>
          <w:p w:rsidR="00D15B12" w:rsidRPr="00B47B02" w:rsidRDefault="00D15B12" w:rsidP="00C87434">
            <w:pPr>
              <w:jc w:val="center"/>
              <w:rPr>
                <w:sz w:val="16"/>
                <w:szCs w:val="16"/>
              </w:rPr>
            </w:pPr>
          </w:p>
        </w:tc>
      </w:tr>
      <w:tr w:rsidR="00D15B12" w:rsidRPr="00B47B02" w:rsidTr="00C87434">
        <w:trPr>
          <w:jc w:val="center"/>
        </w:trPr>
        <w:tc>
          <w:tcPr>
            <w:tcW w:w="835" w:type="dxa"/>
            <w:vMerge/>
            <w:vAlign w:val="center"/>
          </w:tcPr>
          <w:p w:rsidR="00D15B12" w:rsidRPr="00B47B02" w:rsidRDefault="00D15B12" w:rsidP="00C87434">
            <w:pPr>
              <w:jc w:val="center"/>
              <w:rPr>
                <w:sz w:val="16"/>
                <w:szCs w:val="16"/>
              </w:rPr>
            </w:pPr>
          </w:p>
        </w:tc>
        <w:tc>
          <w:tcPr>
            <w:tcW w:w="882" w:type="dxa"/>
            <w:vMerge/>
            <w:vAlign w:val="center"/>
          </w:tcPr>
          <w:p w:rsidR="00D15B12" w:rsidRPr="00B47B02" w:rsidRDefault="00D15B12" w:rsidP="00C87434">
            <w:pPr>
              <w:jc w:val="center"/>
              <w:rPr>
                <w:sz w:val="16"/>
                <w:szCs w:val="16"/>
              </w:rPr>
            </w:pPr>
          </w:p>
        </w:tc>
        <w:tc>
          <w:tcPr>
            <w:tcW w:w="1101" w:type="dxa"/>
            <w:vMerge/>
            <w:shd w:val="clear" w:color="auto" w:fill="000000" w:themeFill="text1"/>
            <w:vAlign w:val="center"/>
          </w:tcPr>
          <w:p w:rsidR="00D15B12" w:rsidRPr="00B47B02" w:rsidRDefault="00D15B12" w:rsidP="00C87434">
            <w:pPr>
              <w:jc w:val="center"/>
              <w:rPr>
                <w:sz w:val="16"/>
                <w:szCs w:val="16"/>
              </w:rPr>
            </w:pPr>
          </w:p>
        </w:tc>
        <w:tc>
          <w:tcPr>
            <w:tcW w:w="987" w:type="dxa"/>
            <w:vMerge/>
            <w:shd w:val="clear" w:color="auto" w:fill="000000" w:themeFill="text1"/>
            <w:vAlign w:val="center"/>
          </w:tcPr>
          <w:p w:rsidR="00D15B12" w:rsidRPr="00B47B02" w:rsidRDefault="00D15B12" w:rsidP="00C87434">
            <w:pPr>
              <w:jc w:val="center"/>
              <w:rPr>
                <w:sz w:val="16"/>
                <w:szCs w:val="16"/>
              </w:rPr>
            </w:pPr>
          </w:p>
        </w:tc>
        <w:tc>
          <w:tcPr>
            <w:tcW w:w="853" w:type="dxa"/>
            <w:vMerge/>
            <w:shd w:val="clear" w:color="auto" w:fill="000000" w:themeFill="text1"/>
            <w:vAlign w:val="center"/>
          </w:tcPr>
          <w:p w:rsidR="00D15B12" w:rsidRPr="00B47B02" w:rsidRDefault="00D15B12" w:rsidP="00C87434">
            <w:pPr>
              <w:jc w:val="center"/>
              <w:rPr>
                <w:sz w:val="16"/>
                <w:szCs w:val="16"/>
              </w:rPr>
            </w:pPr>
          </w:p>
        </w:tc>
        <w:tc>
          <w:tcPr>
            <w:tcW w:w="984" w:type="dxa"/>
            <w:vMerge/>
            <w:shd w:val="clear" w:color="auto" w:fill="000000" w:themeFill="text1"/>
            <w:vAlign w:val="center"/>
          </w:tcPr>
          <w:p w:rsidR="00D15B12" w:rsidRPr="00B47B02" w:rsidRDefault="00D15B12" w:rsidP="00C87434">
            <w:pPr>
              <w:jc w:val="center"/>
              <w:rPr>
                <w:sz w:val="16"/>
                <w:szCs w:val="16"/>
              </w:rPr>
            </w:pPr>
          </w:p>
        </w:tc>
        <w:tc>
          <w:tcPr>
            <w:tcW w:w="853" w:type="dxa"/>
            <w:vMerge/>
            <w:shd w:val="clear" w:color="auto" w:fill="000000" w:themeFill="text1"/>
            <w:vAlign w:val="center"/>
          </w:tcPr>
          <w:p w:rsidR="00D15B12" w:rsidRPr="00B47B02" w:rsidRDefault="00D15B12" w:rsidP="00C87434">
            <w:pPr>
              <w:jc w:val="center"/>
              <w:rPr>
                <w:sz w:val="16"/>
                <w:szCs w:val="16"/>
              </w:rPr>
            </w:pPr>
          </w:p>
        </w:tc>
        <w:tc>
          <w:tcPr>
            <w:tcW w:w="1071" w:type="dxa"/>
            <w:vAlign w:val="center"/>
          </w:tcPr>
          <w:p w:rsidR="00D15B12" w:rsidRPr="00B47B02" w:rsidRDefault="00D15B12" w:rsidP="00C87434">
            <w:pPr>
              <w:jc w:val="center"/>
              <w:rPr>
                <w:sz w:val="16"/>
                <w:szCs w:val="16"/>
              </w:rPr>
            </w:pPr>
            <w:r w:rsidRPr="00B47B02">
              <w:rPr>
                <w:sz w:val="16"/>
                <w:szCs w:val="16"/>
              </w:rPr>
              <w:t>Max:</w:t>
            </w:r>
            <w:r w:rsidRPr="00B47B02">
              <w:rPr>
                <w:rFonts w:cstheme="minorHAnsi"/>
                <w:sz w:val="16"/>
                <w:szCs w:val="16"/>
              </w:rPr>
              <w:t xml:space="preserve"> $</w:t>
            </w:r>
            <w:r w:rsidRPr="00B47B02">
              <w:rPr>
                <w:sz w:val="16"/>
                <w:szCs w:val="16"/>
              </w:rPr>
              <w:t>13.10</w:t>
            </w:r>
          </w:p>
        </w:tc>
        <w:tc>
          <w:tcPr>
            <w:tcW w:w="1027" w:type="dxa"/>
            <w:vMerge/>
            <w:vAlign w:val="center"/>
          </w:tcPr>
          <w:p w:rsidR="00D15B12" w:rsidRPr="00B47B02" w:rsidRDefault="00D15B12" w:rsidP="00C87434">
            <w:pPr>
              <w:jc w:val="center"/>
              <w:rPr>
                <w:sz w:val="16"/>
                <w:szCs w:val="16"/>
              </w:rPr>
            </w:pPr>
          </w:p>
        </w:tc>
        <w:tc>
          <w:tcPr>
            <w:tcW w:w="853" w:type="dxa"/>
            <w:vMerge/>
            <w:vAlign w:val="center"/>
          </w:tcPr>
          <w:p w:rsidR="00D15B12" w:rsidRPr="00B47B02" w:rsidRDefault="00D15B12" w:rsidP="00C87434">
            <w:pPr>
              <w:jc w:val="center"/>
              <w:rPr>
                <w:sz w:val="16"/>
                <w:szCs w:val="16"/>
              </w:rPr>
            </w:pPr>
          </w:p>
        </w:tc>
        <w:tc>
          <w:tcPr>
            <w:tcW w:w="854" w:type="dxa"/>
            <w:vMerge/>
            <w:vAlign w:val="center"/>
          </w:tcPr>
          <w:p w:rsidR="00D15B12" w:rsidRPr="00B47B02" w:rsidRDefault="00D15B12" w:rsidP="00C87434">
            <w:pPr>
              <w:jc w:val="center"/>
              <w:rPr>
                <w:sz w:val="16"/>
                <w:szCs w:val="16"/>
              </w:rPr>
            </w:pPr>
          </w:p>
        </w:tc>
      </w:tr>
    </w:tbl>
    <w:p w:rsidR="00D15B12" w:rsidRPr="00B47B02" w:rsidRDefault="00D15B12" w:rsidP="00D15B12">
      <w:pPr>
        <w:jc w:val="center"/>
        <w:rPr>
          <w:sz w:val="16"/>
          <w:szCs w:val="16"/>
        </w:rPr>
      </w:pPr>
      <w:r w:rsidRPr="00B47B02">
        <w:rPr>
          <w:sz w:val="16"/>
          <w:szCs w:val="16"/>
        </w:rPr>
        <w:lastRenderedPageBreak/>
        <w:t>Precios FOB mensuales en dólares del banano declarados para la variedad Cavendish tipo 22XU</w:t>
      </w:r>
    </w:p>
    <w:tbl>
      <w:tblPr>
        <w:tblW w:w="4144" w:type="pct"/>
        <w:jc w:val="center"/>
        <w:tblCellMar>
          <w:left w:w="70" w:type="dxa"/>
          <w:right w:w="70" w:type="dxa"/>
        </w:tblCellMar>
        <w:tblLook w:val="04A0" w:firstRow="1" w:lastRow="0" w:firstColumn="1" w:lastColumn="0" w:noHBand="0" w:noVBand="1"/>
      </w:tblPr>
      <w:tblGrid>
        <w:gridCol w:w="947"/>
        <w:gridCol w:w="1199"/>
        <w:gridCol w:w="1021"/>
        <w:gridCol w:w="1034"/>
        <w:gridCol w:w="1031"/>
        <w:gridCol w:w="731"/>
        <w:gridCol w:w="880"/>
        <w:gridCol w:w="1031"/>
      </w:tblGrid>
      <w:tr w:rsidR="00D15B12" w:rsidRPr="009E3354" w:rsidTr="00C87434">
        <w:trPr>
          <w:trHeight w:val="98"/>
          <w:jc w:val="center"/>
        </w:trPr>
        <w:tc>
          <w:tcPr>
            <w:tcW w:w="601" w:type="pct"/>
            <w:tcBorders>
              <w:top w:val="single" w:sz="8" w:space="0" w:color="auto"/>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Meses</w:t>
            </w:r>
          </w:p>
        </w:tc>
        <w:tc>
          <w:tcPr>
            <w:tcW w:w="761" w:type="pct"/>
            <w:tcBorders>
              <w:top w:val="single" w:sz="8" w:space="0" w:color="auto"/>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Estados Unidos</w:t>
            </w:r>
          </w:p>
        </w:tc>
        <w:tc>
          <w:tcPr>
            <w:tcW w:w="648" w:type="pct"/>
            <w:tcBorders>
              <w:top w:val="single" w:sz="8" w:space="0" w:color="auto"/>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Alemania</w:t>
            </w:r>
          </w:p>
        </w:tc>
        <w:tc>
          <w:tcPr>
            <w:tcW w:w="656" w:type="pct"/>
            <w:tcBorders>
              <w:top w:val="single" w:sz="8" w:space="0" w:color="auto"/>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Bélgica</w:t>
            </w:r>
          </w:p>
        </w:tc>
        <w:tc>
          <w:tcPr>
            <w:tcW w:w="655" w:type="pct"/>
            <w:tcBorders>
              <w:top w:val="single" w:sz="8" w:space="0" w:color="auto"/>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España</w:t>
            </w:r>
          </w:p>
        </w:tc>
        <w:tc>
          <w:tcPr>
            <w:tcW w:w="464" w:type="pct"/>
            <w:tcBorders>
              <w:top w:val="single" w:sz="8" w:space="0" w:color="auto"/>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Italia</w:t>
            </w:r>
          </w:p>
        </w:tc>
        <w:tc>
          <w:tcPr>
            <w:tcW w:w="559" w:type="pct"/>
            <w:tcBorders>
              <w:top w:val="single" w:sz="8" w:space="0" w:color="auto"/>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Japón</w:t>
            </w:r>
          </w:p>
        </w:tc>
        <w:tc>
          <w:tcPr>
            <w:tcW w:w="655" w:type="pct"/>
            <w:tcBorders>
              <w:top w:val="single" w:sz="8" w:space="0" w:color="auto"/>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Rusia</w:t>
            </w:r>
          </w:p>
        </w:tc>
      </w:tr>
      <w:tr w:rsidR="00D15B12" w:rsidRPr="009E3354" w:rsidTr="00C87434">
        <w:trPr>
          <w:trHeight w:val="98"/>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Enero</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5.38</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5.41</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5.50</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5.81</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5.30</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5.47</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Febrero</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5.30</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5.30</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5.30</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5.30</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5.30</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5.30</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Marzo</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6.67</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6.03</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5.95</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6.37</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6.54</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6.54</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Abril</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6.23</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6.18</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6.18</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6.25</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6.15</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6.26</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6.02</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Mayo</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6.28</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6.30</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6.25</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6.30</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6.27</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Junio</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6.25</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6.26</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6.25</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6.26</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6.25</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6.26</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Julio</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6.34</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6.28</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Agosto</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6.30</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Septiembre</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6.31</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Octubre</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6.36</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6.36</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6.36</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6.36</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6.36</w:t>
            </w:r>
          </w:p>
        </w:tc>
      </w:tr>
      <w:tr w:rsidR="00D15B12" w:rsidRPr="009E3354" w:rsidTr="00C87434">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Noviembre</w:t>
            </w:r>
          </w:p>
        </w:tc>
        <w:tc>
          <w:tcPr>
            <w:tcW w:w="761" w:type="pct"/>
            <w:tcBorders>
              <w:top w:val="nil"/>
              <w:left w:val="single" w:sz="8" w:space="0" w:color="auto"/>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c>
          <w:tcPr>
            <w:tcW w:w="648"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c>
          <w:tcPr>
            <w:tcW w:w="656"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c>
          <w:tcPr>
            <w:tcW w:w="655"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6.34</w:t>
            </w:r>
          </w:p>
        </w:tc>
        <w:tc>
          <w:tcPr>
            <w:tcW w:w="559" w:type="pct"/>
            <w:tcBorders>
              <w:top w:val="nil"/>
              <w:left w:val="nil"/>
              <w:bottom w:val="single" w:sz="4"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c>
          <w:tcPr>
            <w:tcW w:w="655" w:type="pct"/>
            <w:tcBorders>
              <w:top w:val="nil"/>
              <w:left w:val="nil"/>
              <w:bottom w:val="single" w:sz="4"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6.35</w:t>
            </w:r>
          </w:p>
        </w:tc>
      </w:tr>
      <w:tr w:rsidR="00D15B12" w:rsidRPr="009E3354" w:rsidTr="00C87434">
        <w:trPr>
          <w:trHeight w:val="64"/>
          <w:jc w:val="center"/>
        </w:trPr>
        <w:tc>
          <w:tcPr>
            <w:tcW w:w="601" w:type="pct"/>
            <w:tcBorders>
              <w:top w:val="nil"/>
              <w:left w:val="single" w:sz="8" w:space="0" w:color="auto"/>
              <w:bottom w:val="single" w:sz="8" w:space="0" w:color="auto"/>
              <w:right w:val="nil"/>
            </w:tcBorders>
            <w:shd w:val="clear" w:color="auto" w:fill="auto"/>
            <w:noWrap/>
            <w:hideMark/>
          </w:tcPr>
          <w:p w:rsidR="00D15B12" w:rsidRPr="009E3354" w:rsidRDefault="00D15B12" w:rsidP="00C87434">
            <w:pPr>
              <w:jc w:val="center"/>
              <w:rPr>
                <w:sz w:val="16"/>
                <w:szCs w:val="16"/>
              </w:rPr>
            </w:pPr>
            <w:r w:rsidRPr="009E3354">
              <w:rPr>
                <w:sz w:val="16"/>
                <w:szCs w:val="16"/>
              </w:rPr>
              <w:t>Diciembre</w:t>
            </w:r>
          </w:p>
        </w:tc>
        <w:tc>
          <w:tcPr>
            <w:tcW w:w="761" w:type="pct"/>
            <w:tcBorders>
              <w:top w:val="nil"/>
              <w:left w:val="single" w:sz="8" w:space="0" w:color="auto"/>
              <w:bottom w:val="single" w:sz="8"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648" w:type="pct"/>
            <w:tcBorders>
              <w:top w:val="nil"/>
              <w:left w:val="nil"/>
              <w:bottom w:val="single" w:sz="8"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656" w:type="pct"/>
            <w:tcBorders>
              <w:top w:val="nil"/>
              <w:left w:val="nil"/>
              <w:bottom w:val="single" w:sz="8"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655" w:type="pct"/>
            <w:tcBorders>
              <w:top w:val="nil"/>
              <w:left w:val="nil"/>
              <w:bottom w:val="single" w:sz="8"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 xml:space="preserve"> </w:t>
            </w:r>
          </w:p>
        </w:tc>
        <w:tc>
          <w:tcPr>
            <w:tcW w:w="464" w:type="pct"/>
            <w:tcBorders>
              <w:top w:val="nil"/>
              <w:left w:val="nil"/>
              <w:bottom w:val="single" w:sz="8"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559" w:type="pct"/>
            <w:tcBorders>
              <w:top w:val="nil"/>
              <w:left w:val="nil"/>
              <w:bottom w:val="single" w:sz="8" w:space="0" w:color="auto"/>
              <w:right w:val="single" w:sz="4"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6.32</w:t>
            </w:r>
          </w:p>
        </w:tc>
        <w:tc>
          <w:tcPr>
            <w:tcW w:w="655" w:type="pct"/>
            <w:tcBorders>
              <w:top w:val="nil"/>
              <w:left w:val="nil"/>
              <w:bottom w:val="single" w:sz="8" w:space="0" w:color="auto"/>
              <w:right w:val="single" w:sz="8" w:space="0" w:color="auto"/>
            </w:tcBorders>
            <w:shd w:val="clear" w:color="auto" w:fill="auto"/>
            <w:noWrap/>
            <w:hideMark/>
          </w:tcPr>
          <w:p w:rsidR="00D15B12" w:rsidRPr="009E3354" w:rsidRDefault="00D15B12" w:rsidP="00C87434">
            <w:pPr>
              <w:jc w:val="center"/>
              <w:rPr>
                <w:sz w:val="16"/>
                <w:szCs w:val="16"/>
              </w:rPr>
            </w:pPr>
            <w:r w:rsidRPr="009E3354">
              <w:rPr>
                <w:sz w:val="16"/>
                <w:szCs w:val="16"/>
              </w:rPr>
              <w:t>6.33</w:t>
            </w:r>
          </w:p>
        </w:tc>
      </w:tr>
    </w:tbl>
    <w:p w:rsidR="00D15B12" w:rsidRPr="00B47B02" w:rsidRDefault="00D15B12" w:rsidP="00D15B12">
      <w:pPr>
        <w:ind w:left="708"/>
        <w:rPr>
          <w:sz w:val="16"/>
          <w:szCs w:val="16"/>
        </w:rPr>
      </w:pPr>
      <w:r w:rsidRPr="00B47B02">
        <w:rPr>
          <w:sz w:val="16"/>
          <w:szCs w:val="16"/>
        </w:rPr>
        <w:t>Fuente: BCE</w:t>
      </w:r>
    </w:p>
    <w:p w:rsidR="00D15B12" w:rsidRPr="00B47B02" w:rsidRDefault="00D15B12" w:rsidP="00D15B12">
      <w:pPr>
        <w:pStyle w:val="Lista"/>
        <w:rPr>
          <w:rFonts w:asciiTheme="minorHAnsi" w:hAnsiTheme="minorHAnsi"/>
          <w:b/>
          <w:w w:val="104"/>
          <w:sz w:val="16"/>
          <w:szCs w:val="16"/>
          <w:lang w:val="es-EC"/>
        </w:rPr>
      </w:pPr>
    </w:p>
    <w:p w:rsidR="00D15B12" w:rsidRPr="00B47B02" w:rsidRDefault="00D15B12" w:rsidP="00D15B12">
      <w:pPr>
        <w:pStyle w:val="Lista"/>
        <w:ind w:left="0" w:firstLine="0"/>
        <w:jc w:val="both"/>
        <w:rPr>
          <w:rFonts w:asciiTheme="minorHAnsi" w:hAnsiTheme="minorHAnsi"/>
          <w:sz w:val="16"/>
          <w:szCs w:val="16"/>
          <w:lang w:val="es-EC"/>
        </w:rPr>
      </w:pPr>
      <w:r w:rsidRPr="00B47B02">
        <w:rPr>
          <w:rFonts w:asciiTheme="minorHAnsi" w:hAnsiTheme="minorHAnsi"/>
          <w:sz w:val="16"/>
          <w:szCs w:val="16"/>
          <w:lang w:val="es-EC"/>
        </w:rPr>
        <w:t>En virtud de lo expuesto, se solicita realizar el Ajuste por Precios de Transferencia, utilizando el Método del Precio Comparable No Controlado, con el fin de contestar lo siguiente:</w:t>
      </w:r>
    </w:p>
    <w:p w:rsidR="00D15B12" w:rsidRPr="00B47B02" w:rsidRDefault="00D15B12" w:rsidP="00D15B12">
      <w:pPr>
        <w:pStyle w:val="Lista"/>
        <w:ind w:left="0" w:firstLine="0"/>
        <w:rPr>
          <w:rFonts w:asciiTheme="minorHAnsi" w:hAnsiTheme="minorHAnsi"/>
          <w:b/>
          <w:w w:val="104"/>
          <w:sz w:val="16"/>
          <w:szCs w:val="16"/>
          <w:lang w:val="es-EC"/>
        </w:rPr>
      </w:pPr>
    </w:p>
    <w:p w:rsidR="00B47B02" w:rsidRPr="00B47B02" w:rsidRDefault="00B47B02" w:rsidP="00D15B12">
      <w:pPr>
        <w:pStyle w:val="Prrafodelista"/>
        <w:numPr>
          <w:ilvl w:val="0"/>
          <w:numId w:val="18"/>
        </w:numPr>
        <w:jc w:val="both"/>
        <w:rPr>
          <w:sz w:val="16"/>
          <w:szCs w:val="16"/>
        </w:rPr>
      </w:pPr>
      <w:r w:rsidRPr="00B47B02">
        <w:rPr>
          <w:sz w:val="16"/>
          <w:szCs w:val="16"/>
        </w:rPr>
        <w:t>Analice los fundamentos de hecho y de derecho sobre el caso planteado.</w:t>
      </w:r>
    </w:p>
    <w:p w:rsidR="00D15B12" w:rsidRPr="00B47B02" w:rsidRDefault="00D15B12" w:rsidP="00D15B12">
      <w:pPr>
        <w:pStyle w:val="Prrafodelista"/>
        <w:numPr>
          <w:ilvl w:val="0"/>
          <w:numId w:val="18"/>
        </w:numPr>
        <w:jc w:val="both"/>
        <w:rPr>
          <w:sz w:val="16"/>
          <w:szCs w:val="16"/>
        </w:rPr>
      </w:pPr>
      <w:r w:rsidRPr="00B47B02">
        <w:rPr>
          <w:sz w:val="16"/>
          <w:szCs w:val="16"/>
        </w:rPr>
        <w:t>Análisis de Precio FOB de la caja de banano</w:t>
      </w:r>
      <w:r w:rsidR="00B47B02" w:rsidRPr="00B47B02">
        <w:rPr>
          <w:sz w:val="16"/>
          <w:szCs w:val="16"/>
        </w:rPr>
        <w:t xml:space="preserve"> reportado por el contribuyente y de sus exportaciones reportadas.</w:t>
      </w:r>
    </w:p>
    <w:p w:rsidR="00D15B12" w:rsidRPr="00B47B02" w:rsidRDefault="00D15B12" w:rsidP="00D15B12">
      <w:pPr>
        <w:pStyle w:val="Prrafodelista"/>
        <w:numPr>
          <w:ilvl w:val="0"/>
          <w:numId w:val="18"/>
        </w:numPr>
        <w:jc w:val="both"/>
        <w:rPr>
          <w:sz w:val="16"/>
          <w:szCs w:val="16"/>
        </w:rPr>
      </w:pPr>
      <w:r w:rsidRPr="00B47B02">
        <w:rPr>
          <w:sz w:val="16"/>
          <w:szCs w:val="16"/>
        </w:rPr>
        <w:t>Precio FOB estimado de la caja de banano determinado por la Administración Tributaria bajo el escenario mínimo (escenario pesimista)</w:t>
      </w:r>
    </w:p>
    <w:p w:rsidR="00D15B12" w:rsidRPr="00B47B02" w:rsidRDefault="00D15B12" w:rsidP="00D15B12">
      <w:pPr>
        <w:pStyle w:val="Prrafodelista"/>
        <w:numPr>
          <w:ilvl w:val="0"/>
          <w:numId w:val="18"/>
        </w:numPr>
        <w:jc w:val="both"/>
        <w:rPr>
          <w:sz w:val="16"/>
          <w:szCs w:val="16"/>
        </w:rPr>
      </w:pPr>
      <w:r w:rsidRPr="00B47B02">
        <w:rPr>
          <w:sz w:val="16"/>
          <w:szCs w:val="16"/>
        </w:rPr>
        <w:t>Ajuste por precio de transferencia determinado por la Administración Tributaria bajo el mismo escenario.</w:t>
      </w:r>
    </w:p>
    <w:p w:rsidR="00D15B12" w:rsidRPr="00B47B02" w:rsidRDefault="00D15B12" w:rsidP="00D15B12">
      <w:pPr>
        <w:pStyle w:val="Prrafodelista"/>
        <w:numPr>
          <w:ilvl w:val="0"/>
          <w:numId w:val="18"/>
        </w:numPr>
        <w:jc w:val="both"/>
        <w:rPr>
          <w:sz w:val="16"/>
          <w:szCs w:val="16"/>
        </w:rPr>
      </w:pPr>
      <w:r w:rsidRPr="00B47B02">
        <w:rPr>
          <w:sz w:val="16"/>
          <w:szCs w:val="16"/>
        </w:rPr>
        <w:t>Si se consideran los siguientes precios a valores de mercado, cuál sería el ajuste por precios de transferencia:</w:t>
      </w:r>
    </w:p>
    <w:p w:rsidR="00D15B12" w:rsidRPr="00B47B02" w:rsidRDefault="00D15B12" w:rsidP="00D15B12">
      <w:pPr>
        <w:pStyle w:val="Prrafodelista"/>
        <w:numPr>
          <w:ilvl w:val="1"/>
          <w:numId w:val="18"/>
        </w:numPr>
        <w:jc w:val="both"/>
        <w:rPr>
          <w:sz w:val="16"/>
          <w:szCs w:val="16"/>
        </w:rPr>
      </w:pPr>
      <w:r w:rsidRPr="00B47B02">
        <w:rPr>
          <w:sz w:val="16"/>
          <w:szCs w:val="16"/>
        </w:rPr>
        <w:t>Documentos de embarque del Flete marítimo a Estados U</w:t>
      </w:r>
      <w:r w:rsidR="00B47B02" w:rsidRPr="00B47B02">
        <w:rPr>
          <w:sz w:val="16"/>
          <w:szCs w:val="16"/>
        </w:rPr>
        <w:t>nidos para la costa este de: $ 2</w:t>
      </w:r>
      <w:r w:rsidRPr="00B47B02">
        <w:rPr>
          <w:sz w:val="16"/>
          <w:szCs w:val="16"/>
        </w:rPr>
        <w:t>.000 y para la costa o</w:t>
      </w:r>
      <w:r w:rsidR="00B47B02" w:rsidRPr="00B47B02">
        <w:rPr>
          <w:sz w:val="16"/>
          <w:szCs w:val="16"/>
        </w:rPr>
        <w:t>este de $ 2</w:t>
      </w:r>
      <w:r w:rsidRPr="00B47B02">
        <w:rPr>
          <w:sz w:val="16"/>
          <w:szCs w:val="16"/>
        </w:rPr>
        <w:t>.800 por contenedor de 20 pies en ambos casos, que transporta 960 cajas de banano. En el caso de Europa, el flete ma</w:t>
      </w:r>
      <w:r w:rsidR="00B47B02" w:rsidRPr="00B47B02">
        <w:rPr>
          <w:sz w:val="16"/>
          <w:szCs w:val="16"/>
        </w:rPr>
        <w:t xml:space="preserve">rítimo es de </w:t>
      </w:r>
      <w:r w:rsidR="004673FC">
        <w:rPr>
          <w:sz w:val="16"/>
          <w:szCs w:val="16"/>
        </w:rPr>
        <w:t>aproximadamente $ 2</w:t>
      </w:r>
      <w:r w:rsidRPr="00B47B02">
        <w:rPr>
          <w:sz w:val="16"/>
          <w:szCs w:val="16"/>
        </w:rPr>
        <w:t>.500</w:t>
      </w:r>
    </w:p>
    <w:p w:rsidR="00D15B12" w:rsidRPr="00B47B02" w:rsidRDefault="00D15B12" w:rsidP="00D15B12">
      <w:pPr>
        <w:pStyle w:val="Prrafodelista"/>
        <w:numPr>
          <w:ilvl w:val="1"/>
          <w:numId w:val="18"/>
        </w:numPr>
        <w:jc w:val="both"/>
        <w:rPr>
          <w:sz w:val="16"/>
          <w:szCs w:val="16"/>
        </w:rPr>
      </w:pPr>
      <w:r w:rsidRPr="00B47B02">
        <w:rPr>
          <w:sz w:val="16"/>
          <w:szCs w:val="16"/>
        </w:rPr>
        <w:t xml:space="preserve">Seguro, calculado como </w:t>
      </w:r>
      <w:r w:rsidR="009E3354">
        <w:rPr>
          <w:sz w:val="16"/>
          <w:szCs w:val="16"/>
        </w:rPr>
        <w:t>un porcentaje equivalente al 0,1</w:t>
      </w:r>
      <w:r w:rsidRPr="00B47B02">
        <w:rPr>
          <w:sz w:val="16"/>
          <w:szCs w:val="16"/>
        </w:rPr>
        <w:t>% del valor CIF.</w:t>
      </w:r>
    </w:p>
    <w:p w:rsidR="00D15B12" w:rsidRPr="00B47B02" w:rsidRDefault="00D15B12" w:rsidP="00D15B12">
      <w:pPr>
        <w:pStyle w:val="Prrafodelista"/>
        <w:numPr>
          <w:ilvl w:val="1"/>
          <w:numId w:val="18"/>
        </w:numPr>
        <w:jc w:val="both"/>
        <w:rPr>
          <w:sz w:val="16"/>
          <w:szCs w:val="16"/>
        </w:rPr>
      </w:pPr>
      <w:r w:rsidRPr="00B47B02">
        <w:rPr>
          <w:sz w:val="16"/>
          <w:szCs w:val="16"/>
        </w:rPr>
        <w:t>Tránsito por el canal de Panamá, considerando el costo del peaje para la carga r</w:t>
      </w:r>
      <w:r w:rsidR="004673FC">
        <w:rPr>
          <w:sz w:val="16"/>
          <w:szCs w:val="16"/>
        </w:rPr>
        <w:t>efrigerada por un valor de $ 0.2</w:t>
      </w:r>
      <w:r w:rsidRPr="00B47B02">
        <w:rPr>
          <w:sz w:val="16"/>
          <w:szCs w:val="16"/>
        </w:rPr>
        <w:t>5 por caja.</w:t>
      </w:r>
    </w:p>
    <w:p w:rsidR="00D15B12" w:rsidRDefault="00D15B12" w:rsidP="00D15B12">
      <w:pPr>
        <w:pStyle w:val="Prrafodelista"/>
        <w:numPr>
          <w:ilvl w:val="1"/>
          <w:numId w:val="18"/>
        </w:numPr>
        <w:jc w:val="both"/>
        <w:rPr>
          <w:sz w:val="16"/>
          <w:szCs w:val="16"/>
        </w:rPr>
      </w:pPr>
      <w:r w:rsidRPr="00B47B02">
        <w:rPr>
          <w:sz w:val="16"/>
          <w:szCs w:val="16"/>
        </w:rPr>
        <w:t>Otros gastos adicionales relacionados a la logística, c</w:t>
      </w:r>
      <w:r w:rsidR="00B47B02" w:rsidRPr="00B47B02">
        <w:rPr>
          <w:sz w:val="16"/>
          <w:szCs w:val="16"/>
        </w:rPr>
        <w:t>omercialización y puertos de $ 2</w:t>
      </w:r>
      <w:r w:rsidRPr="00B47B02">
        <w:rPr>
          <w:sz w:val="16"/>
          <w:szCs w:val="16"/>
        </w:rPr>
        <w:t xml:space="preserve">.50 por caja. </w:t>
      </w:r>
    </w:p>
    <w:p w:rsidR="004673FC" w:rsidRDefault="004673FC" w:rsidP="004673FC">
      <w:pPr>
        <w:pStyle w:val="Prrafodelista"/>
        <w:numPr>
          <w:ilvl w:val="0"/>
          <w:numId w:val="9"/>
        </w:numPr>
        <w:jc w:val="both"/>
        <w:rPr>
          <w:b/>
          <w:sz w:val="16"/>
          <w:szCs w:val="16"/>
        </w:rPr>
      </w:pPr>
      <w:r>
        <w:rPr>
          <w:b/>
          <w:sz w:val="16"/>
          <w:szCs w:val="16"/>
        </w:rPr>
        <w:t>CÓDIGO ORGÁNICO INTEGRAL PENAL COIP</w:t>
      </w:r>
    </w:p>
    <w:p w:rsidR="004673FC" w:rsidRDefault="004673FC" w:rsidP="004673FC">
      <w:pPr>
        <w:jc w:val="both"/>
        <w:rPr>
          <w:rFonts w:eastAsia="Times New Roman" w:cs="Times New Roman"/>
          <w:sz w:val="16"/>
          <w:szCs w:val="16"/>
          <w:lang w:eastAsia="es-ES"/>
        </w:rPr>
      </w:pPr>
      <w:r w:rsidRPr="004673FC">
        <w:rPr>
          <w:rFonts w:eastAsia="Times New Roman" w:cs="Times New Roman"/>
          <w:sz w:val="16"/>
          <w:szCs w:val="16"/>
          <w:lang w:eastAsia="es-ES"/>
        </w:rPr>
        <w:t>De acuerdo al COIP defina los siguientes conceptos:</w:t>
      </w:r>
    </w:p>
    <w:p w:rsidR="004673FC" w:rsidRPr="004673FC" w:rsidRDefault="004673FC" w:rsidP="004673FC">
      <w:pPr>
        <w:pStyle w:val="Prrafodelista"/>
        <w:numPr>
          <w:ilvl w:val="0"/>
          <w:numId w:val="19"/>
        </w:numPr>
        <w:jc w:val="both"/>
        <w:rPr>
          <w:rFonts w:eastAsia="Times New Roman" w:cs="Times New Roman"/>
          <w:sz w:val="16"/>
          <w:szCs w:val="16"/>
          <w:lang w:eastAsia="es-ES"/>
        </w:rPr>
      </w:pPr>
      <w:r w:rsidRPr="004673FC">
        <w:rPr>
          <w:rFonts w:eastAsia="Times New Roman" w:cs="Times New Roman"/>
          <w:sz w:val="16"/>
          <w:szCs w:val="16"/>
          <w:lang w:eastAsia="es-ES"/>
        </w:rPr>
        <w:t>Lavado de activos</w:t>
      </w:r>
    </w:p>
    <w:p w:rsidR="004673FC" w:rsidRPr="004673FC" w:rsidRDefault="004673FC" w:rsidP="004673FC">
      <w:pPr>
        <w:pStyle w:val="Prrafodelista"/>
        <w:numPr>
          <w:ilvl w:val="0"/>
          <w:numId w:val="19"/>
        </w:numPr>
        <w:jc w:val="both"/>
        <w:rPr>
          <w:rFonts w:eastAsia="Times New Roman" w:cs="Times New Roman"/>
          <w:sz w:val="16"/>
          <w:szCs w:val="16"/>
          <w:lang w:eastAsia="es-ES"/>
        </w:rPr>
      </w:pPr>
      <w:proofErr w:type="spellStart"/>
      <w:r w:rsidRPr="004673FC">
        <w:rPr>
          <w:rFonts w:eastAsia="Times New Roman" w:cs="Times New Roman"/>
          <w:sz w:val="16"/>
          <w:szCs w:val="16"/>
          <w:lang w:eastAsia="es-ES"/>
        </w:rPr>
        <w:t>Testaferrismo</w:t>
      </w:r>
      <w:proofErr w:type="spellEnd"/>
    </w:p>
    <w:p w:rsidR="004673FC" w:rsidRPr="004673FC" w:rsidRDefault="004673FC" w:rsidP="004673FC">
      <w:pPr>
        <w:pStyle w:val="Prrafodelista"/>
        <w:numPr>
          <w:ilvl w:val="0"/>
          <w:numId w:val="19"/>
        </w:numPr>
        <w:jc w:val="both"/>
        <w:rPr>
          <w:rFonts w:eastAsia="Times New Roman" w:cs="Times New Roman"/>
          <w:sz w:val="16"/>
          <w:szCs w:val="16"/>
          <w:lang w:eastAsia="es-ES"/>
        </w:rPr>
      </w:pPr>
      <w:r w:rsidRPr="004673FC">
        <w:rPr>
          <w:rFonts w:eastAsia="Times New Roman" w:cs="Times New Roman"/>
          <w:sz w:val="16"/>
          <w:szCs w:val="16"/>
          <w:lang w:eastAsia="es-ES"/>
        </w:rPr>
        <w:t>Enriquecimiento privado no justificado</w:t>
      </w:r>
    </w:p>
    <w:p w:rsidR="004673FC" w:rsidRPr="004673FC" w:rsidRDefault="004673FC" w:rsidP="004673FC">
      <w:pPr>
        <w:pStyle w:val="Prrafodelista"/>
        <w:numPr>
          <w:ilvl w:val="0"/>
          <w:numId w:val="19"/>
        </w:numPr>
        <w:jc w:val="both"/>
        <w:rPr>
          <w:rFonts w:eastAsia="Times New Roman" w:cs="Times New Roman"/>
          <w:sz w:val="16"/>
          <w:szCs w:val="16"/>
          <w:lang w:eastAsia="es-ES"/>
        </w:rPr>
      </w:pPr>
      <w:r w:rsidRPr="004673FC">
        <w:rPr>
          <w:rFonts w:eastAsia="Times New Roman" w:cs="Times New Roman"/>
          <w:sz w:val="16"/>
          <w:szCs w:val="16"/>
          <w:lang w:eastAsia="es-ES"/>
        </w:rPr>
        <w:t>Estafa</w:t>
      </w:r>
    </w:p>
    <w:p w:rsidR="004673FC" w:rsidRPr="004673FC" w:rsidRDefault="004673FC" w:rsidP="004673FC">
      <w:pPr>
        <w:pStyle w:val="Prrafodelista"/>
        <w:numPr>
          <w:ilvl w:val="0"/>
          <w:numId w:val="19"/>
        </w:numPr>
        <w:jc w:val="both"/>
        <w:rPr>
          <w:sz w:val="16"/>
          <w:szCs w:val="16"/>
        </w:rPr>
      </w:pPr>
      <w:r w:rsidRPr="004673FC">
        <w:rPr>
          <w:rFonts w:eastAsia="Times New Roman" w:cs="Times New Roman"/>
          <w:sz w:val="16"/>
          <w:szCs w:val="16"/>
          <w:lang w:eastAsia="es-ES"/>
        </w:rPr>
        <w:t>Defraudación tributaria</w:t>
      </w:r>
    </w:p>
    <w:sectPr w:rsidR="004673FC" w:rsidRPr="004673F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1D" w:rsidRDefault="0091081D" w:rsidP="002C656E">
      <w:pPr>
        <w:spacing w:after="0" w:line="240" w:lineRule="auto"/>
      </w:pPr>
      <w:r>
        <w:separator/>
      </w:r>
    </w:p>
  </w:endnote>
  <w:endnote w:type="continuationSeparator" w:id="0">
    <w:p w:rsidR="0091081D" w:rsidRDefault="0091081D" w:rsidP="002C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745170"/>
      <w:docPartObj>
        <w:docPartGallery w:val="Page Numbers (Bottom of Page)"/>
        <w:docPartUnique/>
      </w:docPartObj>
    </w:sdtPr>
    <w:sdtEndPr/>
    <w:sdtContent>
      <w:p w:rsidR="002C656E" w:rsidRDefault="002C656E">
        <w:pPr>
          <w:pStyle w:val="Piedepgina"/>
          <w:jc w:val="right"/>
        </w:pPr>
        <w:r>
          <w:fldChar w:fldCharType="begin"/>
        </w:r>
        <w:r>
          <w:instrText>PAGE   \* MERGEFORMAT</w:instrText>
        </w:r>
        <w:r>
          <w:fldChar w:fldCharType="separate"/>
        </w:r>
        <w:r w:rsidR="004673FC" w:rsidRPr="004673FC">
          <w:rPr>
            <w:noProof/>
            <w:lang w:val="es-ES"/>
          </w:rPr>
          <w:t>1</w:t>
        </w:r>
        <w:r>
          <w:fldChar w:fldCharType="end"/>
        </w:r>
      </w:p>
    </w:sdtContent>
  </w:sdt>
  <w:p w:rsidR="002C656E" w:rsidRDefault="002C65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1D" w:rsidRDefault="0091081D" w:rsidP="002C656E">
      <w:pPr>
        <w:spacing w:after="0" w:line="240" w:lineRule="auto"/>
      </w:pPr>
      <w:r>
        <w:separator/>
      </w:r>
    </w:p>
  </w:footnote>
  <w:footnote w:type="continuationSeparator" w:id="0">
    <w:p w:rsidR="0091081D" w:rsidRDefault="0091081D" w:rsidP="002C6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461E14"/>
    <w:multiLevelType w:val="hybridMultilevel"/>
    <w:tmpl w:val="144E7C7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42D65BC"/>
    <w:multiLevelType w:val="hybridMultilevel"/>
    <w:tmpl w:val="700AB0F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90A3958"/>
    <w:multiLevelType w:val="hybridMultilevel"/>
    <w:tmpl w:val="5B682E5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9F04F73"/>
    <w:multiLevelType w:val="hybridMultilevel"/>
    <w:tmpl w:val="5F5836E4"/>
    <w:lvl w:ilvl="0" w:tplc="47BAF9B4">
      <w:start w:val="1"/>
      <w:numFmt w:val="decimal"/>
      <w:lvlText w:val="%1."/>
      <w:lvlJc w:val="left"/>
      <w:pPr>
        <w:ind w:left="720" w:hanging="360"/>
      </w:pPr>
      <w:rPr>
        <w:rFonts w:hint="default"/>
      </w:rPr>
    </w:lvl>
    <w:lvl w:ilvl="1" w:tplc="203B0019">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abstractNum w:abstractNumId="5">
    <w:nsid w:val="293C103B"/>
    <w:multiLevelType w:val="hybridMultilevel"/>
    <w:tmpl w:val="C5B099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AA93D65"/>
    <w:multiLevelType w:val="hybridMultilevel"/>
    <w:tmpl w:val="AEDCA1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7E62819"/>
    <w:multiLevelType w:val="hybridMultilevel"/>
    <w:tmpl w:val="1270A7C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AD1699A"/>
    <w:multiLevelType w:val="hybridMultilevel"/>
    <w:tmpl w:val="28A25B9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20A2262"/>
    <w:multiLevelType w:val="hybridMultilevel"/>
    <w:tmpl w:val="6C50B0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2537BDA"/>
    <w:multiLevelType w:val="hybridMultilevel"/>
    <w:tmpl w:val="6BFE5B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ABC2507"/>
    <w:multiLevelType w:val="hybridMultilevel"/>
    <w:tmpl w:val="85DAA5A4"/>
    <w:lvl w:ilvl="0" w:tplc="203B0001">
      <w:start w:val="1"/>
      <w:numFmt w:val="bullet"/>
      <w:lvlText w:val=""/>
      <w:lvlJc w:val="left"/>
      <w:pPr>
        <w:ind w:left="360" w:hanging="360"/>
      </w:pPr>
      <w:rPr>
        <w:rFonts w:ascii="Symbol" w:hAnsi="Symbol" w:hint="default"/>
      </w:rPr>
    </w:lvl>
    <w:lvl w:ilvl="1" w:tplc="203B0003" w:tentative="1">
      <w:start w:val="1"/>
      <w:numFmt w:val="bullet"/>
      <w:lvlText w:val="o"/>
      <w:lvlJc w:val="left"/>
      <w:pPr>
        <w:ind w:left="1080" w:hanging="360"/>
      </w:pPr>
      <w:rPr>
        <w:rFonts w:ascii="Courier New" w:hAnsi="Courier New" w:cs="Courier New" w:hint="default"/>
      </w:rPr>
    </w:lvl>
    <w:lvl w:ilvl="2" w:tplc="203B0005" w:tentative="1">
      <w:start w:val="1"/>
      <w:numFmt w:val="bullet"/>
      <w:lvlText w:val=""/>
      <w:lvlJc w:val="left"/>
      <w:pPr>
        <w:ind w:left="1800" w:hanging="360"/>
      </w:pPr>
      <w:rPr>
        <w:rFonts w:ascii="Wingdings" w:hAnsi="Wingdings" w:hint="default"/>
      </w:rPr>
    </w:lvl>
    <w:lvl w:ilvl="3" w:tplc="203B0001" w:tentative="1">
      <w:start w:val="1"/>
      <w:numFmt w:val="bullet"/>
      <w:lvlText w:val=""/>
      <w:lvlJc w:val="left"/>
      <w:pPr>
        <w:ind w:left="2520" w:hanging="360"/>
      </w:pPr>
      <w:rPr>
        <w:rFonts w:ascii="Symbol" w:hAnsi="Symbol" w:hint="default"/>
      </w:rPr>
    </w:lvl>
    <w:lvl w:ilvl="4" w:tplc="203B0003" w:tentative="1">
      <w:start w:val="1"/>
      <w:numFmt w:val="bullet"/>
      <w:lvlText w:val="o"/>
      <w:lvlJc w:val="left"/>
      <w:pPr>
        <w:ind w:left="3240" w:hanging="360"/>
      </w:pPr>
      <w:rPr>
        <w:rFonts w:ascii="Courier New" w:hAnsi="Courier New" w:cs="Courier New" w:hint="default"/>
      </w:rPr>
    </w:lvl>
    <w:lvl w:ilvl="5" w:tplc="203B0005" w:tentative="1">
      <w:start w:val="1"/>
      <w:numFmt w:val="bullet"/>
      <w:lvlText w:val=""/>
      <w:lvlJc w:val="left"/>
      <w:pPr>
        <w:ind w:left="3960" w:hanging="360"/>
      </w:pPr>
      <w:rPr>
        <w:rFonts w:ascii="Wingdings" w:hAnsi="Wingdings" w:hint="default"/>
      </w:rPr>
    </w:lvl>
    <w:lvl w:ilvl="6" w:tplc="203B0001" w:tentative="1">
      <w:start w:val="1"/>
      <w:numFmt w:val="bullet"/>
      <w:lvlText w:val=""/>
      <w:lvlJc w:val="left"/>
      <w:pPr>
        <w:ind w:left="4680" w:hanging="360"/>
      </w:pPr>
      <w:rPr>
        <w:rFonts w:ascii="Symbol" w:hAnsi="Symbol" w:hint="default"/>
      </w:rPr>
    </w:lvl>
    <w:lvl w:ilvl="7" w:tplc="203B0003" w:tentative="1">
      <w:start w:val="1"/>
      <w:numFmt w:val="bullet"/>
      <w:lvlText w:val="o"/>
      <w:lvlJc w:val="left"/>
      <w:pPr>
        <w:ind w:left="5400" w:hanging="360"/>
      </w:pPr>
      <w:rPr>
        <w:rFonts w:ascii="Courier New" w:hAnsi="Courier New" w:cs="Courier New" w:hint="default"/>
      </w:rPr>
    </w:lvl>
    <w:lvl w:ilvl="8" w:tplc="203B0005" w:tentative="1">
      <w:start w:val="1"/>
      <w:numFmt w:val="bullet"/>
      <w:lvlText w:val=""/>
      <w:lvlJc w:val="left"/>
      <w:pPr>
        <w:ind w:left="6120" w:hanging="360"/>
      </w:pPr>
      <w:rPr>
        <w:rFonts w:ascii="Wingdings" w:hAnsi="Wingdings" w:hint="default"/>
      </w:rPr>
    </w:lvl>
  </w:abstractNum>
  <w:abstractNum w:abstractNumId="12">
    <w:nsid w:val="68CA69C1"/>
    <w:multiLevelType w:val="hybridMultilevel"/>
    <w:tmpl w:val="AFDAAC68"/>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F346193"/>
    <w:multiLevelType w:val="hybridMultilevel"/>
    <w:tmpl w:val="6302B482"/>
    <w:lvl w:ilvl="0" w:tplc="D9180298">
      <w:start w:val="1"/>
      <w:numFmt w:val="lowerLetter"/>
      <w:lvlText w:val="%1."/>
      <w:lvlJc w:val="left"/>
      <w:pPr>
        <w:ind w:left="720" w:hanging="360"/>
      </w:pPr>
      <w:rPr>
        <w:rFonts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705C5A96"/>
    <w:multiLevelType w:val="hybridMultilevel"/>
    <w:tmpl w:val="DE26E98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16042D0"/>
    <w:multiLevelType w:val="hybridMultilevel"/>
    <w:tmpl w:val="B008A00E"/>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77C87DAD"/>
    <w:multiLevelType w:val="hybridMultilevel"/>
    <w:tmpl w:val="700AB0F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7D836850"/>
    <w:multiLevelType w:val="multilevel"/>
    <w:tmpl w:val="46A6AEB0"/>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nsid w:val="7E5E326B"/>
    <w:multiLevelType w:val="hybridMultilevel"/>
    <w:tmpl w:val="BAEC9822"/>
    <w:lvl w:ilvl="0" w:tplc="203B000F">
      <w:start w:val="1"/>
      <w:numFmt w:val="decimal"/>
      <w:lvlText w:val="%1."/>
      <w:lvlJc w:val="left"/>
      <w:pPr>
        <w:ind w:left="720" w:hanging="360"/>
      </w:pPr>
      <w:rPr>
        <w:rFonts w:hint="default"/>
      </w:rPr>
    </w:lvl>
    <w:lvl w:ilvl="1" w:tplc="203B0019">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2"/>
  </w:num>
  <w:num w:numId="5">
    <w:abstractNumId w:val="18"/>
  </w:num>
  <w:num w:numId="6">
    <w:abstractNumId w:val="12"/>
  </w:num>
  <w:num w:numId="7">
    <w:abstractNumId w:val="15"/>
  </w:num>
  <w:num w:numId="8">
    <w:abstractNumId w:val="5"/>
  </w:num>
  <w:num w:numId="9">
    <w:abstractNumId w:val="3"/>
  </w:num>
  <w:num w:numId="10">
    <w:abstractNumId w:val="10"/>
  </w:num>
  <w:num w:numId="11">
    <w:abstractNumId w:val="8"/>
  </w:num>
  <w:num w:numId="12">
    <w:abstractNumId w:val="9"/>
  </w:num>
  <w:num w:numId="13">
    <w:abstractNumId w:val="7"/>
  </w:num>
  <w:num w:numId="14">
    <w:abstractNumId w:val="13"/>
  </w:num>
  <w:num w:numId="15">
    <w:abstractNumId w:val="17"/>
  </w:num>
  <w:num w:numId="16">
    <w:abstractNumId w:val="0"/>
    <w:lvlOverride w:ilvl="0">
      <w:startOverride w:val="1"/>
    </w:lvlOverride>
  </w:num>
  <w:num w:numId="17">
    <w:abstractNumId w:val="11"/>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AC"/>
    <w:rsid w:val="0017041C"/>
    <w:rsid w:val="00297682"/>
    <w:rsid w:val="002C656E"/>
    <w:rsid w:val="002E025D"/>
    <w:rsid w:val="003532AA"/>
    <w:rsid w:val="003B1BB3"/>
    <w:rsid w:val="003B4524"/>
    <w:rsid w:val="003F6F45"/>
    <w:rsid w:val="004673FC"/>
    <w:rsid w:val="005604B5"/>
    <w:rsid w:val="005A4C1A"/>
    <w:rsid w:val="00636FC6"/>
    <w:rsid w:val="00656748"/>
    <w:rsid w:val="006E0BED"/>
    <w:rsid w:val="00817BAF"/>
    <w:rsid w:val="0091081D"/>
    <w:rsid w:val="00912E7D"/>
    <w:rsid w:val="00946750"/>
    <w:rsid w:val="009625AC"/>
    <w:rsid w:val="009E3354"/>
    <w:rsid w:val="00A526C1"/>
    <w:rsid w:val="00B47B02"/>
    <w:rsid w:val="00BB236A"/>
    <w:rsid w:val="00CA1E5F"/>
    <w:rsid w:val="00D15B12"/>
    <w:rsid w:val="00E21DF9"/>
    <w:rsid w:val="00EB3B11"/>
    <w:rsid w:val="00F63224"/>
    <w:rsid w:val="00FC766F"/>
    <w:rsid w:val="00FD2B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32AA"/>
    <w:pPr>
      <w:ind w:left="720"/>
      <w:contextualSpacing/>
    </w:pPr>
  </w:style>
  <w:style w:type="paragraph" w:styleId="Encabezado">
    <w:name w:val="header"/>
    <w:basedOn w:val="Normal"/>
    <w:link w:val="EncabezadoCar"/>
    <w:uiPriority w:val="99"/>
    <w:unhideWhenUsed/>
    <w:rsid w:val="00636FC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36FC6"/>
  </w:style>
  <w:style w:type="paragraph" w:styleId="Piedepgina">
    <w:name w:val="footer"/>
    <w:basedOn w:val="Normal"/>
    <w:link w:val="PiedepginaCar"/>
    <w:uiPriority w:val="99"/>
    <w:unhideWhenUsed/>
    <w:rsid w:val="002C65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656E"/>
  </w:style>
  <w:style w:type="paragraph" w:styleId="Ttulo">
    <w:name w:val="Title"/>
    <w:aliases w:val="Car,Title Char, Car"/>
    <w:basedOn w:val="Normal"/>
    <w:link w:val="TtuloCar"/>
    <w:qFormat/>
    <w:rsid w:val="00D15B12"/>
    <w:pPr>
      <w:spacing w:after="0" w:line="240" w:lineRule="auto"/>
      <w:jc w:val="center"/>
    </w:pPr>
    <w:rPr>
      <w:rFonts w:ascii="Arial" w:eastAsia="Times New Roman" w:hAnsi="Arial" w:cs="Arial"/>
      <w:b/>
      <w:bCs/>
      <w:sz w:val="20"/>
      <w:szCs w:val="24"/>
      <w:lang w:eastAsia="es-ES"/>
    </w:rPr>
  </w:style>
  <w:style w:type="character" w:customStyle="1" w:styleId="TtuloCar">
    <w:name w:val="Título Car"/>
    <w:aliases w:val="Car Car,Title Char Car, Car Car"/>
    <w:basedOn w:val="Fuentedeprrafopredeter"/>
    <w:link w:val="Ttulo"/>
    <w:rsid w:val="00D15B12"/>
    <w:rPr>
      <w:rFonts w:ascii="Arial" w:eastAsia="Times New Roman" w:hAnsi="Arial" w:cs="Arial"/>
      <w:b/>
      <w:bCs/>
      <w:sz w:val="20"/>
      <w:szCs w:val="24"/>
      <w:lang w:eastAsia="es-ES"/>
    </w:rPr>
  </w:style>
  <w:style w:type="paragraph" w:styleId="Lista">
    <w:name w:val="List"/>
    <w:basedOn w:val="Normal"/>
    <w:unhideWhenUsed/>
    <w:rsid w:val="00D15B12"/>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customStyle="1" w:styleId="Default">
    <w:name w:val="Default"/>
    <w:rsid w:val="00D15B12"/>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32AA"/>
    <w:pPr>
      <w:ind w:left="720"/>
      <w:contextualSpacing/>
    </w:pPr>
  </w:style>
  <w:style w:type="paragraph" w:styleId="Encabezado">
    <w:name w:val="header"/>
    <w:basedOn w:val="Normal"/>
    <w:link w:val="EncabezadoCar"/>
    <w:uiPriority w:val="99"/>
    <w:unhideWhenUsed/>
    <w:rsid w:val="00636FC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36FC6"/>
  </w:style>
  <w:style w:type="paragraph" w:styleId="Piedepgina">
    <w:name w:val="footer"/>
    <w:basedOn w:val="Normal"/>
    <w:link w:val="PiedepginaCar"/>
    <w:uiPriority w:val="99"/>
    <w:unhideWhenUsed/>
    <w:rsid w:val="002C65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656E"/>
  </w:style>
  <w:style w:type="paragraph" w:styleId="Ttulo">
    <w:name w:val="Title"/>
    <w:aliases w:val="Car,Title Char, Car"/>
    <w:basedOn w:val="Normal"/>
    <w:link w:val="TtuloCar"/>
    <w:qFormat/>
    <w:rsid w:val="00D15B12"/>
    <w:pPr>
      <w:spacing w:after="0" w:line="240" w:lineRule="auto"/>
      <w:jc w:val="center"/>
    </w:pPr>
    <w:rPr>
      <w:rFonts w:ascii="Arial" w:eastAsia="Times New Roman" w:hAnsi="Arial" w:cs="Arial"/>
      <w:b/>
      <w:bCs/>
      <w:sz w:val="20"/>
      <w:szCs w:val="24"/>
      <w:lang w:eastAsia="es-ES"/>
    </w:rPr>
  </w:style>
  <w:style w:type="character" w:customStyle="1" w:styleId="TtuloCar">
    <w:name w:val="Título Car"/>
    <w:aliases w:val="Car Car,Title Char Car, Car Car"/>
    <w:basedOn w:val="Fuentedeprrafopredeter"/>
    <w:link w:val="Ttulo"/>
    <w:rsid w:val="00D15B12"/>
    <w:rPr>
      <w:rFonts w:ascii="Arial" w:eastAsia="Times New Roman" w:hAnsi="Arial" w:cs="Arial"/>
      <w:b/>
      <w:bCs/>
      <w:sz w:val="20"/>
      <w:szCs w:val="24"/>
      <w:lang w:eastAsia="es-ES"/>
    </w:rPr>
  </w:style>
  <w:style w:type="paragraph" w:styleId="Lista">
    <w:name w:val="List"/>
    <w:basedOn w:val="Normal"/>
    <w:unhideWhenUsed/>
    <w:rsid w:val="00D15B12"/>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customStyle="1" w:styleId="Default">
    <w:name w:val="Default"/>
    <w:rsid w:val="00D15B12"/>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842</Words>
  <Characters>4634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Parra</dc:creator>
  <cp:lastModifiedBy>Freddy Parra</cp:lastModifiedBy>
  <cp:revision>4</cp:revision>
  <dcterms:created xsi:type="dcterms:W3CDTF">2016-01-31T13:56:00Z</dcterms:created>
  <dcterms:modified xsi:type="dcterms:W3CDTF">2016-01-31T14:47:00Z</dcterms:modified>
</cp:coreProperties>
</file>