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0" w:type="dxa"/>
        <w:tblLayout w:type="fixed"/>
        <w:tblCellMar>
          <w:left w:w="70" w:type="dxa"/>
          <w:right w:w="70" w:type="dxa"/>
        </w:tblCellMar>
        <w:tblLook w:val="04A0"/>
      </w:tblPr>
      <w:tblGrid>
        <w:gridCol w:w="649"/>
        <w:gridCol w:w="209"/>
        <w:gridCol w:w="893"/>
        <w:gridCol w:w="885"/>
        <w:gridCol w:w="66"/>
        <w:gridCol w:w="830"/>
        <w:gridCol w:w="1351"/>
        <w:gridCol w:w="176"/>
        <w:gridCol w:w="1580"/>
        <w:gridCol w:w="610"/>
        <w:gridCol w:w="1024"/>
        <w:gridCol w:w="658"/>
        <w:gridCol w:w="190"/>
        <w:gridCol w:w="93"/>
      </w:tblGrid>
      <w:tr w:rsidR="00E50886" w:rsidRPr="00E50886" w:rsidTr="0002388F">
        <w:trPr>
          <w:trHeight w:val="360"/>
        </w:trPr>
        <w:tc>
          <w:tcPr>
            <w:tcW w:w="9214" w:type="dxa"/>
            <w:gridSpan w:val="14"/>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Arial" w:eastAsia="Times New Roman" w:hAnsi="Arial" w:cs="Arial"/>
                <w:sz w:val="20"/>
                <w:szCs w:val="20"/>
                <w:lang w:eastAsia="es-EC"/>
              </w:rPr>
            </w:pPr>
            <w:r>
              <w:rPr>
                <w:rFonts w:ascii="Arial" w:eastAsia="Times New Roman" w:hAnsi="Arial" w:cs="Arial"/>
                <w:noProof/>
                <w:sz w:val="20"/>
                <w:szCs w:val="20"/>
                <w:lang w:eastAsia="es-EC"/>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552450"/>
                  <wp:effectExtent l="0" t="0" r="0" b="0"/>
                  <wp:wrapNone/>
                  <wp:docPr id="2" name="5 Imagen"/>
                  <wp:cNvGraphicFramePr/>
                  <a:graphic xmlns:a="http://schemas.openxmlformats.org/drawingml/2006/main">
                    <a:graphicData uri="http://schemas.openxmlformats.org/drawingml/2006/picture">
                      <pic:pic xmlns:pic="http://schemas.openxmlformats.org/drawingml/2006/picture">
                        <pic:nvPicPr>
                          <pic:cNvPr id="3252" name="5 Imagen"/>
                          <pic:cNvPicPr>
                            <a:picLocks noChangeAspect="1" noChangeArrowheads="1"/>
                          </pic:cNvPicPr>
                        </pic:nvPicPr>
                        <pic:blipFill>
                          <a:blip r:embed="rId4"/>
                          <a:srcRect/>
                          <a:stretch>
                            <a:fillRect/>
                          </a:stretch>
                        </pic:blipFill>
                        <pic:spPr bwMode="auto">
                          <a:xfrm>
                            <a:off x="0" y="0"/>
                            <a:ext cx="889000" cy="533399"/>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9002"/>
            </w:tblGrid>
            <w:tr w:rsidR="00E50886" w:rsidRPr="00E50886" w:rsidTr="00E50886">
              <w:trPr>
                <w:trHeight w:val="360"/>
                <w:tblCellSpacing w:w="0" w:type="dxa"/>
              </w:trPr>
              <w:tc>
                <w:tcPr>
                  <w:tcW w:w="9002" w:type="dxa"/>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r w:rsidRPr="00E50886">
                    <w:rPr>
                      <w:rFonts w:ascii="Calibri" w:eastAsia="Times New Roman" w:hAnsi="Calibri" w:cs="Arial"/>
                      <w:b/>
                      <w:bCs/>
                      <w:lang w:eastAsia="es-EC"/>
                    </w:rPr>
                    <w:t>ESCUELA SUPERIOR POLITÉCNICA DEL LITORAL</w:t>
                  </w:r>
                </w:p>
              </w:tc>
            </w:tr>
          </w:tbl>
          <w:p w:rsidR="00E50886" w:rsidRPr="00E50886" w:rsidRDefault="00E50886" w:rsidP="00E50886">
            <w:pPr>
              <w:spacing w:after="0" w:line="240" w:lineRule="auto"/>
              <w:rPr>
                <w:rFonts w:ascii="Arial" w:eastAsia="Times New Roman" w:hAnsi="Arial" w:cs="Arial"/>
                <w:sz w:val="20"/>
                <w:szCs w:val="20"/>
                <w:lang w:eastAsia="es-EC"/>
              </w:rPr>
            </w:pPr>
          </w:p>
        </w:tc>
      </w:tr>
      <w:tr w:rsidR="00E50886" w:rsidRPr="00E50886" w:rsidTr="0002388F">
        <w:trPr>
          <w:trHeight w:val="300"/>
        </w:trPr>
        <w:tc>
          <w:tcPr>
            <w:tcW w:w="9214" w:type="dxa"/>
            <w:gridSpan w:val="14"/>
            <w:tcBorders>
              <w:top w:val="nil"/>
              <w:left w:val="nil"/>
              <w:bottom w:val="nil"/>
              <w:right w:val="nil"/>
            </w:tcBorders>
            <w:shd w:val="clear" w:color="auto" w:fill="auto"/>
            <w:hideMark/>
          </w:tcPr>
          <w:p w:rsidR="00E50886" w:rsidRPr="00E50886" w:rsidRDefault="00E50886" w:rsidP="00E50886">
            <w:pPr>
              <w:spacing w:after="240" w:line="240" w:lineRule="auto"/>
              <w:jc w:val="center"/>
              <w:rPr>
                <w:rFonts w:ascii="Calibri" w:eastAsia="Times New Roman" w:hAnsi="Calibri" w:cs="Arial"/>
                <w:b/>
                <w:bCs/>
                <w:lang w:eastAsia="es-EC"/>
              </w:rPr>
            </w:pPr>
            <w:r w:rsidRPr="00E50886">
              <w:rPr>
                <w:rFonts w:ascii="Calibri" w:eastAsia="Times New Roman" w:hAnsi="Calibri" w:cs="Arial"/>
                <w:b/>
                <w:bCs/>
                <w:lang w:eastAsia="es-EC"/>
              </w:rPr>
              <w:t xml:space="preserve">                   FACULTAD DE CIENCIAS NATURALES Y MATEMÁTICAS</w:t>
            </w:r>
          </w:p>
        </w:tc>
      </w:tr>
      <w:tr w:rsidR="00E50886" w:rsidRPr="00E50886" w:rsidTr="0002388F">
        <w:trPr>
          <w:trHeight w:val="80"/>
        </w:trPr>
        <w:tc>
          <w:tcPr>
            <w:tcW w:w="9214" w:type="dxa"/>
            <w:gridSpan w:val="14"/>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r w:rsidRPr="00E50886">
              <w:rPr>
                <w:rFonts w:ascii="Calibri" w:eastAsia="Times New Roman" w:hAnsi="Calibri" w:cs="Arial"/>
                <w:b/>
                <w:bCs/>
                <w:lang w:eastAsia="es-EC"/>
              </w:rPr>
              <w:t>DEPARTAMENTO DE  MATEMÁTICAS</w:t>
            </w:r>
          </w:p>
        </w:tc>
      </w:tr>
      <w:tr w:rsidR="00E50886" w:rsidRPr="00E50886" w:rsidTr="0002388F">
        <w:trPr>
          <w:trHeight w:val="45"/>
        </w:trPr>
        <w:tc>
          <w:tcPr>
            <w:tcW w:w="858" w:type="dxa"/>
            <w:gridSpan w:val="2"/>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1844" w:type="dxa"/>
            <w:gridSpan w:val="3"/>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830" w:type="dxa"/>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1527" w:type="dxa"/>
            <w:gridSpan w:val="2"/>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1580" w:type="dxa"/>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1634" w:type="dxa"/>
            <w:gridSpan w:val="2"/>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941" w:type="dxa"/>
            <w:gridSpan w:val="3"/>
            <w:tcBorders>
              <w:top w:val="nil"/>
              <w:left w:val="nil"/>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p>
        </w:tc>
      </w:tr>
      <w:tr w:rsidR="00E50886" w:rsidRPr="00E50886" w:rsidTr="0002388F">
        <w:trPr>
          <w:trHeight w:val="300"/>
        </w:trPr>
        <w:tc>
          <w:tcPr>
            <w:tcW w:w="5059"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Año:</w:t>
            </w:r>
            <w:r w:rsidRPr="00E50886">
              <w:rPr>
                <w:rFonts w:ascii="Calibri" w:eastAsia="Times New Roman" w:hAnsi="Calibri" w:cs="Arial"/>
                <w:lang w:eastAsia="es-EC"/>
              </w:rPr>
              <w:t>2015</w:t>
            </w:r>
          </w:p>
        </w:tc>
        <w:tc>
          <w:tcPr>
            <w:tcW w:w="4155" w:type="dxa"/>
            <w:gridSpan w:val="6"/>
            <w:tcBorders>
              <w:top w:val="single" w:sz="4" w:space="0" w:color="auto"/>
              <w:left w:val="nil"/>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 xml:space="preserve">Período: </w:t>
            </w:r>
            <w:r w:rsidRPr="00E50886">
              <w:rPr>
                <w:rFonts w:ascii="Calibri" w:eastAsia="Times New Roman" w:hAnsi="Calibri" w:cs="Arial"/>
                <w:lang w:eastAsia="es-EC"/>
              </w:rPr>
              <w:t>Segundo Término</w:t>
            </w:r>
          </w:p>
        </w:tc>
      </w:tr>
      <w:tr w:rsidR="00E50886" w:rsidRPr="00E50886" w:rsidTr="0002388F">
        <w:trPr>
          <w:trHeight w:val="537"/>
        </w:trPr>
        <w:tc>
          <w:tcPr>
            <w:tcW w:w="5059"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Materia:</w:t>
            </w:r>
            <w:r w:rsidRPr="00E50886">
              <w:rPr>
                <w:rFonts w:ascii="Calibri" w:eastAsia="Times New Roman" w:hAnsi="Calibri" w:cs="Arial"/>
                <w:lang w:eastAsia="es-EC"/>
              </w:rPr>
              <w:t xml:space="preserve">  Contabilidad de Costos II</w:t>
            </w:r>
          </w:p>
        </w:tc>
        <w:tc>
          <w:tcPr>
            <w:tcW w:w="4155" w:type="dxa"/>
            <w:gridSpan w:val="6"/>
            <w:tcBorders>
              <w:top w:val="single" w:sz="4" w:space="0" w:color="auto"/>
              <w:left w:val="nil"/>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Profesor:</w:t>
            </w:r>
            <w:r w:rsidRPr="00E50886">
              <w:rPr>
                <w:rFonts w:ascii="Calibri" w:eastAsia="Times New Roman" w:hAnsi="Calibri" w:cs="Arial"/>
                <w:lang w:eastAsia="es-EC"/>
              </w:rPr>
              <w:t xml:space="preserve"> CPA. </w:t>
            </w:r>
            <w:proofErr w:type="spellStart"/>
            <w:r w:rsidRPr="00E50886">
              <w:rPr>
                <w:rFonts w:ascii="Calibri" w:eastAsia="Times New Roman" w:hAnsi="Calibri" w:cs="Arial"/>
                <w:lang w:eastAsia="es-EC"/>
              </w:rPr>
              <w:t>Yessenia</w:t>
            </w:r>
            <w:proofErr w:type="spellEnd"/>
            <w:r w:rsidRPr="00E50886">
              <w:rPr>
                <w:rFonts w:ascii="Calibri" w:eastAsia="Times New Roman" w:hAnsi="Calibri" w:cs="Arial"/>
                <w:lang w:eastAsia="es-EC"/>
              </w:rPr>
              <w:t xml:space="preserve">  González M. / </w:t>
            </w:r>
            <w:proofErr w:type="spellStart"/>
            <w:r w:rsidRPr="00E50886">
              <w:rPr>
                <w:rFonts w:ascii="Calibri" w:eastAsia="Times New Roman" w:hAnsi="Calibri" w:cs="Arial"/>
                <w:lang w:eastAsia="es-EC"/>
              </w:rPr>
              <w:t>Econ</w:t>
            </w:r>
            <w:proofErr w:type="spellEnd"/>
            <w:r w:rsidRPr="00E50886">
              <w:rPr>
                <w:rFonts w:ascii="Calibri" w:eastAsia="Times New Roman" w:hAnsi="Calibri" w:cs="Arial"/>
                <w:lang w:eastAsia="es-EC"/>
              </w:rPr>
              <w:t xml:space="preserve">. Lorena Bernabé  A. </w:t>
            </w:r>
          </w:p>
        </w:tc>
      </w:tr>
      <w:tr w:rsidR="00E50886" w:rsidRPr="00E50886" w:rsidTr="0002388F">
        <w:trPr>
          <w:trHeight w:val="330"/>
        </w:trPr>
        <w:tc>
          <w:tcPr>
            <w:tcW w:w="5059" w:type="dxa"/>
            <w:gridSpan w:val="8"/>
            <w:tcBorders>
              <w:top w:val="single" w:sz="4" w:space="0" w:color="auto"/>
              <w:left w:val="single" w:sz="4" w:space="0" w:color="auto"/>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Evaluación:</w:t>
            </w:r>
            <w:r w:rsidRPr="00E50886">
              <w:rPr>
                <w:rFonts w:ascii="Calibri" w:eastAsia="Times New Roman" w:hAnsi="Calibri" w:cs="Arial"/>
                <w:lang w:eastAsia="es-EC"/>
              </w:rPr>
              <w:t xml:space="preserve">  Tercera</w:t>
            </w:r>
          </w:p>
        </w:tc>
        <w:tc>
          <w:tcPr>
            <w:tcW w:w="4155" w:type="dxa"/>
            <w:gridSpan w:val="6"/>
            <w:tcBorders>
              <w:top w:val="single" w:sz="4" w:space="0" w:color="auto"/>
              <w:left w:val="nil"/>
              <w:bottom w:val="single" w:sz="4" w:space="0" w:color="auto"/>
              <w:right w:val="single" w:sz="4" w:space="0" w:color="000000"/>
            </w:tcBorders>
            <w:shd w:val="clear" w:color="auto" w:fill="auto"/>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 xml:space="preserve">Fecha:  </w:t>
            </w:r>
            <w:r w:rsidRPr="00E50886">
              <w:rPr>
                <w:rFonts w:ascii="Calibri" w:eastAsia="Times New Roman" w:hAnsi="Calibri" w:cs="Arial"/>
                <w:lang w:eastAsia="es-EC"/>
              </w:rPr>
              <w:t>Febrero 18 del 2016</w:t>
            </w:r>
          </w:p>
        </w:tc>
      </w:tr>
      <w:tr w:rsidR="00E50886" w:rsidRPr="00E50886" w:rsidTr="0002388F">
        <w:trPr>
          <w:trHeight w:val="60"/>
        </w:trPr>
        <w:tc>
          <w:tcPr>
            <w:tcW w:w="858"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both"/>
              <w:rPr>
                <w:rFonts w:ascii="Calibri" w:eastAsia="Times New Roman" w:hAnsi="Calibri" w:cs="Arial"/>
                <w:b/>
                <w:bCs/>
                <w:lang w:eastAsia="es-EC"/>
              </w:rPr>
            </w:pPr>
          </w:p>
        </w:tc>
        <w:tc>
          <w:tcPr>
            <w:tcW w:w="1844"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3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527"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58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34"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941"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trHeight w:val="300"/>
        </w:trPr>
        <w:tc>
          <w:tcPr>
            <w:tcW w:w="3532" w:type="dxa"/>
            <w:gridSpan w:val="6"/>
            <w:tcBorders>
              <w:top w:val="single" w:sz="4" w:space="0" w:color="auto"/>
              <w:left w:val="single" w:sz="4" w:space="0" w:color="auto"/>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COMPROMISO DE HONOR</w:t>
            </w:r>
          </w:p>
        </w:tc>
        <w:tc>
          <w:tcPr>
            <w:tcW w:w="1527" w:type="dxa"/>
            <w:gridSpan w:val="2"/>
            <w:tcBorders>
              <w:top w:val="single" w:sz="4" w:space="0" w:color="auto"/>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single" w:sz="4" w:space="0" w:color="auto"/>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single" w:sz="4" w:space="0" w:color="auto"/>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single" w:sz="4" w:space="0" w:color="auto"/>
              <w:left w:val="nil"/>
              <w:bottom w:val="nil"/>
              <w:right w:val="single" w:sz="4" w:space="0" w:color="auto"/>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4545"/>
        </w:trPr>
        <w:tc>
          <w:tcPr>
            <w:tcW w:w="9214" w:type="dxa"/>
            <w:gridSpan w:val="14"/>
            <w:tcBorders>
              <w:top w:val="nil"/>
              <w:left w:val="single" w:sz="4" w:space="0" w:color="auto"/>
              <w:bottom w:val="single" w:sz="4" w:space="0" w:color="auto"/>
              <w:right w:val="single" w:sz="4" w:space="0" w:color="000000"/>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br/>
              <w:t xml:space="preserve">Yo, ………………………………………………………………………………………………………………..…………… al firmar este compromiso, reconozco que el presente examen está diseñado para ser resuelto de manera individual, que puedo usar una calculadora </w:t>
            </w:r>
            <w:r w:rsidRPr="00E50886">
              <w:rPr>
                <w:rFonts w:ascii="Calibri" w:eastAsia="Times New Roman" w:hAnsi="Calibri" w:cs="Arial"/>
                <w:i/>
                <w:iCs/>
                <w:lang w:eastAsia="es-EC"/>
              </w:rPr>
              <w:t>ordinaria</w:t>
            </w:r>
            <w:r w:rsidRPr="00E50886">
              <w:rPr>
                <w:rFonts w:ascii="Calibri" w:eastAsia="Times New Roman" w:hAnsi="Calibri" w:cs="Arial"/>
                <w:lang w:eastAsia="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E50886">
              <w:rPr>
                <w:rFonts w:ascii="Calibri" w:eastAsia="Times New Roman" w:hAnsi="Calibri" w:cs="Arial"/>
                <w:lang w:eastAsia="es-EC"/>
              </w:rPr>
              <w:br/>
              <w:t>Firmo al pie del presente compromiso, como constancia de haber leído y aceptar la declaración anterior.</w:t>
            </w:r>
            <w:r w:rsidRPr="00E50886">
              <w:rPr>
                <w:rFonts w:ascii="Calibri" w:eastAsia="Times New Roman" w:hAnsi="Calibri" w:cs="Arial"/>
                <w:lang w:eastAsia="es-EC"/>
              </w:rPr>
              <w:br/>
              <w:t>"Como estudiante de  ESPOL  me comprometo a combatir la mediocridad y actuar con honestidad, por eso no copio ni dejo copiar".</w:t>
            </w:r>
            <w:r w:rsidRPr="00E50886">
              <w:rPr>
                <w:rFonts w:ascii="Calibri" w:eastAsia="Times New Roman" w:hAnsi="Calibri" w:cs="Arial"/>
                <w:lang w:eastAsia="es-EC"/>
              </w:rPr>
              <w:br/>
            </w:r>
            <w:r w:rsidRPr="00E50886">
              <w:rPr>
                <w:rFonts w:ascii="Calibri" w:eastAsia="Times New Roman" w:hAnsi="Calibri" w:cs="Arial"/>
                <w:lang w:eastAsia="es-EC"/>
              </w:rPr>
              <w:br/>
              <w:t xml:space="preserve">                                FIRMA                      NÚM. DE MATRÍC:……………….….    PARALELO:…………</w:t>
            </w:r>
          </w:p>
        </w:tc>
      </w:tr>
      <w:tr w:rsidR="00E50886" w:rsidRPr="00E50886" w:rsidTr="0002388F">
        <w:trPr>
          <w:trHeight w:val="75"/>
        </w:trPr>
        <w:tc>
          <w:tcPr>
            <w:tcW w:w="9214" w:type="dxa"/>
            <w:gridSpan w:val="14"/>
            <w:tcBorders>
              <w:top w:val="nil"/>
              <w:left w:val="single" w:sz="8" w:space="0" w:color="auto"/>
              <w:bottom w:val="nil"/>
              <w:right w:val="nil"/>
            </w:tcBorders>
            <w:shd w:val="clear" w:color="auto" w:fill="auto"/>
            <w:hideMark/>
          </w:tcPr>
          <w:p w:rsidR="00E50886" w:rsidRPr="00E50886" w:rsidRDefault="00E50886" w:rsidP="00E50886">
            <w:pPr>
              <w:spacing w:after="0" w:line="240" w:lineRule="auto"/>
              <w:jc w:val="center"/>
              <w:rPr>
                <w:rFonts w:ascii="Calibri" w:eastAsia="Times New Roman" w:hAnsi="Calibri" w:cs="Arial"/>
                <w:b/>
                <w:bCs/>
                <w:lang w:eastAsia="es-EC"/>
              </w:rPr>
            </w:pPr>
            <w:r w:rsidRPr="00E50886">
              <w:rPr>
                <w:rFonts w:ascii="Calibri" w:eastAsia="Times New Roman" w:hAnsi="Calibri" w:cs="Arial"/>
                <w:b/>
                <w:bCs/>
                <w:lang w:eastAsia="es-EC"/>
              </w:rPr>
              <w:t xml:space="preserve">                                                    </w:t>
            </w:r>
          </w:p>
        </w:tc>
      </w:tr>
      <w:tr w:rsidR="00E50886" w:rsidRPr="00E50886" w:rsidTr="0002388F">
        <w:trPr>
          <w:trHeight w:val="300"/>
        </w:trPr>
        <w:tc>
          <w:tcPr>
            <w:tcW w:w="9214"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 xml:space="preserve">Instrucciones: Lea detenidamente previo a contestar. Tachones o enmendaduras anulan la pregunta </w:t>
            </w:r>
          </w:p>
        </w:tc>
      </w:tr>
      <w:tr w:rsidR="00E50886" w:rsidRPr="00E50886" w:rsidTr="0002388F">
        <w:trPr>
          <w:trHeight w:val="60"/>
        </w:trPr>
        <w:tc>
          <w:tcPr>
            <w:tcW w:w="858"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844"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3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527"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58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34"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941"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1.-</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Encierre en un círculo la  alternativa correcta (20 Puntos, 5 Puntos cada Pregunta):</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1.1.</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Cuando hay existencias de Productos Defectuoso o Dañados deben ser valorizadas al:</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Valor neto realizable o a su costo de producción, es indistinto.</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b)</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Costo de producción.</w:t>
            </w:r>
          </w:p>
        </w:tc>
      </w:tr>
      <w:tr w:rsidR="00E50886" w:rsidRPr="00E50886" w:rsidTr="0002388F">
        <w:trPr>
          <w:trHeight w:val="945"/>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Valor razonable (importe por el cual puede ser intercambiado un activo o cancelado un pasivo, entre partes interesadas y debidamente informadas, que realizan una transacción en condiciones de independencia mutua).</w:t>
            </w:r>
          </w:p>
        </w:tc>
      </w:tr>
      <w:tr w:rsidR="00E50886" w:rsidRPr="00E50886" w:rsidTr="0002388F">
        <w:trPr>
          <w:trHeight w:val="915"/>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d)</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Valor neto realizable (precio estimado de venta de un activo en el curso normal de la explotación, menos los costes estimados para terminar su producción y los necesarios para llevar a cabo la venta), considerando que su  costo puede no ser recuperable.</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e)</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Ninguna de las anteriores.</w:t>
            </w:r>
          </w:p>
        </w:tc>
      </w:tr>
      <w:tr w:rsidR="00E50886" w:rsidRPr="00E50886" w:rsidTr="0002388F">
        <w:trPr>
          <w:trHeight w:val="75"/>
        </w:trPr>
        <w:tc>
          <w:tcPr>
            <w:tcW w:w="858" w:type="dxa"/>
            <w:gridSpan w:val="2"/>
            <w:tcBorders>
              <w:top w:val="nil"/>
              <w:left w:val="nil"/>
              <w:bottom w:val="nil"/>
              <w:right w:val="nil"/>
            </w:tcBorders>
            <w:shd w:val="clear" w:color="000000" w:fill="FFFFFF"/>
            <w:noWrap/>
            <w:vAlign w:val="bottom"/>
            <w:hideMark/>
          </w:tcPr>
          <w:p w:rsidR="0002388F" w:rsidRDefault="0002388F" w:rsidP="00E50886">
            <w:pPr>
              <w:spacing w:after="0" w:line="240" w:lineRule="auto"/>
              <w:rPr>
                <w:rFonts w:ascii="Calibri" w:eastAsia="Times New Roman" w:hAnsi="Calibri" w:cs="Arial"/>
                <w:lang w:eastAsia="es-EC"/>
              </w:rPr>
            </w:pPr>
          </w:p>
          <w:p w:rsidR="0002388F" w:rsidRDefault="0002388F" w:rsidP="00E50886">
            <w:pPr>
              <w:spacing w:after="0" w:line="240" w:lineRule="auto"/>
              <w:rPr>
                <w:rFonts w:ascii="Calibri" w:eastAsia="Times New Roman" w:hAnsi="Calibri" w:cs="Arial"/>
                <w:lang w:eastAsia="es-EC"/>
              </w:rPr>
            </w:pPr>
          </w:p>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844"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83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p w:rsidR="0002388F" w:rsidRDefault="0002388F" w:rsidP="00E50886">
            <w:pPr>
              <w:spacing w:after="0" w:line="240" w:lineRule="auto"/>
              <w:rPr>
                <w:rFonts w:ascii="Calibri" w:eastAsia="Times New Roman" w:hAnsi="Calibri" w:cs="Arial"/>
                <w:lang w:eastAsia="es-EC"/>
              </w:rPr>
            </w:pPr>
          </w:p>
          <w:p w:rsidR="0002388F" w:rsidRDefault="0002388F" w:rsidP="00E50886">
            <w:pPr>
              <w:spacing w:after="0" w:line="240" w:lineRule="auto"/>
              <w:rPr>
                <w:rFonts w:ascii="Calibri" w:eastAsia="Times New Roman" w:hAnsi="Calibri" w:cs="Arial"/>
                <w:lang w:eastAsia="es-EC"/>
              </w:rPr>
            </w:pPr>
          </w:p>
          <w:p w:rsidR="0002388F" w:rsidRPr="00E50886" w:rsidRDefault="0002388F" w:rsidP="00E50886">
            <w:pPr>
              <w:spacing w:after="0" w:line="240" w:lineRule="auto"/>
              <w:rPr>
                <w:rFonts w:ascii="Calibri" w:eastAsia="Times New Roman" w:hAnsi="Calibri" w:cs="Arial"/>
                <w:lang w:eastAsia="es-EC"/>
              </w:rPr>
            </w:pP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9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lastRenderedPageBreak/>
              <w:t>1.2.</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La NIC 2 "Existencias" acepta el método del Costos Estándar como un  sistema para la determinación del coste de las existencias siempre que el resultado de aplicarlos se aproxime al:</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a)</w:t>
            </w:r>
          </w:p>
        </w:tc>
        <w:tc>
          <w:tcPr>
            <w:tcW w:w="1844"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Costo.</w:t>
            </w:r>
          </w:p>
        </w:tc>
        <w:tc>
          <w:tcPr>
            <w:tcW w:w="83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b)</w:t>
            </w:r>
          </w:p>
        </w:tc>
        <w:tc>
          <w:tcPr>
            <w:tcW w:w="2674" w:type="dxa"/>
            <w:gridSpan w:val="4"/>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Valor Razonable.</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w:t>
            </w:r>
          </w:p>
        </w:tc>
        <w:tc>
          <w:tcPr>
            <w:tcW w:w="4201" w:type="dxa"/>
            <w:gridSpan w:val="6"/>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Valor Neto de Realización.</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d)</w:t>
            </w:r>
          </w:p>
        </w:tc>
        <w:tc>
          <w:tcPr>
            <w:tcW w:w="5781" w:type="dxa"/>
            <w:gridSpan w:val="7"/>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Ninguna de las anteriores, no menciona nada al respecto.</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e)</w:t>
            </w:r>
          </w:p>
        </w:tc>
        <w:tc>
          <w:tcPr>
            <w:tcW w:w="2674" w:type="dxa"/>
            <w:gridSpan w:val="4"/>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Todas las anteriores.</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45"/>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844"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83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15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1.3.</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Cuando la NIC 2 - Existencias menciona</w:t>
            </w:r>
            <w:proofErr w:type="gramStart"/>
            <w:r w:rsidRPr="00E50886">
              <w:rPr>
                <w:rFonts w:ascii="Calibri" w:eastAsia="Times New Roman" w:hAnsi="Calibri" w:cs="Arial"/>
                <w:lang w:eastAsia="es-EC"/>
              </w:rPr>
              <w:t>:  Los</w:t>
            </w:r>
            <w:proofErr w:type="gramEnd"/>
            <w:r w:rsidRPr="00E50886">
              <w:rPr>
                <w:rFonts w:ascii="Calibri" w:eastAsia="Times New Roman" w:hAnsi="Calibri" w:cs="Arial"/>
                <w:lang w:eastAsia="es-EC"/>
              </w:rPr>
              <w:t xml:space="preserve"> costes de transformación de las existencias comprenderán aquellos costes directamente relacionados con las unidades producidas, tales como la mano de obra directa. También comprenderán una parte, calculada de forma sistemática, de los costes indirectos, variables o fijos, en los que se haya incurrido para transformar las materias primas en productos terminados, significa que:</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Acepta  Doctrina de Costeo Directo - Variable para obtener el costo de las existencias.</w:t>
            </w:r>
          </w:p>
        </w:tc>
      </w:tr>
      <w:tr w:rsidR="00E50886" w:rsidRPr="00E50886" w:rsidTr="0002388F">
        <w:trPr>
          <w:trHeight w:val="885"/>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b)</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No acepta la Doctrina de Costeo Directo - Variable para obtener el costo de las existencias.   No obstante, se la puede  utilizar como herramienta financiera para la toma  adecuada  de decisiones.</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Le es indistinto, se la puede o no  emplear para obtener el costo de las existencias.</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d)</w:t>
            </w:r>
          </w:p>
        </w:tc>
        <w:tc>
          <w:tcPr>
            <w:tcW w:w="4201" w:type="dxa"/>
            <w:gridSpan w:val="6"/>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Ninguna de las anteriores.</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9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844"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83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1.4.</w:t>
            </w:r>
          </w:p>
        </w:tc>
        <w:tc>
          <w:tcPr>
            <w:tcW w:w="5781" w:type="dxa"/>
            <w:gridSpan w:val="7"/>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En el costeo basado en Actividades se debe:</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Identificar los recursos, las actividades categorizándolas en primarias, secundarias y de soporte.</w:t>
            </w:r>
          </w:p>
        </w:tc>
      </w:tr>
      <w:tr w:rsidR="00E50886" w:rsidRPr="00E50886" w:rsidTr="0002388F">
        <w:trPr>
          <w:trHeight w:val="345"/>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b)</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Definir los </w:t>
            </w:r>
            <w:proofErr w:type="spellStart"/>
            <w:r w:rsidRPr="00E50886">
              <w:rPr>
                <w:rFonts w:ascii="Calibri" w:eastAsia="Times New Roman" w:hAnsi="Calibri" w:cs="Arial"/>
                <w:lang w:eastAsia="es-EC"/>
              </w:rPr>
              <w:t>direccionadores</w:t>
            </w:r>
            <w:proofErr w:type="spellEnd"/>
            <w:r w:rsidRPr="00E50886">
              <w:rPr>
                <w:rFonts w:ascii="Calibri" w:eastAsia="Times New Roman" w:hAnsi="Calibri" w:cs="Arial"/>
                <w:lang w:eastAsia="es-EC"/>
              </w:rPr>
              <w:t xml:space="preserve"> de recursos y asociar los recursos a las actividades.</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Determine un </w:t>
            </w:r>
            <w:proofErr w:type="spellStart"/>
            <w:r w:rsidRPr="00E50886">
              <w:rPr>
                <w:rFonts w:ascii="Calibri" w:eastAsia="Times New Roman" w:hAnsi="Calibri" w:cs="Arial"/>
                <w:lang w:eastAsia="es-EC"/>
              </w:rPr>
              <w:t>direccionador</w:t>
            </w:r>
            <w:proofErr w:type="spellEnd"/>
            <w:r w:rsidRPr="00E50886">
              <w:rPr>
                <w:rFonts w:ascii="Calibri" w:eastAsia="Times New Roman" w:hAnsi="Calibri" w:cs="Arial"/>
                <w:lang w:eastAsia="es-EC"/>
              </w:rPr>
              <w:t xml:space="preserve"> para cada actividad y asocie cada actividad al objeto del costo.</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d)</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Asignar el  costo de la actividad indirecta  hacia las actividades directas y de soporte.</w:t>
            </w:r>
          </w:p>
        </w:tc>
      </w:tr>
      <w:tr w:rsidR="00E50886" w:rsidRPr="00E50886" w:rsidTr="0002388F">
        <w:trPr>
          <w:trHeight w:val="63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e)</w:t>
            </w:r>
          </w:p>
        </w:tc>
        <w:tc>
          <w:tcPr>
            <w:tcW w:w="8356" w:type="dxa"/>
            <w:gridSpan w:val="1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Asignar los costos de las actividades directas hacia los objetos de costos y obtener los costos unitarios.</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f)</w:t>
            </w:r>
          </w:p>
        </w:tc>
        <w:tc>
          <w:tcPr>
            <w:tcW w:w="2674" w:type="dxa"/>
            <w:gridSpan w:val="4"/>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Todas las anteriores.</w:t>
            </w:r>
          </w:p>
        </w:tc>
        <w:tc>
          <w:tcPr>
            <w:tcW w:w="1527"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trHeight w:val="300"/>
        </w:trPr>
        <w:tc>
          <w:tcPr>
            <w:tcW w:w="858" w:type="dxa"/>
            <w:gridSpan w:val="2"/>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g)</w:t>
            </w:r>
          </w:p>
        </w:tc>
        <w:tc>
          <w:tcPr>
            <w:tcW w:w="4201" w:type="dxa"/>
            <w:gridSpan w:val="6"/>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Ninguna de las anteriores.</w:t>
            </w:r>
          </w:p>
        </w:tc>
        <w:tc>
          <w:tcPr>
            <w:tcW w:w="158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634"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941" w:type="dxa"/>
            <w:gridSpan w:val="3"/>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02388F" w:rsidRDefault="0002388F" w:rsidP="00E50886">
            <w:pPr>
              <w:spacing w:after="0" w:line="240" w:lineRule="auto"/>
              <w:rPr>
                <w:rFonts w:ascii="Calibri" w:eastAsia="Times New Roman" w:hAnsi="Calibri" w:cs="Arial"/>
                <w:b/>
                <w:bCs/>
                <w:lang w:eastAsia="es-EC"/>
              </w:rPr>
            </w:pPr>
          </w:p>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2.-</w:t>
            </w:r>
          </w:p>
        </w:tc>
        <w:tc>
          <w:tcPr>
            <w:tcW w:w="6600" w:type="dxa"/>
            <w:gridSpan w:val="9"/>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Productos Dañados y Defectuosos (40 Puntos)</w:t>
            </w:r>
          </w:p>
        </w:tc>
        <w:tc>
          <w:tcPr>
            <w:tcW w:w="1682" w:type="dxa"/>
            <w:gridSpan w:val="2"/>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c>
          <w:tcPr>
            <w:tcW w:w="190" w:type="dxa"/>
            <w:tcBorders>
              <w:top w:val="nil"/>
              <w:left w:val="nil"/>
              <w:bottom w:val="nil"/>
              <w:right w:val="nil"/>
            </w:tcBorders>
            <w:shd w:val="clear" w:color="000000" w:fill="FFFFFF"/>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w:t>
            </w:r>
          </w:p>
        </w:tc>
      </w:tr>
      <w:tr w:rsidR="00E50886" w:rsidRPr="00E50886" w:rsidTr="0002388F">
        <w:trPr>
          <w:gridAfter w:val="2"/>
          <w:wAfter w:w="283" w:type="dxa"/>
          <w:trHeight w:val="615"/>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282" w:type="dxa"/>
            <w:gridSpan w:val="11"/>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Manufacturas "</w:t>
            </w:r>
            <w:proofErr w:type="spellStart"/>
            <w:r w:rsidRPr="00E50886">
              <w:rPr>
                <w:rFonts w:ascii="Calibri" w:eastAsia="Times New Roman" w:hAnsi="Calibri" w:cs="Arial"/>
                <w:lang w:eastAsia="es-EC"/>
              </w:rPr>
              <w:t>Amipol</w:t>
            </w:r>
            <w:proofErr w:type="spellEnd"/>
            <w:r w:rsidRPr="00E50886">
              <w:rPr>
                <w:rFonts w:ascii="Calibri" w:eastAsia="Times New Roman" w:hAnsi="Calibri" w:cs="Arial"/>
                <w:lang w:eastAsia="es-EC"/>
              </w:rPr>
              <w:t xml:space="preserve"> S.A." comienza 300 unidades en la orden de producción No. 50 y obtiene accidentalmente 5 unidades dañadas y 8 defectuosas.  </w:t>
            </w:r>
          </w:p>
        </w:tc>
      </w:tr>
      <w:tr w:rsidR="00E50886" w:rsidRPr="00E50886" w:rsidTr="0002388F">
        <w:trPr>
          <w:gridAfter w:val="2"/>
          <w:wAfter w:w="28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282" w:type="dxa"/>
            <w:gridSpan w:val="11"/>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Los costos normales de esta orden fueron</w:t>
            </w: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10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M.D.</w:t>
            </w: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USD</w:t>
            </w: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50.000,00 </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57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10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MOD</w:t>
            </w: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38.000,00 </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10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CGA</w:t>
            </w: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247" w:type="dxa"/>
            <w:gridSpan w:val="3"/>
            <w:tcBorders>
              <w:top w:val="nil"/>
              <w:left w:val="nil"/>
              <w:bottom w:val="single" w:sz="4" w:space="0" w:color="auto"/>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15.200,00 </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(40% MOD)</w:t>
            </w: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10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USD</w:t>
            </w: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103.200,00 </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2"/>
          <w:wAfter w:w="28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282" w:type="dxa"/>
            <w:gridSpan w:val="11"/>
            <w:tcBorders>
              <w:top w:val="nil"/>
              <w:left w:val="nil"/>
              <w:bottom w:val="nil"/>
              <w:right w:val="nil"/>
            </w:tcBorders>
            <w:shd w:val="clear" w:color="000000" w:fill="FFFFFF"/>
            <w:noWrap/>
            <w:vAlign w:val="bottom"/>
            <w:hideMark/>
          </w:tcPr>
          <w:p w:rsidR="00190F36" w:rsidRDefault="00190F36" w:rsidP="00E50886">
            <w:pPr>
              <w:spacing w:after="0" w:line="240" w:lineRule="auto"/>
              <w:rPr>
                <w:rFonts w:ascii="Calibri" w:eastAsia="Times New Roman" w:hAnsi="Calibri" w:cs="Arial"/>
                <w:lang w:eastAsia="es-EC"/>
              </w:rPr>
            </w:pPr>
          </w:p>
          <w:p w:rsidR="00190F36" w:rsidRDefault="00190F36" w:rsidP="00E50886">
            <w:pPr>
              <w:spacing w:after="0" w:line="240" w:lineRule="auto"/>
              <w:rPr>
                <w:rFonts w:ascii="Calibri" w:eastAsia="Times New Roman" w:hAnsi="Calibri" w:cs="Arial"/>
                <w:lang w:eastAsia="es-EC"/>
              </w:rPr>
            </w:pPr>
          </w:p>
          <w:p w:rsidR="00190F36" w:rsidRDefault="00190F36" w:rsidP="00E50886">
            <w:pPr>
              <w:spacing w:after="0" w:line="240" w:lineRule="auto"/>
              <w:rPr>
                <w:rFonts w:ascii="Calibri" w:eastAsia="Times New Roman" w:hAnsi="Calibri" w:cs="Arial"/>
                <w:lang w:eastAsia="es-EC"/>
              </w:rPr>
            </w:pPr>
          </w:p>
          <w:p w:rsidR="00190F36" w:rsidRDefault="00190F36" w:rsidP="00E50886">
            <w:pPr>
              <w:spacing w:after="0" w:line="240" w:lineRule="auto"/>
              <w:rPr>
                <w:rFonts w:ascii="Calibri" w:eastAsia="Times New Roman" w:hAnsi="Calibri" w:cs="Arial"/>
                <w:lang w:eastAsia="es-EC"/>
              </w:rPr>
            </w:pPr>
          </w:p>
          <w:p w:rsidR="00190F36" w:rsidRDefault="00190F36" w:rsidP="00E50886">
            <w:pPr>
              <w:spacing w:after="0" w:line="240" w:lineRule="auto"/>
              <w:rPr>
                <w:rFonts w:ascii="Calibri" w:eastAsia="Times New Roman" w:hAnsi="Calibri" w:cs="Arial"/>
                <w:lang w:eastAsia="es-EC"/>
              </w:rPr>
            </w:pPr>
          </w:p>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lastRenderedPageBreak/>
              <w:t>Para corregir las unidades defectuosas se incurrió además en los siguientes costos:</w:t>
            </w: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8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Materiales Directos</w:t>
            </w: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USD</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5.500,00 </w:t>
            </w: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8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Mano de Obra Directa</w:t>
            </w: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USD</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3.000,00 </w:t>
            </w: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4234" w:type="dxa"/>
            <w:gridSpan w:val="6"/>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Costos Generales de Fabricación</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1.200,00 </w:t>
            </w: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10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282" w:type="dxa"/>
            <w:gridSpan w:val="11"/>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El valor de mercado de las unidades dañadas se estimó en USD 160 c/u.</w:t>
            </w: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2"/>
          <w:wAfter w:w="283" w:type="dxa"/>
          <w:trHeight w:val="645"/>
        </w:trPr>
        <w:tc>
          <w:tcPr>
            <w:tcW w:w="649"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8282" w:type="dxa"/>
            <w:gridSpan w:val="11"/>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150 unidades  buenas   se vendieron a USD 1.200 c/u de contado.  3 unidades dañadas se vendieron a USD 150 c/u de contado</w:t>
            </w:r>
          </w:p>
        </w:tc>
      </w:tr>
      <w:tr w:rsidR="00E50886" w:rsidRPr="00E50886" w:rsidTr="0002388F">
        <w:trPr>
          <w:gridAfter w:val="2"/>
          <w:wAfter w:w="283" w:type="dxa"/>
          <w:trHeight w:val="645"/>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 xml:space="preserve">Nota:    </w:t>
            </w:r>
          </w:p>
        </w:tc>
        <w:tc>
          <w:tcPr>
            <w:tcW w:w="8282" w:type="dxa"/>
            <w:gridSpan w:val="11"/>
            <w:tcBorders>
              <w:top w:val="nil"/>
              <w:left w:val="nil"/>
              <w:bottom w:val="nil"/>
              <w:right w:val="nil"/>
            </w:tcBorders>
            <w:shd w:val="clear" w:color="000000" w:fill="FFFFFF"/>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Considere que tanto las unidades defectuosas y dañadas son atribuibles a un trabajo u   Orden de Producción específica.</w:t>
            </w:r>
          </w:p>
        </w:tc>
      </w:tr>
      <w:tr w:rsidR="00E50886" w:rsidRPr="00E50886" w:rsidTr="0002388F">
        <w:trPr>
          <w:gridAfter w:val="1"/>
          <w:wAfter w:w="93" w:type="dxa"/>
          <w:trHeight w:val="300"/>
        </w:trPr>
        <w:tc>
          <w:tcPr>
            <w:tcW w:w="1751"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SE REQUIERE:</w:t>
            </w: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1"/>
          <w:wAfter w:w="93" w:type="dxa"/>
          <w:trHeight w:val="300"/>
        </w:trPr>
        <w:tc>
          <w:tcPr>
            <w:tcW w:w="1751"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Asientos para:</w:t>
            </w:r>
          </w:p>
        </w:tc>
        <w:tc>
          <w:tcPr>
            <w:tcW w:w="88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247"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2"/>
          <w:wAfter w:w="283" w:type="dxa"/>
          <w:trHeight w:val="255"/>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1) </w:t>
            </w:r>
          </w:p>
        </w:tc>
        <w:tc>
          <w:tcPr>
            <w:tcW w:w="8282" w:type="dxa"/>
            <w:gridSpan w:val="11"/>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Corrección de unidades defectuosas (5 Puntos)</w:t>
            </w:r>
          </w:p>
        </w:tc>
      </w:tr>
      <w:tr w:rsidR="00E50886" w:rsidRPr="00E50886" w:rsidTr="0002388F">
        <w:trPr>
          <w:gridAfter w:val="2"/>
          <w:wAfter w:w="283" w:type="dxa"/>
          <w:trHeight w:val="300"/>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2) </w:t>
            </w:r>
          </w:p>
        </w:tc>
        <w:tc>
          <w:tcPr>
            <w:tcW w:w="8282" w:type="dxa"/>
            <w:gridSpan w:val="11"/>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Capitalización de unidades dañadas (5 Puntos)</w:t>
            </w: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3)</w:t>
            </w:r>
          </w:p>
        </w:tc>
        <w:tc>
          <w:tcPr>
            <w:tcW w:w="4234" w:type="dxa"/>
            <w:gridSpan w:val="6"/>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Venta de 3 unidades dañadas (10 Puntos)</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02388F">
        <w:trPr>
          <w:gridAfter w:val="2"/>
          <w:wAfter w:w="283" w:type="dxa"/>
          <w:trHeight w:val="300"/>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4)</w:t>
            </w:r>
          </w:p>
        </w:tc>
        <w:tc>
          <w:tcPr>
            <w:tcW w:w="8282" w:type="dxa"/>
            <w:gridSpan w:val="11"/>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Liquidación de la Orden de Producción y transferencia artículos terminados (10 Puntos)</w:t>
            </w:r>
          </w:p>
        </w:tc>
      </w:tr>
      <w:tr w:rsidR="00E50886" w:rsidRPr="00E50886" w:rsidTr="0002388F">
        <w:trPr>
          <w:gridAfter w:val="1"/>
          <w:wAfter w:w="93" w:type="dxa"/>
          <w:trHeight w:val="300"/>
        </w:trPr>
        <w:tc>
          <w:tcPr>
            <w:tcW w:w="649"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5)</w:t>
            </w:r>
          </w:p>
        </w:tc>
        <w:tc>
          <w:tcPr>
            <w:tcW w:w="4234" w:type="dxa"/>
            <w:gridSpan w:val="6"/>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Venta de 150 unidades buenas (10 Puntos)</w:t>
            </w:r>
          </w:p>
        </w:tc>
        <w:tc>
          <w:tcPr>
            <w:tcW w:w="2366"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82"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90"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bl>
    <w:p w:rsidR="00E50886" w:rsidRDefault="00E50886"/>
    <w:tbl>
      <w:tblPr>
        <w:tblW w:w="9015" w:type="dxa"/>
        <w:tblInd w:w="70" w:type="dxa"/>
        <w:tblCellMar>
          <w:left w:w="70" w:type="dxa"/>
          <w:right w:w="70" w:type="dxa"/>
        </w:tblCellMar>
        <w:tblLook w:val="04A0"/>
      </w:tblPr>
      <w:tblGrid>
        <w:gridCol w:w="636"/>
        <w:gridCol w:w="1313"/>
        <w:gridCol w:w="1032"/>
        <w:gridCol w:w="645"/>
        <w:gridCol w:w="2044"/>
        <w:gridCol w:w="1701"/>
        <w:gridCol w:w="1644"/>
      </w:tblGrid>
      <w:tr w:rsidR="00E50886" w:rsidRPr="00E50886" w:rsidTr="00190F36">
        <w:trPr>
          <w:trHeight w:val="300"/>
        </w:trPr>
        <w:tc>
          <w:tcPr>
            <w:tcW w:w="636" w:type="dxa"/>
            <w:tcBorders>
              <w:top w:val="nil"/>
              <w:left w:val="nil"/>
              <w:bottom w:val="nil"/>
              <w:right w:val="nil"/>
            </w:tcBorders>
            <w:shd w:val="clear" w:color="auto" w:fill="auto"/>
            <w:noWrap/>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3.-</w:t>
            </w:r>
          </w:p>
        </w:tc>
        <w:tc>
          <w:tcPr>
            <w:tcW w:w="6735" w:type="dxa"/>
            <w:gridSpan w:val="5"/>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Ejercicio de Costos Estándar -Doctrina del Costeo Total (40 Puntos)</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r>
      <w:tr w:rsidR="00E50886" w:rsidRPr="00E50886" w:rsidTr="00190F36">
        <w:trPr>
          <w:trHeight w:val="570"/>
        </w:trPr>
        <w:tc>
          <w:tcPr>
            <w:tcW w:w="636" w:type="dxa"/>
            <w:tcBorders>
              <w:top w:val="nil"/>
              <w:left w:val="nil"/>
              <w:bottom w:val="nil"/>
              <w:right w:val="nil"/>
            </w:tcBorders>
            <w:shd w:val="clear" w:color="auto" w:fill="auto"/>
            <w:noWrap/>
            <w:hideMark/>
          </w:tcPr>
          <w:p w:rsidR="00E50886" w:rsidRPr="00E50886" w:rsidRDefault="00E50886" w:rsidP="00E50886">
            <w:pPr>
              <w:spacing w:after="0" w:line="240" w:lineRule="auto"/>
              <w:jc w:val="both"/>
              <w:rPr>
                <w:rFonts w:ascii="Calibri" w:eastAsia="Times New Roman" w:hAnsi="Calibri" w:cs="Arial"/>
                <w:b/>
                <w:bCs/>
                <w:lang w:eastAsia="es-EC"/>
              </w:rPr>
            </w:pPr>
          </w:p>
        </w:tc>
        <w:tc>
          <w:tcPr>
            <w:tcW w:w="8379" w:type="dxa"/>
            <w:gridSpan w:val="6"/>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Industrias de Productos Lácteos  </w:t>
            </w:r>
            <w:proofErr w:type="spellStart"/>
            <w:r w:rsidRPr="00E50886">
              <w:rPr>
                <w:rFonts w:ascii="Calibri" w:eastAsia="Times New Roman" w:hAnsi="Calibri" w:cs="Arial"/>
                <w:lang w:eastAsia="es-EC"/>
              </w:rPr>
              <w:t>Estudiospol</w:t>
            </w:r>
            <w:proofErr w:type="spellEnd"/>
            <w:r w:rsidRPr="00E50886">
              <w:rPr>
                <w:rFonts w:ascii="Calibri" w:eastAsia="Times New Roman" w:hAnsi="Calibri" w:cs="Arial"/>
                <w:lang w:eastAsia="es-EC"/>
              </w:rPr>
              <w:t xml:space="preserve">  S.A. elabora un solo producto denominado El Mejor Queso Ecuatoriano.</w:t>
            </w:r>
          </w:p>
        </w:tc>
      </w:tr>
      <w:tr w:rsidR="00E50886" w:rsidRPr="00E50886" w:rsidTr="00190F36">
        <w:trPr>
          <w:trHeight w:val="300"/>
        </w:trPr>
        <w:tc>
          <w:tcPr>
            <w:tcW w:w="636" w:type="dxa"/>
            <w:tcBorders>
              <w:top w:val="nil"/>
              <w:left w:val="nil"/>
              <w:bottom w:val="nil"/>
              <w:right w:val="nil"/>
            </w:tcBorders>
            <w:shd w:val="clear" w:color="auto" w:fill="auto"/>
            <w:noWrap/>
            <w:hideMark/>
          </w:tcPr>
          <w:p w:rsidR="00E50886" w:rsidRPr="00E50886" w:rsidRDefault="00E50886" w:rsidP="00E50886">
            <w:pPr>
              <w:spacing w:after="0" w:line="240" w:lineRule="auto"/>
              <w:jc w:val="both"/>
              <w:rPr>
                <w:rFonts w:ascii="Calibri" w:eastAsia="Times New Roman" w:hAnsi="Calibri" w:cs="Arial"/>
                <w:b/>
                <w:bCs/>
                <w:lang w:eastAsia="es-EC"/>
              </w:rPr>
            </w:pPr>
          </w:p>
        </w:tc>
        <w:tc>
          <w:tcPr>
            <w:tcW w:w="6735" w:type="dxa"/>
            <w:gridSpan w:val="5"/>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El costo estándar  para una unidad fabricada se compone de la siguiente manera:</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Materiales directos:</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r w:rsidRPr="00E50886">
              <w:rPr>
                <w:rFonts w:ascii="Calibri" w:eastAsia="Times New Roman" w:hAnsi="Calibri" w:cs="Arial"/>
                <w:b/>
                <w:bCs/>
                <w:lang w:eastAsia="es-EC"/>
              </w:rPr>
              <w:t>Cs</w:t>
            </w: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proofErr w:type="spellStart"/>
            <w:r w:rsidRPr="00E50886">
              <w:rPr>
                <w:rFonts w:ascii="Calibri" w:eastAsia="Times New Roman" w:hAnsi="Calibri" w:cs="Arial"/>
                <w:b/>
                <w:bCs/>
                <w:lang w:eastAsia="es-EC"/>
              </w:rPr>
              <w:t>Qs</w:t>
            </w:r>
            <w:proofErr w:type="spellEnd"/>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proofErr w:type="spellStart"/>
            <w:r w:rsidRPr="00E50886">
              <w:rPr>
                <w:rFonts w:ascii="Calibri" w:eastAsia="Times New Roman" w:hAnsi="Calibri" w:cs="Arial"/>
                <w:b/>
                <w:bCs/>
                <w:lang w:eastAsia="es-EC"/>
              </w:rPr>
              <w:t>Ps</w:t>
            </w:r>
            <w:proofErr w:type="spellEnd"/>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proofErr w:type="spellStart"/>
            <w:r w:rsidRPr="00E50886">
              <w:rPr>
                <w:rFonts w:ascii="Calibri" w:eastAsia="Times New Roman" w:hAnsi="Calibri" w:cs="Arial"/>
                <w:b/>
                <w:bCs/>
                <w:lang w:eastAsia="es-EC"/>
              </w:rPr>
              <w:t>Qs</w:t>
            </w:r>
            <w:proofErr w:type="spellEnd"/>
            <w:r w:rsidRPr="00E50886">
              <w:rPr>
                <w:rFonts w:ascii="Calibri" w:eastAsia="Times New Roman" w:hAnsi="Calibri" w:cs="Arial"/>
                <w:b/>
                <w:bCs/>
                <w:lang w:eastAsia="es-EC"/>
              </w:rPr>
              <w:t xml:space="preserve"> </w:t>
            </w:r>
            <w:proofErr w:type="spellStart"/>
            <w:r w:rsidRPr="00E50886">
              <w:rPr>
                <w:rFonts w:ascii="Calibri" w:eastAsia="Times New Roman" w:hAnsi="Calibri" w:cs="Arial"/>
                <w:b/>
                <w:bCs/>
                <w:lang w:eastAsia="es-EC"/>
              </w:rPr>
              <w:t>Ps</w:t>
            </w:r>
            <w:proofErr w:type="spellEnd"/>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b/>
                <w:bCs/>
                <w:lang w:eastAsia="es-EC"/>
              </w:rPr>
            </w:pPr>
            <w:proofErr w:type="spellStart"/>
            <w:r w:rsidRPr="00E50886">
              <w:rPr>
                <w:rFonts w:ascii="Calibri" w:eastAsia="Times New Roman" w:hAnsi="Calibri" w:cs="Arial"/>
                <w:b/>
                <w:bCs/>
                <w:lang w:eastAsia="es-EC"/>
              </w:rPr>
              <w:t>Qs</w:t>
            </w:r>
            <w:proofErr w:type="spellEnd"/>
            <w:r w:rsidRPr="00E50886">
              <w:rPr>
                <w:rFonts w:ascii="Calibri" w:eastAsia="Times New Roman" w:hAnsi="Calibri" w:cs="Arial"/>
                <w:b/>
                <w:bCs/>
                <w:lang w:eastAsia="es-EC"/>
              </w:rPr>
              <w:t xml:space="preserve"> </w:t>
            </w:r>
            <w:proofErr w:type="spellStart"/>
            <w:r w:rsidRPr="00E50886">
              <w:rPr>
                <w:rFonts w:ascii="Calibri" w:eastAsia="Times New Roman" w:hAnsi="Calibri" w:cs="Arial"/>
                <w:b/>
                <w:bCs/>
                <w:lang w:eastAsia="es-EC"/>
              </w:rPr>
              <w:t>Ps</w:t>
            </w:r>
            <w:proofErr w:type="spellEnd"/>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lang w:eastAsia="es-EC"/>
              </w:rPr>
            </w:pPr>
            <w:r w:rsidRPr="00E50886">
              <w:rPr>
                <w:rFonts w:ascii="Calibri" w:eastAsia="Times New Roman" w:hAnsi="Calibri" w:cs="Arial"/>
                <w:lang w:eastAsia="es-EC"/>
              </w:rPr>
              <w:t>A</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35,00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0,20 </w:t>
            </w:r>
          </w:p>
        </w:tc>
        <w:tc>
          <w:tcPr>
            <w:tcW w:w="1701" w:type="dxa"/>
            <w:tcBorders>
              <w:top w:val="nil"/>
              <w:left w:val="nil"/>
              <w:bottom w:val="nil"/>
              <w:right w:val="nil"/>
            </w:tcBorders>
            <w:shd w:val="clear" w:color="auto" w:fill="auto"/>
            <w:noWrap/>
            <w:vAlign w:val="bottom"/>
            <w:hideMark/>
          </w:tcPr>
          <w:p w:rsidR="00E50886" w:rsidRPr="00E50886" w:rsidRDefault="00E50886" w:rsidP="00190F3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7,00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center"/>
              <w:rPr>
                <w:rFonts w:ascii="Calibri" w:eastAsia="Times New Roman" w:hAnsi="Calibri" w:cs="Arial"/>
                <w:lang w:eastAsia="es-EC"/>
              </w:rPr>
            </w:pPr>
            <w:r w:rsidRPr="00E50886">
              <w:rPr>
                <w:rFonts w:ascii="Calibri" w:eastAsia="Times New Roman" w:hAnsi="Calibri" w:cs="Arial"/>
                <w:lang w:eastAsia="es-EC"/>
              </w:rPr>
              <w:t>B</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53,00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4,00 </w:t>
            </w:r>
          </w:p>
        </w:tc>
        <w:tc>
          <w:tcPr>
            <w:tcW w:w="1701" w:type="dxa"/>
            <w:tcBorders>
              <w:top w:val="nil"/>
              <w:left w:val="nil"/>
              <w:bottom w:val="single" w:sz="4" w:space="0" w:color="auto"/>
              <w:right w:val="nil"/>
            </w:tcBorders>
            <w:shd w:val="clear" w:color="auto" w:fill="auto"/>
            <w:noWrap/>
            <w:vAlign w:val="bottom"/>
            <w:hideMark/>
          </w:tcPr>
          <w:p w:rsidR="00E50886" w:rsidRPr="00E50886" w:rsidRDefault="00E50886" w:rsidP="00190F3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212,00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219,00 </w:t>
            </w:r>
          </w:p>
        </w:tc>
      </w:tr>
      <w:tr w:rsidR="00E50886" w:rsidRPr="00E50886" w:rsidTr="00190F36">
        <w:trPr>
          <w:trHeight w:val="165"/>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Mano de Obra Directa:</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5,00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horas</w:t>
            </w: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26,00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130,00 </w:t>
            </w:r>
          </w:p>
        </w:tc>
      </w:tr>
      <w:tr w:rsidR="00E50886" w:rsidRPr="00E50886" w:rsidTr="00190F36">
        <w:trPr>
          <w:trHeight w:val="18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Costos Indirectos:</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5,00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horas</w:t>
            </w: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30,00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single" w:sz="4" w:space="0" w:color="auto"/>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150,00 </w:t>
            </w: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Total</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 xml:space="preserve"> $           499,00 </w:t>
            </w:r>
          </w:p>
        </w:tc>
      </w:tr>
      <w:tr w:rsidR="00E50886" w:rsidRPr="00E50886" w:rsidTr="00190F36">
        <w:trPr>
          <w:trHeight w:val="21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5034" w:type="dxa"/>
            <w:gridSpan w:val="4"/>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Presupuesto de costos Indirectos para un mes:</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Costos fijos</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420.000,00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Costos variables:</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18  /  HMOD.</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8379" w:type="dxa"/>
            <w:gridSpan w:val="6"/>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Horas estándar de Mano de Obra Directa presupuestada</w:t>
            </w:r>
            <w:proofErr w:type="gramStart"/>
            <w:r w:rsidRPr="00E50886">
              <w:rPr>
                <w:rFonts w:ascii="Calibri" w:eastAsia="Times New Roman" w:hAnsi="Calibri" w:cs="Arial"/>
                <w:lang w:eastAsia="es-EC"/>
              </w:rPr>
              <w:t>:  35,000</w:t>
            </w:r>
            <w:proofErr w:type="gramEnd"/>
            <w:r w:rsidRPr="00E50886">
              <w:rPr>
                <w:rFonts w:ascii="Calibri" w:eastAsia="Times New Roman" w:hAnsi="Calibri" w:cs="Arial"/>
                <w:lang w:eastAsia="es-EC"/>
              </w:rPr>
              <w:t xml:space="preserve"> (capacidad estándar).</w:t>
            </w:r>
          </w:p>
        </w:tc>
      </w:tr>
      <w:tr w:rsidR="00E50886" w:rsidRPr="00E50886" w:rsidTr="00190F36">
        <w:trPr>
          <w:trHeight w:val="12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3626" w:type="dxa"/>
            <w:gridSpan w:val="4"/>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Transacciones reales del Período:</w:t>
            </w: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1.-</w:t>
            </w:r>
          </w:p>
        </w:tc>
        <w:tc>
          <w:tcPr>
            <w:tcW w:w="2990" w:type="dxa"/>
            <w:gridSpan w:val="3"/>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Materiales Directos Usados:</w:t>
            </w: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roofErr w:type="spellStart"/>
            <w:r w:rsidRPr="00E50886">
              <w:rPr>
                <w:rFonts w:ascii="Calibri" w:eastAsia="Times New Roman" w:hAnsi="Calibri" w:cs="Arial"/>
                <w:b/>
                <w:bCs/>
                <w:lang w:eastAsia="es-EC"/>
              </w:rPr>
              <w:t>Cost</w:t>
            </w:r>
            <w:proofErr w:type="spellEnd"/>
            <w:r w:rsidRPr="00E50886">
              <w:rPr>
                <w:rFonts w:ascii="Calibri" w:eastAsia="Times New Roman" w:hAnsi="Calibri" w:cs="Arial"/>
                <w:b/>
                <w:bCs/>
                <w:lang w:eastAsia="es-EC"/>
              </w:rPr>
              <w:t xml:space="preserve">. </w:t>
            </w:r>
            <w:proofErr w:type="spellStart"/>
            <w:r w:rsidRPr="00E50886">
              <w:rPr>
                <w:rFonts w:ascii="Calibri" w:eastAsia="Times New Roman" w:hAnsi="Calibri" w:cs="Arial"/>
                <w:b/>
                <w:bCs/>
                <w:lang w:eastAsia="es-EC"/>
              </w:rPr>
              <w:t>Unit</w:t>
            </w:r>
            <w:proofErr w:type="spellEnd"/>
            <w:r w:rsidRPr="00E50886">
              <w:rPr>
                <w:rFonts w:ascii="Calibri" w:eastAsia="Times New Roman" w:hAnsi="Calibri" w:cs="Arial"/>
                <w:b/>
                <w:bCs/>
                <w:lang w:eastAsia="es-EC"/>
              </w:rPr>
              <w:t>.</w:t>
            </w: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Material A </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245.000,00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Unid.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0,30 </w:t>
            </w: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Material B </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367.000,00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Unid.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                4,90 </w:t>
            </w:r>
          </w:p>
        </w:tc>
      </w:tr>
      <w:tr w:rsidR="00E50886" w:rsidRPr="00E50886" w:rsidTr="00190F36">
        <w:trPr>
          <w:trHeight w:val="24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lastRenderedPageBreak/>
              <w:t xml:space="preserve"> 2.- </w:t>
            </w:r>
          </w:p>
        </w:tc>
        <w:tc>
          <w:tcPr>
            <w:tcW w:w="5034" w:type="dxa"/>
            <w:gridSpan w:val="4"/>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La Mano de Obra Directa real es como sigue: </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8379" w:type="dxa"/>
            <w:gridSpan w:val="6"/>
            <w:tcBorders>
              <w:top w:val="nil"/>
              <w:left w:val="nil"/>
              <w:bottom w:val="nil"/>
              <w:right w:val="nil"/>
            </w:tcBorders>
            <w:shd w:val="clear" w:color="auto" w:fill="auto"/>
            <w:hideMark/>
          </w:tcPr>
          <w:p w:rsidR="00190F36" w:rsidRDefault="00190F36" w:rsidP="00E50886">
            <w:pPr>
              <w:spacing w:after="0" w:line="240" w:lineRule="auto"/>
              <w:jc w:val="both"/>
              <w:rPr>
                <w:rFonts w:ascii="Calibri" w:eastAsia="Times New Roman" w:hAnsi="Calibri" w:cs="Arial"/>
                <w:lang w:eastAsia="es-EC"/>
              </w:rPr>
            </w:pPr>
          </w:p>
          <w:p w:rsid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33,000 horas a USD 28; Costo real USD 924,000.  </w:t>
            </w:r>
          </w:p>
          <w:p w:rsidR="00190F36" w:rsidRPr="00E50886" w:rsidRDefault="00190F36" w:rsidP="00E50886">
            <w:pPr>
              <w:spacing w:after="0" w:line="240" w:lineRule="auto"/>
              <w:jc w:val="both"/>
              <w:rPr>
                <w:rFonts w:ascii="Calibri" w:eastAsia="Times New Roman" w:hAnsi="Calibri" w:cs="Arial"/>
                <w:lang w:eastAsia="es-EC"/>
              </w:rPr>
            </w:pPr>
          </w:p>
        </w:tc>
      </w:tr>
      <w:tr w:rsidR="00E50886" w:rsidRPr="00E50886" w:rsidTr="00190F36">
        <w:trPr>
          <w:trHeight w:val="105"/>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3.-</w:t>
            </w:r>
          </w:p>
        </w:tc>
        <w:tc>
          <w:tcPr>
            <w:tcW w:w="8379" w:type="dxa"/>
            <w:gridSpan w:val="6"/>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Los Costos Indirectos de Fabricación reales son $ 670,000. </w:t>
            </w:r>
          </w:p>
        </w:tc>
      </w:tr>
      <w:tr w:rsidR="00E50886" w:rsidRPr="00E50886" w:rsidTr="00190F36">
        <w:trPr>
          <w:trHeight w:val="135"/>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4.-</w:t>
            </w: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Producción del Período: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Unidades Terminadas: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4.500,00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23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Unidades en Proceso: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1.800,00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3745"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Porcentaje de acabado: </w:t>
            </w: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M.P.D.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90,00%</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M.O.D.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70,00%</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r w:rsidRPr="00E50886">
              <w:rPr>
                <w:rFonts w:ascii="Calibri" w:eastAsia="Times New Roman" w:hAnsi="Calibri" w:cs="Arial"/>
                <w:lang w:eastAsia="es-EC"/>
              </w:rPr>
              <w:t xml:space="preserve"> C.I.F. </w:t>
            </w: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50,00%</w:t>
            </w: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60"/>
        </w:trPr>
        <w:tc>
          <w:tcPr>
            <w:tcW w:w="636"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p>
        </w:tc>
        <w:tc>
          <w:tcPr>
            <w:tcW w:w="1313"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300"/>
        </w:trPr>
        <w:tc>
          <w:tcPr>
            <w:tcW w:w="1949" w:type="dxa"/>
            <w:gridSpan w:val="2"/>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b/>
                <w:bCs/>
                <w:lang w:eastAsia="es-EC"/>
              </w:rPr>
            </w:pPr>
            <w:r w:rsidRPr="00E50886">
              <w:rPr>
                <w:rFonts w:ascii="Calibri" w:eastAsia="Times New Roman" w:hAnsi="Calibri" w:cs="Arial"/>
                <w:b/>
                <w:bCs/>
                <w:lang w:eastAsia="es-EC"/>
              </w:rPr>
              <w:t xml:space="preserve"> SE REQUIERE: </w:t>
            </w:r>
          </w:p>
        </w:tc>
        <w:tc>
          <w:tcPr>
            <w:tcW w:w="1032"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645"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20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701"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c>
          <w:tcPr>
            <w:tcW w:w="1644" w:type="dxa"/>
            <w:tcBorders>
              <w:top w:val="nil"/>
              <w:left w:val="nil"/>
              <w:bottom w:val="nil"/>
              <w:right w:val="nil"/>
            </w:tcBorders>
            <w:shd w:val="clear" w:color="auto" w:fill="auto"/>
            <w:noWrap/>
            <w:vAlign w:val="bottom"/>
            <w:hideMark/>
          </w:tcPr>
          <w:p w:rsidR="00E50886" w:rsidRPr="00E50886" w:rsidRDefault="00E50886" w:rsidP="00E50886">
            <w:pPr>
              <w:spacing w:after="0" w:line="240" w:lineRule="auto"/>
              <w:rPr>
                <w:rFonts w:ascii="Calibri" w:eastAsia="Times New Roman" w:hAnsi="Calibri" w:cs="Arial"/>
                <w:lang w:eastAsia="es-EC"/>
              </w:rPr>
            </w:pPr>
          </w:p>
        </w:tc>
      </w:tr>
      <w:tr w:rsidR="00E50886" w:rsidRPr="00E50886" w:rsidTr="00190F36">
        <w:trPr>
          <w:trHeight w:val="750"/>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 xml:space="preserve"> a.-</w:t>
            </w:r>
          </w:p>
        </w:tc>
        <w:tc>
          <w:tcPr>
            <w:tcW w:w="8379" w:type="dxa"/>
            <w:gridSpan w:val="6"/>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Calcular las siguientes variaciones e indicar con las letras F o D  si las mismas son favorables o desfavorables respectivamente (20 Puntos) </w:t>
            </w:r>
          </w:p>
        </w:tc>
      </w:tr>
      <w:tr w:rsidR="00E50886" w:rsidRPr="00E50886" w:rsidTr="00190F36">
        <w:trPr>
          <w:trHeight w:val="615"/>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 xml:space="preserve"> 1.- </w:t>
            </w:r>
          </w:p>
        </w:tc>
        <w:tc>
          <w:tcPr>
            <w:tcW w:w="8379" w:type="dxa"/>
            <w:gridSpan w:val="6"/>
            <w:tcBorders>
              <w:top w:val="nil"/>
              <w:left w:val="nil"/>
              <w:bottom w:val="nil"/>
              <w:right w:val="nil"/>
            </w:tcBorders>
            <w:shd w:val="clear" w:color="auto" w:fill="auto"/>
            <w:hideMark/>
          </w:tcPr>
          <w:p w:rsidR="00190F3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Variaciones de precio y cantidad de materiales y mano de obra, para cada material y  operación.</w:t>
            </w:r>
          </w:p>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w:t>
            </w:r>
          </w:p>
        </w:tc>
      </w:tr>
      <w:tr w:rsidR="00E50886" w:rsidRPr="00E50886" w:rsidTr="00190F36">
        <w:trPr>
          <w:trHeight w:val="300"/>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2.-</w:t>
            </w:r>
          </w:p>
        </w:tc>
        <w:tc>
          <w:tcPr>
            <w:tcW w:w="8379" w:type="dxa"/>
            <w:gridSpan w:val="6"/>
            <w:tcBorders>
              <w:top w:val="nil"/>
              <w:left w:val="nil"/>
              <w:bottom w:val="nil"/>
              <w:right w:val="nil"/>
            </w:tcBorders>
            <w:shd w:val="clear" w:color="auto" w:fill="auto"/>
            <w:hideMark/>
          </w:tcPr>
          <w:p w:rsidR="00190F3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Variaciones de costos generales por el sistema tres variaciones.</w:t>
            </w:r>
          </w:p>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w:t>
            </w:r>
          </w:p>
        </w:tc>
      </w:tr>
      <w:tr w:rsidR="00E50886" w:rsidRPr="00E50886" w:rsidTr="00190F36">
        <w:trPr>
          <w:trHeight w:val="360"/>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b/>
                <w:bCs/>
                <w:lang w:eastAsia="es-EC"/>
              </w:rPr>
            </w:pPr>
            <w:r w:rsidRPr="00E50886">
              <w:rPr>
                <w:rFonts w:ascii="Calibri" w:eastAsia="Times New Roman" w:hAnsi="Calibri" w:cs="Arial"/>
                <w:b/>
                <w:bCs/>
                <w:lang w:eastAsia="es-EC"/>
              </w:rPr>
              <w:t xml:space="preserve">b.-      </w:t>
            </w:r>
          </w:p>
        </w:tc>
        <w:tc>
          <w:tcPr>
            <w:tcW w:w="8379" w:type="dxa"/>
            <w:gridSpan w:val="6"/>
            <w:tcBorders>
              <w:top w:val="nil"/>
              <w:left w:val="nil"/>
              <w:bottom w:val="nil"/>
              <w:right w:val="nil"/>
            </w:tcBorders>
            <w:shd w:val="clear" w:color="auto" w:fill="auto"/>
            <w:hideMark/>
          </w:tcPr>
          <w:p w:rsidR="00190F3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Registros Contables por (20 Puntos):</w:t>
            </w:r>
          </w:p>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w:t>
            </w:r>
          </w:p>
        </w:tc>
      </w:tr>
      <w:tr w:rsidR="00E50886" w:rsidRPr="00E50886" w:rsidTr="00190F36">
        <w:trPr>
          <w:trHeight w:val="300"/>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 xml:space="preserve"> 1.- </w:t>
            </w:r>
          </w:p>
        </w:tc>
        <w:tc>
          <w:tcPr>
            <w:tcW w:w="8379" w:type="dxa"/>
            <w:gridSpan w:val="6"/>
            <w:tcBorders>
              <w:top w:val="nil"/>
              <w:left w:val="nil"/>
              <w:bottom w:val="nil"/>
              <w:right w:val="nil"/>
            </w:tcBorders>
            <w:shd w:val="clear" w:color="auto" w:fill="auto"/>
            <w:hideMark/>
          </w:tcPr>
          <w:p w:rsid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Cargos al proceso de los tres elementos del costo bajo el esquema A.  </w:t>
            </w:r>
          </w:p>
          <w:p w:rsidR="00190F36" w:rsidRPr="00E50886" w:rsidRDefault="00190F36" w:rsidP="00E50886">
            <w:pPr>
              <w:spacing w:after="0" w:line="240" w:lineRule="auto"/>
              <w:jc w:val="both"/>
              <w:rPr>
                <w:rFonts w:ascii="Calibri" w:eastAsia="Times New Roman" w:hAnsi="Calibri" w:cs="Arial"/>
                <w:lang w:eastAsia="es-EC"/>
              </w:rPr>
            </w:pPr>
          </w:p>
        </w:tc>
      </w:tr>
      <w:tr w:rsidR="00E50886" w:rsidRPr="00E50886" w:rsidTr="00190F36">
        <w:trPr>
          <w:trHeight w:val="570"/>
        </w:trPr>
        <w:tc>
          <w:tcPr>
            <w:tcW w:w="636" w:type="dxa"/>
            <w:tcBorders>
              <w:top w:val="nil"/>
              <w:left w:val="nil"/>
              <w:bottom w:val="nil"/>
              <w:right w:val="nil"/>
            </w:tcBorders>
            <w:shd w:val="clear" w:color="auto" w:fill="auto"/>
            <w:hideMark/>
          </w:tcPr>
          <w:p w:rsidR="00E50886" w:rsidRPr="00E50886" w:rsidRDefault="00E50886" w:rsidP="00E50886">
            <w:pPr>
              <w:spacing w:after="0" w:line="240" w:lineRule="auto"/>
              <w:jc w:val="right"/>
              <w:rPr>
                <w:rFonts w:ascii="Calibri" w:eastAsia="Times New Roman" w:hAnsi="Calibri" w:cs="Arial"/>
                <w:lang w:eastAsia="es-EC"/>
              </w:rPr>
            </w:pPr>
            <w:r w:rsidRPr="00E50886">
              <w:rPr>
                <w:rFonts w:ascii="Calibri" w:eastAsia="Times New Roman" w:hAnsi="Calibri" w:cs="Arial"/>
                <w:lang w:eastAsia="es-EC"/>
              </w:rPr>
              <w:t xml:space="preserve"> 2.- </w:t>
            </w:r>
          </w:p>
        </w:tc>
        <w:tc>
          <w:tcPr>
            <w:tcW w:w="8379" w:type="dxa"/>
            <w:gridSpan w:val="6"/>
            <w:tcBorders>
              <w:top w:val="nil"/>
              <w:left w:val="nil"/>
              <w:bottom w:val="nil"/>
              <w:right w:val="nil"/>
            </w:tcBorders>
            <w:shd w:val="clear" w:color="auto" w:fill="auto"/>
            <w:hideMark/>
          </w:tcPr>
          <w:p w:rsidR="00E50886" w:rsidRPr="00E50886" w:rsidRDefault="00E50886" w:rsidP="00E50886">
            <w:pPr>
              <w:spacing w:after="0" w:line="240" w:lineRule="auto"/>
              <w:jc w:val="both"/>
              <w:rPr>
                <w:rFonts w:ascii="Calibri" w:eastAsia="Times New Roman" w:hAnsi="Calibri" w:cs="Arial"/>
                <w:lang w:eastAsia="es-EC"/>
              </w:rPr>
            </w:pPr>
            <w:r w:rsidRPr="00E50886">
              <w:rPr>
                <w:rFonts w:ascii="Calibri" w:eastAsia="Times New Roman" w:hAnsi="Calibri" w:cs="Arial"/>
                <w:lang w:eastAsia="es-EC"/>
              </w:rPr>
              <w:t xml:space="preserve"> Cierre las cuentas de Costos Generales de Fabricación y registre las variaciones del tercer elemento del costo.    </w:t>
            </w:r>
          </w:p>
        </w:tc>
      </w:tr>
    </w:tbl>
    <w:p w:rsidR="00E50886" w:rsidRDefault="00E50886"/>
    <w:p w:rsidR="00E50886" w:rsidRDefault="00E50886"/>
    <w:p w:rsidR="00E50886" w:rsidRDefault="00E50886"/>
    <w:p w:rsidR="00E50886" w:rsidRPr="00E50886" w:rsidRDefault="00E50886"/>
    <w:sectPr w:rsidR="00E50886" w:rsidRPr="00E50886" w:rsidSect="0002388F">
      <w:pgSz w:w="12240" w:h="15840"/>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16A"/>
    <w:rsid w:val="0002388F"/>
    <w:rsid w:val="0015416A"/>
    <w:rsid w:val="00190F36"/>
    <w:rsid w:val="005919EC"/>
    <w:rsid w:val="005C53A2"/>
    <w:rsid w:val="00CF7791"/>
    <w:rsid w:val="00E5088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763265">
      <w:bodyDiv w:val="1"/>
      <w:marLeft w:val="0"/>
      <w:marRight w:val="0"/>
      <w:marTop w:val="0"/>
      <w:marBottom w:val="0"/>
      <w:divBdr>
        <w:top w:val="none" w:sz="0" w:space="0" w:color="auto"/>
        <w:left w:val="none" w:sz="0" w:space="0" w:color="auto"/>
        <w:bottom w:val="none" w:sz="0" w:space="0" w:color="auto"/>
        <w:right w:val="none" w:sz="0" w:space="0" w:color="auto"/>
      </w:divBdr>
    </w:div>
    <w:div w:id="1743599157">
      <w:bodyDiv w:val="1"/>
      <w:marLeft w:val="0"/>
      <w:marRight w:val="0"/>
      <w:marTop w:val="0"/>
      <w:marBottom w:val="0"/>
      <w:divBdr>
        <w:top w:val="none" w:sz="0" w:space="0" w:color="auto"/>
        <w:left w:val="none" w:sz="0" w:space="0" w:color="auto"/>
        <w:bottom w:val="none" w:sz="0" w:space="0" w:color="auto"/>
        <w:right w:val="none" w:sz="0" w:space="0" w:color="auto"/>
      </w:divBdr>
    </w:div>
    <w:div w:id="21140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1209</Words>
  <Characters>6654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JESSENIA</dc:creator>
  <cp:lastModifiedBy>JESSENIA</cp:lastModifiedBy>
  <cp:revision>6</cp:revision>
  <dcterms:created xsi:type="dcterms:W3CDTF">2016-02-20T13:41:00Z</dcterms:created>
  <dcterms:modified xsi:type="dcterms:W3CDTF">2016-02-20T13:55:00Z</dcterms:modified>
</cp:coreProperties>
</file>