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0802FC">
      <w:pPr>
        <w:tabs>
          <w:tab w:val="left" w:pos="4817"/>
        </w:tabs>
        <w:spacing w:line="480" w:lineRule="auto"/>
        <w:ind w:left="4817" w:hanging="4817"/>
        <w:jc w:val="both"/>
        <w:rPr>
          <w:rFonts w:ascii="Arial" w:hAnsi="Arial" w:cs="Arial"/>
          <w:sz w:val="48"/>
          <w:szCs w:val="48"/>
        </w:rPr>
      </w:pPr>
    </w:p>
    <w:p w:rsidR="00000000" w:rsidRDefault="000802FC">
      <w:pPr>
        <w:tabs>
          <w:tab w:val="left" w:pos="4817"/>
        </w:tabs>
        <w:spacing w:line="480" w:lineRule="auto"/>
        <w:jc w:val="both"/>
        <w:rPr>
          <w:rFonts w:ascii="Arial" w:hAnsi="Arial" w:cs="Arial"/>
          <w:sz w:val="48"/>
          <w:szCs w:val="48"/>
        </w:rPr>
      </w:pPr>
    </w:p>
    <w:p w:rsidR="00000000" w:rsidRDefault="000802FC">
      <w:pPr>
        <w:spacing w:line="480" w:lineRule="auto"/>
        <w:ind w:left="708" w:hanging="708"/>
        <w:jc w:val="both"/>
        <w:rPr>
          <w:rFonts w:ascii="Arial" w:hAnsi="Arial" w:cs="Arial"/>
          <w:sz w:val="48"/>
          <w:szCs w:val="48"/>
        </w:rPr>
      </w:pPr>
    </w:p>
    <w:p w:rsidR="00000000" w:rsidRDefault="000802FC">
      <w:pPr>
        <w:spacing w:line="480" w:lineRule="auto"/>
        <w:jc w:val="both"/>
        <w:rPr>
          <w:rFonts w:ascii="Arial" w:hAnsi="Arial" w:cs="Arial"/>
          <w:sz w:val="48"/>
          <w:szCs w:val="48"/>
        </w:rPr>
      </w:pPr>
    </w:p>
    <w:p w:rsidR="00000000" w:rsidRDefault="000802FC">
      <w:pPr>
        <w:spacing w:line="480" w:lineRule="auto"/>
        <w:jc w:val="center"/>
        <w:rPr>
          <w:rFonts w:ascii="Arial" w:hAnsi="Arial" w:cs="Arial"/>
          <w:b/>
          <w:bCs/>
          <w:sz w:val="48"/>
        </w:rPr>
      </w:pPr>
      <w:r>
        <w:rPr>
          <w:rFonts w:ascii="Arial" w:hAnsi="Arial" w:cs="Arial"/>
          <w:b/>
          <w:bCs/>
          <w:sz w:val="48"/>
        </w:rPr>
        <w:t>CAPÍTULO 1</w:t>
      </w:r>
    </w:p>
    <w:p w:rsidR="00000000" w:rsidRDefault="000802FC">
      <w:pPr>
        <w:spacing w:line="480" w:lineRule="auto"/>
        <w:jc w:val="both"/>
        <w:rPr>
          <w:rFonts w:ascii="Arial" w:hAnsi="Arial" w:cs="Arial"/>
          <w:sz w:val="48"/>
          <w:szCs w:val="48"/>
        </w:rPr>
      </w:pPr>
    </w:p>
    <w:p w:rsidR="00000000" w:rsidRDefault="000802FC" w:rsidP="000802FC">
      <w:pPr>
        <w:numPr>
          <w:ilvl w:val="0"/>
          <w:numId w:val="3"/>
        </w:numPr>
        <w:spacing w:line="480" w:lineRule="auto"/>
        <w:jc w:val="both"/>
        <w:rPr>
          <w:rFonts w:ascii="Arial" w:hAnsi="Arial" w:cs="Arial"/>
          <w:sz w:val="32"/>
        </w:rPr>
      </w:pPr>
      <w:r>
        <w:rPr>
          <w:rFonts w:ascii="Arial" w:hAnsi="Arial" w:cs="Arial"/>
          <w:sz w:val="32"/>
        </w:rPr>
        <w:t>GENERALIDADES DE UNA ESTACIÓN DE BOMBEO TIPO BÚSTER</w:t>
      </w:r>
    </w:p>
    <w:p w:rsidR="00000000" w:rsidRDefault="000802FC">
      <w:pPr>
        <w:spacing w:line="480" w:lineRule="auto"/>
        <w:ind w:left="567"/>
        <w:jc w:val="both"/>
        <w:rPr>
          <w:rFonts w:ascii="Arial" w:hAnsi="Arial" w:cs="Arial"/>
          <w:sz w:val="32"/>
        </w:rPr>
      </w:pPr>
    </w:p>
    <w:p w:rsidR="00000000" w:rsidRDefault="000802FC">
      <w:pPr>
        <w:spacing w:line="480" w:lineRule="auto"/>
        <w:ind w:left="567"/>
        <w:jc w:val="both"/>
        <w:rPr>
          <w:rFonts w:ascii="Arial" w:hAnsi="Arial" w:cs="Arial"/>
        </w:rPr>
      </w:pPr>
      <w:r>
        <w:rPr>
          <w:rFonts w:ascii="Arial" w:hAnsi="Arial" w:cs="Arial"/>
        </w:rPr>
        <w:t>En el siguiente capítulo se desarrollará una descripción de varias áreas de estudio, relacionados con una estación de bombeo tipo búster, y algunas de las actividades que se realizan en l</w:t>
      </w:r>
      <w:r>
        <w:rPr>
          <w:rFonts w:ascii="Arial" w:hAnsi="Arial" w:cs="Arial"/>
        </w:rPr>
        <w:t xml:space="preserve">a industria del petróleo. En la sección 1.1 se presentará las necesidades de la industria del petróleo que </w:t>
      </w:r>
      <w:r>
        <w:rPr>
          <w:rFonts w:ascii="Arial" w:hAnsi="Arial" w:cs="Arial"/>
        </w:rPr>
        <w:lastRenderedPageBreak/>
        <w:t>llevan a la instalación de un sistema de bombeo, para una estación de bombeo tipo búster. En la sección 1.2 se realizará una descripción de las condi</w:t>
      </w:r>
      <w:r>
        <w:rPr>
          <w:rFonts w:ascii="Arial" w:hAnsi="Arial" w:cs="Arial"/>
        </w:rPr>
        <w:t>ciones de recepción y despacho en un terminal marítimo. Para finalizar, en la sección 1.3 se mencionarán algunos de los estudios que son necesarios para diseñar el sistema de bombeo búster, y que los realizan otras áreas de la ingeniería.</w:t>
      </w:r>
    </w:p>
    <w:p w:rsidR="00000000" w:rsidRDefault="000802FC">
      <w:pPr>
        <w:spacing w:line="480" w:lineRule="auto"/>
        <w:ind w:left="567"/>
        <w:jc w:val="both"/>
        <w:rPr>
          <w:rFonts w:ascii="Arial" w:hAnsi="Arial" w:cs="Arial"/>
        </w:rPr>
      </w:pPr>
    </w:p>
    <w:p w:rsidR="00000000" w:rsidRDefault="000802FC" w:rsidP="000802FC">
      <w:pPr>
        <w:numPr>
          <w:ilvl w:val="0"/>
          <w:numId w:val="4"/>
        </w:numPr>
        <w:spacing w:line="480" w:lineRule="auto"/>
        <w:jc w:val="both"/>
        <w:rPr>
          <w:rFonts w:ascii="Arial" w:hAnsi="Arial" w:cs="Arial"/>
          <w:b/>
          <w:bCs/>
        </w:rPr>
      </w:pPr>
      <w:r>
        <w:rPr>
          <w:rFonts w:ascii="Arial" w:hAnsi="Arial" w:cs="Arial"/>
          <w:b/>
          <w:bCs/>
        </w:rPr>
        <w:t>ESTACIÓN DE BOMB</w:t>
      </w:r>
      <w:r>
        <w:rPr>
          <w:rFonts w:ascii="Arial" w:hAnsi="Arial" w:cs="Arial"/>
          <w:b/>
          <w:bCs/>
        </w:rPr>
        <w:t>EO TIPO BÚSTER</w:t>
      </w:r>
    </w:p>
    <w:p w:rsidR="00000000" w:rsidRDefault="000802FC">
      <w:pPr>
        <w:spacing w:line="480" w:lineRule="auto"/>
        <w:ind w:left="1134"/>
        <w:jc w:val="both"/>
        <w:rPr>
          <w:rFonts w:ascii="Arial" w:hAnsi="Arial" w:cs="Arial"/>
        </w:rPr>
      </w:pPr>
      <w:r>
        <w:rPr>
          <w:rFonts w:ascii="Arial" w:hAnsi="Arial" w:cs="Arial"/>
        </w:rPr>
        <w:t>El Petróleo es una de las fuentes de energía con mayor demanda en el mundo, su utilización se remonta desde hace miles de años a.C., pero el procesamiento del petróleo crudo para obtener los derivados tiene su inicio con “La industria modern</w:t>
      </w:r>
      <w:r>
        <w:rPr>
          <w:rFonts w:ascii="Arial" w:hAnsi="Arial" w:cs="Arial"/>
        </w:rPr>
        <w:t>a del Petróleo” en el año 1858, y ha sido incentivada en gran parte por la industria automotriz. La transportación del crudo es el puente entre la fase de exploración y la distribución final de los derivados, además la relativa facilidad con que esta fuent</w:t>
      </w:r>
      <w:r>
        <w:rPr>
          <w:rFonts w:ascii="Arial" w:hAnsi="Arial" w:cs="Arial"/>
        </w:rPr>
        <w:t>e de energía puede ser transportada en comparación con otras, marcan una gran diferencia en la demanda. El transporte de grandes cantidades de petróleo es vital para el desarrollo de la industria, debido a la necesaria distribución que tiene éste en el mun</w:t>
      </w:r>
      <w:r>
        <w:rPr>
          <w:rFonts w:ascii="Arial" w:hAnsi="Arial" w:cs="Arial"/>
        </w:rPr>
        <w:t xml:space="preserve">do y a la naturaleza de su desarrollo. Además, el Petróleo crudo </w:t>
      </w:r>
      <w:r>
        <w:rPr>
          <w:rFonts w:ascii="Arial" w:hAnsi="Arial" w:cs="Arial"/>
        </w:rPr>
        <w:lastRenderedPageBreak/>
        <w:t>es transportado por Oleoductos o en grandes Buques tanque. A menudo, ambas formas son utilizadas en diferentes fases de la transportación.</w:t>
      </w:r>
    </w:p>
    <w:p w:rsidR="00000000" w:rsidRDefault="000802FC">
      <w:pPr>
        <w:spacing w:line="480" w:lineRule="auto"/>
        <w:ind w:left="1134"/>
        <w:jc w:val="both"/>
        <w:rPr>
          <w:rFonts w:ascii="Arial" w:hAnsi="Arial" w:cs="Arial"/>
        </w:rPr>
      </w:pPr>
    </w:p>
    <w:p w:rsidR="00000000" w:rsidRDefault="000802FC">
      <w:pPr>
        <w:spacing w:line="480" w:lineRule="auto"/>
        <w:ind w:left="1134"/>
        <w:jc w:val="both"/>
        <w:rPr>
          <w:rFonts w:ascii="Arial" w:hAnsi="Arial" w:cs="Arial"/>
        </w:rPr>
      </w:pPr>
      <w:r>
        <w:rPr>
          <w:rFonts w:ascii="Arial" w:hAnsi="Arial" w:cs="Arial"/>
        </w:rPr>
        <w:t xml:space="preserve">La creación de una estación de bombeo tipo búster, </w:t>
      </w:r>
      <w:r>
        <w:rPr>
          <w:rFonts w:ascii="Arial" w:hAnsi="Arial" w:cs="Arial"/>
        </w:rPr>
        <w:t>tiene su origen cuando el petróleo y los derivados se traslada grandes distancias, y se utiliza la vía marítima como medio de transporte. Los Buques tanque almacenan y trasladan el combustible hacia las refinerías o centros de distribución ubicados en cual</w:t>
      </w:r>
      <w:r>
        <w:rPr>
          <w:rFonts w:ascii="Arial" w:hAnsi="Arial" w:cs="Arial"/>
        </w:rPr>
        <w:t>quier parte del mundo. La carga y descarga del producto se la realiza en un Terminal marítimo adecuado para el ingreso de este tipo de embarcaciones. La labor de este tipo de estación de bombeo, es la de complementar el trabajo de bombeo que realizan las b</w:t>
      </w:r>
      <w:r>
        <w:rPr>
          <w:rFonts w:ascii="Arial" w:hAnsi="Arial" w:cs="Arial"/>
        </w:rPr>
        <w:t>ombas de los B/T.</w:t>
      </w:r>
    </w:p>
    <w:p w:rsidR="00000000" w:rsidRDefault="000802FC">
      <w:pPr>
        <w:spacing w:line="480" w:lineRule="auto"/>
        <w:ind w:left="1134"/>
        <w:jc w:val="both"/>
        <w:rPr>
          <w:rFonts w:ascii="Arial" w:hAnsi="Arial" w:cs="Arial"/>
        </w:rPr>
      </w:pPr>
    </w:p>
    <w:p w:rsidR="00000000" w:rsidRDefault="000802FC">
      <w:pPr>
        <w:pStyle w:val="Textoindependiente2"/>
        <w:spacing w:line="480" w:lineRule="auto"/>
        <w:ind w:left="1134"/>
        <w:rPr>
          <w:rFonts w:cs="Arial"/>
          <w:szCs w:val="24"/>
          <w:lang w:val="es-ES"/>
        </w:rPr>
      </w:pPr>
      <w:r>
        <w:rPr>
          <w:rFonts w:cs="Arial"/>
          <w:szCs w:val="24"/>
          <w:lang w:val="es-ES"/>
        </w:rPr>
        <w:t>Cuando se hable de una estación de bombeo tipo búster dentro de esta tesis, se está haciendo mención a un sistema de bombeo de apoyo o ayuda, que se instala en los Terminales de recepción y despacho del combustible, cuyo propósito es sum</w:t>
      </w:r>
      <w:r>
        <w:rPr>
          <w:rFonts w:cs="Arial"/>
          <w:szCs w:val="24"/>
          <w:lang w:val="es-ES"/>
        </w:rPr>
        <w:t xml:space="preserve">inistrar energía adicional al bombeo que realizan las bombas de los B/T, para vencer las pérdidas de presión que se producen a lo largo de toda la línea. </w:t>
      </w:r>
    </w:p>
    <w:p w:rsidR="00000000" w:rsidRDefault="000802FC">
      <w:pPr>
        <w:pStyle w:val="Textoindependiente2"/>
        <w:spacing w:line="480" w:lineRule="auto"/>
        <w:ind w:left="1134"/>
        <w:rPr>
          <w:rFonts w:cs="Arial"/>
          <w:szCs w:val="24"/>
          <w:lang w:val="es-ES"/>
        </w:rPr>
      </w:pPr>
      <w:r>
        <w:rPr>
          <w:rFonts w:cs="Arial"/>
          <w:szCs w:val="24"/>
          <w:lang w:val="es-ES"/>
        </w:rPr>
        <w:lastRenderedPageBreak/>
        <w:t>El caudal de diseño con el que debe funcionar este sistema de bombeo de apoyo debe ser de:</w:t>
      </w:r>
    </w:p>
    <w:p w:rsidR="00000000" w:rsidRDefault="000802FC">
      <w:pPr>
        <w:pStyle w:val="Textoindependiente2"/>
        <w:spacing w:line="480" w:lineRule="auto"/>
        <w:ind w:left="1134"/>
        <w:rPr>
          <w:rFonts w:cs="Arial"/>
          <w:szCs w:val="24"/>
          <w:highlight w:val="red"/>
          <w:lang w:val="es-ES"/>
        </w:rPr>
      </w:pPr>
    </w:p>
    <w:p w:rsidR="00000000" w:rsidRDefault="000802FC" w:rsidP="000802FC">
      <w:pPr>
        <w:pStyle w:val="Textoindependiente2"/>
        <w:numPr>
          <w:ilvl w:val="1"/>
          <w:numId w:val="13"/>
        </w:numPr>
        <w:spacing w:line="480" w:lineRule="auto"/>
        <w:rPr>
          <w:rFonts w:cs="Arial"/>
          <w:szCs w:val="24"/>
          <w:lang w:val="es-ES"/>
        </w:rPr>
      </w:pPr>
      <w:r>
        <w:rPr>
          <w:rFonts w:cs="Arial"/>
          <w:szCs w:val="24"/>
          <w:lang w:val="es-ES"/>
        </w:rPr>
        <w:t>Caudal ig</w:t>
      </w:r>
      <w:r>
        <w:rPr>
          <w:rFonts w:cs="Arial"/>
          <w:szCs w:val="24"/>
          <w:lang w:val="es-ES"/>
        </w:rPr>
        <w:t>ual al que despachan las bombas de los B/T.</w:t>
      </w:r>
    </w:p>
    <w:p w:rsidR="00000000" w:rsidRDefault="000802FC">
      <w:pPr>
        <w:spacing w:line="480" w:lineRule="auto"/>
        <w:ind w:left="1134"/>
        <w:jc w:val="both"/>
        <w:rPr>
          <w:rFonts w:ascii="Arial" w:hAnsi="Arial" w:cs="Arial"/>
        </w:rPr>
      </w:pPr>
    </w:p>
    <w:p w:rsidR="00000000" w:rsidRDefault="000802FC">
      <w:pPr>
        <w:spacing w:line="480" w:lineRule="auto"/>
        <w:ind w:left="1134"/>
        <w:jc w:val="both"/>
        <w:rPr>
          <w:rFonts w:ascii="Arial" w:hAnsi="Arial" w:cs="Arial"/>
        </w:rPr>
      </w:pPr>
      <w:r>
        <w:rPr>
          <w:rFonts w:ascii="Arial" w:hAnsi="Arial" w:cs="Arial"/>
        </w:rPr>
        <w:t>En las tuberías frecuentemente circulan diferentes tipos de crudo, cada uno de ellos llamado batch o lotes. Algunas veces estos lotes deben ser separados, para lo cuál se utiliza kerosén, agua, PIGs, o balones d</w:t>
      </w:r>
      <w:r>
        <w:rPr>
          <w:rFonts w:ascii="Arial" w:hAnsi="Arial" w:cs="Arial"/>
        </w:rPr>
        <w:t xml:space="preserve">e caucho </w:t>
      </w:r>
      <w:r>
        <w:rPr>
          <w:rFonts w:ascii="Arial" w:hAnsi="Arial" w:cs="Arial"/>
          <w:lang w:val="es-EC"/>
        </w:rPr>
        <w:t>inflables</w:t>
      </w:r>
      <w:r>
        <w:rPr>
          <w:rFonts w:ascii="Arial" w:hAnsi="Arial" w:cs="Arial"/>
        </w:rPr>
        <w:t>. Sin embargo, estos lotes pueden ser pasados por la tubería sin utilizar estos separadores, ya que las propiedades de cada lote, prevendrán que estos lleguen a mezclarse en una gran cantidad.</w:t>
      </w:r>
    </w:p>
    <w:p w:rsidR="00000000" w:rsidRDefault="000802FC">
      <w:pPr>
        <w:spacing w:line="480" w:lineRule="auto"/>
        <w:ind w:left="1134"/>
        <w:jc w:val="both"/>
        <w:rPr>
          <w:rFonts w:ascii="Arial" w:hAnsi="Arial" w:cs="Arial"/>
          <w:highlight w:val="red"/>
        </w:rPr>
      </w:pPr>
    </w:p>
    <w:p w:rsidR="00000000" w:rsidRDefault="000802FC">
      <w:pPr>
        <w:spacing w:line="480" w:lineRule="auto"/>
        <w:ind w:left="1134"/>
        <w:jc w:val="both"/>
        <w:rPr>
          <w:rFonts w:ascii="Arial" w:hAnsi="Arial" w:cs="Arial"/>
          <w:iCs/>
        </w:rPr>
      </w:pPr>
      <w:r>
        <w:rPr>
          <w:rFonts w:ascii="Arial" w:hAnsi="Arial" w:cs="Arial"/>
          <w:iCs/>
        </w:rPr>
        <w:t>De la misma manera en la recepción y despach</w:t>
      </w:r>
      <w:r>
        <w:rPr>
          <w:rFonts w:ascii="Arial" w:hAnsi="Arial" w:cs="Arial"/>
          <w:iCs/>
        </w:rPr>
        <w:t xml:space="preserve">o </w:t>
      </w:r>
      <w:r>
        <w:rPr>
          <w:rFonts w:ascii="Arial" w:hAnsi="Arial" w:cs="Arial"/>
        </w:rPr>
        <w:t>de producto</w:t>
      </w:r>
      <w:r>
        <w:rPr>
          <w:rFonts w:ascii="Arial" w:hAnsi="Arial" w:cs="Arial"/>
          <w:iCs/>
        </w:rPr>
        <w:t xml:space="preserve"> de los Buques tanque, el diseño de los sistemas de bombeo debe garantizar el mantenimiento de flujo o caudal, para condiciones específicas.</w:t>
      </w:r>
    </w:p>
    <w:p w:rsidR="00000000" w:rsidRDefault="000802FC">
      <w:pPr>
        <w:spacing w:line="480" w:lineRule="auto"/>
        <w:ind w:left="1134"/>
        <w:jc w:val="both"/>
        <w:rPr>
          <w:rFonts w:ascii="Arial" w:hAnsi="Arial" w:cs="Arial"/>
        </w:rPr>
      </w:pPr>
    </w:p>
    <w:p w:rsidR="00000000" w:rsidRDefault="000802FC">
      <w:pPr>
        <w:spacing w:line="480" w:lineRule="auto"/>
        <w:ind w:left="1134"/>
        <w:jc w:val="both"/>
        <w:rPr>
          <w:rFonts w:ascii="Arial" w:hAnsi="Arial" w:cs="Arial"/>
        </w:rPr>
      </w:pPr>
    </w:p>
    <w:p w:rsidR="00000000" w:rsidRDefault="000802FC">
      <w:pPr>
        <w:spacing w:line="480" w:lineRule="auto"/>
        <w:ind w:left="1134"/>
        <w:jc w:val="both"/>
        <w:rPr>
          <w:rFonts w:ascii="Arial" w:hAnsi="Arial" w:cs="Arial"/>
        </w:rPr>
      </w:pPr>
    </w:p>
    <w:p w:rsidR="00000000" w:rsidRDefault="000802FC">
      <w:pPr>
        <w:spacing w:line="480" w:lineRule="auto"/>
        <w:ind w:left="1134"/>
        <w:jc w:val="both"/>
        <w:rPr>
          <w:rFonts w:ascii="Arial" w:hAnsi="Arial" w:cs="Arial"/>
        </w:rPr>
      </w:pPr>
      <w:r>
        <w:rPr>
          <w:rFonts w:ascii="Arial" w:hAnsi="Arial" w:cs="Arial"/>
        </w:rPr>
        <w:lastRenderedPageBreak/>
        <w:t>Los derivados de petróleo que van a ser descargados por los B/T en el Terminal Marítimo, se descarg</w:t>
      </w:r>
      <w:r>
        <w:rPr>
          <w:rFonts w:ascii="Arial" w:hAnsi="Arial" w:cs="Arial"/>
        </w:rPr>
        <w:t>an a través de una tubería submarina que conecta al PLEM Submarino con la tubería ubicada en tierra. La presión que mantiene en circulación al fluido dentro de la tubería submarina, está dada por las bombas de los B/T y varía de acuerdo al caudal de despac</w:t>
      </w:r>
      <w:r>
        <w:rPr>
          <w:rFonts w:ascii="Arial" w:hAnsi="Arial" w:cs="Arial"/>
        </w:rPr>
        <w:t>ho. Generalmente, esta presión de bombeo no es suficiente para vencer las pérdidas por fricción y de cabezal estático, necesarios para garantizar la recepción de los productos derivados de petróleo en los tanques de almacenamiento en tierra.</w:t>
      </w:r>
    </w:p>
    <w:p w:rsidR="00000000" w:rsidRDefault="000802FC">
      <w:pPr>
        <w:spacing w:line="480" w:lineRule="auto"/>
        <w:ind w:left="1134"/>
        <w:jc w:val="both"/>
        <w:rPr>
          <w:rFonts w:ascii="Arial" w:hAnsi="Arial" w:cs="Arial"/>
          <w:highlight w:val="red"/>
        </w:rPr>
      </w:pPr>
    </w:p>
    <w:p w:rsidR="00000000" w:rsidRDefault="000802FC">
      <w:pPr>
        <w:spacing w:line="480" w:lineRule="auto"/>
        <w:ind w:left="1134"/>
        <w:jc w:val="both"/>
        <w:rPr>
          <w:rFonts w:ascii="Arial" w:hAnsi="Arial" w:cs="Arial"/>
        </w:rPr>
      </w:pPr>
      <w:r>
        <w:rPr>
          <w:rFonts w:ascii="Arial" w:hAnsi="Arial" w:cs="Arial"/>
        </w:rPr>
        <w:t>Debido a la n</w:t>
      </w:r>
      <w:r>
        <w:rPr>
          <w:rFonts w:ascii="Arial" w:hAnsi="Arial" w:cs="Arial"/>
        </w:rPr>
        <w:t xml:space="preserve">ecesidad de garantizar la recepción de los derivados de petróleo en los tanques de almacenamiento ubicados en tierra, es necesario implementar un sistema de bombeo de apoyo o </w:t>
      </w:r>
      <w:r>
        <w:rPr>
          <w:rFonts w:ascii="Arial" w:hAnsi="Arial" w:cs="Arial"/>
          <w:lang w:val="es-MX"/>
        </w:rPr>
        <w:t>búster</w:t>
      </w:r>
      <w:r>
        <w:rPr>
          <w:rFonts w:ascii="Arial" w:hAnsi="Arial" w:cs="Arial"/>
        </w:rPr>
        <w:t>, que proporcione energía adicional de bombeo al combustible que está circu</w:t>
      </w:r>
      <w:r>
        <w:rPr>
          <w:rFonts w:ascii="Arial" w:hAnsi="Arial" w:cs="Arial"/>
        </w:rPr>
        <w:t xml:space="preserve">lando por las tuberías, para vencer las pérdidas por fricción y de cabezal estático que las bombas de los B/T no han logrado conseguir. </w:t>
      </w:r>
    </w:p>
    <w:p w:rsidR="00000000" w:rsidRDefault="000802FC">
      <w:pPr>
        <w:spacing w:line="480" w:lineRule="auto"/>
        <w:ind w:left="1134"/>
        <w:jc w:val="both"/>
        <w:rPr>
          <w:rFonts w:ascii="Arial" w:hAnsi="Arial" w:cs="Arial"/>
          <w:iCs/>
        </w:rPr>
      </w:pPr>
    </w:p>
    <w:p w:rsidR="00000000" w:rsidRDefault="000802FC">
      <w:pPr>
        <w:spacing w:line="480" w:lineRule="auto"/>
        <w:ind w:left="1134"/>
        <w:jc w:val="both"/>
        <w:rPr>
          <w:rFonts w:ascii="Arial" w:hAnsi="Arial" w:cs="Arial"/>
          <w:iCs/>
        </w:rPr>
      </w:pPr>
    </w:p>
    <w:p w:rsidR="00000000" w:rsidRDefault="000802FC">
      <w:pPr>
        <w:spacing w:line="480" w:lineRule="auto"/>
        <w:ind w:left="1134"/>
        <w:jc w:val="both"/>
        <w:rPr>
          <w:rFonts w:ascii="Arial" w:hAnsi="Arial" w:cs="Arial"/>
          <w:iCs/>
        </w:rPr>
      </w:pPr>
    </w:p>
    <w:p w:rsidR="00000000" w:rsidRDefault="000802FC">
      <w:pPr>
        <w:spacing w:line="480" w:lineRule="auto"/>
        <w:ind w:left="1134"/>
        <w:jc w:val="both"/>
        <w:rPr>
          <w:rFonts w:ascii="Arial" w:hAnsi="Arial" w:cs="Arial"/>
          <w:b/>
        </w:rPr>
      </w:pPr>
      <w:r>
        <w:rPr>
          <w:rFonts w:ascii="Arial" w:hAnsi="Arial" w:cs="Arial"/>
          <w:b/>
        </w:rPr>
        <w:lastRenderedPageBreak/>
        <w:t>Sistemas de Bombeo</w:t>
      </w:r>
    </w:p>
    <w:p w:rsidR="00000000" w:rsidRDefault="000802FC">
      <w:pPr>
        <w:spacing w:line="480" w:lineRule="auto"/>
        <w:ind w:left="1134"/>
        <w:jc w:val="both"/>
        <w:rPr>
          <w:rFonts w:ascii="Arial" w:hAnsi="Arial" w:cs="Arial"/>
        </w:rPr>
      </w:pPr>
      <w:r>
        <w:rPr>
          <w:rFonts w:ascii="Arial" w:hAnsi="Arial" w:cs="Arial"/>
        </w:rPr>
        <w:t>Los sistemas de bombeo están compuestos de diferentes dispositivos y condiciones que se presentan</w:t>
      </w:r>
      <w:r>
        <w:rPr>
          <w:rFonts w:ascii="Arial" w:hAnsi="Arial" w:cs="Arial"/>
        </w:rPr>
        <w:t xml:space="preserve"> en determinados procesos, y que permiten transportar fluidos a través de tuberías o líneas de petróleo. Los dispositivos más significativos dentro del sistema de bombeo son las bombas, las cuales efectúan el trabajo de adicionar energía al líquido, pero e</w:t>
      </w:r>
      <w:r>
        <w:rPr>
          <w:rFonts w:ascii="Arial" w:hAnsi="Arial" w:cs="Arial"/>
        </w:rPr>
        <w:t>l sistema de bombeo se complementa con el uso de tuberías, válvulas, filtros y accesorios.</w:t>
      </w:r>
    </w:p>
    <w:p w:rsidR="00000000" w:rsidRDefault="000802FC">
      <w:pPr>
        <w:spacing w:line="480" w:lineRule="auto"/>
        <w:ind w:left="1134"/>
        <w:jc w:val="both"/>
        <w:rPr>
          <w:rFonts w:ascii="Arial" w:hAnsi="Arial" w:cs="Arial"/>
          <w:iCs/>
        </w:rPr>
      </w:pPr>
    </w:p>
    <w:p w:rsidR="00000000" w:rsidRDefault="000802FC">
      <w:pPr>
        <w:spacing w:line="480" w:lineRule="auto"/>
        <w:ind w:left="1134"/>
        <w:jc w:val="both"/>
        <w:rPr>
          <w:rFonts w:ascii="Arial" w:hAnsi="Arial" w:cs="Arial"/>
          <w:iCs/>
        </w:rPr>
      </w:pPr>
      <w:r>
        <w:rPr>
          <w:rFonts w:ascii="Arial" w:hAnsi="Arial" w:cs="Arial"/>
          <w:iCs/>
        </w:rPr>
        <w:t xml:space="preserve">El diseño del sistema de bombeo lo debe realizar un experto en el área, para seleccionar el sistema de bombeo adecuado para cada caso. Dentro de la información que </w:t>
      </w:r>
      <w:r>
        <w:rPr>
          <w:rFonts w:ascii="Arial" w:hAnsi="Arial" w:cs="Arial"/>
          <w:iCs/>
        </w:rPr>
        <w:t>se debe obtener, entre otros detalles, es la siguiente:</w:t>
      </w:r>
    </w:p>
    <w:p w:rsidR="00000000" w:rsidRDefault="000802FC">
      <w:pPr>
        <w:spacing w:line="480" w:lineRule="auto"/>
        <w:ind w:left="1134"/>
        <w:jc w:val="both"/>
        <w:rPr>
          <w:rFonts w:ascii="Arial" w:hAnsi="Arial" w:cs="Arial"/>
          <w:iCs/>
        </w:rPr>
      </w:pPr>
    </w:p>
    <w:p w:rsidR="00000000" w:rsidRDefault="000802FC" w:rsidP="000802FC">
      <w:pPr>
        <w:numPr>
          <w:ilvl w:val="0"/>
          <w:numId w:val="1"/>
        </w:numPr>
        <w:tabs>
          <w:tab w:val="clear" w:pos="1304"/>
          <w:tab w:val="num" w:pos="1701"/>
        </w:tabs>
        <w:spacing w:line="480" w:lineRule="auto"/>
        <w:ind w:left="1701"/>
        <w:jc w:val="both"/>
        <w:rPr>
          <w:rFonts w:ascii="Arial" w:hAnsi="Arial" w:cs="Arial"/>
          <w:iCs/>
        </w:rPr>
      </w:pPr>
      <w:r>
        <w:rPr>
          <w:rFonts w:ascii="Arial" w:hAnsi="Arial" w:cs="Arial"/>
          <w:iCs/>
        </w:rPr>
        <w:t>Propiedades del fluido que se va a bombear.</w:t>
      </w:r>
    </w:p>
    <w:p w:rsidR="00000000" w:rsidRDefault="000802FC" w:rsidP="000802FC">
      <w:pPr>
        <w:numPr>
          <w:ilvl w:val="0"/>
          <w:numId w:val="1"/>
        </w:numPr>
        <w:tabs>
          <w:tab w:val="clear" w:pos="1304"/>
          <w:tab w:val="num" w:pos="1701"/>
        </w:tabs>
        <w:spacing w:line="480" w:lineRule="auto"/>
        <w:ind w:left="1701"/>
        <w:jc w:val="both"/>
        <w:rPr>
          <w:rFonts w:ascii="Arial" w:hAnsi="Arial" w:cs="Arial"/>
          <w:iCs/>
        </w:rPr>
      </w:pPr>
      <w:r>
        <w:rPr>
          <w:rFonts w:ascii="Arial" w:hAnsi="Arial" w:cs="Arial"/>
          <w:iCs/>
        </w:rPr>
        <w:t>Volumen que se va a transportar.</w:t>
      </w:r>
    </w:p>
    <w:p w:rsidR="00000000" w:rsidRDefault="000802FC" w:rsidP="000802FC">
      <w:pPr>
        <w:numPr>
          <w:ilvl w:val="0"/>
          <w:numId w:val="1"/>
        </w:numPr>
        <w:tabs>
          <w:tab w:val="clear" w:pos="1304"/>
          <w:tab w:val="num" w:pos="1701"/>
        </w:tabs>
        <w:spacing w:line="480" w:lineRule="auto"/>
        <w:ind w:left="1701"/>
        <w:jc w:val="both"/>
        <w:rPr>
          <w:rFonts w:ascii="Arial" w:hAnsi="Arial" w:cs="Arial"/>
          <w:iCs/>
        </w:rPr>
      </w:pPr>
      <w:r>
        <w:rPr>
          <w:rFonts w:ascii="Arial" w:hAnsi="Arial" w:cs="Arial"/>
          <w:iCs/>
        </w:rPr>
        <w:t>Condición de bombeo en la succión.</w:t>
      </w:r>
    </w:p>
    <w:p w:rsidR="00000000" w:rsidRDefault="000802FC" w:rsidP="000802FC">
      <w:pPr>
        <w:numPr>
          <w:ilvl w:val="0"/>
          <w:numId w:val="1"/>
        </w:numPr>
        <w:tabs>
          <w:tab w:val="clear" w:pos="1304"/>
          <w:tab w:val="num" w:pos="1701"/>
        </w:tabs>
        <w:spacing w:line="480" w:lineRule="auto"/>
        <w:ind w:left="1701"/>
        <w:jc w:val="both"/>
        <w:rPr>
          <w:rFonts w:ascii="Arial" w:hAnsi="Arial" w:cs="Arial"/>
          <w:iCs/>
        </w:rPr>
      </w:pPr>
      <w:r>
        <w:rPr>
          <w:rFonts w:ascii="Arial" w:hAnsi="Arial" w:cs="Arial"/>
          <w:iCs/>
        </w:rPr>
        <w:t>Condición de bombeo en la descarga.</w:t>
      </w:r>
    </w:p>
    <w:p w:rsidR="00000000" w:rsidRDefault="000802FC" w:rsidP="000802FC">
      <w:pPr>
        <w:numPr>
          <w:ilvl w:val="0"/>
          <w:numId w:val="1"/>
        </w:numPr>
        <w:tabs>
          <w:tab w:val="clear" w:pos="1304"/>
          <w:tab w:val="num" w:pos="1701"/>
        </w:tabs>
        <w:spacing w:line="480" w:lineRule="auto"/>
        <w:ind w:left="1701"/>
        <w:jc w:val="both"/>
        <w:rPr>
          <w:rFonts w:ascii="Arial" w:hAnsi="Arial" w:cs="Arial"/>
          <w:iCs/>
        </w:rPr>
      </w:pPr>
      <w:r>
        <w:rPr>
          <w:rFonts w:ascii="Arial" w:hAnsi="Arial" w:cs="Arial"/>
          <w:iCs/>
        </w:rPr>
        <w:t>Cabeza total de la Bomba.</w:t>
      </w:r>
    </w:p>
    <w:p w:rsidR="00000000" w:rsidRDefault="000802FC" w:rsidP="000802FC">
      <w:pPr>
        <w:numPr>
          <w:ilvl w:val="0"/>
          <w:numId w:val="1"/>
        </w:numPr>
        <w:tabs>
          <w:tab w:val="clear" w:pos="1304"/>
          <w:tab w:val="num" w:pos="1701"/>
        </w:tabs>
        <w:spacing w:line="480" w:lineRule="auto"/>
        <w:ind w:left="1701"/>
        <w:jc w:val="both"/>
        <w:rPr>
          <w:rFonts w:ascii="Arial" w:hAnsi="Arial" w:cs="Arial"/>
          <w:iCs/>
        </w:rPr>
      </w:pPr>
      <w:r>
        <w:rPr>
          <w:rFonts w:ascii="Arial" w:hAnsi="Arial" w:cs="Arial"/>
          <w:iCs/>
        </w:rPr>
        <w:t>Tipo de sistema al que la</w:t>
      </w:r>
      <w:r>
        <w:rPr>
          <w:rFonts w:ascii="Arial" w:hAnsi="Arial" w:cs="Arial"/>
          <w:iCs/>
        </w:rPr>
        <w:t xml:space="preserve"> bomba está entregando el fluido.</w:t>
      </w:r>
    </w:p>
    <w:p w:rsidR="00000000" w:rsidRDefault="000802FC" w:rsidP="000802FC">
      <w:pPr>
        <w:numPr>
          <w:ilvl w:val="0"/>
          <w:numId w:val="1"/>
        </w:numPr>
        <w:tabs>
          <w:tab w:val="clear" w:pos="1304"/>
          <w:tab w:val="num" w:pos="1701"/>
        </w:tabs>
        <w:spacing w:line="480" w:lineRule="auto"/>
        <w:ind w:left="1701"/>
        <w:jc w:val="both"/>
        <w:rPr>
          <w:rFonts w:ascii="Arial" w:hAnsi="Arial" w:cs="Arial"/>
          <w:iCs/>
        </w:rPr>
      </w:pPr>
      <w:r>
        <w:rPr>
          <w:rFonts w:ascii="Arial" w:hAnsi="Arial" w:cs="Arial"/>
          <w:iCs/>
        </w:rPr>
        <w:lastRenderedPageBreak/>
        <w:t>Fuente de alimentación de energía.</w:t>
      </w:r>
    </w:p>
    <w:p w:rsidR="00000000" w:rsidRDefault="000802FC" w:rsidP="000802FC">
      <w:pPr>
        <w:numPr>
          <w:ilvl w:val="0"/>
          <w:numId w:val="1"/>
        </w:numPr>
        <w:tabs>
          <w:tab w:val="clear" w:pos="1304"/>
          <w:tab w:val="num" w:pos="1701"/>
        </w:tabs>
        <w:spacing w:line="480" w:lineRule="auto"/>
        <w:ind w:left="1701"/>
        <w:jc w:val="both"/>
        <w:rPr>
          <w:rFonts w:ascii="Arial" w:hAnsi="Arial" w:cs="Arial"/>
          <w:iCs/>
        </w:rPr>
      </w:pPr>
      <w:r>
        <w:rPr>
          <w:rFonts w:ascii="Arial" w:hAnsi="Arial" w:cs="Arial"/>
          <w:iCs/>
        </w:rPr>
        <w:t>Limitaciones de peso, espacio y posición.</w:t>
      </w:r>
    </w:p>
    <w:p w:rsidR="00000000" w:rsidRDefault="000802FC" w:rsidP="000802FC">
      <w:pPr>
        <w:numPr>
          <w:ilvl w:val="0"/>
          <w:numId w:val="1"/>
        </w:numPr>
        <w:tabs>
          <w:tab w:val="clear" w:pos="1304"/>
          <w:tab w:val="num" w:pos="1701"/>
        </w:tabs>
        <w:spacing w:line="480" w:lineRule="auto"/>
        <w:ind w:left="1701"/>
        <w:jc w:val="both"/>
        <w:rPr>
          <w:rFonts w:ascii="Arial" w:hAnsi="Arial" w:cs="Arial"/>
          <w:iCs/>
        </w:rPr>
      </w:pPr>
      <w:r>
        <w:rPr>
          <w:rFonts w:ascii="Arial" w:hAnsi="Arial" w:cs="Arial"/>
          <w:iCs/>
        </w:rPr>
        <w:t>Condiciones ambientales.</w:t>
      </w:r>
    </w:p>
    <w:p w:rsidR="00000000" w:rsidRDefault="000802FC" w:rsidP="000802FC">
      <w:pPr>
        <w:numPr>
          <w:ilvl w:val="0"/>
          <w:numId w:val="1"/>
        </w:numPr>
        <w:tabs>
          <w:tab w:val="clear" w:pos="1304"/>
          <w:tab w:val="num" w:pos="1701"/>
        </w:tabs>
        <w:spacing w:line="480" w:lineRule="auto"/>
        <w:ind w:left="1701"/>
        <w:jc w:val="both"/>
        <w:rPr>
          <w:rFonts w:ascii="Arial" w:hAnsi="Arial" w:cs="Arial"/>
          <w:iCs/>
        </w:rPr>
      </w:pPr>
      <w:r>
        <w:rPr>
          <w:rFonts w:ascii="Arial" w:hAnsi="Arial" w:cs="Arial"/>
          <w:iCs/>
        </w:rPr>
        <w:t>Costo de la bomba e instalación.</w:t>
      </w:r>
    </w:p>
    <w:p w:rsidR="00000000" w:rsidRDefault="000802FC" w:rsidP="000802FC">
      <w:pPr>
        <w:numPr>
          <w:ilvl w:val="0"/>
          <w:numId w:val="1"/>
        </w:numPr>
        <w:tabs>
          <w:tab w:val="clear" w:pos="1304"/>
          <w:tab w:val="num" w:pos="1701"/>
        </w:tabs>
        <w:spacing w:line="480" w:lineRule="auto"/>
        <w:ind w:left="1701"/>
        <w:jc w:val="both"/>
        <w:rPr>
          <w:rFonts w:ascii="Arial" w:hAnsi="Arial" w:cs="Arial"/>
          <w:iCs/>
        </w:rPr>
      </w:pPr>
      <w:r>
        <w:rPr>
          <w:rFonts w:ascii="Arial" w:hAnsi="Arial" w:cs="Arial"/>
          <w:iCs/>
        </w:rPr>
        <w:t>Costo de operación de la bomba.</w:t>
      </w:r>
    </w:p>
    <w:p w:rsidR="00000000" w:rsidRDefault="000802FC" w:rsidP="000802FC">
      <w:pPr>
        <w:numPr>
          <w:ilvl w:val="0"/>
          <w:numId w:val="1"/>
        </w:numPr>
        <w:tabs>
          <w:tab w:val="clear" w:pos="1304"/>
          <w:tab w:val="num" w:pos="1701"/>
        </w:tabs>
        <w:spacing w:line="480" w:lineRule="auto"/>
        <w:ind w:left="1701"/>
        <w:jc w:val="both"/>
        <w:rPr>
          <w:rFonts w:ascii="Arial" w:hAnsi="Arial" w:cs="Arial"/>
          <w:iCs/>
        </w:rPr>
      </w:pPr>
      <w:r>
        <w:rPr>
          <w:rFonts w:ascii="Arial" w:hAnsi="Arial" w:cs="Arial"/>
          <w:iCs/>
        </w:rPr>
        <w:t>Códigos y estándares.</w:t>
      </w:r>
    </w:p>
    <w:p w:rsidR="00000000" w:rsidRDefault="000802FC">
      <w:pPr>
        <w:spacing w:line="480" w:lineRule="auto"/>
        <w:ind w:left="1134"/>
        <w:jc w:val="both"/>
        <w:rPr>
          <w:rFonts w:ascii="Arial" w:hAnsi="Arial" w:cs="Arial"/>
          <w:iCs/>
        </w:rPr>
      </w:pPr>
    </w:p>
    <w:p w:rsidR="00000000" w:rsidRDefault="000802FC">
      <w:pPr>
        <w:spacing w:line="480" w:lineRule="auto"/>
        <w:ind w:left="1134"/>
        <w:jc w:val="both"/>
        <w:rPr>
          <w:rFonts w:ascii="Arial" w:hAnsi="Arial" w:cs="Arial"/>
          <w:iCs/>
        </w:rPr>
      </w:pPr>
      <w:r>
        <w:rPr>
          <w:rFonts w:ascii="Arial" w:hAnsi="Arial" w:cs="Arial"/>
          <w:iCs/>
        </w:rPr>
        <w:t>El conocimiento de esta informac</w:t>
      </w:r>
      <w:r>
        <w:rPr>
          <w:rFonts w:ascii="Arial" w:hAnsi="Arial" w:cs="Arial"/>
          <w:iCs/>
        </w:rPr>
        <w:t>ión ayuda a la correcta selección del elemento más importante del sistema de bombeo, que es la bomba. Pero, la información principal que describe las características de la bomba en la aplicación que funcionará, es la solicitada en la hoja del fabricante (V</w:t>
      </w:r>
      <w:r>
        <w:rPr>
          <w:rFonts w:ascii="Arial" w:hAnsi="Arial" w:cs="Arial"/>
          <w:iCs/>
        </w:rPr>
        <w:t>er Apéndice 1).</w:t>
      </w:r>
    </w:p>
    <w:p w:rsidR="00000000" w:rsidRDefault="000802FC">
      <w:pPr>
        <w:spacing w:line="480" w:lineRule="auto"/>
        <w:ind w:left="1134"/>
        <w:jc w:val="both"/>
        <w:rPr>
          <w:rFonts w:ascii="Arial" w:hAnsi="Arial" w:cs="Arial"/>
          <w:iCs/>
          <w:highlight w:val="yellow"/>
        </w:rPr>
      </w:pPr>
    </w:p>
    <w:p w:rsidR="00000000" w:rsidRDefault="000802FC">
      <w:pPr>
        <w:spacing w:line="480" w:lineRule="auto"/>
        <w:ind w:left="1134"/>
        <w:jc w:val="both"/>
        <w:rPr>
          <w:rFonts w:ascii="Arial" w:hAnsi="Arial" w:cs="Arial"/>
          <w:b/>
          <w:bCs/>
        </w:rPr>
      </w:pPr>
      <w:r>
        <w:rPr>
          <w:rFonts w:ascii="Arial" w:hAnsi="Arial" w:cs="Arial"/>
          <w:b/>
          <w:bCs/>
        </w:rPr>
        <w:t>Arreglos de los sistemas de bombeo</w:t>
      </w:r>
    </w:p>
    <w:p w:rsidR="00000000" w:rsidRDefault="000802FC">
      <w:pPr>
        <w:pStyle w:val="Textoindependiente2"/>
        <w:spacing w:line="480" w:lineRule="auto"/>
        <w:ind w:left="1134"/>
        <w:rPr>
          <w:rFonts w:cs="Arial"/>
          <w:szCs w:val="24"/>
          <w:lang w:val="es-ES"/>
        </w:rPr>
      </w:pPr>
      <w:r>
        <w:rPr>
          <w:rFonts w:cs="Arial"/>
          <w:szCs w:val="24"/>
          <w:lang w:val="es-ES"/>
        </w:rPr>
        <w:t xml:space="preserve">La configuración de las bombas en una estación de bombeo, depende del requerimiento de la instalación, y en algunas ocasiones, más de una bomba es requerida en la estación. Las conexiones de los sistemas </w:t>
      </w:r>
      <w:r>
        <w:rPr>
          <w:rFonts w:cs="Arial"/>
          <w:szCs w:val="24"/>
          <w:lang w:val="es-ES"/>
        </w:rPr>
        <w:t xml:space="preserve">de tuberías y válvulas pueden proporcionar la facilidad de disponer de rangos en las condiciones de operación y capacidad, pero en general existen sólo dos tipos de arreglos que se pueden dar </w:t>
      </w:r>
      <w:r>
        <w:rPr>
          <w:rFonts w:cs="Arial"/>
          <w:szCs w:val="24"/>
          <w:lang w:val="es-ES"/>
        </w:rPr>
        <w:lastRenderedPageBreak/>
        <w:t>a las bombas, y estos son: arreglo de bombas en serie, y arreglo</w:t>
      </w:r>
      <w:r>
        <w:rPr>
          <w:rFonts w:cs="Arial"/>
          <w:szCs w:val="24"/>
          <w:lang w:val="es-ES"/>
        </w:rPr>
        <w:t xml:space="preserve"> de bombas en paralelo.</w:t>
      </w:r>
    </w:p>
    <w:p w:rsidR="00000000" w:rsidRDefault="000802FC">
      <w:pPr>
        <w:pStyle w:val="Textoindependiente2"/>
        <w:spacing w:line="480" w:lineRule="auto"/>
        <w:ind w:left="1134"/>
        <w:rPr>
          <w:rFonts w:cs="Arial"/>
          <w:szCs w:val="24"/>
          <w:lang w:val="es-ES"/>
        </w:rPr>
      </w:pPr>
    </w:p>
    <w:p w:rsidR="00000000" w:rsidRDefault="000802FC">
      <w:pPr>
        <w:spacing w:line="480" w:lineRule="auto"/>
        <w:ind w:left="1134"/>
        <w:jc w:val="both"/>
        <w:rPr>
          <w:rFonts w:ascii="Arial" w:hAnsi="Arial" w:cs="Arial"/>
          <w:iCs/>
          <w:u w:val="single"/>
        </w:rPr>
      </w:pPr>
      <w:r>
        <w:rPr>
          <w:rFonts w:ascii="Arial" w:hAnsi="Arial" w:cs="Arial"/>
          <w:iCs/>
          <w:u w:val="single"/>
        </w:rPr>
        <w:t>Arreglo de Bombas en Paralelo</w:t>
      </w:r>
    </w:p>
    <w:p w:rsidR="00000000" w:rsidRDefault="000802FC">
      <w:pPr>
        <w:spacing w:line="480" w:lineRule="auto"/>
        <w:ind w:left="1134"/>
        <w:jc w:val="both"/>
        <w:rPr>
          <w:rFonts w:ascii="Arial" w:hAnsi="Arial" w:cs="Arial"/>
          <w:iCs/>
        </w:rPr>
      </w:pPr>
      <w:r>
        <w:rPr>
          <w:rFonts w:ascii="Arial" w:hAnsi="Arial" w:cs="Arial"/>
          <w:iCs/>
        </w:rPr>
        <w:t>En la configuración de bombas en paralelo, más de una bomba tiene acceso a la succión desde la fuente,</w:t>
      </w:r>
      <w:r>
        <w:rPr>
          <w:rFonts w:ascii="Arial" w:hAnsi="Arial" w:cs="Arial"/>
        </w:rPr>
        <w:t xml:space="preserve"> y la descarga de las bombas se la realiza a una línea común que lleva el fluido hasta su destino. </w:t>
      </w:r>
      <w:r>
        <w:rPr>
          <w:rFonts w:ascii="Arial" w:hAnsi="Arial" w:cs="Arial"/>
        </w:rPr>
        <w:t>E</w:t>
      </w:r>
      <w:r>
        <w:rPr>
          <w:rFonts w:ascii="Arial" w:hAnsi="Arial" w:cs="Arial"/>
          <w:iCs/>
        </w:rPr>
        <w:t xml:space="preserve">sta configuración se utiliza para variar las condiciones de caudal de bombeo en la descarga, pero manteniendo la presión aproximadamente constante. </w:t>
      </w:r>
    </w:p>
    <w:p w:rsidR="00000000" w:rsidRDefault="000802FC">
      <w:pPr>
        <w:spacing w:line="480" w:lineRule="auto"/>
        <w:ind w:left="1134"/>
        <w:jc w:val="both"/>
        <w:rPr>
          <w:rFonts w:ascii="Arial" w:hAnsi="Arial" w:cs="Arial"/>
          <w:iCs/>
        </w:rPr>
      </w:pPr>
    </w:p>
    <w:p w:rsidR="00000000" w:rsidRDefault="000802FC">
      <w:pPr>
        <w:spacing w:line="480" w:lineRule="auto"/>
        <w:ind w:left="1134"/>
        <w:jc w:val="center"/>
        <w:rPr>
          <w:rFonts w:ascii="Arial" w:hAnsi="Arial" w:cs="Arial"/>
          <w:iCs/>
        </w:rPr>
      </w:pPr>
      <w:r>
        <w:object w:dxaOrig="4935" w:dyaOrig="5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113pt" o:ole="" o:bordertopcolor="this" o:borderleftcolor="this" o:borderbottomcolor="this" o:borderrightcolor="this">
            <v:imagedata r:id="rId7" o:title=""/>
            <w10:bordertop type="single" width="12"/>
            <w10:borderleft type="single" width="12"/>
            <w10:borderbottom type="single" width="12"/>
            <w10:borderright type="single" width="12"/>
          </v:shape>
          <o:OLEObject Type="Embed" ProgID="AutoCAD.Drawing.15" ShapeID="_x0000_i1025" DrawAspect="Content" ObjectID="_1307346492" r:id="rId8"/>
        </w:object>
      </w:r>
    </w:p>
    <w:p w:rsidR="00000000" w:rsidRDefault="000802FC">
      <w:pPr>
        <w:spacing w:line="480" w:lineRule="auto"/>
        <w:ind w:left="1134"/>
        <w:jc w:val="both"/>
        <w:rPr>
          <w:rFonts w:ascii="Arial" w:hAnsi="Arial" w:cs="Arial"/>
          <w:iCs/>
        </w:rPr>
      </w:pPr>
    </w:p>
    <w:p w:rsidR="00000000" w:rsidRDefault="000802FC">
      <w:pPr>
        <w:spacing w:line="480" w:lineRule="auto"/>
        <w:ind w:left="1134"/>
        <w:jc w:val="center"/>
        <w:rPr>
          <w:rFonts w:ascii="Arial" w:hAnsi="Arial" w:cs="Arial"/>
          <w:iCs/>
        </w:rPr>
      </w:pPr>
      <w:r>
        <w:rPr>
          <w:rFonts w:ascii="Arial" w:hAnsi="Arial" w:cs="Arial"/>
          <w:iCs/>
        </w:rPr>
        <w:t>FIGURA 1.1.</w:t>
      </w:r>
      <w:r>
        <w:rPr>
          <w:rFonts w:ascii="Arial" w:hAnsi="Arial" w:cs="Arial"/>
          <w:iCs/>
        </w:rPr>
        <w:tab/>
        <w:t>ARREGLO DE BOMBAS EN PARALELO</w:t>
      </w:r>
    </w:p>
    <w:p w:rsidR="00000000" w:rsidRDefault="000802FC">
      <w:pPr>
        <w:spacing w:line="480" w:lineRule="auto"/>
        <w:ind w:left="1134"/>
        <w:jc w:val="both"/>
        <w:rPr>
          <w:rFonts w:ascii="Arial" w:hAnsi="Arial" w:cs="Arial"/>
          <w:iCs/>
          <w:u w:val="single"/>
        </w:rPr>
      </w:pPr>
    </w:p>
    <w:p w:rsidR="00000000" w:rsidRDefault="000802FC">
      <w:pPr>
        <w:spacing w:line="480" w:lineRule="auto"/>
        <w:ind w:left="1134"/>
        <w:jc w:val="both"/>
        <w:rPr>
          <w:rFonts w:ascii="Arial" w:hAnsi="Arial" w:cs="Arial"/>
          <w:iCs/>
          <w:u w:val="single"/>
        </w:rPr>
      </w:pPr>
    </w:p>
    <w:p w:rsidR="00000000" w:rsidRDefault="000802FC">
      <w:pPr>
        <w:spacing w:line="480" w:lineRule="auto"/>
        <w:ind w:left="1134"/>
        <w:jc w:val="both"/>
        <w:rPr>
          <w:rFonts w:ascii="Arial" w:hAnsi="Arial" w:cs="Arial"/>
          <w:iCs/>
          <w:u w:val="single"/>
        </w:rPr>
      </w:pPr>
    </w:p>
    <w:p w:rsidR="00000000" w:rsidRDefault="000802FC">
      <w:pPr>
        <w:spacing w:line="480" w:lineRule="auto"/>
        <w:ind w:left="1134"/>
        <w:jc w:val="both"/>
        <w:rPr>
          <w:rFonts w:ascii="Arial" w:hAnsi="Arial" w:cs="Arial"/>
          <w:iCs/>
          <w:u w:val="single"/>
        </w:rPr>
      </w:pPr>
      <w:r>
        <w:rPr>
          <w:rFonts w:ascii="Arial" w:hAnsi="Arial" w:cs="Arial"/>
          <w:iCs/>
          <w:u w:val="single"/>
        </w:rPr>
        <w:lastRenderedPageBreak/>
        <w:t>Arreglo de bombas en Serie</w:t>
      </w:r>
    </w:p>
    <w:p w:rsidR="00000000" w:rsidRDefault="000802FC">
      <w:pPr>
        <w:spacing w:line="480" w:lineRule="auto"/>
        <w:ind w:left="1134"/>
        <w:jc w:val="both"/>
        <w:rPr>
          <w:rFonts w:ascii="Arial" w:hAnsi="Arial" w:cs="Arial"/>
          <w:iCs/>
        </w:rPr>
      </w:pPr>
      <w:r>
        <w:rPr>
          <w:rFonts w:ascii="Arial" w:hAnsi="Arial" w:cs="Arial"/>
          <w:iCs/>
        </w:rPr>
        <w:t>En la configuración de bombas en serie, la primera bomba tiene acceso a la succión desde la fuente y descarga el fluido en la succión de la segunda bomba, y así sucesivamente. Esta configuración de bombas se utiliza para variar las condiciones en la descar</w:t>
      </w:r>
      <w:r>
        <w:rPr>
          <w:rFonts w:ascii="Arial" w:hAnsi="Arial" w:cs="Arial"/>
          <w:iCs/>
        </w:rPr>
        <w:t>ga, manteniendo el caudal aproximadamente constante. La última bomba descarga en la línea que lleva el fluido hasta su destino, y la presión con que descarga es igual a la suma de las presiones de descarga de todas las bombas, menos las pérdidas que se pue</w:t>
      </w:r>
      <w:r>
        <w:rPr>
          <w:rFonts w:ascii="Arial" w:hAnsi="Arial" w:cs="Arial"/>
          <w:iCs/>
        </w:rPr>
        <w:t>dan dar en la conexión.</w:t>
      </w:r>
    </w:p>
    <w:p w:rsidR="00000000" w:rsidRDefault="000802FC">
      <w:pPr>
        <w:spacing w:line="480" w:lineRule="auto"/>
        <w:ind w:left="1134"/>
        <w:jc w:val="both"/>
        <w:rPr>
          <w:rFonts w:ascii="Arial" w:hAnsi="Arial" w:cs="Arial"/>
          <w:iCs/>
        </w:rPr>
      </w:pPr>
    </w:p>
    <w:p w:rsidR="00000000" w:rsidRDefault="000802FC">
      <w:pPr>
        <w:spacing w:line="480" w:lineRule="auto"/>
        <w:ind w:left="1134"/>
        <w:jc w:val="center"/>
        <w:rPr>
          <w:rFonts w:ascii="Arial" w:hAnsi="Arial" w:cs="Arial"/>
          <w:iCs/>
        </w:rPr>
      </w:pPr>
      <w:r>
        <w:object w:dxaOrig="6450" w:dyaOrig="2865">
          <v:shape id="_x0000_i1026" type="#_x0000_t75" style="width:145pt;height:64pt" o:ole="" o:bordertopcolor="this" o:borderleftcolor="this" o:borderbottomcolor="this" o:borderrightcolor="this">
            <v:imagedata r:id="rId9" o:title=""/>
            <w10:bordertop type="single" width="12"/>
            <w10:borderleft type="single" width="12"/>
            <w10:borderbottom type="single" width="12"/>
            <w10:borderright type="single" width="12"/>
          </v:shape>
          <o:OLEObject Type="Embed" ProgID="AutoCAD.Drawing.15" ShapeID="_x0000_i1026" DrawAspect="Content" ObjectID="_1307346493" r:id="rId10"/>
        </w:object>
      </w:r>
    </w:p>
    <w:p w:rsidR="00000000" w:rsidRDefault="000802FC">
      <w:pPr>
        <w:spacing w:line="480" w:lineRule="auto"/>
        <w:ind w:left="1134"/>
        <w:jc w:val="center"/>
        <w:rPr>
          <w:rFonts w:ascii="Arial" w:hAnsi="Arial" w:cs="Arial"/>
          <w:iCs/>
          <w:highlight w:val="green"/>
        </w:rPr>
      </w:pPr>
    </w:p>
    <w:p w:rsidR="00000000" w:rsidRDefault="000802FC">
      <w:pPr>
        <w:spacing w:line="480" w:lineRule="auto"/>
        <w:ind w:left="1134"/>
        <w:jc w:val="center"/>
        <w:rPr>
          <w:rFonts w:ascii="Arial" w:hAnsi="Arial" w:cs="Arial"/>
          <w:iCs/>
        </w:rPr>
      </w:pPr>
      <w:r>
        <w:rPr>
          <w:rFonts w:ascii="Arial" w:hAnsi="Arial" w:cs="Arial"/>
          <w:iCs/>
        </w:rPr>
        <w:t>FIGURA 1.2.</w:t>
      </w:r>
      <w:r>
        <w:rPr>
          <w:rFonts w:ascii="Arial" w:hAnsi="Arial" w:cs="Arial"/>
          <w:iCs/>
        </w:rPr>
        <w:tab/>
        <w:t>ARREGLO DE BOMBAS EN SERIE</w:t>
      </w:r>
    </w:p>
    <w:p w:rsidR="00000000" w:rsidRDefault="000802FC">
      <w:pPr>
        <w:spacing w:line="480" w:lineRule="auto"/>
        <w:ind w:left="1134"/>
        <w:jc w:val="both"/>
        <w:rPr>
          <w:rFonts w:ascii="Arial" w:hAnsi="Arial" w:cs="Arial"/>
          <w:iCs/>
        </w:rPr>
      </w:pPr>
    </w:p>
    <w:p w:rsidR="00000000" w:rsidRDefault="000802FC">
      <w:pPr>
        <w:pStyle w:val="Ttulo6"/>
        <w:spacing w:line="480" w:lineRule="auto"/>
        <w:ind w:left="1134"/>
        <w:rPr>
          <w:rFonts w:ascii="Arial" w:hAnsi="Arial" w:cs="Arial"/>
          <w:i w:val="0"/>
          <w:u w:val="none"/>
        </w:rPr>
      </w:pPr>
      <w:r>
        <w:rPr>
          <w:rFonts w:ascii="Arial" w:hAnsi="Arial" w:cs="Arial"/>
          <w:i w:val="0"/>
          <w:u w:val="none"/>
        </w:rPr>
        <w:t>Los arreglos de válvulas y tuberías en los sistemas de bombeo varían dependiendo de las limitaciones de espacio o los requerimientos que se tengan en cada est</w:t>
      </w:r>
      <w:r>
        <w:rPr>
          <w:rFonts w:ascii="Arial" w:hAnsi="Arial" w:cs="Arial"/>
          <w:i w:val="0"/>
          <w:u w:val="none"/>
        </w:rPr>
        <w:t xml:space="preserve">ación de bombeo, pero los principios de </w:t>
      </w:r>
      <w:r>
        <w:rPr>
          <w:rFonts w:ascii="Arial" w:hAnsi="Arial" w:cs="Arial"/>
          <w:i w:val="0"/>
          <w:u w:val="none"/>
        </w:rPr>
        <w:lastRenderedPageBreak/>
        <w:t>conexión para cada arreglo de bombas, se mantienen constantes en toda estación de bombeo.</w:t>
      </w:r>
    </w:p>
    <w:p w:rsidR="00000000" w:rsidRDefault="000802FC">
      <w:pPr>
        <w:spacing w:line="480" w:lineRule="auto"/>
        <w:ind w:left="1134"/>
      </w:pPr>
    </w:p>
    <w:p w:rsidR="00000000" w:rsidRDefault="000802FC">
      <w:pPr>
        <w:spacing w:line="480" w:lineRule="auto"/>
        <w:ind w:left="1134"/>
        <w:jc w:val="both"/>
        <w:rPr>
          <w:rFonts w:ascii="Arial" w:hAnsi="Arial" w:cs="Arial"/>
          <w:b/>
          <w:bCs/>
          <w:iCs/>
        </w:rPr>
      </w:pPr>
      <w:r>
        <w:rPr>
          <w:rFonts w:ascii="Arial" w:hAnsi="Arial" w:cs="Arial"/>
          <w:b/>
          <w:bCs/>
          <w:iCs/>
        </w:rPr>
        <w:t>Tipos de Bombas</w:t>
      </w:r>
    </w:p>
    <w:p w:rsidR="00000000" w:rsidRDefault="000802FC">
      <w:pPr>
        <w:spacing w:line="480" w:lineRule="auto"/>
        <w:ind w:left="1134"/>
        <w:jc w:val="both"/>
        <w:rPr>
          <w:rFonts w:ascii="Arial" w:hAnsi="Arial" w:cs="Arial"/>
          <w:iCs/>
        </w:rPr>
      </w:pPr>
      <w:r>
        <w:rPr>
          <w:rFonts w:ascii="Arial" w:hAnsi="Arial" w:cs="Arial"/>
          <w:iCs/>
        </w:rPr>
        <w:t>Las bombas pueden ser clasificadas en dos tipos generales:</w:t>
      </w:r>
    </w:p>
    <w:p w:rsidR="00000000" w:rsidRDefault="000802FC" w:rsidP="000802FC">
      <w:pPr>
        <w:numPr>
          <w:ilvl w:val="0"/>
          <w:numId w:val="6"/>
        </w:numPr>
        <w:spacing w:line="480" w:lineRule="auto"/>
        <w:jc w:val="both"/>
        <w:rPr>
          <w:rFonts w:ascii="Arial" w:hAnsi="Arial" w:cs="Arial"/>
        </w:rPr>
      </w:pPr>
      <w:r>
        <w:rPr>
          <w:rFonts w:ascii="Arial" w:hAnsi="Arial" w:cs="Arial"/>
        </w:rPr>
        <w:t>Desplazamiento positivo</w:t>
      </w:r>
    </w:p>
    <w:p w:rsidR="00000000" w:rsidRDefault="000802FC" w:rsidP="000802FC">
      <w:pPr>
        <w:numPr>
          <w:ilvl w:val="1"/>
          <w:numId w:val="5"/>
        </w:numPr>
        <w:spacing w:line="480" w:lineRule="auto"/>
        <w:jc w:val="both"/>
        <w:rPr>
          <w:rFonts w:ascii="Arial" w:hAnsi="Arial" w:cs="Arial"/>
        </w:rPr>
      </w:pPr>
      <w:r>
        <w:rPr>
          <w:rFonts w:ascii="Arial" w:hAnsi="Arial" w:cs="Arial"/>
        </w:rPr>
        <w:t>Rotatorias</w:t>
      </w:r>
    </w:p>
    <w:p w:rsidR="00000000" w:rsidRDefault="000802FC" w:rsidP="000802FC">
      <w:pPr>
        <w:numPr>
          <w:ilvl w:val="1"/>
          <w:numId w:val="14"/>
        </w:numPr>
        <w:spacing w:line="480" w:lineRule="auto"/>
        <w:jc w:val="both"/>
        <w:rPr>
          <w:rFonts w:ascii="Arial" w:hAnsi="Arial" w:cs="Arial"/>
        </w:rPr>
      </w:pPr>
      <w:r>
        <w:rPr>
          <w:rFonts w:ascii="Arial" w:hAnsi="Arial" w:cs="Arial"/>
        </w:rPr>
        <w:t>De engranajes</w:t>
      </w:r>
    </w:p>
    <w:p w:rsidR="00000000" w:rsidRDefault="000802FC" w:rsidP="000802FC">
      <w:pPr>
        <w:numPr>
          <w:ilvl w:val="1"/>
          <w:numId w:val="14"/>
        </w:numPr>
        <w:spacing w:line="480" w:lineRule="auto"/>
        <w:jc w:val="both"/>
        <w:rPr>
          <w:rFonts w:ascii="Arial" w:hAnsi="Arial" w:cs="Arial"/>
        </w:rPr>
      </w:pPr>
      <w:r>
        <w:rPr>
          <w:rFonts w:ascii="Arial" w:hAnsi="Arial" w:cs="Arial"/>
        </w:rPr>
        <w:t>D</w:t>
      </w:r>
      <w:r>
        <w:rPr>
          <w:rFonts w:ascii="Arial" w:hAnsi="Arial" w:cs="Arial"/>
        </w:rPr>
        <w:t>e paleta</w:t>
      </w:r>
    </w:p>
    <w:p w:rsidR="00000000" w:rsidRDefault="000802FC" w:rsidP="000802FC">
      <w:pPr>
        <w:numPr>
          <w:ilvl w:val="1"/>
          <w:numId w:val="14"/>
        </w:numPr>
        <w:spacing w:line="480" w:lineRule="auto"/>
        <w:jc w:val="both"/>
        <w:rPr>
          <w:rFonts w:ascii="Arial" w:hAnsi="Arial" w:cs="Arial"/>
        </w:rPr>
      </w:pPr>
      <w:r>
        <w:rPr>
          <w:rFonts w:ascii="Arial" w:hAnsi="Arial" w:cs="Arial"/>
        </w:rPr>
        <w:t xml:space="preserve">De tornillo </w:t>
      </w:r>
    </w:p>
    <w:p w:rsidR="00000000" w:rsidRDefault="000802FC" w:rsidP="000802FC">
      <w:pPr>
        <w:numPr>
          <w:ilvl w:val="1"/>
          <w:numId w:val="14"/>
        </w:numPr>
        <w:spacing w:line="480" w:lineRule="auto"/>
        <w:jc w:val="both"/>
        <w:rPr>
          <w:rFonts w:ascii="Arial" w:hAnsi="Arial" w:cs="Arial"/>
        </w:rPr>
      </w:pPr>
      <w:r>
        <w:rPr>
          <w:rFonts w:ascii="Arial" w:hAnsi="Arial" w:cs="Arial"/>
        </w:rPr>
        <w:t>De cavidad progresiva</w:t>
      </w:r>
    </w:p>
    <w:p w:rsidR="00000000" w:rsidRDefault="000802FC" w:rsidP="000802FC">
      <w:pPr>
        <w:numPr>
          <w:ilvl w:val="1"/>
          <w:numId w:val="14"/>
        </w:numPr>
        <w:spacing w:line="480" w:lineRule="auto"/>
        <w:jc w:val="both"/>
        <w:rPr>
          <w:rFonts w:ascii="Arial" w:hAnsi="Arial" w:cs="Arial"/>
        </w:rPr>
      </w:pPr>
      <w:r>
        <w:rPr>
          <w:rFonts w:ascii="Arial" w:hAnsi="Arial" w:cs="Arial"/>
        </w:rPr>
        <w:t>De lóbulo o alabe</w:t>
      </w:r>
    </w:p>
    <w:p w:rsidR="00000000" w:rsidRDefault="000802FC" w:rsidP="000802FC">
      <w:pPr>
        <w:numPr>
          <w:ilvl w:val="1"/>
          <w:numId w:val="7"/>
        </w:numPr>
        <w:spacing w:line="480" w:lineRule="auto"/>
        <w:jc w:val="both"/>
        <w:rPr>
          <w:rFonts w:ascii="Arial" w:hAnsi="Arial" w:cs="Arial"/>
        </w:rPr>
      </w:pPr>
      <w:r>
        <w:rPr>
          <w:rFonts w:ascii="Arial" w:hAnsi="Arial" w:cs="Arial"/>
          <w:lang w:val="es-MX"/>
        </w:rPr>
        <w:t>Reciprocantes</w:t>
      </w:r>
    </w:p>
    <w:p w:rsidR="00000000" w:rsidRDefault="000802FC" w:rsidP="000802FC">
      <w:pPr>
        <w:numPr>
          <w:ilvl w:val="1"/>
          <w:numId w:val="15"/>
        </w:numPr>
        <w:spacing w:line="480" w:lineRule="auto"/>
        <w:jc w:val="both"/>
        <w:rPr>
          <w:rFonts w:ascii="Arial" w:hAnsi="Arial" w:cs="Arial"/>
        </w:rPr>
      </w:pPr>
      <w:r>
        <w:rPr>
          <w:rFonts w:ascii="Arial" w:hAnsi="Arial" w:cs="Arial"/>
        </w:rPr>
        <w:t>De pistón</w:t>
      </w:r>
    </w:p>
    <w:p w:rsidR="00000000" w:rsidRDefault="000802FC" w:rsidP="000802FC">
      <w:pPr>
        <w:numPr>
          <w:ilvl w:val="1"/>
          <w:numId w:val="15"/>
        </w:numPr>
        <w:spacing w:line="480" w:lineRule="auto"/>
        <w:jc w:val="both"/>
        <w:rPr>
          <w:rFonts w:ascii="Arial" w:hAnsi="Arial" w:cs="Arial"/>
        </w:rPr>
      </w:pPr>
      <w:r>
        <w:rPr>
          <w:rFonts w:ascii="Arial" w:hAnsi="Arial" w:cs="Arial"/>
        </w:rPr>
        <w:t>De inmersión</w:t>
      </w:r>
    </w:p>
    <w:p w:rsidR="00000000" w:rsidRDefault="000802FC" w:rsidP="000802FC">
      <w:pPr>
        <w:numPr>
          <w:ilvl w:val="1"/>
          <w:numId w:val="15"/>
        </w:numPr>
        <w:spacing w:line="480" w:lineRule="auto"/>
        <w:jc w:val="both"/>
        <w:rPr>
          <w:rFonts w:ascii="Arial" w:hAnsi="Arial" w:cs="Arial"/>
        </w:rPr>
      </w:pPr>
      <w:r>
        <w:rPr>
          <w:rFonts w:ascii="Arial" w:hAnsi="Arial" w:cs="Arial"/>
        </w:rPr>
        <w:t>De diafragma</w:t>
      </w:r>
    </w:p>
    <w:p w:rsidR="00000000" w:rsidRDefault="000802FC" w:rsidP="000802FC">
      <w:pPr>
        <w:numPr>
          <w:ilvl w:val="0"/>
          <w:numId w:val="9"/>
        </w:numPr>
        <w:tabs>
          <w:tab w:val="num" w:pos="720"/>
        </w:tabs>
        <w:spacing w:line="480" w:lineRule="auto"/>
        <w:jc w:val="both"/>
        <w:rPr>
          <w:rFonts w:ascii="Arial" w:hAnsi="Arial" w:cs="Arial"/>
        </w:rPr>
      </w:pPr>
      <w:r>
        <w:rPr>
          <w:rFonts w:ascii="Arial" w:hAnsi="Arial" w:cs="Arial"/>
        </w:rPr>
        <w:t>Cinéticas</w:t>
      </w:r>
    </w:p>
    <w:p w:rsidR="00000000" w:rsidRDefault="000802FC" w:rsidP="000802FC">
      <w:pPr>
        <w:numPr>
          <w:ilvl w:val="2"/>
          <w:numId w:val="8"/>
        </w:numPr>
        <w:spacing w:line="480" w:lineRule="auto"/>
        <w:jc w:val="both"/>
        <w:rPr>
          <w:rFonts w:ascii="Arial" w:hAnsi="Arial" w:cs="Arial"/>
        </w:rPr>
      </w:pPr>
      <w:r>
        <w:rPr>
          <w:rFonts w:ascii="Arial" w:hAnsi="Arial" w:cs="Arial"/>
        </w:rPr>
        <w:t>Centrífuga</w:t>
      </w:r>
    </w:p>
    <w:p w:rsidR="00000000" w:rsidRDefault="000802FC" w:rsidP="000802FC">
      <w:pPr>
        <w:numPr>
          <w:ilvl w:val="1"/>
          <w:numId w:val="16"/>
        </w:numPr>
        <w:spacing w:line="480" w:lineRule="auto"/>
        <w:jc w:val="both"/>
        <w:rPr>
          <w:rFonts w:ascii="Arial" w:hAnsi="Arial" w:cs="Arial"/>
        </w:rPr>
      </w:pPr>
      <w:r>
        <w:rPr>
          <w:rFonts w:ascii="Arial" w:hAnsi="Arial" w:cs="Arial"/>
        </w:rPr>
        <w:t>De flujo radial</w:t>
      </w:r>
    </w:p>
    <w:p w:rsidR="00000000" w:rsidRDefault="000802FC" w:rsidP="000802FC">
      <w:pPr>
        <w:numPr>
          <w:ilvl w:val="1"/>
          <w:numId w:val="16"/>
        </w:numPr>
        <w:spacing w:line="480" w:lineRule="auto"/>
        <w:jc w:val="both"/>
        <w:rPr>
          <w:rFonts w:ascii="Arial" w:hAnsi="Arial" w:cs="Arial"/>
        </w:rPr>
      </w:pPr>
      <w:r>
        <w:rPr>
          <w:rFonts w:ascii="Arial" w:hAnsi="Arial" w:cs="Arial"/>
        </w:rPr>
        <w:t>De flujo axial</w:t>
      </w:r>
    </w:p>
    <w:p w:rsidR="00000000" w:rsidRDefault="000802FC">
      <w:pPr>
        <w:spacing w:line="480" w:lineRule="auto"/>
        <w:ind w:left="1134"/>
        <w:jc w:val="both"/>
        <w:rPr>
          <w:rFonts w:ascii="Arial" w:hAnsi="Arial" w:cs="Arial"/>
          <w:iCs/>
        </w:rPr>
      </w:pPr>
      <w:r>
        <w:rPr>
          <w:rFonts w:ascii="Arial" w:hAnsi="Arial" w:cs="Arial"/>
          <w:iCs/>
        </w:rPr>
        <w:lastRenderedPageBreak/>
        <w:t>En la industria del petróleo está muy generalizado el uso de bombas de desplazamiento positi</w:t>
      </w:r>
      <w:r>
        <w:rPr>
          <w:rFonts w:ascii="Arial" w:hAnsi="Arial" w:cs="Arial"/>
          <w:iCs/>
        </w:rPr>
        <w:t>vo reciprocantes de pistón, debido a la gran presión que se obtiene de este tipo de bombas. Se utilizan en operaciones como: bombeo de Petróleo Crudo, adición de presión en operaciones de limpieza interna de tuberías, entre otras. Todos los elementos que s</w:t>
      </w:r>
      <w:r>
        <w:rPr>
          <w:rFonts w:ascii="Arial" w:hAnsi="Arial" w:cs="Arial"/>
          <w:iCs/>
        </w:rPr>
        <w:t xml:space="preserve">e utilizan en la industria del petróleo deben cumplir códigos y estándares. </w:t>
      </w:r>
    </w:p>
    <w:p w:rsidR="00000000" w:rsidRDefault="000802FC">
      <w:pPr>
        <w:spacing w:line="480" w:lineRule="auto"/>
        <w:ind w:left="1134"/>
        <w:jc w:val="both"/>
        <w:rPr>
          <w:rFonts w:ascii="Arial" w:hAnsi="Arial" w:cs="Arial"/>
          <w:iCs/>
        </w:rPr>
      </w:pPr>
    </w:p>
    <w:p w:rsidR="00000000" w:rsidRDefault="000802FC">
      <w:pPr>
        <w:spacing w:line="480" w:lineRule="auto"/>
        <w:ind w:left="1134"/>
        <w:jc w:val="both"/>
        <w:rPr>
          <w:rFonts w:ascii="Arial" w:hAnsi="Arial" w:cs="Arial"/>
          <w:iCs/>
        </w:rPr>
      </w:pPr>
      <w:r>
        <w:rPr>
          <w:rFonts w:ascii="Arial" w:hAnsi="Arial" w:cs="Arial"/>
          <w:iCs/>
        </w:rPr>
        <w:t>Las normas dictadas por el Instituto Americano de Petróleo (API), rigen las características constructivas de la mayoría de los equipos que se utilizan en las refinerías, además e</w:t>
      </w:r>
      <w:r>
        <w:rPr>
          <w:rFonts w:ascii="Arial" w:hAnsi="Arial" w:cs="Arial"/>
          <w:iCs/>
        </w:rPr>
        <w:t>ste código especifica muchos de los procedimientos de inspección y diseño que se ejecutan en este medio.</w:t>
      </w:r>
    </w:p>
    <w:p w:rsidR="00000000" w:rsidRDefault="000802FC">
      <w:pPr>
        <w:spacing w:line="480" w:lineRule="auto"/>
        <w:ind w:left="1134"/>
        <w:jc w:val="both"/>
        <w:rPr>
          <w:rFonts w:ascii="Arial" w:hAnsi="Arial" w:cs="Arial"/>
          <w:iCs/>
        </w:rPr>
      </w:pPr>
    </w:p>
    <w:p w:rsidR="00000000" w:rsidRDefault="000802FC">
      <w:pPr>
        <w:spacing w:line="480" w:lineRule="auto"/>
        <w:ind w:left="1134"/>
        <w:jc w:val="both"/>
        <w:rPr>
          <w:rFonts w:ascii="Arial" w:hAnsi="Arial" w:cs="Arial"/>
          <w:iCs/>
        </w:rPr>
      </w:pPr>
      <w:r>
        <w:rPr>
          <w:rFonts w:ascii="Arial" w:hAnsi="Arial" w:cs="Arial"/>
          <w:iCs/>
        </w:rPr>
        <w:t>El sistema de bombeo propuesto en esta tesis, considera como fluido de bombeo productos blancos, los cuales son los derivados de petróleo, tales como:</w:t>
      </w:r>
      <w:r>
        <w:rPr>
          <w:rFonts w:ascii="Arial" w:hAnsi="Arial" w:cs="Arial"/>
          <w:iCs/>
        </w:rPr>
        <w:t xml:space="preserve"> Diesel, gasolina, entre otros. Las características físicas y de diseño de la bomba está determinado por la norma API estándar 610, de la cuál se puede encontrar un extracto en el Apéndice 1. </w:t>
      </w:r>
    </w:p>
    <w:p w:rsidR="00000000" w:rsidRDefault="000802FC">
      <w:pPr>
        <w:spacing w:line="480" w:lineRule="auto"/>
        <w:ind w:left="1134"/>
        <w:jc w:val="both"/>
        <w:rPr>
          <w:rFonts w:ascii="Arial" w:hAnsi="Arial" w:cs="Arial"/>
          <w:iCs/>
        </w:rPr>
      </w:pPr>
      <w:r>
        <w:rPr>
          <w:rFonts w:ascii="Arial" w:hAnsi="Arial" w:cs="Arial"/>
          <w:iCs/>
        </w:rPr>
        <w:lastRenderedPageBreak/>
        <w:t>La bomba búster que se va a implementar en el sistema de bombeo</w:t>
      </w:r>
      <w:r>
        <w:rPr>
          <w:rFonts w:ascii="Arial" w:hAnsi="Arial" w:cs="Arial"/>
          <w:iCs/>
        </w:rPr>
        <w:t xml:space="preserve"> de la estación de bombeo tipo búster, debe cumplir la norma API estándar 610, con lo que queda determinado que la bomba a seleccionarse es de tipo centrífuga.</w:t>
      </w:r>
    </w:p>
    <w:p w:rsidR="00000000" w:rsidRDefault="000802FC">
      <w:pPr>
        <w:spacing w:line="480" w:lineRule="auto"/>
        <w:ind w:left="1134"/>
        <w:jc w:val="both"/>
        <w:rPr>
          <w:rFonts w:ascii="Arial" w:hAnsi="Arial" w:cs="Arial"/>
          <w:iCs/>
        </w:rPr>
      </w:pPr>
    </w:p>
    <w:p w:rsidR="00000000" w:rsidRDefault="000802FC" w:rsidP="000802FC">
      <w:pPr>
        <w:numPr>
          <w:ilvl w:val="1"/>
          <w:numId w:val="2"/>
        </w:numPr>
        <w:tabs>
          <w:tab w:val="clear" w:pos="705"/>
          <w:tab w:val="num" w:pos="1134"/>
        </w:tabs>
        <w:spacing w:line="480" w:lineRule="auto"/>
        <w:ind w:left="1134" w:hanging="567"/>
        <w:jc w:val="both"/>
        <w:rPr>
          <w:rFonts w:ascii="Arial" w:hAnsi="Arial" w:cs="Arial"/>
          <w:b/>
          <w:bCs/>
        </w:rPr>
      </w:pPr>
      <w:r>
        <w:rPr>
          <w:rFonts w:ascii="Arial" w:hAnsi="Arial" w:cs="Arial"/>
          <w:b/>
          <w:bCs/>
        </w:rPr>
        <w:t>CONDICIONES DE RECEPCIÓN Y DESPACHO EN EL TERMINAL</w:t>
      </w:r>
    </w:p>
    <w:p w:rsidR="00000000" w:rsidRDefault="000802FC">
      <w:pPr>
        <w:spacing w:line="480" w:lineRule="auto"/>
        <w:ind w:left="1134"/>
        <w:jc w:val="both"/>
        <w:rPr>
          <w:rFonts w:ascii="Arial" w:hAnsi="Arial" w:cs="Arial"/>
        </w:rPr>
      </w:pPr>
      <w:r>
        <w:rPr>
          <w:rFonts w:ascii="Arial" w:hAnsi="Arial" w:cs="Arial"/>
        </w:rPr>
        <w:t>Las condiciones de recepción y despacho en u</w:t>
      </w:r>
      <w:r>
        <w:rPr>
          <w:rFonts w:ascii="Arial" w:hAnsi="Arial" w:cs="Arial"/>
        </w:rPr>
        <w:t>n Terminal Marítimo, están relacionadas con la capacidad de almacenamiento de los tanques en tierra, los Buques tanque que hacen uso del terminal, y el diseño del sistema de recepción y despacho utilizado.</w:t>
      </w:r>
    </w:p>
    <w:p w:rsidR="00000000" w:rsidRDefault="000802FC">
      <w:pPr>
        <w:spacing w:line="480" w:lineRule="auto"/>
        <w:ind w:left="1134"/>
        <w:jc w:val="both"/>
        <w:rPr>
          <w:rFonts w:ascii="Arial" w:hAnsi="Arial" w:cs="Arial"/>
        </w:rPr>
      </w:pPr>
    </w:p>
    <w:p w:rsidR="00000000" w:rsidRDefault="000802FC">
      <w:pPr>
        <w:spacing w:line="480" w:lineRule="auto"/>
        <w:ind w:left="1134"/>
        <w:jc w:val="both"/>
        <w:rPr>
          <w:rFonts w:ascii="Arial" w:hAnsi="Arial" w:cs="Arial"/>
          <w:b/>
          <w:u w:val="single"/>
        </w:rPr>
      </w:pPr>
      <w:r>
        <w:rPr>
          <w:rFonts w:ascii="Arial" w:hAnsi="Arial" w:cs="Arial"/>
          <w:b/>
          <w:u w:val="single"/>
        </w:rPr>
        <w:t>Tanques de Almacenamiento</w:t>
      </w:r>
    </w:p>
    <w:p w:rsidR="00000000" w:rsidRDefault="000802FC">
      <w:pPr>
        <w:spacing w:line="480" w:lineRule="auto"/>
        <w:ind w:left="1134"/>
        <w:jc w:val="both"/>
        <w:rPr>
          <w:rFonts w:ascii="Arial" w:hAnsi="Arial" w:cs="Arial"/>
        </w:rPr>
      </w:pPr>
      <w:r>
        <w:rPr>
          <w:rFonts w:ascii="Arial" w:hAnsi="Arial" w:cs="Arial"/>
        </w:rPr>
        <w:t>Los tanques de almacena</w:t>
      </w:r>
      <w:r>
        <w:rPr>
          <w:rFonts w:ascii="Arial" w:hAnsi="Arial" w:cs="Arial"/>
        </w:rPr>
        <w:t>miento tienen diferentes dimensiones y usos, pero generalmente se utiliza como lugar de almacenamiento de combustible antes de iniciar su distribución.</w:t>
      </w:r>
    </w:p>
    <w:p w:rsidR="00000000" w:rsidRDefault="000802FC">
      <w:pPr>
        <w:spacing w:line="480" w:lineRule="auto"/>
        <w:ind w:left="1134"/>
        <w:jc w:val="both"/>
        <w:rPr>
          <w:rFonts w:ascii="Arial" w:hAnsi="Arial" w:cs="Arial"/>
        </w:rPr>
      </w:pPr>
    </w:p>
    <w:p w:rsidR="00000000" w:rsidRDefault="000802FC">
      <w:pPr>
        <w:spacing w:line="480" w:lineRule="auto"/>
        <w:ind w:left="1134"/>
        <w:jc w:val="both"/>
        <w:rPr>
          <w:rFonts w:ascii="Arial" w:hAnsi="Arial" w:cs="Arial"/>
        </w:rPr>
      </w:pPr>
      <w:r>
        <w:rPr>
          <w:rFonts w:ascii="Arial" w:hAnsi="Arial" w:cs="Arial"/>
        </w:rPr>
        <w:t>Las dimensiones están regidas por el Instituto Americano de Petróleo (API), como se puede observar en e</w:t>
      </w:r>
      <w:r>
        <w:rPr>
          <w:rFonts w:ascii="Arial" w:hAnsi="Arial" w:cs="Arial"/>
        </w:rPr>
        <w:t>l Apéndice 2.</w:t>
      </w:r>
    </w:p>
    <w:p w:rsidR="00000000" w:rsidRDefault="000802FC">
      <w:pPr>
        <w:spacing w:line="480" w:lineRule="auto"/>
        <w:ind w:left="1134"/>
        <w:jc w:val="both"/>
        <w:rPr>
          <w:rFonts w:ascii="Arial" w:hAnsi="Arial" w:cs="Arial"/>
        </w:rPr>
      </w:pPr>
    </w:p>
    <w:p w:rsidR="00000000" w:rsidRDefault="000802FC">
      <w:pPr>
        <w:pStyle w:val="Ttulo7"/>
        <w:spacing w:line="480" w:lineRule="auto"/>
        <w:ind w:left="1134"/>
        <w:rPr>
          <w:rFonts w:ascii="Arial" w:hAnsi="Arial" w:cs="Arial"/>
          <w:b/>
          <w:bCs/>
          <w:i w:val="0"/>
          <w:iCs w:val="0"/>
          <w:u w:val="single"/>
        </w:rPr>
      </w:pPr>
      <w:r>
        <w:rPr>
          <w:rFonts w:ascii="Arial" w:hAnsi="Arial" w:cs="Arial"/>
          <w:b/>
          <w:bCs/>
          <w:i w:val="0"/>
          <w:iCs w:val="0"/>
          <w:u w:val="single"/>
        </w:rPr>
        <w:lastRenderedPageBreak/>
        <w:t xml:space="preserve">Buques Tanque </w:t>
      </w:r>
    </w:p>
    <w:p w:rsidR="00000000" w:rsidRDefault="000802FC">
      <w:pPr>
        <w:spacing w:line="480" w:lineRule="auto"/>
        <w:ind w:left="1134"/>
        <w:jc w:val="both"/>
        <w:rPr>
          <w:rFonts w:ascii="Arial" w:hAnsi="Arial" w:cs="Arial"/>
        </w:rPr>
      </w:pPr>
      <w:r>
        <w:rPr>
          <w:rFonts w:ascii="Arial" w:hAnsi="Arial" w:cs="Arial"/>
        </w:rPr>
        <w:t>Los Buques tanque son embarcaciones que almacenan y transportan el petróleo crudo y los derivados de petróleo, recorriendo grandes distancias a través del mar. Es un medio de transporte característico en la industria del Petró</w:t>
      </w:r>
      <w:r>
        <w:rPr>
          <w:rFonts w:ascii="Arial" w:hAnsi="Arial" w:cs="Arial"/>
        </w:rPr>
        <w:t xml:space="preserve">leo, y sus diseños son tan grandes que hay pocos puertos que pueden recibirlos. </w:t>
      </w:r>
    </w:p>
    <w:p w:rsidR="00000000" w:rsidRDefault="000802FC">
      <w:pPr>
        <w:spacing w:line="480" w:lineRule="auto"/>
        <w:ind w:left="1134"/>
        <w:jc w:val="both"/>
        <w:rPr>
          <w:rFonts w:ascii="Arial" w:hAnsi="Arial" w:cs="Arial"/>
        </w:rPr>
      </w:pPr>
    </w:p>
    <w:p w:rsidR="00000000" w:rsidRDefault="000802FC">
      <w:pPr>
        <w:spacing w:line="480" w:lineRule="auto"/>
        <w:ind w:left="1134"/>
        <w:jc w:val="center"/>
        <w:rPr>
          <w:rFonts w:ascii="Arial" w:hAnsi="Arial" w:cs="Arial"/>
        </w:rPr>
      </w:pPr>
      <w:r>
        <w:rPr>
          <w:rFonts w:ascii="Arial" w:hAnsi="Arial" w:cs="Arial"/>
        </w:rPr>
        <w:t>TABLA 1</w:t>
      </w:r>
    </w:p>
    <w:p w:rsidR="00000000" w:rsidRDefault="000802FC">
      <w:pPr>
        <w:spacing w:line="480" w:lineRule="auto"/>
        <w:ind w:left="1134"/>
        <w:jc w:val="center"/>
        <w:rPr>
          <w:rFonts w:ascii="Arial" w:hAnsi="Arial" w:cs="Arial"/>
        </w:rPr>
      </w:pPr>
      <w:r>
        <w:rPr>
          <w:rFonts w:ascii="Arial" w:hAnsi="Arial" w:cs="Arial"/>
        </w:rPr>
        <w:t>TAMAÑOS TÍPICOS DE BUQUES TANQUE (*)</w:t>
      </w:r>
    </w:p>
    <w:p w:rsidR="00000000" w:rsidRDefault="000802FC">
      <w:pPr>
        <w:spacing w:line="480" w:lineRule="auto"/>
        <w:ind w:left="1134"/>
        <w:jc w:val="both"/>
        <w:rPr>
          <w:rFonts w:ascii="Arial" w:hAnsi="Arial" w:cs="Arial"/>
        </w:rPr>
      </w:pPr>
    </w:p>
    <w:tbl>
      <w:tblPr>
        <w:tblW w:w="7389" w:type="dxa"/>
        <w:tblInd w:w="1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14"/>
        <w:gridCol w:w="2475"/>
      </w:tblGrid>
      <w:tr w:rsidR="00000000">
        <w:tc>
          <w:tcPr>
            <w:tcW w:w="4914" w:type="dxa"/>
            <w:vAlign w:val="center"/>
          </w:tcPr>
          <w:p w:rsidR="00000000" w:rsidRDefault="000802FC">
            <w:pPr>
              <w:spacing w:line="480" w:lineRule="auto"/>
              <w:jc w:val="center"/>
              <w:rPr>
                <w:rFonts w:ascii="Arial" w:hAnsi="Arial" w:cs="Arial"/>
              </w:rPr>
            </w:pPr>
            <w:r>
              <w:rPr>
                <w:rFonts w:ascii="Arial" w:hAnsi="Arial" w:cs="Arial"/>
              </w:rPr>
              <w:t>TIPO DE BUQUES</w:t>
            </w:r>
          </w:p>
        </w:tc>
        <w:tc>
          <w:tcPr>
            <w:tcW w:w="2475" w:type="dxa"/>
            <w:vAlign w:val="center"/>
          </w:tcPr>
          <w:p w:rsidR="00000000" w:rsidRDefault="000802FC">
            <w:pPr>
              <w:spacing w:line="480" w:lineRule="auto"/>
              <w:jc w:val="center"/>
              <w:rPr>
                <w:rFonts w:ascii="Arial" w:hAnsi="Arial" w:cs="Arial"/>
              </w:rPr>
            </w:pPr>
            <w:r>
              <w:rPr>
                <w:rFonts w:ascii="Arial" w:hAnsi="Arial" w:cs="Arial"/>
              </w:rPr>
              <w:t>DIMENSIÓN EN DWT</w:t>
            </w:r>
          </w:p>
        </w:tc>
      </w:tr>
      <w:tr w:rsidR="00000000">
        <w:tc>
          <w:tcPr>
            <w:tcW w:w="4914" w:type="dxa"/>
            <w:vAlign w:val="center"/>
          </w:tcPr>
          <w:p w:rsidR="00000000" w:rsidRDefault="000802FC">
            <w:pPr>
              <w:spacing w:line="480" w:lineRule="auto"/>
              <w:rPr>
                <w:rFonts w:ascii="Arial" w:hAnsi="Arial" w:cs="Arial"/>
              </w:rPr>
            </w:pPr>
            <w:r>
              <w:rPr>
                <w:rFonts w:ascii="Arial" w:hAnsi="Arial" w:cs="Arial"/>
              </w:rPr>
              <w:t>Portador General</w:t>
            </w:r>
          </w:p>
        </w:tc>
        <w:tc>
          <w:tcPr>
            <w:tcW w:w="2475" w:type="dxa"/>
            <w:vAlign w:val="center"/>
          </w:tcPr>
          <w:p w:rsidR="00000000" w:rsidRDefault="000802FC">
            <w:pPr>
              <w:spacing w:line="480" w:lineRule="auto"/>
              <w:jc w:val="center"/>
              <w:rPr>
                <w:rFonts w:ascii="Arial" w:hAnsi="Arial" w:cs="Arial"/>
              </w:rPr>
            </w:pPr>
            <w:r>
              <w:rPr>
                <w:rFonts w:ascii="Arial" w:hAnsi="Arial" w:cs="Arial"/>
              </w:rPr>
              <w:t>Mayor a 25.000</w:t>
            </w:r>
          </w:p>
        </w:tc>
      </w:tr>
      <w:tr w:rsidR="00000000">
        <w:trPr>
          <w:trHeight w:val="333"/>
        </w:trPr>
        <w:tc>
          <w:tcPr>
            <w:tcW w:w="4914" w:type="dxa"/>
            <w:vAlign w:val="center"/>
          </w:tcPr>
          <w:p w:rsidR="00000000" w:rsidRDefault="000802FC">
            <w:pPr>
              <w:spacing w:line="480" w:lineRule="auto"/>
              <w:rPr>
                <w:rFonts w:ascii="Arial" w:hAnsi="Arial" w:cs="Arial"/>
                <w:lang w:val="fr-FR"/>
              </w:rPr>
            </w:pPr>
            <w:r>
              <w:rPr>
                <w:rFonts w:ascii="Arial" w:hAnsi="Arial" w:cs="Arial"/>
                <w:lang w:val="fr-FR"/>
              </w:rPr>
              <w:t xml:space="preserve">B/T Super </w:t>
            </w:r>
            <w:r>
              <w:rPr>
                <w:rFonts w:ascii="Arial" w:hAnsi="Arial" w:cs="Arial"/>
                <w:lang w:val="es-EC"/>
              </w:rPr>
              <w:t>tanque</w:t>
            </w:r>
            <w:r>
              <w:rPr>
                <w:rFonts w:ascii="Arial" w:hAnsi="Arial" w:cs="Arial"/>
                <w:lang w:val="fr-FR"/>
              </w:rPr>
              <w:t xml:space="preserve"> y Grandes</w:t>
            </w:r>
          </w:p>
        </w:tc>
        <w:tc>
          <w:tcPr>
            <w:tcW w:w="2475" w:type="dxa"/>
            <w:vAlign w:val="center"/>
          </w:tcPr>
          <w:p w:rsidR="00000000" w:rsidRDefault="000802FC">
            <w:pPr>
              <w:spacing w:line="480" w:lineRule="auto"/>
              <w:jc w:val="center"/>
              <w:rPr>
                <w:rFonts w:ascii="Arial" w:hAnsi="Arial" w:cs="Arial"/>
              </w:rPr>
            </w:pPr>
            <w:r>
              <w:rPr>
                <w:rFonts w:ascii="Arial" w:hAnsi="Arial" w:cs="Arial"/>
              </w:rPr>
              <w:t>25.000 – 150.000</w:t>
            </w:r>
          </w:p>
        </w:tc>
      </w:tr>
      <w:tr w:rsidR="00000000">
        <w:tc>
          <w:tcPr>
            <w:tcW w:w="4914" w:type="dxa"/>
            <w:vAlign w:val="center"/>
          </w:tcPr>
          <w:p w:rsidR="00000000" w:rsidRDefault="000802FC">
            <w:pPr>
              <w:spacing w:line="480" w:lineRule="auto"/>
              <w:rPr>
                <w:rFonts w:ascii="Arial" w:hAnsi="Arial" w:cs="Arial"/>
                <w:lang w:val="es-EC"/>
              </w:rPr>
            </w:pPr>
            <w:r>
              <w:rPr>
                <w:rFonts w:ascii="Arial" w:hAnsi="Arial" w:cs="Arial"/>
              </w:rPr>
              <w:t>Portadores de cru</w:t>
            </w:r>
            <w:r>
              <w:rPr>
                <w:rFonts w:ascii="Arial" w:hAnsi="Arial" w:cs="Arial"/>
              </w:rPr>
              <w:t>do muy grandes (</w:t>
            </w:r>
            <w:r>
              <w:rPr>
                <w:rFonts w:ascii="Arial" w:hAnsi="Arial" w:cs="Arial"/>
                <w:lang w:val="es-EC"/>
              </w:rPr>
              <w:t>VLLCC)</w:t>
            </w:r>
          </w:p>
        </w:tc>
        <w:tc>
          <w:tcPr>
            <w:tcW w:w="2475" w:type="dxa"/>
            <w:vAlign w:val="center"/>
          </w:tcPr>
          <w:p w:rsidR="00000000" w:rsidRDefault="000802FC">
            <w:pPr>
              <w:spacing w:line="480" w:lineRule="auto"/>
              <w:jc w:val="center"/>
              <w:rPr>
                <w:rFonts w:ascii="Arial" w:hAnsi="Arial" w:cs="Arial"/>
              </w:rPr>
            </w:pPr>
            <w:r>
              <w:rPr>
                <w:rFonts w:ascii="Arial" w:hAnsi="Arial" w:cs="Arial"/>
              </w:rPr>
              <w:t>150000 – 300.000</w:t>
            </w:r>
          </w:p>
        </w:tc>
      </w:tr>
      <w:tr w:rsidR="00000000">
        <w:tc>
          <w:tcPr>
            <w:tcW w:w="4914" w:type="dxa"/>
            <w:vAlign w:val="center"/>
          </w:tcPr>
          <w:p w:rsidR="00000000" w:rsidRDefault="000802FC">
            <w:pPr>
              <w:spacing w:line="480" w:lineRule="auto"/>
              <w:rPr>
                <w:rFonts w:ascii="Arial" w:hAnsi="Arial" w:cs="Arial"/>
                <w:lang w:val="es-EC"/>
              </w:rPr>
            </w:pPr>
            <w:r>
              <w:rPr>
                <w:rFonts w:ascii="Arial" w:hAnsi="Arial" w:cs="Arial"/>
              </w:rPr>
              <w:t xml:space="preserve">Portadores de crudo ultra grandes </w:t>
            </w:r>
            <w:r>
              <w:rPr>
                <w:rFonts w:ascii="Arial" w:hAnsi="Arial" w:cs="Arial"/>
                <w:lang w:val="es-EC"/>
              </w:rPr>
              <w:t>(ULCC)</w:t>
            </w:r>
          </w:p>
        </w:tc>
        <w:tc>
          <w:tcPr>
            <w:tcW w:w="2475" w:type="dxa"/>
            <w:vAlign w:val="center"/>
          </w:tcPr>
          <w:p w:rsidR="00000000" w:rsidRDefault="000802FC">
            <w:pPr>
              <w:spacing w:line="480" w:lineRule="auto"/>
              <w:jc w:val="center"/>
              <w:rPr>
                <w:rFonts w:ascii="Arial" w:hAnsi="Arial" w:cs="Arial"/>
              </w:rPr>
            </w:pPr>
            <w:r>
              <w:rPr>
                <w:rFonts w:ascii="Arial" w:hAnsi="Arial" w:cs="Arial"/>
              </w:rPr>
              <w:t>Mayor que 300.000</w:t>
            </w:r>
          </w:p>
        </w:tc>
      </w:tr>
    </w:tbl>
    <w:p w:rsidR="00000000" w:rsidRDefault="000802FC">
      <w:pPr>
        <w:spacing w:before="120" w:line="480" w:lineRule="auto"/>
        <w:ind w:left="1134"/>
        <w:jc w:val="both"/>
        <w:rPr>
          <w:rFonts w:ascii="Arial" w:hAnsi="Arial" w:cs="Arial"/>
          <w:lang w:val="en-US"/>
        </w:rPr>
      </w:pPr>
      <w:r>
        <w:rPr>
          <w:rFonts w:ascii="Arial" w:hAnsi="Arial" w:cs="Arial"/>
          <w:lang w:val="en-US"/>
        </w:rPr>
        <w:t>*TOMADO DE ELEMENTS OF OIL TANKERS TRANSPORTATION</w:t>
      </w:r>
    </w:p>
    <w:p w:rsidR="00000000" w:rsidRDefault="000802FC">
      <w:pPr>
        <w:spacing w:line="480" w:lineRule="auto"/>
        <w:ind w:left="1134"/>
        <w:jc w:val="both"/>
        <w:rPr>
          <w:rFonts w:ascii="Arial" w:hAnsi="Arial" w:cs="Arial"/>
          <w:iCs/>
          <w:lang w:val="es-EC"/>
        </w:rPr>
      </w:pPr>
      <w:r>
        <w:rPr>
          <w:rFonts w:ascii="Arial" w:hAnsi="Arial" w:cs="Arial"/>
          <w:iCs/>
          <w:lang w:val="es-EC"/>
        </w:rPr>
        <w:t>Los Buques más grandes, conocidos como VLCC, y ULCC, pasan su tiempo en el mar en varios puntos del globo</w:t>
      </w:r>
      <w:r>
        <w:rPr>
          <w:rFonts w:ascii="Arial" w:hAnsi="Arial" w:cs="Arial"/>
          <w:iCs/>
          <w:lang w:val="es-EC"/>
        </w:rPr>
        <w:t xml:space="preserve">, cargando y descargando crudo sin entrar alguna vez a un puerto. </w:t>
      </w:r>
    </w:p>
    <w:p w:rsidR="00000000" w:rsidRDefault="000802FC">
      <w:pPr>
        <w:spacing w:line="480" w:lineRule="auto"/>
        <w:ind w:left="1134"/>
        <w:jc w:val="both"/>
        <w:rPr>
          <w:rFonts w:ascii="Arial" w:hAnsi="Arial" w:cs="Arial"/>
          <w:iCs/>
          <w:lang w:val="es-EC"/>
        </w:rPr>
      </w:pPr>
    </w:p>
    <w:p w:rsidR="00000000" w:rsidRDefault="000802FC">
      <w:pPr>
        <w:spacing w:line="480" w:lineRule="auto"/>
        <w:ind w:left="1134"/>
        <w:jc w:val="both"/>
        <w:rPr>
          <w:rFonts w:ascii="Arial" w:hAnsi="Arial" w:cs="Arial"/>
          <w:iCs/>
        </w:rPr>
      </w:pPr>
      <w:r>
        <w:rPr>
          <w:rFonts w:ascii="Arial" w:hAnsi="Arial" w:cs="Arial"/>
          <w:iCs/>
        </w:rPr>
        <w:t>Plataformas marinas, islas artificiales, o sistemas de amarre de boyas lejos de la costa se utilizan para la carga y descarga de los productos que transportan estos Buques tanque.</w:t>
      </w:r>
    </w:p>
    <w:p w:rsidR="00000000" w:rsidRDefault="000802FC">
      <w:pPr>
        <w:spacing w:line="480" w:lineRule="auto"/>
        <w:ind w:left="1134"/>
        <w:jc w:val="both"/>
        <w:rPr>
          <w:rFonts w:ascii="Arial" w:hAnsi="Arial" w:cs="Arial"/>
          <w:iCs/>
        </w:rPr>
      </w:pPr>
    </w:p>
    <w:p w:rsidR="00000000" w:rsidRDefault="000802FC">
      <w:pPr>
        <w:spacing w:line="480" w:lineRule="auto"/>
        <w:ind w:left="1134"/>
        <w:jc w:val="center"/>
        <w:rPr>
          <w:rFonts w:ascii="Arial" w:hAnsi="Arial" w:cs="Arial"/>
          <w:iCs/>
        </w:rPr>
      </w:pPr>
      <w:r>
        <w:object w:dxaOrig="5595" w:dyaOrig="4005">
          <v:shape id="_x0000_i1027" type="#_x0000_t75" style="width:340pt;height:244pt" o:ole="" o:bordertopcolor="this" o:borderleftcolor="this" o:borderbottomcolor="this" o:borderrightcolor="this">
            <v:imagedata r:id="rId11" o:title=""/>
            <w10:bordertop type="single" width="8"/>
            <w10:borderleft type="single" width="8"/>
            <w10:borderbottom type="single" width="8"/>
            <w10:borderright type="single" width="8"/>
          </v:shape>
          <o:OLEObject Type="Embed" ProgID="AutoCAD.Drawing.15" ShapeID="_x0000_i1027" DrawAspect="Content" ObjectID="_1307346494" r:id="rId12"/>
        </w:object>
      </w:r>
    </w:p>
    <w:p w:rsidR="00000000" w:rsidRDefault="000802FC">
      <w:pPr>
        <w:spacing w:line="480" w:lineRule="auto"/>
        <w:ind w:left="1134"/>
        <w:jc w:val="both"/>
        <w:rPr>
          <w:rFonts w:ascii="Arial" w:hAnsi="Arial" w:cs="Arial"/>
          <w:iCs/>
        </w:rPr>
      </w:pPr>
    </w:p>
    <w:p w:rsidR="00000000" w:rsidRDefault="000802FC">
      <w:pPr>
        <w:spacing w:line="480" w:lineRule="auto"/>
        <w:ind w:left="1134"/>
        <w:jc w:val="both"/>
        <w:rPr>
          <w:rFonts w:ascii="Arial" w:hAnsi="Arial" w:cs="Arial"/>
          <w:iCs/>
          <w:lang w:val="es-EC"/>
        </w:rPr>
      </w:pPr>
      <w:r>
        <w:rPr>
          <w:rFonts w:ascii="Arial" w:hAnsi="Arial" w:cs="Arial"/>
          <w:iCs/>
        </w:rPr>
        <w:t>FIGURA 1.3.</w:t>
      </w:r>
      <w:r>
        <w:rPr>
          <w:rFonts w:ascii="Arial" w:hAnsi="Arial" w:cs="Arial"/>
          <w:iCs/>
        </w:rPr>
        <w:tab/>
        <w:t xml:space="preserve">TAMAÑO RELATIVO DE LOS BUQUES. </w:t>
      </w:r>
      <w:r>
        <w:rPr>
          <w:rFonts w:ascii="Arial" w:hAnsi="Arial" w:cs="Arial"/>
          <w:iCs/>
          <w:lang w:val="es-EC"/>
        </w:rPr>
        <w:t>TOMADA DE ELEMENTS OF OIL –TANKERS TRANSPORTATION.</w:t>
      </w:r>
    </w:p>
    <w:p w:rsidR="00000000" w:rsidRDefault="000802FC">
      <w:pPr>
        <w:spacing w:line="480" w:lineRule="auto"/>
        <w:ind w:left="1134"/>
        <w:jc w:val="both"/>
        <w:rPr>
          <w:rFonts w:ascii="Arial" w:hAnsi="Arial" w:cs="Arial"/>
          <w:iCs/>
          <w:u w:val="single"/>
        </w:rPr>
      </w:pPr>
      <w:r>
        <w:rPr>
          <w:rFonts w:ascii="Arial" w:hAnsi="Arial" w:cs="Arial"/>
          <w:iCs/>
          <w:u w:val="single"/>
        </w:rPr>
        <w:t>Recepción y despacho de producto</w:t>
      </w:r>
    </w:p>
    <w:p w:rsidR="00000000" w:rsidRDefault="000802FC">
      <w:pPr>
        <w:spacing w:line="480" w:lineRule="auto"/>
        <w:ind w:left="1134"/>
        <w:jc w:val="both"/>
        <w:rPr>
          <w:rFonts w:ascii="Arial" w:hAnsi="Arial" w:cs="Arial"/>
          <w:iCs/>
        </w:rPr>
      </w:pPr>
      <w:r>
        <w:rPr>
          <w:rFonts w:ascii="Arial" w:hAnsi="Arial" w:cs="Arial"/>
          <w:iCs/>
        </w:rPr>
        <w:lastRenderedPageBreak/>
        <w:t xml:space="preserve">Las operaciones de recepción y despacho de producto, son realizadas principalmente por los sistemas de </w:t>
      </w:r>
      <w:r>
        <w:rPr>
          <w:rFonts w:ascii="Arial" w:hAnsi="Arial" w:cs="Arial"/>
          <w:iCs/>
        </w:rPr>
        <w:t xml:space="preserve">bombeo con los que cuenta el Buque tanque y la estación de bombeo búster en tierra. </w:t>
      </w:r>
    </w:p>
    <w:p w:rsidR="00000000" w:rsidRDefault="000802FC">
      <w:pPr>
        <w:spacing w:line="480" w:lineRule="auto"/>
        <w:ind w:left="1134"/>
        <w:jc w:val="both"/>
        <w:rPr>
          <w:rFonts w:ascii="Arial" w:hAnsi="Arial" w:cs="Arial"/>
          <w:iCs/>
        </w:rPr>
      </w:pPr>
    </w:p>
    <w:p w:rsidR="00000000" w:rsidRDefault="000802FC">
      <w:pPr>
        <w:spacing w:line="480" w:lineRule="auto"/>
        <w:ind w:left="1134"/>
        <w:jc w:val="both"/>
        <w:rPr>
          <w:rFonts w:ascii="Arial" w:hAnsi="Arial" w:cs="Arial"/>
          <w:iCs/>
        </w:rPr>
      </w:pPr>
      <w:r>
        <w:rPr>
          <w:rFonts w:ascii="Arial" w:hAnsi="Arial" w:cs="Arial"/>
          <w:iCs/>
        </w:rPr>
        <w:t>En ambas operaciones de bombeo, el Buque tanque conecta las mangueras submarinas flexibles al manifold del B/T. Se denomina operación de recepción de producto, cuando los</w:t>
      </w:r>
      <w:r>
        <w:rPr>
          <w:rFonts w:ascii="Arial" w:hAnsi="Arial" w:cs="Arial"/>
          <w:iCs/>
        </w:rPr>
        <w:t xml:space="preserve"> compartimientos del B/T son llenados utilizando las bombas de la estación de bombeo en tierra.</w:t>
      </w:r>
    </w:p>
    <w:p w:rsidR="00000000" w:rsidRDefault="000802FC">
      <w:pPr>
        <w:spacing w:line="480" w:lineRule="auto"/>
        <w:ind w:left="1134"/>
        <w:jc w:val="both"/>
        <w:rPr>
          <w:rFonts w:ascii="Arial" w:hAnsi="Arial" w:cs="Arial"/>
          <w:iCs/>
        </w:rPr>
      </w:pPr>
    </w:p>
    <w:p w:rsidR="00000000" w:rsidRDefault="000802FC">
      <w:pPr>
        <w:spacing w:line="480" w:lineRule="auto"/>
        <w:ind w:left="1134"/>
        <w:jc w:val="both"/>
        <w:rPr>
          <w:rFonts w:ascii="Arial" w:hAnsi="Arial" w:cs="Arial"/>
          <w:iCs/>
        </w:rPr>
      </w:pPr>
      <w:r>
        <w:rPr>
          <w:rFonts w:ascii="Arial" w:hAnsi="Arial" w:cs="Arial"/>
          <w:iCs/>
        </w:rPr>
        <w:t xml:space="preserve">La segunda operación de bombeo, es la operación de reversión. Esta operación consiste en el bombeo del producto hacia los tanques de almacenamiento en tierra, </w:t>
      </w:r>
      <w:r>
        <w:rPr>
          <w:rFonts w:ascii="Arial" w:hAnsi="Arial" w:cs="Arial"/>
          <w:iCs/>
        </w:rPr>
        <w:t>y para este efecto se utiliza las bombas del B/T, para descargar el producto desde el Buque hacia tierra.</w:t>
      </w:r>
    </w:p>
    <w:p w:rsidR="00000000" w:rsidRDefault="000802FC">
      <w:pPr>
        <w:spacing w:line="480" w:lineRule="auto"/>
        <w:ind w:left="1134"/>
        <w:jc w:val="both"/>
        <w:rPr>
          <w:rFonts w:ascii="Arial" w:hAnsi="Arial" w:cs="Arial"/>
          <w:iCs/>
        </w:rPr>
      </w:pPr>
    </w:p>
    <w:p w:rsidR="00000000" w:rsidRDefault="000802FC">
      <w:pPr>
        <w:spacing w:line="480" w:lineRule="auto"/>
        <w:ind w:left="1134"/>
        <w:jc w:val="both"/>
        <w:rPr>
          <w:rFonts w:ascii="Arial" w:hAnsi="Arial" w:cs="Arial"/>
          <w:iCs/>
        </w:rPr>
      </w:pPr>
      <w:r>
        <w:rPr>
          <w:rFonts w:ascii="Arial" w:hAnsi="Arial" w:cs="Arial"/>
          <w:iCs/>
        </w:rPr>
        <w:t>Las bombas del B/T deben garantizar la recepción del producto en la estación búster, para luego bombear el producto hacia los tanques de almacenamien</w:t>
      </w:r>
      <w:r>
        <w:rPr>
          <w:rFonts w:ascii="Arial" w:hAnsi="Arial" w:cs="Arial"/>
          <w:iCs/>
        </w:rPr>
        <w:t>to utilizando las bombas búster.</w:t>
      </w:r>
    </w:p>
    <w:p w:rsidR="00000000" w:rsidRDefault="000802FC">
      <w:pPr>
        <w:spacing w:line="480" w:lineRule="auto"/>
        <w:ind w:left="1134"/>
        <w:jc w:val="both"/>
        <w:rPr>
          <w:rFonts w:ascii="Arial" w:hAnsi="Arial" w:cs="Arial"/>
          <w:iCs/>
        </w:rPr>
      </w:pPr>
    </w:p>
    <w:p w:rsidR="00000000" w:rsidRDefault="000802FC">
      <w:pPr>
        <w:spacing w:line="480" w:lineRule="auto"/>
        <w:ind w:left="1134"/>
        <w:jc w:val="both"/>
        <w:rPr>
          <w:rFonts w:ascii="Arial" w:hAnsi="Arial" w:cs="Arial"/>
          <w:iCs/>
        </w:rPr>
      </w:pPr>
      <w:r>
        <w:rPr>
          <w:rFonts w:ascii="Arial" w:hAnsi="Arial" w:cs="Arial"/>
          <w:iCs/>
        </w:rPr>
        <w:lastRenderedPageBreak/>
        <w:t>Generalmente al viajar, los Buques mantienen almacenado lastre de agua, por lo que es común que los B/T realicen las operaciones de deslastre cuando existe la infraestructura en los puertos donde hacen su ingreso, es decir</w:t>
      </w:r>
      <w:r>
        <w:rPr>
          <w:rFonts w:ascii="Arial" w:hAnsi="Arial" w:cs="Arial"/>
          <w:iCs/>
        </w:rPr>
        <w:t>, una línea habilitada para esta actividad. La capacidad de manejar agua por parte del Buque, además permite realizar las operaciones de limpieza en la línea.</w:t>
      </w:r>
    </w:p>
    <w:p w:rsidR="00000000" w:rsidRDefault="000802FC">
      <w:pPr>
        <w:spacing w:line="480" w:lineRule="auto"/>
        <w:ind w:left="1134"/>
        <w:jc w:val="both"/>
        <w:rPr>
          <w:rFonts w:ascii="Arial" w:hAnsi="Arial" w:cs="Arial"/>
          <w:iCs/>
        </w:rPr>
      </w:pPr>
    </w:p>
    <w:p w:rsidR="00000000" w:rsidRDefault="000802FC">
      <w:pPr>
        <w:pStyle w:val="Textoindependiente"/>
        <w:spacing w:line="480" w:lineRule="auto"/>
        <w:ind w:left="1134"/>
        <w:rPr>
          <w:rFonts w:ascii="Arial" w:hAnsi="Arial" w:cs="Arial"/>
          <w:b w:val="0"/>
          <w:iCs/>
        </w:rPr>
      </w:pPr>
      <w:r>
        <w:rPr>
          <w:rFonts w:ascii="Arial" w:hAnsi="Arial" w:cs="Arial"/>
          <w:b w:val="0"/>
          <w:iCs/>
        </w:rPr>
        <w:t>El lastre de agua que llevan los Buques tanque en los compartimientos, muchas compañías lo utili</w:t>
      </w:r>
      <w:r>
        <w:rPr>
          <w:rFonts w:ascii="Arial" w:hAnsi="Arial" w:cs="Arial"/>
          <w:b w:val="0"/>
          <w:iCs/>
        </w:rPr>
        <w:t>zan para la limpieza de las líneas submarinas.</w:t>
      </w:r>
    </w:p>
    <w:p w:rsidR="00000000" w:rsidRDefault="000802FC">
      <w:pPr>
        <w:spacing w:line="480" w:lineRule="auto"/>
        <w:ind w:left="1134"/>
        <w:rPr>
          <w:rFonts w:ascii="Arial" w:hAnsi="Arial" w:cs="Arial"/>
          <w:iCs/>
        </w:rPr>
      </w:pPr>
    </w:p>
    <w:p w:rsidR="00000000" w:rsidRDefault="000802FC">
      <w:pPr>
        <w:spacing w:line="480" w:lineRule="auto"/>
        <w:ind w:left="1134"/>
        <w:rPr>
          <w:rFonts w:ascii="Arial" w:hAnsi="Arial" w:cs="Arial"/>
          <w:iCs/>
        </w:rPr>
      </w:pPr>
    </w:p>
    <w:p w:rsidR="00000000" w:rsidRDefault="000802FC">
      <w:pPr>
        <w:spacing w:line="480" w:lineRule="auto"/>
        <w:ind w:left="1134"/>
        <w:rPr>
          <w:rFonts w:ascii="Arial" w:hAnsi="Arial" w:cs="Arial"/>
          <w:iCs/>
        </w:rPr>
      </w:pPr>
    </w:p>
    <w:p w:rsidR="00000000" w:rsidRDefault="000802FC">
      <w:pPr>
        <w:spacing w:line="480" w:lineRule="auto"/>
        <w:ind w:left="1134"/>
        <w:rPr>
          <w:rFonts w:ascii="Arial" w:hAnsi="Arial" w:cs="Arial"/>
          <w:iCs/>
        </w:rPr>
      </w:pPr>
    </w:p>
    <w:p w:rsidR="00000000" w:rsidRDefault="000802FC">
      <w:pPr>
        <w:spacing w:line="480" w:lineRule="auto"/>
        <w:ind w:left="1134"/>
        <w:rPr>
          <w:rFonts w:ascii="Arial" w:hAnsi="Arial" w:cs="Arial"/>
          <w:iCs/>
        </w:rPr>
      </w:pPr>
    </w:p>
    <w:p w:rsidR="00000000" w:rsidRDefault="000802FC">
      <w:pPr>
        <w:spacing w:line="480" w:lineRule="auto"/>
        <w:ind w:left="1134"/>
        <w:rPr>
          <w:rFonts w:ascii="Arial" w:hAnsi="Arial" w:cs="Arial"/>
          <w:iCs/>
        </w:rPr>
      </w:pPr>
    </w:p>
    <w:p w:rsidR="00000000" w:rsidRDefault="000802FC">
      <w:pPr>
        <w:spacing w:line="480" w:lineRule="auto"/>
        <w:ind w:left="1134"/>
        <w:rPr>
          <w:rFonts w:ascii="Arial" w:hAnsi="Arial" w:cs="Arial"/>
          <w:iCs/>
        </w:rPr>
      </w:pPr>
    </w:p>
    <w:p w:rsidR="00000000" w:rsidRDefault="000802FC">
      <w:pPr>
        <w:spacing w:line="480" w:lineRule="auto"/>
        <w:ind w:left="1134"/>
        <w:rPr>
          <w:rFonts w:ascii="Arial" w:hAnsi="Arial" w:cs="Arial"/>
          <w:iCs/>
        </w:rPr>
      </w:pPr>
    </w:p>
    <w:p w:rsidR="00000000" w:rsidRDefault="000802FC">
      <w:pPr>
        <w:spacing w:line="480" w:lineRule="auto"/>
        <w:ind w:left="1134"/>
        <w:rPr>
          <w:rFonts w:ascii="Arial" w:hAnsi="Arial" w:cs="Arial"/>
          <w:iCs/>
        </w:rPr>
      </w:pPr>
    </w:p>
    <w:p w:rsidR="00000000" w:rsidRDefault="000802FC">
      <w:pPr>
        <w:spacing w:line="480" w:lineRule="auto"/>
        <w:ind w:left="1134"/>
        <w:rPr>
          <w:rFonts w:ascii="Arial" w:hAnsi="Arial" w:cs="Arial"/>
          <w:iCs/>
        </w:rPr>
      </w:pPr>
    </w:p>
    <w:p w:rsidR="00000000" w:rsidRDefault="000802FC">
      <w:pPr>
        <w:spacing w:line="480" w:lineRule="auto"/>
        <w:ind w:left="1134"/>
        <w:jc w:val="center"/>
        <w:rPr>
          <w:rFonts w:ascii="Arial" w:hAnsi="Arial" w:cs="Arial"/>
          <w:iCs/>
        </w:rPr>
      </w:pPr>
      <w:r>
        <w:rPr>
          <w:rFonts w:ascii="Arial" w:hAnsi="Arial" w:cs="Arial"/>
          <w:iCs/>
        </w:rPr>
        <w:lastRenderedPageBreak/>
        <w:t>TABLA 2</w:t>
      </w:r>
    </w:p>
    <w:p w:rsidR="00000000" w:rsidRDefault="000802FC">
      <w:pPr>
        <w:spacing w:line="480" w:lineRule="auto"/>
        <w:ind w:left="1134"/>
        <w:jc w:val="center"/>
        <w:rPr>
          <w:rFonts w:ascii="Arial" w:hAnsi="Arial" w:cs="Arial"/>
          <w:iCs/>
        </w:rPr>
      </w:pPr>
      <w:r>
        <w:rPr>
          <w:rFonts w:ascii="Arial" w:hAnsi="Arial" w:cs="Arial"/>
          <w:iCs/>
        </w:rPr>
        <w:t>BOMBAS UTILIZADAS EN UN BUQUE TANQUE (*)</w:t>
      </w:r>
    </w:p>
    <w:p w:rsidR="00000000" w:rsidRDefault="000802FC">
      <w:pPr>
        <w:spacing w:line="480" w:lineRule="auto"/>
        <w:ind w:left="1134"/>
        <w:rPr>
          <w:rFonts w:ascii="Arial" w:hAnsi="Arial" w:cs="Arial"/>
          <w:iCs/>
        </w:rPr>
      </w:pPr>
    </w:p>
    <w:tbl>
      <w:tblPr>
        <w:tblpPr w:leftFromText="141" w:rightFromText="141" w:vertAnchor="text" w:tblpY="1"/>
        <w:tblOverlap w:val="never"/>
        <w:tblW w:w="5769" w:type="dxa"/>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75"/>
        <w:gridCol w:w="3094"/>
      </w:tblGrid>
      <w:tr w:rsidR="00000000">
        <w:tblPrEx>
          <w:tblCellMar>
            <w:top w:w="0" w:type="dxa"/>
            <w:bottom w:w="0" w:type="dxa"/>
          </w:tblCellMar>
        </w:tblPrEx>
        <w:tc>
          <w:tcPr>
            <w:tcW w:w="5769" w:type="dxa"/>
            <w:gridSpan w:val="2"/>
            <w:vAlign w:val="center"/>
          </w:tcPr>
          <w:p w:rsidR="00000000" w:rsidRDefault="000802FC">
            <w:pPr>
              <w:spacing w:line="480" w:lineRule="auto"/>
              <w:jc w:val="center"/>
              <w:rPr>
                <w:rFonts w:ascii="Arial" w:hAnsi="Arial" w:cs="Arial"/>
                <w:b/>
                <w:bCs/>
                <w:iCs/>
              </w:rPr>
            </w:pPr>
            <w:r>
              <w:rPr>
                <w:rFonts w:ascii="Arial" w:hAnsi="Arial" w:cs="Arial"/>
                <w:b/>
                <w:bCs/>
                <w:iCs/>
              </w:rPr>
              <w:t>Bombas Típicas Utilizadas en el Servicio Marino</w:t>
            </w:r>
          </w:p>
        </w:tc>
      </w:tr>
      <w:tr w:rsidR="00000000">
        <w:tblPrEx>
          <w:tblCellMar>
            <w:top w:w="0" w:type="dxa"/>
            <w:bottom w:w="0" w:type="dxa"/>
          </w:tblCellMar>
        </w:tblPrEx>
        <w:tc>
          <w:tcPr>
            <w:tcW w:w="2675" w:type="dxa"/>
            <w:vAlign w:val="center"/>
          </w:tcPr>
          <w:p w:rsidR="00000000" w:rsidRDefault="000802FC">
            <w:pPr>
              <w:spacing w:line="480" w:lineRule="auto"/>
              <w:jc w:val="center"/>
              <w:rPr>
                <w:rFonts w:ascii="Arial" w:hAnsi="Arial" w:cs="Arial"/>
                <w:b/>
                <w:bCs/>
                <w:iCs/>
              </w:rPr>
            </w:pPr>
            <w:r>
              <w:rPr>
                <w:rFonts w:ascii="Arial" w:hAnsi="Arial" w:cs="Arial"/>
                <w:b/>
                <w:bCs/>
                <w:iCs/>
              </w:rPr>
              <w:t>Servicio</w:t>
            </w:r>
          </w:p>
        </w:tc>
        <w:tc>
          <w:tcPr>
            <w:tcW w:w="3094" w:type="dxa"/>
            <w:vAlign w:val="center"/>
          </w:tcPr>
          <w:p w:rsidR="00000000" w:rsidRDefault="000802FC">
            <w:pPr>
              <w:spacing w:line="480" w:lineRule="auto"/>
              <w:jc w:val="center"/>
              <w:rPr>
                <w:rFonts w:ascii="Arial" w:hAnsi="Arial" w:cs="Arial"/>
                <w:b/>
                <w:bCs/>
                <w:iCs/>
              </w:rPr>
            </w:pPr>
            <w:r>
              <w:rPr>
                <w:rFonts w:ascii="Arial" w:hAnsi="Arial" w:cs="Arial"/>
                <w:b/>
                <w:bCs/>
                <w:iCs/>
              </w:rPr>
              <w:t>Tipo Usual de Bomba</w:t>
            </w:r>
          </w:p>
        </w:tc>
      </w:tr>
      <w:tr w:rsidR="00000000">
        <w:tblPrEx>
          <w:tblCellMar>
            <w:top w:w="0" w:type="dxa"/>
            <w:bottom w:w="0" w:type="dxa"/>
          </w:tblCellMar>
        </w:tblPrEx>
        <w:tc>
          <w:tcPr>
            <w:tcW w:w="2675" w:type="dxa"/>
            <w:vAlign w:val="center"/>
          </w:tcPr>
          <w:p w:rsidR="00000000" w:rsidRDefault="000802FC">
            <w:pPr>
              <w:spacing w:line="480" w:lineRule="auto"/>
              <w:rPr>
                <w:rFonts w:ascii="Arial" w:hAnsi="Arial" w:cs="Arial"/>
                <w:iCs/>
              </w:rPr>
            </w:pPr>
            <w:r>
              <w:rPr>
                <w:rFonts w:ascii="Arial" w:hAnsi="Arial" w:cs="Arial"/>
                <w:iCs/>
              </w:rPr>
              <w:t>Aceite Lubricante</w:t>
            </w:r>
          </w:p>
        </w:tc>
        <w:tc>
          <w:tcPr>
            <w:tcW w:w="3094" w:type="dxa"/>
            <w:vAlign w:val="center"/>
          </w:tcPr>
          <w:p w:rsidR="00000000" w:rsidRDefault="000802FC">
            <w:pPr>
              <w:spacing w:line="480" w:lineRule="auto"/>
              <w:jc w:val="center"/>
              <w:rPr>
                <w:rFonts w:ascii="Arial" w:hAnsi="Arial" w:cs="Arial"/>
                <w:iCs/>
              </w:rPr>
            </w:pPr>
            <w:r>
              <w:rPr>
                <w:rFonts w:ascii="Arial" w:hAnsi="Arial" w:cs="Arial"/>
                <w:iCs/>
              </w:rPr>
              <w:t>Rotatoria</w:t>
            </w:r>
          </w:p>
        </w:tc>
      </w:tr>
      <w:tr w:rsidR="00000000">
        <w:tblPrEx>
          <w:tblCellMar>
            <w:top w:w="0" w:type="dxa"/>
            <w:bottom w:w="0" w:type="dxa"/>
          </w:tblCellMar>
        </w:tblPrEx>
        <w:tc>
          <w:tcPr>
            <w:tcW w:w="2675" w:type="dxa"/>
            <w:vAlign w:val="center"/>
          </w:tcPr>
          <w:p w:rsidR="00000000" w:rsidRDefault="000802FC">
            <w:pPr>
              <w:spacing w:line="480" w:lineRule="auto"/>
              <w:rPr>
                <w:rFonts w:ascii="Arial" w:hAnsi="Arial" w:cs="Arial"/>
                <w:iCs/>
              </w:rPr>
            </w:pPr>
            <w:r>
              <w:rPr>
                <w:rFonts w:ascii="Arial" w:hAnsi="Arial" w:cs="Arial"/>
                <w:iCs/>
              </w:rPr>
              <w:t>Sanitario o purga</w:t>
            </w:r>
          </w:p>
        </w:tc>
        <w:tc>
          <w:tcPr>
            <w:tcW w:w="3094" w:type="dxa"/>
            <w:vAlign w:val="center"/>
          </w:tcPr>
          <w:p w:rsidR="00000000" w:rsidRDefault="000802FC">
            <w:pPr>
              <w:spacing w:line="480" w:lineRule="auto"/>
              <w:jc w:val="center"/>
              <w:rPr>
                <w:rFonts w:ascii="Arial" w:hAnsi="Arial" w:cs="Arial"/>
                <w:iCs/>
              </w:rPr>
            </w:pPr>
            <w:r>
              <w:rPr>
                <w:rFonts w:ascii="Arial" w:hAnsi="Arial" w:cs="Arial"/>
                <w:iCs/>
              </w:rPr>
              <w:t>Centrífuga</w:t>
            </w:r>
          </w:p>
        </w:tc>
      </w:tr>
      <w:tr w:rsidR="00000000">
        <w:tblPrEx>
          <w:tblCellMar>
            <w:top w:w="0" w:type="dxa"/>
            <w:bottom w:w="0" w:type="dxa"/>
          </w:tblCellMar>
        </w:tblPrEx>
        <w:tc>
          <w:tcPr>
            <w:tcW w:w="2675" w:type="dxa"/>
            <w:vAlign w:val="center"/>
          </w:tcPr>
          <w:p w:rsidR="00000000" w:rsidRDefault="000802FC">
            <w:pPr>
              <w:spacing w:line="480" w:lineRule="auto"/>
              <w:rPr>
                <w:rFonts w:ascii="Arial" w:hAnsi="Arial" w:cs="Arial"/>
                <w:iCs/>
              </w:rPr>
            </w:pPr>
            <w:r>
              <w:rPr>
                <w:rFonts w:ascii="Arial" w:hAnsi="Arial" w:cs="Arial"/>
                <w:iCs/>
              </w:rPr>
              <w:t xml:space="preserve">Protección </w:t>
            </w:r>
            <w:r>
              <w:rPr>
                <w:rFonts w:ascii="Arial" w:hAnsi="Arial" w:cs="Arial"/>
                <w:iCs/>
              </w:rPr>
              <w:t>de fuego</w:t>
            </w:r>
          </w:p>
        </w:tc>
        <w:tc>
          <w:tcPr>
            <w:tcW w:w="3094" w:type="dxa"/>
            <w:vAlign w:val="center"/>
          </w:tcPr>
          <w:p w:rsidR="00000000" w:rsidRDefault="000802FC">
            <w:pPr>
              <w:spacing w:line="480" w:lineRule="auto"/>
              <w:jc w:val="center"/>
              <w:rPr>
                <w:rFonts w:ascii="Arial" w:hAnsi="Arial" w:cs="Arial"/>
                <w:iCs/>
              </w:rPr>
            </w:pPr>
            <w:r>
              <w:rPr>
                <w:rFonts w:ascii="Arial" w:hAnsi="Arial" w:cs="Arial"/>
                <w:iCs/>
              </w:rPr>
              <w:t>Centrífuga</w:t>
            </w:r>
          </w:p>
        </w:tc>
      </w:tr>
      <w:tr w:rsidR="00000000">
        <w:tblPrEx>
          <w:tblCellMar>
            <w:top w:w="0" w:type="dxa"/>
            <w:bottom w:w="0" w:type="dxa"/>
          </w:tblCellMar>
        </w:tblPrEx>
        <w:tc>
          <w:tcPr>
            <w:tcW w:w="2675" w:type="dxa"/>
            <w:vAlign w:val="center"/>
          </w:tcPr>
          <w:p w:rsidR="00000000" w:rsidRDefault="000802FC">
            <w:pPr>
              <w:spacing w:line="480" w:lineRule="auto"/>
              <w:rPr>
                <w:rFonts w:ascii="Arial" w:hAnsi="Arial" w:cs="Arial"/>
                <w:iCs/>
              </w:rPr>
            </w:pPr>
            <w:r>
              <w:rPr>
                <w:rFonts w:ascii="Arial" w:hAnsi="Arial" w:cs="Arial"/>
                <w:iCs/>
              </w:rPr>
              <w:t>Lastre</w:t>
            </w:r>
          </w:p>
        </w:tc>
        <w:tc>
          <w:tcPr>
            <w:tcW w:w="3094" w:type="dxa"/>
            <w:vAlign w:val="center"/>
          </w:tcPr>
          <w:p w:rsidR="00000000" w:rsidRDefault="000802FC">
            <w:pPr>
              <w:spacing w:line="480" w:lineRule="auto"/>
              <w:jc w:val="center"/>
              <w:rPr>
                <w:rFonts w:ascii="Arial" w:hAnsi="Arial" w:cs="Arial"/>
                <w:iCs/>
              </w:rPr>
            </w:pPr>
            <w:r>
              <w:rPr>
                <w:rFonts w:ascii="Arial" w:hAnsi="Arial" w:cs="Arial"/>
                <w:iCs/>
              </w:rPr>
              <w:t>Centrífuga</w:t>
            </w:r>
          </w:p>
        </w:tc>
      </w:tr>
      <w:tr w:rsidR="00000000">
        <w:tblPrEx>
          <w:tblCellMar>
            <w:top w:w="0" w:type="dxa"/>
            <w:bottom w:w="0" w:type="dxa"/>
          </w:tblCellMar>
        </w:tblPrEx>
        <w:tc>
          <w:tcPr>
            <w:tcW w:w="2675" w:type="dxa"/>
            <w:vAlign w:val="center"/>
          </w:tcPr>
          <w:p w:rsidR="00000000" w:rsidRDefault="000802FC">
            <w:pPr>
              <w:spacing w:line="480" w:lineRule="auto"/>
              <w:rPr>
                <w:rFonts w:ascii="Arial" w:hAnsi="Arial" w:cs="Arial"/>
                <w:iCs/>
              </w:rPr>
            </w:pPr>
            <w:r>
              <w:rPr>
                <w:rFonts w:ascii="Arial" w:hAnsi="Arial" w:cs="Arial"/>
                <w:iCs/>
              </w:rPr>
              <w:t>Producto</w:t>
            </w:r>
          </w:p>
        </w:tc>
        <w:tc>
          <w:tcPr>
            <w:tcW w:w="3094" w:type="dxa"/>
            <w:vAlign w:val="center"/>
          </w:tcPr>
          <w:p w:rsidR="00000000" w:rsidRDefault="000802FC">
            <w:pPr>
              <w:spacing w:line="480" w:lineRule="auto"/>
              <w:jc w:val="center"/>
              <w:rPr>
                <w:rFonts w:ascii="Arial" w:hAnsi="Arial" w:cs="Arial"/>
                <w:iCs/>
              </w:rPr>
            </w:pPr>
            <w:r>
              <w:rPr>
                <w:rFonts w:ascii="Arial" w:hAnsi="Arial" w:cs="Arial"/>
                <w:iCs/>
              </w:rPr>
              <w:t>Centrífuga</w:t>
            </w:r>
          </w:p>
        </w:tc>
      </w:tr>
      <w:tr w:rsidR="00000000">
        <w:tblPrEx>
          <w:tblCellMar>
            <w:top w:w="0" w:type="dxa"/>
            <w:bottom w:w="0" w:type="dxa"/>
          </w:tblCellMar>
        </w:tblPrEx>
        <w:tc>
          <w:tcPr>
            <w:tcW w:w="2675" w:type="dxa"/>
            <w:vAlign w:val="center"/>
          </w:tcPr>
          <w:p w:rsidR="00000000" w:rsidRDefault="000802FC">
            <w:pPr>
              <w:spacing w:line="480" w:lineRule="auto"/>
              <w:rPr>
                <w:rFonts w:ascii="Arial" w:hAnsi="Arial" w:cs="Arial"/>
                <w:iCs/>
              </w:rPr>
            </w:pPr>
            <w:r>
              <w:rPr>
                <w:rFonts w:ascii="Arial" w:hAnsi="Arial" w:cs="Arial"/>
                <w:iCs/>
              </w:rPr>
              <w:t>Transmisión de fuel oil</w:t>
            </w:r>
          </w:p>
        </w:tc>
        <w:tc>
          <w:tcPr>
            <w:tcW w:w="3094" w:type="dxa"/>
            <w:vAlign w:val="center"/>
          </w:tcPr>
          <w:p w:rsidR="00000000" w:rsidRDefault="000802FC">
            <w:pPr>
              <w:spacing w:line="480" w:lineRule="auto"/>
              <w:jc w:val="center"/>
              <w:rPr>
                <w:rFonts w:ascii="Arial" w:hAnsi="Arial" w:cs="Arial"/>
                <w:iCs/>
              </w:rPr>
            </w:pPr>
            <w:r>
              <w:rPr>
                <w:rFonts w:ascii="Arial" w:hAnsi="Arial" w:cs="Arial"/>
                <w:iCs/>
              </w:rPr>
              <w:t>Rotatoria</w:t>
            </w:r>
          </w:p>
        </w:tc>
      </w:tr>
      <w:tr w:rsidR="00000000">
        <w:tblPrEx>
          <w:tblCellMar>
            <w:top w:w="0" w:type="dxa"/>
            <w:bottom w:w="0" w:type="dxa"/>
          </w:tblCellMar>
        </w:tblPrEx>
        <w:tc>
          <w:tcPr>
            <w:tcW w:w="2675" w:type="dxa"/>
            <w:vAlign w:val="center"/>
          </w:tcPr>
          <w:p w:rsidR="00000000" w:rsidRDefault="000802FC">
            <w:pPr>
              <w:spacing w:line="480" w:lineRule="auto"/>
              <w:rPr>
                <w:rFonts w:ascii="Arial" w:hAnsi="Arial" w:cs="Arial"/>
                <w:iCs/>
              </w:rPr>
            </w:pPr>
            <w:r>
              <w:rPr>
                <w:rFonts w:ascii="Arial" w:hAnsi="Arial" w:cs="Arial"/>
                <w:iCs/>
              </w:rPr>
              <w:t>Agua fresca</w:t>
            </w:r>
          </w:p>
        </w:tc>
        <w:tc>
          <w:tcPr>
            <w:tcW w:w="3094" w:type="dxa"/>
            <w:vAlign w:val="center"/>
          </w:tcPr>
          <w:p w:rsidR="00000000" w:rsidRDefault="000802FC">
            <w:pPr>
              <w:spacing w:line="480" w:lineRule="auto"/>
              <w:jc w:val="center"/>
              <w:rPr>
                <w:rFonts w:ascii="Arial" w:hAnsi="Arial" w:cs="Arial"/>
                <w:iCs/>
              </w:rPr>
            </w:pPr>
            <w:r>
              <w:rPr>
                <w:rFonts w:ascii="Arial" w:hAnsi="Arial" w:cs="Arial"/>
                <w:iCs/>
              </w:rPr>
              <w:t>Centrífuga</w:t>
            </w:r>
          </w:p>
        </w:tc>
      </w:tr>
      <w:tr w:rsidR="00000000">
        <w:tblPrEx>
          <w:tblCellMar>
            <w:top w:w="0" w:type="dxa"/>
            <w:bottom w:w="0" w:type="dxa"/>
          </w:tblCellMar>
        </w:tblPrEx>
        <w:tc>
          <w:tcPr>
            <w:tcW w:w="2675" w:type="dxa"/>
            <w:vAlign w:val="center"/>
          </w:tcPr>
          <w:p w:rsidR="00000000" w:rsidRDefault="000802FC">
            <w:pPr>
              <w:spacing w:line="480" w:lineRule="auto"/>
              <w:rPr>
                <w:rFonts w:ascii="Arial" w:hAnsi="Arial" w:cs="Arial"/>
                <w:iCs/>
              </w:rPr>
            </w:pPr>
            <w:r>
              <w:rPr>
                <w:rFonts w:ascii="Arial" w:hAnsi="Arial" w:cs="Arial"/>
                <w:iCs/>
              </w:rPr>
              <w:t>Agua helada</w:t>
            </w:r>
          </w:p>
        </w:tc>
        <w:tc>
          <w:tcPr>
            <w:tcW w:w="3094" w:type="dxa"/>
            <w:vAlign w:val="center"/>
          </w:tcPr>
          <w:p w:rsidR="00000000" w:rsidRDefault="000802FC">
            <w:pPr>
              <w:spacing w:line="480" w:lineRule="auto"/>
              <w:jc w:val="center"/>
              <w:rPr>
                <w:rFonts w:ascii="Arial" w:hAnsi="Arial" w:cs="Arial"/>
                <w:iCs/>
              </w:rPr>
            </w:pPr>
            <w:r>
              <w:rPr>
                <w:rFonts w:ascii="Arial" w:hAnsi="Arial" w:cs="Arial"/>
                <w:iCs/>
              </w:rPr>
              <w:t>Centrífuga</w:t>
            </w:r>
          </w:p>
        </w:tc>
      </w:tr>
    </w:tbl>
    <w:p w:rsidR="00000000" w:rsidRDefault="000802FC">
      <w:pPr>
        <w:spacing w:line="480" w:lineRule="auto"/>
        <w:ind w:left="1134"/>
        <w:jc w:val="both"/>
        <w:rPr>
          <w:rFonts w:ascii="Arial" w:hAnsi="Arial" w:cs="Arial"/>
          <w:iCs/>
          <w:lang w:val="en-US"/>
        </w:rPr>
      </w:pPr>
      <w:r>
        <w:rPr>
          <w:rFonts w:ascii="Arial" w:hAnsi="Arial" w:cs="Arial"/>
          <w:iCs/>
          <w:lang w:val="en-US"/>
        </w:rPr>
        <w:br w:type="textWrapping" w:clear="all"/>
      </w:r>
    </w:p>
    <w:p w:rsidR="00000000" w:rsidRDefault="000802FC">
      <w:pPr>
        <w:spacing w:line="480" w:lineRule="auto"/>
        <w:ind w:left="1134"/>
        <w:jc w:val="both"/>
        <w:rPr>
          <w:rFonts w:ascii="Arial" w:hAnsi="Arial" w:cs="Arial"/>
          <w:iCs/>
          <w:lang w:val="en-US"/>
        </w:rPr>
      </w:pPr>
      <w:r>
        <w:rPr>
          <w:rFonts w:ascii="Arial" w:hAnsi="Arial" w:cs="Arial"/>
          <w:iCs/>
          <w:lang w:val="en-US"/>
        </w:rPr>
        <w:t>*EXTRACTO TOMADO DE ELEMENTS OF OIL TANKER TRANSPORTATION</w:t>
      </w:r>
    </w:p>
    <w:p w:rsidR="00000000" w:rsidRDefault="000802FC">
      <w:pPr>
        <w:spacing w:line="480" w:lineRule="auto"/>
        <w:ind w:left="1134"/>
        <w:jc w:val="both"/>
        <w:rPr>
          <w:rFonts w:ascii="Arial" w:hAnsi="Arial" w:cs="Arial"/>
          <w:iCs/>
          <w:lang w:val="en-US"/>
        </w:rPr>
      </w:pPr>
    </w:p>
    <w:p w:rsidR="00000000" w:rsidRDefault="000802FC">
      <w:pPr>
        <w:pStyle w:val="Ttulo3"/>
        <w:spacing w:line="480" w:lineRule="auto"/>
        <w:ind w:left="1134"/>
        <w:rPr>
          <w:rFonts w:cs="Arial"/>
          <w:bCs/>
          <w:szCs w:val="24"/>
          <w:u w:val="single"/>
          <w:lang w:val="es-MX"/>
        </w:rPr>
      </w:pPr>
      <w:r>
        <w:rPr>
          <w:rFonts w:cs="Arial"/>
          <w:bCs/>
          <w:szCs w:val="24"/>
          <w:u w:val="single"/>
          <w:lang w:val="es-MX"/>
        </w:rPr>
        <w:lastRenderedPageBreak/>
        <w:t>Sistemas de recepción y despacho  de productos a Bu</w:t>
      </w:r>
      <w:r>
        <w:rPr>
          <w:rFonts w:cs="Arial"/>
          <w:bCs/>
          <w:szCs w:val="24"/>
          <w:u w:val="single"/>
          <w:lang w:val="es-MX"/>
        </w:rPr>
        <w:t>ques Tanque</w:t>
      </w:r>
    </w:p>
    <w:p w:rsidR="00000000" w:rsidRDefault="000802FC">
      <w:pPr>
        <w:spacing w:line="480" w:lineRule="auto"/>
        <w:ind w:left="1134"/>
        <w:jc w:val="both"/>
        <w:rPr>
          <w:rFonts w:ascii="Arial" w:hAnsi="Arial" w:cs="Arial"/>
          <w:iCs/>
          <w:lang w:val="es-MX"/>
        </w:rPr>
      </w:pPr>
      <w:r>
        <w:rPr>
          <w:rFonts w:ascii="Arial" w:hAnsi="Arial" w:cs="Arial"/>
          <w:iCs/>
          <w:lang w:val="es-MX"/>
        </w:rPr>
        <w:t>Los sistemas de recepción y despacho de productos tienen diseños muy variados, sin embargo son muy similares entre ellos.</w:t>
      </w:r>
    </w:p>
    <w:p w:rsidR="00000000" w:rsidRDefault="000802FC">
      <w:pPr>
        <w:spacing w:line="480" w:lineRule="auto"/>
        <w:ind w:left="1134"/>
        <w:jc w:val="both"/>
        <w:rPr>
          <w:rFonts w:ascii="Arial" w:hAnsi="Arial" w:cs="Arial"/>
          <w:iCs/>
          <w:lang w:val="es-MX"/>
        </w:rPr>
      </w:pPr>
    </w:p>
    <w:p w:rsidR="00000000" w:rsidRDefault="000802FC">
      <w:pPr>
        <w:pStyle w:val="Ttulo2"/>
        <w:spacing w:line="480" w:lineRule="auto"/>
        <w:ind w:left="1134"/>
        <w:jc w:val="left"/>
      </w:pPr>
      <w:r>
        <w:t>Terminal Marítimo</w:t>
      </w:r>
    </w:p>
    <w:p w:rsidR="00000000" w:rsidRDefault="000802FC">
      <w:pPr>
        <w:spacing w:line="480" w:lineRule="auto"/>
        <w:ind w:left="1134"/>
        <w:jc w:val="both"/>
        <w:rPr>
          <w:rFonts w:ascii="Arial" w:hAnsi="Arial" w:cs="Arial"/>
          <w:iCs/>
        </w:rPr>
      </w:pPr>
      <w:r>
        <w:rPr>
          <w:rFonts w:ascii="Arial" w:hAnsi="Arial" w:cs="Arial"/>
          <w:iCs/>
        </w:rPr>
        <w:t>Un terminal marítimo es una instalación con la infraestructura necesaria par realizar operaciones de de</w:t>
      </w:r>
      <w:r>
        <w:rPr>
          <w:rFonts w:ascii="Arial" w:hAnsi="Arial" w:cs="Arial"/>
          <w:iCs/>
        </w:rPr>
        <w:t>spacho de productos, a través de poliductos, oleoductos y líneas submarinas.</w:t>
      </w:r>
    </w:p>
    <w:p w:rsidR="00000000" w:rsidRDefault="000802FC">
      <w:pPr>
        <w:spacing w:line="480" w:lineRule="auto"/>
        <w:ind w:left="1134"/>
        <w:jc w:val="both"/>
        <w:rPr>
          <w:rFonts w:ascii="Arial" w:hAnsi="Arial" w:cs="Arial"/>
          <w:iCs/>
        </w:rPr>
      </w:pPr>
    </w:p>
    <w:p w:rsidR="00000000" w:rsidRDefault="000802FC">
      <w:pPr>
        <w:spacing w:line="480" w:lineRule="auto"/>
        <w:ind w:left="1134"/>
        <w:jc w:val="both"/>
        <w:rPr>
          <w:rFonts w:ascii="Arial" w:hAnsi="Arial" w:cs="Arial"/>
          <w:iCs/>
        </w:rPr>
      </w:pPr>
      <w:r>
        <w:rPr>
          <w:rFonts w:ascii="Arial" w:hAnsi="Arial" w:cs="Arial"/>
          <w:iCs/>
        </w:rPr>
        <w:t>Los sistemas se pueden clasificar de manera general, de la siguiente manera:</w:t>
      </w:r>
    </w:p>
    <w:p w:rsidR="00000000" w:rsidRDefault="000802FC">
      <w:pPr>
        <w:spacing w:line="480" w:lineRule="auto"/>
        <w:ind w:left="1134"/>
        <w:jc w:val="both"/>
        <w:rPr>
          <w:rFonts w:ascii="Arial" w:hAnsi="Arial" w:cs="Arial"/>
          <w:iCs/>
        </w:rPr>
      </w:pPr>
    </w:p>
    <w:p w:rsidR="00000000" w:rsidRDefault="000802FC" w:rsidP="000802FC">
      <w:pPr>
        <w:numPr>
          <w:ilvl w:val="0"/>
          <w:numId w:val="10"/>
        </w:numPr>
        <w:spacing w:line="480" w:lineRule="auto"/>
        <w:jc w:val="both"/>
        <w:rPr>
          <w:rFonts w:ascii="Arial" w:hAnsi="Arial" w:cs="Arial"/>
          <w:iCs/>
        </w:rPr>
      </w:pPr>
      <w:r>
        <w:rPr>
          <w:rFonts w:ascii="Arial" w:hAnsi="Arial" w:cs="Arial"/>
          <w:iCs/>
        </w:rPr>
        <w:t>Muelles</w:t>
      </w:r>
    </w:p>
    <w:p w:rsidR="00000000" w:rsidRDefault="000802FC" w:rsidP="000802FC">
      <w:pPr>
        <w:numPr>
          <w:ilvl w:val="0"/>
          <w:numId w:val="10"/>
        </w:numPr>
        <w:spacing w:line="480" w:lineRule="auto"/>
        <w:jc w:val="both"/>
        <w:rPr>
          <w:rFonts w:ascii="Arial" w:hAnsi="Arial" w:cs="Arial"/>
          <w:iCs/>
        </w:rPr>
      </w:pPr>
      <w:r>
        <w:rPr>
          <w:rFonts w:ascii="Arial" w:hAnsi="Arial" w:cs="Arial"/>
          <w:iCs/>
        </w:rPr>
        <w:t>Terminales Mar Adentro</w:t>
      </w:r>
    </w:p>
    <w:p w:rsidR="00000000" w:rsidRDefault="000802FC">
      <w:pPr>
        <w:spacing w:line="480" w:lineRule="auto"/>
        <w:ind w:left="1134"/>
        <w:jc w:val="both"/>
        <w:rPr>
          <w:rFonts w:ascii="Arial" w:hAnsi="Arial" w:cs="Arial"/>
          <w:iCs/>
        </w:rPr>
      </w:pPr>
    </w:p>
    <w:p w:rsidR="00000000" w:rsidRDefault="000802FC">
      <w:pPr>
        <w:pStyle w:val="Ttulo2"/>
        <w:spacing w:line="480" w:lineRule="auto"/>
        <w:ind w:left="1134"/>
        <w:jc w:val="left"/>
        <w:rPr>
          <w:b w:val="0"/>
          <w:u w:val="single"/>
        </w:rPr>
      </w:pPr>
      <w:r>
        <w:rPr>
          <w:b w:val="0"/>
          <w:u w:val="single"/>
        </w:rPr>
        <w:t>Muelles</w:t>
      </w:r>
    </w:p>
    <w:p w:rsidR="00000000" w:rsidRDefault="000802FC">
      <w:pPr>
        <w:spacing w:line="480" w:lineRule="auto"/>
        <w:ind w:left="1134"/>
        <w:jc w:val="both"/>
        <w:rPr>
          <w:rFonts w:ascii="Arial" w:hAnsi="Arial" w:cs="Arial"/>
          <w:iCs/>
        </w:rPr>
      </w:pPr>
      <w:r>
        <w:rPr>
          <w:rFonts w:ascii="Arial" w:hAnsi="Arial" w:cs="Arial"/>
          <w:iCs/>
        </w:rPr>
        <w:t>Es una instalación ubicada en costa, que cuenta con la infra</w:t>
      </w:r>
      <w:r>
        <w:rPr>
          <w:rFonts w:ascii="Arial" w:hAnsi="Arial" w:cs="Arial"/>
          <w:iCs/>
        </w:rPr>
        <w:t xml:space="preserve">estructura necesaria para realizar la carga y descarga de producto hacia el Buque. En este sistema de despacho los Buques tanque se acoderan </w:t>
      </w:r>
      <w:r>
        <w:rPr>
          <w:rFonts w:ascii="Arial" w:hAnsi="Arial" w:cs="Arial"/>
          <w:iCs/>
        </w:rPr>
        <w:lastRenderedPageBreak/>
        <w:t>al muelle, por lo que este sistema se utiliza cuando existe la profundidad suficiente para la navegación de estas e</w:t>
      </w:r>
      <w:r>
        <w:rPr>
          <w:rFonts w:ascii="Arial" w:hAnsi="Arial" w:cs="Arial"/>
          <w:iCs/>
        </w:rPr>
        <w:t>mbarcaciones.</w:t>
      </w:r>
    </w:p>
    <w:p w:rsidR="00000000" w:rsidRDefault="000802FC">
      <w:pPr>
        <w:spacing w:line="480" w:lineRule="auto"/>
        <w:ind w:left="1134"/>
        <w:jc w:val="both"/>
        <w:rPr>
          <w:rFonts w:ascii="Arial" w:hAnsi="Arial" w:cs="Arial"/>
          <w:iCs/>
        </w:rPr>
      </w:pPr>
    </w:p>
    <w:p w:rsidR="00000000" w:rsidRDefault="000802FC">
      <w:pPr>
        <w:spacing w:line="480" w:lineRule="auto"/>
        <w:ind w:left="1134"/>
        <w:jc w:val="both"/>
        <w:rPr>
          <w:rFonts w:ascii="Arial" w:hAnsi="Arial" w:cs="Arial"/>
          <w:iCs/>
        </w:rPr>
      </w:pPr>
      <w:r>
        <w:rPr>
          <w:rFonts w:ascii="Arial" w:hAnsi="Arial" w:cs="Arial"/>
          <w:iCs/>
        </w:rPr>
        <w:t>El sistema de tuberías en el muelle, consiste en un arreglo de tuberías que recorren el muelle hacia uno o varios manifolds de distribución que consta de mangueras de despacho que se conectan al manifold del Buque.</w:t>
      </w:r>
    </w:p>
    <w:p w:rsidR="00000000" w:rsidRDefault="000802FC">
      <w:pPr>
        <w:spacing w:line="480" w:lineRule="auto"/>
        <w:ind w:left="1134"/>
        <w:jc w:val="both"/>
        <w:rPr>
          <w:rFonts w:ascii="Arial" w:hAnsi="Arial" w:cs="Arial"/>
          <w:iCs/>
        </w:rPr>
      </w:pPr>
    </w:p>
    <w:p w:rsidR="00000000" w:rsidRDefault="000802FC">
      <w:pPr>
        <w:spacing w:line="480" w:lineRule="auto"/>
        <w:ind w:left="1134"/>
        <w:jc w:val="both"/>
        <w:rPr>
          <w:rFonts w:ascii="Arial" w:hAnsi="Arial" w:cs="Arial"/>
          <w:iCs/>
          <w:u w:val="single"/>
        </w:rPr>
      </w:pPr>
      <w:r>
        <w:rPr>
          <w:rFonts w:ascii="Arial" w:hAnsi="Arial" w:cs="Arial"/>
          <w:iCs/>
          <w:u w:val="single"/>
        </w:rPr>
        <w:t>Terminales mar adentro</w:t>
      </w:r>
    </w:p>
    <w:p w:rsidR="00000000" w:rsidRDefault="000802FC">
      <w:pPr>
        <w:spacing w:line="480" w:lineRule="auto"/>
        <w:ind w:left="1134"/>
        <w:jc w:val="both"/>
        <w:rPr>
          <w:rFonts w:ascii="Arial" w:hAnsi="Arial" w:cs="Arial"/>
          <w:iCs/>
        </w:rPr>
      </w:pPr>
      <w:r>
        <w:rPr>
          <w:rFonts w:ascii="Arial" w:hAnsi="Arial" w:cs="Arial"/>
          <w:iCs/>
        </w:rPr>
        <w:t>Lo</w:t>
      </w:r>
      <w:r>
        <w:rPr>
          <w:rFonts w:ascii="Arial" w:hAnsi="Arial" w:cs="Arial"/>
          <w:iCs/>
        </w:rPr>
        <w:t>s terminales mar adentro son instalaciones que no están en contacto directo con la costa, aunque pueden estar comunicados con el terminal en tierra a través de tuberías submarinas.</w:t>
      </w:r>
    </w:p>
    <w:p w:rsidR="00000000" w:rsidRDefault="000802FC">
      <w:pPr>
        <w:spacing w:line="480" w:lineRule="auto"/>
        <w:ind w:left="1134"/>
        <w:jc w:val="both"/>
        <w:rPr>
          <w:rFonts w:ascii="Arial" w:hAnsi="Arial" w:cs="Arial"/>
          <w:iCs/>
        </w:rPr>
      </w:pPr>
    </w:p>
    <w:p w:rsidR="00000000" w:rsidRDefault="000802FC">
      <w:pPr>
        <w:spacing w:line="480" w:lineRule="auto"/>
        <w:ind w:left="1134"/>
        <w:jc w:val="both"/>
        <w:rPr>
          <w:rFonts w:ascii="Arial" w:hAnsi="Arial" w:cs="Arial"/>
          <w:iCs/>
        </w:rPr>
      </w:pPr>
      <w:r>
        <w:rPr>
          <w:rFonts w:ascii="Arial" w:hAnsi="Arial" w:cs="Arial"/>
          <w:iCs/>
        </w:rPr>
        <w:t xml:space="preserve">Estos sistemas se clasifican generalmente en: Plataformas Marinas, amarre </w:t>
      </w:r>
      <w:r>
        <w:rPr>
          <w:rFonts w:ascii="Arial" w:hAnsi="Arial" w:cs="Arial"/>
          <w:iCs/>
        </w:rPr>
        <w:t>de Multiboyas y amarre de Monoboyas.</w:t>
      </w:r>
    </w:p>
    <w:p w:rsidR="00000000" w:rsidRDefault="000802FC">
      <w:pPr>
        <w:spacing w:line="480" w:lineRule="auto"/>
        <w:ind w:left="1134"/>
        <w:jc w:val="both"/>
        <w:rPr>
          <w:rFonts w:ascii="Arial" w:hAnsi="Arial" w:cs="Arial"/>
          <w:iCs/>
        </w:rPr>
      </w:pPr>
    </w:p>
    <w:p w:rsidR="00000000" w:rsidRDefault="000802FC">
      <w:pPr>
        <w:spacing w:line="480" w:lineRule="auto"/>
        <w:ind w:left="1134"/>
        <w:jc w:val="both"/>
        <w:rPr>
          <w:rFonts w:ascii="Arial" w:hAnsi="Arial" w:cs="Arial"/>
          <w:iCs/>
        </w:rPr>
      </w:pPr>
      <w:r>
        <w:rPr>
          <w:rFonts w:ascii="Arial" w:hAnsi="Arial" w:cs="Arial"/>
          <w:iCs/>
        </w:rPr>
        <w:t>Cada uno de estos sistemas tiene tres partes principales:</w:t>
      </w:r>
    </w:p>
    <w:p w:rsidR="00000000" w:rsidRDefault="000802FC">
      <w:pPr>
        <w:spacing w:line="480" w:lineRule="auto"/>
        <w:ind w:left="1134"/>
        <w:jc w:val="both"/>
        <w:rPr>
          <w:rFonts w:ascii="Arial" w:hAnsi="Arial" w:cs="Arial"/>
          <w:iCs/>
        </w:rPr>
      </w:pPr>
    </w:p>
    <w:p w:rsidR="00000000" w:rsidRDefault="000802FC" w:rsidP="000802FC">
      <w:pPr>
        <w:numPr>
          <w:ilvl w:val="0"/>
          <w:numId w:val="11"/>
        </w:numPr>
        <w:spacing w:line="480" w:lineRule="auto"/>
        <w:jc w:val="both"/>
        <w:rPr>
          <w:rFonts w:ascii="Arial" w:hAnsi="Arial" w:cs="Arial"/>
          <w:iCs/>
        </w:rPr>
      </w:pPr>
      <w:r>
        <w:rPr>
          <w:rFonts w:ascii="Arial" w:hAnsi="Arial" w:cs="Arial"/>
          <w:iCs/>
        </w:rPr>
        <w:t>Medios para mantener al B/T en posición.</w:t>
      </w:r>
    </w:p>
    <w:p w:rsidR="00000000" w:rsidRDefault="000802FC" w:rsidP="000802FC">
      <w:pPr>
        <w:numPr>
          <w:ilvl w:val="0"/>
          <w:numId w:val="11"/>
        </w:numPr>
        <w:spacing w:line="480" w:lineRule="auto"/>
        <w:jc w:val="both"/>
        <w:rPr>
          <w:rFonts w:ascii="Arial" w:hAnsi="Arial" w:cs="Arial"/>
          <w:iCs/>
        </w:rPr>
      </w:pPr>
      <w:r>
        <w:rPr>
          <w:rFonts w:ascii="Arial" w:hAnsi="Arial" w:cs="Arial"/>
          <w:iCs/>
        </w:rPr>
        <w:lastRenderedPageBreak/>
        <w:t>Medios para transferencia de carga desde el manifold del Buque hacia un manifold en la plataforma de carga, o un manif</w:t>
      </w:r>
      <w:r>
        <w:rPr>
          <w:rFonts w:ascii="Arial" w:hAnsi="Arial" w:cs="Arial"/>
          <w:iCs/>
        </w:rPr>
        <w:t>old en el fondo del mar.</w:t>
      </w:r>
    </w:p>
    <w:p w:rsidR="00000000" w:rsidRDefault="000802FC" w:rsidP="000802FC">
      <w:pPr>
        <w:numPr>
          <w:ilvl w:val="0"/>
          <w:numId w:val="11"/>
        </w:numPr>
        <w:spacing w:line="480" w:lineRule="auto"/>
        <w:jc w:val="both"/>
        <w:rPr>
          <w:rFonts w:ascii="Arial" w:hAnsi="Arial" w:cs="Arial"/>
          <w:iCs/>
        </w:rPr>
      </w:pPr>
      <w:r>
        <w:rPr>
          <w:rFonts w:ascii="Arial" w:hAnsi="Arial" w:cs="Arial"/>
          <w:iCs/>
        </w:rPr>
        <w:t>Una tubería submarina entre el manifold y la costa.</w:t>
      </w:r>
    </w:p>
    <w:p w:rsidR="00000000" w:rsidRDefault="000802FC">
      <w:pPr>
        <w:spacing w:line="480" w:lineRule="auto"/>
        <w:ind w:left="1134"/>
        <w:jc w:val="both"/>
        <w:rPr>
          <w:rFonts w:ascii="Arial" w:hAnsi="Arial" w:cs="Arial"/>
          <w:iCs/>
        </w:rPr>
      </w:pPr>
    </w:p>
    <w:p w:rsidR="00000000" w:rsidRDefault="000802FC">
      <w:pPr>
        <w:spacing w:line="480" w:lineRule="auto"/>
        <w:ind w:left="1134"/>
        <w:jc w:val="both"/>
        <w:rPr>
          <w:rFonts w:ascii="Arial" w:hAnsi="Arial" w:cs="Arial"/>
          <w:iCs/>
        </w:rPr>
      </w:pPr>
      <w:r>
        <w:rPr>
          <w:rFonts w:ascii="Arial" w:hAnsi="Arial" w:cs="Arial"/>
          <w:iCs/>
        </w:rPr>
        <w:t>Manifold es la palabra Inglesa utilizada para caja de válvulas, o distribuidor, se utiliza comúnmente para describir un arreglo de válvulas en una línea.</w:t>
      </w:r>
    </w:p>
    <w:p w:rsidR="00000000" w:rsidRDefault="000802FC">
      <w:pPr>
        <w:spacing w:line="480" w:lineRule="auto"/>
        <w:ind w:left="1134"/>
        <w:jc w:val="both"/>
        <w:rPr>
          <w:rFonts w:ascii="Arial" w:hAnsi="Arial" w:cs="Arial"/>
          <w:iCs/>
        </w:rPr>
      </w:pPr>
    </w:p>
    <w:p w:rsidR="00000000" w:rsidRDefault="000802FC">
      <w:pPr>
        <w:pStyle w:val="Sangra3detindependiente"/>
        <w:spacing w:line="480" w:lineRule="auto"/>
        <w:ind w:left="1134"/>
        <w:rPr>
          <w:rFonts w:cs="Arial"/>
          <w:bCs/>
          <w:u w:val="single"/>
        </w:rPr>
      </w:pPr>
      <w:r>
        <w:rPr>
          <w:rFonts w:cs="Arial"/>
          <w:bCs/>
          <w:u w:val="single"/>
        </w:rPr>
        <w:t>Sistema de amarre por M</w:t>
      </w:r>
      <w:r>
        <w:rPr>
          <w:rFonts w:cs="Arial"/>
          <w:bCs/>
          <w:u w:val="single"/>
        </w:rPr>
        <w:t>ultiboyas</w:t>
      </w:r>
    </w:p>
    <w:p w:rsidR="00000000" w:rsidRDefault="000802FC">
      <w:pPr>
        <w:spacing w:line="480" w:lineRule="auto"/>
        <w:ind w:left="1134"/>
        <w:jc w:val="both"/>
        <w:rPr>
          <w:rFonts w:ascii="Arial" w:hAnsi="Arial" w:cs="Arial"/>
          <w:iCs/>
        </w:rPr>
      </w:pPr>
      <w:r>
        <w:rPr>
          <w:rFonts w:ascii="Arial" w:hAnsi="Arial" w:cs="Arial"/>
          <w:iCs/>
        </w:rPr>
        <w:t>Este sistema consta de 3 a 7 boyas que son instaladas formando un patrón semicircular alrededor de la popa del Buque. El ancla del Buque tanque se utiliza normalmente como un punto de amarre delantero. Las boyas son orientadas en la dirección que</w:t>
      </w:r>
      <w:r>
        <w:rPr>
          <w:rFonts w:ascii="Arial" w:hAnsi="Arial" w:cs="Arial"/>
          <w:iCs/>
        </w:rPr>
        <w:t xml:space="preserve"> predomina el viento y las olas. Este sistema se utiliza en aguas tranquilas, y lugares donde la dirección del viento y las olas son estables y en una sola dirección. En conclusión, para la configuración de este sistema, la colocación y número de boyas dep</w:t>
      </w:r>
      <w:r>
        <w:rPr>
          <w:rFonts w:ascii="Arial" w:hAnsi="Arial" w:cs="Arial"/>
          <w:iCs/>
        </w:rPr>
        <w:t>ende en gran medida de las características del lugar.</w:t>
      </w:r>
    </w:p>
    <w:p w:rsidR="00000000" w:rsidRDefault="000802FC">
      <w:pPr>
        <w:spacing w:line="480" w:lineRule="auto"/>
        <w:ind w:left="1134"/>
        <w:jc w:val="both"/>
        <w:rPr>
          <w:rFonts w:ascii="Arial" w:hAnsi="Arial" w:cs="Arial"/>
          <w:iCs/>
        </w:rPr>
      </w:pPr>
    </w:p>
    <w:p w:rsidR="00000000" w:rsidRDefault="000802FC">
      <w:pPr>
        <w:spacing w:line="480" w:lineRule="auto"/>
        <w:ind w:left="1134"/>
        <w:jc w:val="both"/>
        <w:rPr>
          <w:rFonts w:ascii="Arial" w:hAnsi="Arial" w:cs="Arial"/>
          <w:iCs/>
        </w:rPr>
      </w:pPr>
      <w:r>
        <w:rPr>
          <w:rFonts w:ascii="Arial" w:hAnsi="Arial" w:cs="Arial"/>
          <w:iCs/>
        </w:rPr>
        <w:lastRenderedPageBreak/>
        <w:t>El Buque con este tipo de amarre es mantenido en posición de manera rígida. La conexión al manifold del Buque se realiza a través de mangueras sumergibles, que son levantadas desde el fondo del mar una</w:t>
      </w:r>
      <w:r>
        <w:rPr>
          <w:rFonts w:ascii="Arial" w:hAnsi="Arial" w:cs="Arial"/>
          <w:iCs/>
        </w:rPr>
        <w:t xml:space="preserve"> vez que el barco se encuentra amarrado. Las líneas submarinas conectan el manifold del final de la línea o PLEM con la costa.</w:t>
      </w:r>
    </w:p>
    <w:p w:rsidR="00000000" w:rsidRDefault="000802FC">
      <w:pPr>
        <w:spacing w:line="480" w:lineRule="auto"/>
        <w:ind w:left="1134"/>
        <w:jc w:val="both"/>
        <w:rPr>
          <w:rFonts w:ascii="Arial" w:hAnsi="Arial" w:cs="Arial"/>
          <w:iCs/>
        </w:rPr>
      </w:pPr>
    </w:p>
    <w:p w:rsidR="00000000" w:rsidRDefault="000802FC">
      <w:pPr>
        <w:spacing w:line="480" w:lineRule="auto"/>
        <w:ind w:left="1134"/>
        <w:jc w:val="both"/>
        <w:rPr>
          <w:rFonts w:ascii="Arial" w:hAnsi="Arial" w:cs="Arial"/>
          <w:iCs/>
          <w:lang w:val="es-MX"/>
        </w:rPr>
      </w:pPr>
      <w:r>
        <w:rPr>
          <w:rFonts w:ascii="Arial" w:hAnsi="Arial" w:cs="Arial"/>
          <w:iCs/>
        </w:rPr>
        <w:t>PLEM viene de Pipeline end Manifold, cuando se haga referencia de él, indicará que el final de la línea tiene un manifold.</w:t>
      </w:r>
    </w:p>
    <w:p w:rsidR="00000000" w:rsidRDefault="000802FC">
      <w:pPr>
        <w:spacing w:line="480" w:lineRule="auto"/>
        <w:ind w:left="1134"/>
        <w:jc w:val="both"/>
        <w:rPr>
          <w:rFonts w:ascii="Arial" w:hAnsi="Arial" w:cs="Arial"/>
          <w:iCs/>
          <w:lang w:val="es-EC"/>
        </w:rPr>
      </w:pPr>
    </w:p>
    <w:p w:rsidR="00000000" w:rsidRDefault="000802FC">
      <w:pPr>
        <w:spacing w:line="480" w:lineRule="auto"/>
        <w:ind w:left="1134"/>
        <w:jc w:val="center"/>
        <w:rPr>
          <w:rFonts w:ascii="Arial" w:hAnsi="Arial" w:cs="Arial"/>
          <w:iCs/>
        </w:rPr>
      </w:pPr>
      <w:r>
        <w:object w:dxaOrig="2820" w:dyaOrig="3510">
          <v:shape id="_x0000_i1028" type="#_x0000_t75" style="width:354pt;height:441pt" o:ole="" o:bordertopcolor="this" o:borderleftcolor="this" o:borderbottomcolor="this" o:borderrightcolor="this">
            <v:imagedata r:id="rId13" o:title=""/>
            <w10:bordertop type="single" width="12"/>
            <w10:borderleft type="single" width="12"/>
            <w10:borderbottom type="single" width="12"/>
            <w10:borderright type="single" width="12"/>
          </v:shape>
          <o:OLEObject Type="Embed" ProgID="AutoCAD.Drawing.15" ShapeID="_x0000_i1028" DrawAspect="Content" ObjectID="_1307346495" r:id="rId14"/>
        </w:object>
      </w:r>
    </w:p>
    <w:p w:rsidR="00000000" w:rsidRDefault="000802FC">
      <w:pPr>
        <w:spacing w:line="480" w:lineRule="auto"/>
        <w:ind w:left="1134"/>
        <w:jc w:val="both"/>
        <w:rPr>
          <w:rFonts w:ascii="Arial" w:hAnsi="Arial" w:cs="Arial"/>
          <w:iCs/>
        </w:rPr>
      </w:pPr>
    </w:p>
    <w:p w:rsidR="00000000" w:rsidRDefault="000802FC">
      <w:pPr>
        <w:spacing w:line="480" w:lineRule="auto"/>
        <w:ind w:left="1134"/>
        <w:jc w:val="both"/>
        <w:rPr>
          <w:rFonts w:ascii="Arial" w:hAnsi="Arial" w:cs="Arial"/>
          <w:iCs/>
        </w:rPr>
      </w:pPr>
      <w:r>
        <w:rPr>
          <w:rFonts w:ascii="Arial" w:hAnsi="Arial" w:cs="Arial"/>
          <w:iCs/>
        </w:rPr>
        <w:t>FIGURA 1.4.</w:t>
      </w:r>
      <w:r>
        <w:rPr>
          <w:rFonts w:ascii="Arial" w:hAnsi="Arial" w:cs="Arial"/>
          <w:iCs/>
        </w:rPr>
        <w:tab/>
        <w:t>SISTEMA DE AMARRE POR MULTIBOYAS.</w:t>
      </w:r>
    </w:p>
    <w:p w:rsidR="00000000" w:rsidRDefault="000802FC">
      <w:pPr>
        <w:spacing w:line="480" w:lineRule="auto"/>
        <w:ind w:left="1134"/>
        <w:jc w:val="both"/>
        <w:rPr>
          <w:rFonts w:ascii="Arial" w:hAnsi="Arial" w:cs="Arial"/>
          <w:iCs/>
        </w:rPr>
      </w:pPr>
    </w:p>
    <w:p w:rsidR="00000000" w:rsidRDefault="000802FC">
      <w:pPr>
        <w:spacing w:line="480" w:lineRule="auto"/>
        <w:ind w:left="1134"/>
        <w:jc w:val="both"/>
        <w:rPr>
          <w:rFonts w:ascii="Arial" w:hAnsi="Arial" w:cs="Arial"/>
          <w:iCs/>
        </w:rPr>
      </w:pPr>
    </w:p>
    <w:p w:rsidR="00000000" w:rsidRDefault="000802FC">
      <w:pPr>
        <w:pStyle w:val="Ttulo"/>
        <w:ind w:left="1134"/>
        <w:jc w:val="both"/>
        <w:rPr>
          <w:bCs/>
          <w:sz w:val="24"/>
          <w:u w:val="single"/>
        </w:rPr>
      </w:pPr>
      <w:r>
        <w:rPr>
          <w:bCs/>
          <w:iCs/>
          <w:sz w:val="24"/>
          <w:u w:val="single"/>
        </w:rPr>
        <w:lastRenderedPageBreak/>
        <w:t xml:space="preserve">Sistema de Amarre por </w:t>
      </w:r>
      <w:r>
        <w:rPr>
          <w:bCs/>
          <w:iCs/>
          <w:sz w:val="24"/>
          <w:u w:val="single"/>
          <w:lang w:val="es-MX"/>
        </w:rPr>
        <w:t>Monoboyas</w:t>
      </w:r>
    </w:p>
    <w:p w:rsidR="00000000" w:rsidRDefault="000802FC">
      <w:pPr>
        <w:spacing w:line="480" w:lineRule="auto"/>
        <w:ind w:left="1134"/>
        <w:jc w:val="both"/>
        <w:rPr>
          <w:rFonts w:ascii="Arial" w:hAnsi="Arial" w:cs="Arial"/>
          <w:iCs/>
        </w:rPr>
      </w:pPr>
      <w:r>
        <w:rPr>
          <w:rFonts w:ascii="Arial" w:hAnsi="Arial" w:cs="Arial"/>
          <w:iCs/>
        </w:rPr>
        <w:t xml:space="preserve">Los sistemas de amarre por Monoboya se utilizan para condiciones climáticas severas, donde la dirección del viento y las olas, no tienen un patrón </w:t>
      </w:r>
      <w:r>
        <w:rPr>
          <w:rFonts w:ascii="Arial" w:hAnsi="Arial" w:cs="Arial"/>
          <w:iCs/>
        </w:rPr>
        <w:t>estable y definido. Son muy comunes para amarrar Buques de gran capacidad, como los VLCC.</w:t>
      </w:r>
    </w:p>
    <w:p w:rsidR="00000000" w:rsidRDefault="000802FC">
      <w:pPr>
        <w:spacing w:line="480" w:lineRule="auto"/>
        <w:ind w:left="1134"/>
        <w:jc w:val="both"/>
        <w:rPr>
          <w:rFonts w:ascii="Arial" w:hAnsi="Arial" w:cs="Arial"/>
          <w:iCs/>
        </w:rPr>
      </w:pPr>
    </w:p>
    <w:p w:rsidR="00000000" w:rsidRDefault="000802FC">
      <w:pPr>
        <w:spacing w:line="480" w:lineRule="auto"/>
        <w:ind w:left="1134"/>
        <w:jc w:val="both"/>
        <w:rPr>
          <w:rFonts w:ascii="Arial" w:hAnsi="Arial" w:cs="Arial"/>
          <w:iCs/>
        </w:rPr>
      </w:pPr>
      <w:r>
        <w:rPr>
          <w:rFonts w:ascii="Arial" w:hAnsi="Arial" w:cs="Arial"/>
          <w:iCs/>
        </w:rPr>
        <w:t>Los tipos de sistema de amarre de un solo punto de mayor uso son:</w:t>
      </w:r>
    </w:p>
    <w:p w:rsidR="00000000" w:rsidRDefault="000802FC">
      <w:pPr>
        <w:spacing w:line="480" w:lineRule="auto"/>
        <w:ind w:left="1134"/>
        <w:jc w:val="both"/>
        <w:rPr>
          <w:rFonts w:ascii="Arial" w:hAnsi="Arial" w:cs="Arial"/>
          <w:iCs/>
        </w:rPr>
      </w:pPr>
    </w:p>
    <w:p w:rsidR="00000000" w:rsidRDefault="000802FC" w:rsidP="000802FC">
      <w:pPr>
        <w:numPr>
          <w:ilvl w:val="1"/>
          <w:numId w:val="17"/>
        </w:numPr>
        <w:spacing w:line="480" w:lineRule="auto"/>
        <w:jc w:val="both"/>
        <w:rPr>
          <w:rFonts w:ascii="Arial" w:hAnsi="Arial" w:cs="Arial"/>
          <w:iCs/>
        </w:rPr>
      </w:pPr>
      <w:r>
        <w:rPr>
          <w:rFonts w:ascii="Arial" w:hAnsi="Arial" w:cs="Arial"/>
          <w:iCs/>
        </w:rPr>
        <w:t>Amarre pierna de ancla catenaria (CALM).</w:t>
      </w:r>
    </w:p>
    <w:p w:rsidR="00000000" w:rsidRDefault="000802FC" w:rsidP="000802FC">
      <w:pPr>
        <w:numPr>
          <w:ilvl w:val="1"/>
          <w:numId w:val="17"/>
        </w:numPr>
        <w:spacing w:line="480" w:lineRule="auto"/>
        <w:jc w:val="both"/>
        <w:rPr>
          <w:rFonts w:ascii="Arial" w:hAnsi="Arial" w:cs="Arial"/>
          <w:iCs/>
        </w:rPr>
      </w:pPr>
      <w:r>
        <w:rPr>
          <w:rFonts w:ascii="Arial" w:hAnsi="Arial" w:cs="Arial"/>
          <w:iCs/>
        </w:rPr>
        <w:t>Amarre pierna de ancla única (SALM).</w:t>
      </w:r>
    </w:p>
    <w:p w:rsidR="00000000" w:rsidRDefault="000802FC" w:rsidP="000802FC">
      <w:pPr>
        <w:numPr>
          <w:ilvl w:val="1"/>
          <w:numId w:val="17"/>
        </w:numPr>
        <w:spacing w:line="480" w:lineRule="auto"/>
        <w:jc w:val="both"/>
        <w:rPr>
          <w:rFonts w:ascii="Arial" w:hAnsi="Arial" w:cs="Arial"/>
          <w:iCs/>
        </w:rPr>
      </w:pPr>
      <w:r>
        <w:rPr>
          <w:rFonts w:ascii="Arial" w:hAnsi="Arial" w:cs="Arial"/>
          <w:iCs/>
        </w:rPr>
        <w:t>Torre de punto único</w:t>
      </w:r>
      <w:r>
        <w:rPr>
          <w:rFonts w:ascii="Arial" w:hAnsi="Arial" w:cs="Arial"/>
          <w:iCs/>
        </w:rPr>
        <w:t xml:space="preserve"> con brazo de armadura.</w:t>
      </w:r>
    </w:p>
    <w:p w:rsidR="00000000" w:rsidRDefault="000802FC" w:rsidP="000802FC">
      <w:pPr>
        <w:numPr>
          <w:ilvl w:val="1"/>
          <w:numId w:val="17"/>
        </w:numPr>
        <w:spacing w:line="480" w:lineRule="auto"/>
        <w:jc w:val="both"/>
        <w:rPr>
          <w:rFonts w:ascii="Arial" w:hAnsi="Arial" w:cs="Arial"/>
          <w:iCs/>
        </w:rPr>
      </w:pPr>
      <w:r>
        <w:rPr>
          <w:rFonts w:ascii="Arial" w:hAnsi="Arial" w:cs="Arial"/>
          <w:iCs/>
        </w:rPr>
        <w:t>Torre de punto único con manguera flotante.</w:t>
      </w:r>
    </w:p>
    <w:p w:rsidR="00000000" w:rsidRDefault="000802FC">
      <w:pPr>
        <w:spacing w:line="480" w:lineRule="auto"/>
        <w:ind w:left="1134"/>
        <w:jc w:val="both"/>
        <w:rPr>
          <w:rFonts w:ascii="Arial" w:hAnsi="Arial" w:cs="Arial"/>
          <w:iCs/>
        </w:rPr>
      </w:pPr>
    </w:p>
    <w:p w:rsidR="00000000" w:rsidRDefault="000802FC">
      <w:pPr>
        <w:spacing w:line="480" w:lineRule="auto"/>
        <w:ind w:left="1134"/>
        <w:jc w:val="both"/>
        <w:rPr>
          <w:rFonts w:ascii="Arial" w:hAnsi="Arial" w:cs="Arial"/>
          <w:iCs/>
        </w:rPr>
      </w:pPr>
      <w:r>
        <w:rPr>
          <w:rFonts w:ascii="Arial" w:hAnsi="Arial" w:cs="Arial"/>
          <w:iCs/>
        </w:rPr>
        <w:t>Los dos tipos más comunes son los sistemas CALM y SALM.</w:t>
      </w:r>
    </w:p>
    <w:p w:rsidR="00000000" w:rsidRDefault="000802FC">
      <w:pPr>
        <w:spacing w:line="480" w:lineRule="auto"/>
        <w:ind w:left="1134"/>
        <w:jc w:val="both"/>
        <w:rPr>
          <w:rFonts w:ascii="Arial" w:hAnsi="Arial" w:cs="Arial"/>
          <w:iCs/>
        </w:rPr>
      </w:pPr>
    </w:p>
    <w:p w:rsidR="00000000" w:rsidRDefault="000802FC">
      <w:pPr>
        <w:spacing w:line="480" w:lineRule="auto"/>
        <w:ind w:left="1134"/>
        <w:jc w:val="both"/>
        <w:rPr>
          <w:rFonts w:ascii="Arial" w:hAnsi="Arial" w:cs="Arial"/>
          <w:iCs/>
          <w:u w:val="single"/>
        </w:rPr>
      </w:pPr>
      <w:r>
        <w:rPr>
          <w:rFonts w:ascii="Arial" w:hAnsi="Arial" w:cs="Arial"/>
          <w:iCs/>
          <w:u w:val="single"/>
        </w:rPr>
        <w:t>Sistemas CALM</w:t>
      </w:r>
    </w:p>
    <w:p w:rsidR="00000000" w:rsidRDefault="000802FC">
      <w:pPr>
        <w:spacing w:line="480" w:lineRule="auto"/>
        <w:ind w:left="1134"/>
        <w:jc w:val="both"/>
        <w:rPr>
          <w:rFonts w:ascii="Arial" w:hAnsi="Arial" w:cs="Arial"/>
          <w:iCs/>
        </w:rPr>
      </w:pPr>
      <w:r>
        <w:rPr>
          <w:rFonts w:ascii="Arial" w:hAnsi="Arial" w:cs="Arial"/>
          <w:iCs/>
        </w:rPr>
        <w:t xml:space="preserve">Esta instalación consta de una boya de amarre hacia la cuál el Buque tanque se conecta mediante la línea de amarre. </w:t>
      </w:r>
      <w:r>
        <w:rPr>
          <w:rFonts w:ascii="Arial" w:hAnsi="Arial" w:cs="Arial"/>
          <w:iCs/>
        </w:rPr>
        <w:t xml:space="preserve">La transferencia de carga se realiza desde la boya hacia el B/T a través de una manguera flotante que se conecta al manifold del Buque y a una mesa giratoria </w:t>
      </w:r>
      <w:r>
        <w:rPr>
          <w:rFonts w:ascii="Arial" w:hAnsi="Arial" w:cs="Arial"/>
          <w:iCs/>
        </w:rPr>
        <w:lastRenderedPageBreak/>
        <w:t>en la boya. La conexión hacia el PLEM se realiza mediante una manguera conectada debajo de la boya</w:t>
      </w:r>
      <w:r>
        <w:rPr>
          <w:rFonts w:ascii="Arial" w:hAnsi="Arial" w:cs="Arial"/>
          <w:iCs/>
        </w:rPr>
        <w:t>. La boya se mantiene firme, pero con la capacidad de girar en su parte superior, hacia la cuál la línea de amarre es conectada para permitir al B/T resistir a las perturbaciones de la intemperie con ayuda de la boya, en respuesta a los cambios en olas, co</w:t>
      </w:r>
      <w:r>
        <w:rPr>
          <w:rFonts w:ascii="Arial" w:hAnsi="Arial" w:cs="Arial"/>
          <w:iCs/>
        </w:rPr>
        <w:t>rrientes y vientos.</w:t>
      </w:r>
    </w:p>
    <w:p w:rsidR="00000000" w:rsidRDefault="000802FC">
      <w:pPr>
        <w:spacing w:line="480" w:lineRule="auto"/>
        <w:ind w:left="1134"/>
        <w:jc w:val="both"/>
        <w:rPr>
          <w:rFonts w:ascii="Arial" w:hAnsi="Arial" w:cs="Arial"/>
          <w:iCs/>
        </w:rPr>
      </w:pPr>
    </w:p>
    <w:p w:rsidR="00000000" w:rsidRDefault="000802FC">
      <w:pPr>
        <w:spacing w:line="480" w:lineRule="auto"/>
        <w:ind w:left="1134"/>
        <w:jc w:val="both"/>
        <w:rPr>
          <w:rFonts w:ascii="Arial" w:hAnsi="Arial" w:cs="Arial"/>
          <w:iCs/>
        </w:rPr>
      </w:pPr>
      <w:r>
        <w:rPr>
          <w:rFonts w:ascii="Arial" w:hAnsi="Arial" w:cs="Arial"/>
          <w:iCs/>
        </w:rPr>
        <w:t>Otras características del sistema CALM son:</w:t>
      </w:r>
    </w:p>
    <w:p w:rsidR="00000000" w:rsidRDefault="000802FC">
      <w:pPr>
        <w:spacing w:line="480" w:lineRule="auto"/>
        <w:ind w:left="1134"/>
        <w:jc w:val="both"/>
        <w:rPr>
          <w:rFonts w:ascii="Arial" w:hAnsi="Arial" w:cs="Arial"/>
          <w:iCs/>
        </w:rPr>
      </w:pPr>
    </w:p>
    <w:p w:rsidR="00000000" w:rsidRDefault="000802FC" w:rsidP="000802FC">
      <w:pPr>
        <w:numPr>
          <w:ilvl w:val="1"/>
          <w:numId w:val="3"/>
        </w:numPr>
        <w:spacing w:line="480" w:lineRule="auto"/>
        <w:jc w:val="both"/>
        <w:rPr>
          <w:rFonts w:ascii="Arial" w:hAnsi="Arial" w:cs="Arial"/>
          <w:iCs/>
        </w:rPr>
      </w:pPr>
      <w:r>
        <w:rPr>
          <w:rFonts w:ascii="Arial" w:hAnsi="Arial" w:cs="Arial"/>
          <w:iCs/>
        </w:rPr>
        <w:t>Usa de 4 a 8 piernas de cadena de catenaria anclada.</w:t>
      </w:r>
    </w:p>
    <w:p w:rsidR="00000000" w:rsidRDefault="000802FC" w:rsidP="000802FC">
      <w:pPr>
        <w:numPr>
          <w:ilvl w:val="1"/>
          <w:numId w:val="3"/>
        </w:numPr>
        <w:spacing w:line="480" w:lineRule="auto"/>
        <w:jc w:val="both"/>
        <w:rPr>
          <w:rFonts w:ascii="Arial" w:hAnsi="Arial" w:cs="Arial"/>
          <w:iCs/>
        </w:rPr>
      </w:pPr>
      <w:r>
        <w:rPr>
          <w:rFonts w:ascii="Arial" w:hAnsi="Arial" w:cs="Arial"/>
          <w:iCs/>
        </w:rPr>
        <w:t>La boya se mantiene siempre sobre la superficie del agua.</w:t>
      </w:r>
    </w:p>
    <w:p w:rsidR="00000000" w:rsidRDefault="000802FC" w:rsidP="000802FC">
      <w:pPr>
        <w:numPr>
          <w:ilvl w:val="1"/>
          <w:numId w:val="3"/>
        </w:numPr>
        <w:spacing w:line="480" w:lineRule="auto"/>
        <w:jc w:val="both"/>
        <w:rPr>
          <w:rFonts w:ascii="Arial" w:hAnsi="Arial" w:cs="Arial"/>
          <w:iCs/>
        </w:rPr>
      </w:pPr>
      <w:r>
        <w:rPr>
          <w:rFonts w:ascii="Arial" w:hAnsi="Arial" w:cs="Arial"/>
          <w:iCs/>
        </w:rPr>
        <w:t>La boya permanece fija durante las operaciones; solamente la plataforma girator</w:t>
      </w:r>
      <w:r>
        <w:rPr>
          <w:rFonts w:ascii="Arial" w:hAnsi="Arial" w:cs="Arial"/>
          <w:iCs/>
        </w:rPr>
        <w:t>ia montada sobre la boya gira.</w:t>
      </w:r>
    </w:p>
    <w:p w:rsidR="00000000" w:rsidRDefault="000802FC">
      <w:pPr>
        <w:spacing w:line="480" w:lineRule="auto"/>
        <w:ind w:left="1134"/>
        <w:jc w:val="both"/>
        <w:rPr>
          <w:rFonts w:ascii="Arial" w:hAnsi="Arial" w:cs="Arial"/>
          <w:iCs/>
        </w:rPr>
      </w:pPr>
    </w:p>
    <w:p w:rsidR="00000000" w:rsidRDefault="00177CA6">
      <w:pPr>
        <w:spacing w:line="480" w:lineRule="auto"/>
        <w:ind w:left="1134"/>
        <w:jc w:val="center"/>
        <w:rPr>
          <w:rFonts w:ascii="Arial" w:hAnsi="Arial" w:cs="Arial"/>
          <w:iCs/>
        </w:rPr>
      </w:pPr>
      <w:r>
        <w:rPr>
          <w:noProof/>
        </w:rPr>
        <w:lastRenderedPageBreak/>
        <w:drawing>
          <wp:inline distT="0" distB="0" distL="0" distR="0">
            <wp:extent cx="4318000" cy="3111500"/>
            <wp:effectExtent l="19050" t="0" r="6350" b="0"/>
            <wp:docPr id="5" name="Imagen 5" descr="so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f2"/>
                    <pic:cNvPicPr>
                      <a:picLocks noChangeAspect="1" noChangeArrowheads="1"/>
                    </pic:cNvPicPr>
                  </pic:nvPicPr>
                  <pic:blipFill>
                    <a:blip r:embed="rId15"/>
                    <a:srcRect/>
                    <a:stretch>
                      <a:fillRect/>
                    </a:stretch>
                  </pic:blipFill>
                  <pic:spPr bwMode="auto">
                    <a:xfrm>
                      <a:off x="0" y="0"/>
                      <a:ext cx="4318000" cy="3111500"/>
                    </a:xfrm>
                    <a:prstGeom prst="rect">
                      <a:avLst/>
                    </a:prstGeom>
                    <a:noFill/>
                    <a:ln w="9525">
                      <a:noFill/>
                      <a:miter lim="800000"/>
                      <a:headEnd/>
                      <a:tailEnd/>
                    </a:ln>
                  </pic:spPr>
                </pic:pic>
              </a:graphicData>
            </a:graphic>
          </wp:inline>
        </w:drawing>
      </w:r>
    </w:p>
    <w:p w:rsidR="00000000" w:rsidRDefault="000802FC">
      <w:pPr>
        <w:pStyle w:val="NormalWeb"/>
        <w:spacing w:line="480" w:lineRule="auto"/>
        <w:ind w:left="1134"/>
        <w:jc w:val="both"/>
        <w:rPr>
          <w:bCs/>
          <w:sz w:val="24"/>
          <w:szCs w:val="24"/>
        </w:rPr>
      </w:pPr>
      <w:r>
        <w:rPr>
          <w:bCs/>
          <w:sz w:val="24"/>
          <w:szCs w:val="24"/>
          <w:lang w:val="en-US"/>
        </w:rPr>
        <w:t>FIGURA 1.5.</w:t>
      </w:r>
      <w:r>
        <w:rPr>
          <w:bCs/>
          <w:sz w:val="24"/>
          <w:szCs w:val="24"/>
          <w:lang w:val="en-US"/>
        </w:rPr>
        <w:tab/>
      </w:r>
      <w:r>
        <w:rPr>
          <w:bCs/>
          <w:sz w:val="24"/>
          <w:szCs w:val="24"/>
        </w:rPr>
        <w:t>SISTEMA DE AMARRE POR MONOBOYA TIPO CALM.</w:t>
      </w:r>
    </w:p>
    <w:p w:rsidR="00000000" w:rsidRDefault="000802FC">
      <w:pPr>
        <w:spacing w:line="480" w:lineRule="auto"/>
        <w:ind w:left="1134"/>
        <w:jc w:val="both"/>
        <w:rPr>
          <w:rFonts w:ascii="Arial" w:hAnsi="Arial" w:cs="Arial"/>
          <w:iCs/>
          <w:lang w:val="es-EC"/>
        </w:rPr>
      </w:pPr>
    </w:p>
    <w:p w:rsidR="00000000" w:rsidRDefault="000802FC">
      <w:pPr>
        <w:spacing w:line="480" w:lineRule="auto"/>
        <w:ind w:left="1134"/>
        <w:jc w:val="both"/>
        <w:rPr>
          <w:rFonts w:ascii="Arial" w:hAnsi="Arial" w:cs="Arial"/>
          <w:iCs/>
          <w:u w:val="single"/>
        </w:rPr>
      </w:pPr>
      <w:r>
        <w:rPr>
          <w:rFonts w:ascii="Arial" w:hAnsi="Arial" w:cs="Arial"/>
          <w:iCs/>
          <w:u w:val="single"/>
        </w:rPr>
        <w:t xml:space="preserve">Sistemas SALM </w:t>
      </w:r>
    </w:p>
    <w:p w:rsidR="00000000" w:rsidRDefault="000802FC">
      <w:pPr>
        <w:spacing w:line="480" w:lineRule="auto"/>
        <w:ind w:left="1134"/>
        <w:jc w:val="both"/>
        <w:rPr>
          <w:rFonts w:ascii="Arial" w:hAnsi="Arial" w:cs="Arial"/>
          <w:iCs/>
        </w:rPr>
      </w:pPr>
      <w:r>
        <w:rPr>
          <w:rFonts w:ascii="Arial" w:hAnsi="Arial" w:cs="Arial"/>
          <w:iCs/>
        </w:rPr>
        <w:t>Un sistema</w:t>
      </w:r>
      <w:r>
        <w:rPr>
          <w:rFonts w:ascii="Arial" w:hAnsi="Arial" w:cs="Arial"/>
          <w:iCs/>
        </w:rPr>
        <w:t xml:space="preserve"> SALM típico consiste de una boya amarrada en la superficie del mar mantenida fija hacia una base de amarre en el piso marino por una sola pierna de anclaje. La boya es estirada hacia abajo en contra de su flotación mediante la tensión en la pierna del anc</w:t>
      </w:r>
      <w:r>
        <w:rPr>
          <w:rFonts w:ascii="Arial" w:hAnsi="Arial" w:cs="Arial"/>
          <w:iCs/>
        </w:rPr>
        <w:t xml:space="preserve">la. Los Buques tanque son amarrados mediante líneas a la boya, </w:t>
      </w:r>
      <w:r>
        <w:rPr>
          <w:rFonts w:ascii="Arial" w:hAnsi="Arial" w:cs="Arial"/>
          <w:iCs/>
        </w:rPr>
        <w:lastRenderedPageBreak/>
        <w:t>y una pieza giratoria en la pierna de ancla permite al Buque tanque girar alrededor del punto de amarre.</w:t>
      </w:r>
    </w:p>
    <w:p w:rsidR="00000000" w:rsidRDefault="000802FC">
      <w:pPr>
        <w:spacing w:line="480" w:lineRule="auto"/>
        <w:ind w:left="1134"/>
        <w:jc w:val="both"/>
        <w:rPr>
          <w:rFonts w:ascii="Arial" w:hAnsi="Arial" w:cs="Arial"/>
          <w:iCs/>
        </w:rPr>
      </w:pPr>
    </w:p>
    <w:p w:rsidR="00000000" w:rsidRDefault="00177CA6">
      <w:pPr>
        <w:spacing w:line="480" w:lineRule="auto"/>
        <w:ind w:left="1134"/>
        <w:jc w:val="center"/>
        <w:rPr>
          <w:rFonts w:ascii="Arial" w:hAnsi="Arial" w:cs="Arial"/>
          <w:iCs/>
        </w:rPr>
      </w:pPr>
      <w:r>
        <w:rPr>
          <w:noProof/>
        </w:rPr>
        <w:drawing>
          <wp:inline distT="0" distB="0" distL="0" distR="0">
            <wp:extent cx="4318000" cy="2895600"/>
            <wp:effectExtent l="19050" t="0" r="6350" b="0"/>
            <wp:docPr id="6" name="Imagen 6" descr="so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f1"/>
                    <pic:cNvPicPr>
                      <a:picLocks noChangeAspect="1" noChangeArrowheads="1"/>
                    </pic:cNvPicPr>
                  </pic:nvPicPr>
                  <pic:blipFill>
                    <a:blip r:embed="rId16">
                      <a:lum bright="6000"/>
                    </a:blip>
                    <a:srcRect/>
                    <a:stretch>
                      <a:fillRect/>
                    </a:stretch>
                  </pic:blipFill>
                  <pic:spPr bwMode="auto">
                    <a:xfrm>
                      <a:off x="0" y="0"/>
                      <a:ext cx="4318000" cy="2895600"/>
                    </a:xfrm>
                    <a:prstGeom prst="rect">
                      <a:avLst/>
                    </a:prstGeom>
                    <a:noFill/>
                    <a:ln w="9525">
                      <a:noFill/>
                      <a:miter lim="800000"/>
                      <a:headEnd/>
                      <a:tailEnd/>
                    </a:ln>
                  </pic:spPr>
                </pic:pic>
              </a:graphicData>
            </a:graphic>
          </wp:inline>
        </w:drawing>
      </w:r>
    </w:p>
    <w:p w:rsidR="00000000" w:rsidRDefault="000802FC">
      <w:pPr>
        <w:pStyle w:val="NormalWeb"/>
        <w:spacing w:before="0" w:beforeAutospacing="0" w:after="0" w:afterAutospacing="0" w:line="480" w:lineRule="auto"/>
        <w:ind w:left="1134"/>
        <w:jc w:val="both"/>
        <w:rPr>
          <w:sz w:val="24"/>
          <w:szCs w:val="24"/>
          <w:lang w:val="en-US"/>
        </w:rPr>
      </w:pPr>
    </w:p>
    <w:p w:rsidR="00000000" w:rsidRDefault="000802FC">
      <w:pPr>
        <w:spacing w:line="480" w:lineRule="auto"/>
        <w:ind w:left="1134"/>
        <w:jc w:val="both"/>
        <w:rPr>
          <w:rFonts w:ascii="Arial" w:hAnsi="Arial" w:cs="Arial"/>
          <w:iCs/>
          <w:lang w:val="es-EC"/>
        </w:rPr>
      </w:pPr>
      <w:r>
        <w:rPr>
          <w:rFonts w:ascii="Arial" w:hAnsi="Arial" w:cs="Arial"/>
          <w:iCs/>
          <w:lang w:val="es-EC"/>
        </w:rPr>
        <w:t>FIGURA 1.6.</w:t>
      </w:r>
      <w:r>
        <w:rPr>
          <w:rFonts w:ascii="Arial" w:hAnsi="Arial" w:cs="Arial"/>
          <w:iCs/>
          <w:lang w:val="es-EC"/>
        </w:rPr>
        <w:tab/>
        <w:t>SISTEMA DE AMARRE POR MONOBOYA TIPO SALM.</w:t>
      </w:r>
    </w:p>
    <w:p w:rsidR="00000000" w:rsidRDefault="000802FC">
      <w:pPr>
        <w:spacing w:line="480" w:lineRule="auto"/>
        <w:ind w:left="1134"/>
        <w:jc w:val="both"/>
        <w:rPr>
          <w:rFonts w:ascii="Arial" w:hAnsi="Arial" w:cs="Arial"/>
          <w:iCs/>
          <w:lang w:val="es-EC"/>
        </w:rPr>
      </w:pPr>
    </w:p>
    <w:p w:rsidR="00000000" w:rsidRDefault="000802FC">
      <w:pPr>
        <w:spacing w:line="480" w:lineRule="auto"/>
        <w:ind w:left="1134"/>
        <w:jc w:val="both"/>
        <w:rPr>
          <w:rFonts w:ascii="Arial" w:hAnsi="Arial" w:cs="Arial"/>
          <w:iCs/>
        </w:rPr>
      </w:pPr>
      <w:r>
        <w:rPr>
          <w:rFonts w:ascii="Arial" w:hAnsi="Arial" w:cs="Arial"/>
          <w:iCs/>
        </w:rPr>
        <w:t>En el sistema SALM, el Buque tanque es libre para adaptarse al clima, este se alinea por sí mismo de ac</w:t>
      </w:r>
      <w:r>
        <w:rPr>
          <w:rFonts w:ascii="Arial" w:hAnsi="Arial" w:cs="Arial"/>
          <w:iCs/>
        </w:rPr>
        <w:t>uerdo a las condiciones predominantes de viento, olas y corrientes.</w:t>
      </w:r>
    </w:p>
    <w:p w:rsidR="00000000" w:rsidRDefault="000802FC">
      <w:pPr>
        <w:spacing w:line="480" w:lineRule="auto"/>
        <w:ind w:left="1134"/>
        <w:jc w:val="both"/>
        <w:rPr>
          <w:rFonts w:ascii="Arial" w:hAnsi="Arial" w:cs="Arial"/>
          <w:iCs/>
        </w:rPr>
      </w:pPr>
    </w:p>
    <w:p w:rsidR="00000000" w:rsidRDefault="000802FC">
      <w:pPr>
        <w:spacing w:line="480" w:lineRule="auto"/>
        <w:ind w:left="1134"/>
        <w:jc w:val="both"/>
        <w:rPr>
          <w:rFonts w:ascii="Arial" w:hAnsi="Arial" w:cs="Arial"/>
          <w:iCs/>
        </w:rPr>
      </w:pPr>
      <w:r>
        <w:rPr>
          <w:rFonts w:ascii="Arial" w:hAnsi="Arial" w:cs="Arial"/>
          <w:iCs/>
        </w:rPr>
        <w:lastRenderedPageBreak/>
        <w:t>Para transferir carga a través del sistema de amarre, se monta una pieza giratoria concéntricamente por encima del anclaje, o en lo alto de la base o en lo alto de una elevación pivoteada</w:t>
      </w:r>
      <w:r>
        <w:rPr>
          <w:rFonts w:ascii="Arial" w:hAnsi="Arial" w:cs="Arial"/>
          <w:iCs/>
        </w:rPr>
        <w:t xml:space="preserve"> en la base, y formando parte del sistema de anclaje de la boya Una tubería submarina, lleva el producto hacia o desde el amarre, y esta se encuentra unida a la base o al fondo de la elevación mediante mangueras. Las mangueras de despacho son conectadas ha</w:t>
      </w:r>
      <w:r>
        <w:rPr>
          <w:rFonts w:ascii="Arial" w:hAnsi="Arial" w:cs="Arial"/>
          <w:iCs/>
        </w:rPr>
        <w:t>cia un brazo ubicado sobre la elevación de la mesa giratoria, y hacia la superficie donde estas flotan y se extienden hacia el manifold del Buque tanque.</w:t>
      </w:r>
    </w:p>
    <w:p w:rsidR="00000000" w:rsidRDefault="000802FC">
      <w:pPr>
        <w:spacing w:line="480" w:lineRule="auto"/>
        <w:ind w:left="1134"/>
        <w:jc w:val="both"/>
        <w:rPr>
          <w:rFonts w:ascii="Arial" w:hAnsi="Arial" w:cs="Arial"/>
          <w:iCs/>
        </w:rPr>
      </w:pPr>
    </w:p>
    <w:p w:rsidR="00000000" w:rsidRDefault="000802FC">
      <w:pPr>
        <w:spacing w:line="480" w:lineRule="auto"/>
        <w:ind w:left="1134"/>
        <w:jc w:val="both"/>
        <w:rPr>
          <w:rFonts w:ascii="Arial" w:hAnsi="Arial" w:cs="Arial"/>
          <w:iCs/>
        </w:rPr>
      </w:pPr>
      <w:r>
        <w:rPr>
          <w:rFonts w:ascii="Arial" w:hAnsi="Arial" w:cs="Arial"/>
          <w:iCs/>
        </w:rPr>
        <w:t>Otras características del sistema SALM son:</w:t>
      </w:r>
    </w:p>
    <w:p w:rsidR="00000000" w:rsidRDefault="000802FC">
      <w:pPr>
        <w:spacing w:line="480" w:lineRule="auto"/>
        <w:ind w:left="1134"/>
        <w:jc w:val="both"/>
        <w:rPr>
          <w:rFonts w:ascii="Arial" w:hAnsi="Arial" w:cs="Arial"/>
          <w:iCs/>
        </w:rPr>
      </w:pPr>
    </w:p>
    <w:p w:rsidR="00000000" w:rsidRDefault="000802FC" w:rsidP="000802FC">
      <w:pPr>
        <w:numPr>
          <w:ilvl w:val="1"/>
          <w:numId w:val="18"/>
        </w:numPr>
        <w:spacing w:line="480" w:lineRule="auto"/>
        <w:jc w:val="both"/>
        <w:rPr>
          <w:rFonts w:ascii="Arial" w:hAnsi="Arial" w:cs="Arial"/>
          <w:iCs/>
        </w:rPr>
      </w:pPr>
      <w:r>
        <w:rPr>
          <w:rFonts w:ascii="Arial" w:hAnsi="Arial" w:cs="Arial"/>
          <w:iCs/>
        </w:rPr>
        <w:t>Tiene una base, la cuál es acumulada para sostener en co</w:t>
      </w:r>
      <w:r>
        <w:rPr>
          <w:rFonts w:ascii="Arial" w:hAnsi="Arial" w:cs="Arial"/>
          <w:iCs/>
        </w:rPr>
        <w:t>ntra de la línea de carga de la línea de amarre.</w:t>
      </w:r>
    </w:p>
    <w:p w:rsidR="00000000" w:rsidRDefault="000802FC" w:rsidP="000802FC">
      <w:pPr>
        <w:numPr>
          <w:ilvl w:val="1"/>
          <w:numId w:val="18"/>
        </w:numPr>
        <w:spacing w:line="480" w:lineRule="auto"/>
        <w:jc w:val="both"/>
        <w:rPr>
          <w:rFonts w:ascii="Arial" w:hAnsi="Arial" w:cs="Arial"/>
          <w:iCs/>
        </w:rPr>
      </w:pPr>
      <w:r>
        <w:rPr>
          <w:rFonts w:ascii="Arial" w:hAnsi="Arial" w:cs="Arial"/>
          <w:iCs/>
        </w:rPr>
        <w:t>La manguera se conecta por debajo de la zona de la ola activa.</w:t>
      </w:r>
    </w:p>
    <w:p w:rsidR="00000000" w:rsidRDefault="000802FC" w:rsidP="000802FC">
      <w:pPr>
        <w:numPr>
          <w:ilvl w:val="1"/>
          <w:numId w:val="18"/>
        </w:numPr>
        <w:spacing w:line="480" w:lineRule="auto"/>
        <w:jc w:val="both"/>
        <w:rPr>
          <w:rFonts w:ascii="Arial" w:hAnsi="Arial" w:cs="Arial"/>
          <w:iCs/>
        </w:rPr>
      </w:pPr>
      <w:r>
        <w:rPr>
          <w:rFonts w:ascii="Arial" w:hAnsi="Arial" w:cs="Arial"/>
          <w:iCs/>
        </w:rPr>
        <w:t>La boya gira de acuerdo a las perturbaciones de la intemperie que recibe el barco.</w:t>
      </w:r>
    </w:p>
    <w:p w:rsidR="00000000" w:rsidRDefault="000802FC" w:rsidP="000802FC">
      <w:pPr>
        <w:numPr>
          <w:ilvl w:val="1"/>
          <w:numId w:val="18"/>
        </w:numPr>
        <w:spacing w:line="480" w:lineRule="auto"/>
        <w:jc w:val="both"/>
        <w:rPr>
          <w:rFonts w:ascii="Arial" w:hAnsi="Arial" w:cs="Arial"/>
          <w:iCs/>
        </w:rPr>
      </w:pPr>
      <w:r>
        <w:rPr>
          <w:rFonts w:ascii="Arial" w:hAnsi="Arial" w:cs="Arial"/>
          <w:iCs/>
        </w:rPr>
        <w:t xml:space="preserve">La boya es diseñada para sumergirse de acuerdo al incremento </w:t>
      </w:r>
      <w:r>
        <w:rPr>
          <w:rFonts w:ascii="Arial" w:hAnsi="Arial" w:cs="Arial"/>
          <w:iCs/>
        </w:rPr>
        <w:t>de carga en la línea de amarre.</w:t>
      </w:r>
    </w:p>
    <w:p w:rsidR="00000000" w:rsidRDefault="000802FC">
      <w:pPr>
        <w:spacing w:line="480" w:lineRule="auto"/>
        <w:ind w:left="1134"/>
        <w:jc w:val="both"/>
        <w:rPr>
          <w:rFonts w:ascii="Arial" w:hAnsi="Arial" w:cs="Arial"/>
          <w:iCs/>
        </w:rPr>
        <w:sectPr w:rsidR="00000000">
          <w:headerReference w:type="even" r:id="rId17"/>
          <w:headerReference w:type="default" r:id="rId18"/>
          <w:footerReference w:type="even" r:id="rId19"/>
          <w:footerReference w:type="default" r:id="rId20"/>
          <w:pgSz w:w="12240" w:h="15840"/>
          <w:pgMar w:top="2268" w:right="1361" w:bottom="2268" w:left="2268" w:header="709" w:footer="709" w:gutter="0"/>
          <w:cols w:space="708"/>
          <w:titlePg/>
          <w:docGrid w:linePitch="360"/>
        </w:sectPr>
      </w:pPr>
    </w:p>
    <w:p w:rsidR="00000000" w:rsidRDefault="000802FC">
      <w:pPr>
        <w:jc w:val="center"/>
        <w:rPr>
          <w:rFonts w:ascii="Arial" w:hAnsi="Arial" w:cs="Arial"/>
        </w:rPr>
      </w:pPr>
    </w:p>
    <w:p w:rsidR="00000000" w:rsidRDefault="000802FC">
      <w:pPr>
        <w:jc w:val="center"/>
        <w:rPr>
          <w:rFonts w:ascii="Arial" w:hAnsi="Arial" w:cs="Arial"/>
        </w:rPr>
      </w:pPr>
      <w:r>
        <w:rPr>
          <w:rFonts w:ascii="Arial" w:hAnsi="Arial" w:cs="Arial"/>
        </w:rPr>
        <w:object w:dxaOrig="5865" w:dyaOrig="4125">
          <v:shape id="_x0000_i1029" type="#_x0000_t75" style="width:513pt;height:5in" o:ole="" o:bordertopcolor="this" o:borderleftcolor="this" o:borderbottomcolor="this" o:borderrightcolor="this">
            <v:imagedata r:id="rId21" o:title=""/>
            <w10:bordertop type="single" width="8"/>
            <w10:borderleft type="single" width="8"/>
            <w10:borderbottom type="single" width="8"/>
            <w10:borderright type="single" width="8"/>
          </v:shape>
          <o:OLEObject Type="Embed" ProgID="AutoCAD.Drawing.15" ShapeID="_x0000_i1029" DrawAspect="Content" ObjectID="_1307346496" r:id="rId22"/>
        </w:object>
      </w:r>
    </w:p>
    <w:p w:rsidR="00000000" w:rsidRDefault="000802FC">
      <w:pPr>
        <w:jc w:val="center"/>
        <w:rPr>
          <w:rFonts w:ascii="Arial" w:hAnsi="Arial" w:cs="Arial"/>
        </w:rPr>
      </w:pPr>
    </w:p>
    <w:p w:rsidR="00000000" w:rsidRDefault="000802FC">
      <w:pPr>
        <w:jc w:val="center"/>
        <w:rPr>
          <w:rFonts w:ascii="Arial" w:hAnsi="Arial" w:cs="Arial"/>
        </w:rPr>
      </w:pPr>
      <w:r>
        <w:rPr>
          <w:rFonts w:ascii="Arial" w:hAnsi="Arial" w:cs="Arial"/>
        </w:rPr>
        <w:t>FIGURA 1.7.</w:t>
      </w:r>
      <w:r>
        <w:rPr>
          <w:rFonts w:ascii="Arial" w:hAnsi="Arial" w:cs="Arial"/>
        </w:rPr>
        <w:tab/>
        <w:t>SISTEMA DE AMARRE POR MONOBOYA</w:t>
      </w:r>
    </w:p>
    <w:p w:rsidR="00000000" w:rsidRDefault="000802FC">
      <w:pPr>
        <w:spacing w:line="480" w:lineRule="auto"/>
        <w:ind w:left="1134"/>
        <w:jc w:val="both"/>
        <w:rPr>
          <w:rFonts w:ascii="Arial" w:hAnsi="Arial" w:cs="Arial"/>
          <w:iCs/>
          <w:lang w:val="es-EC"/>
        </w:rPr>
      </w:pPr>
    </w:p>
    <w:p w:rsidR="00000000" w:rsidRDefault="000802FC">
      <w:pPr>
        <w:spacing w:line="480" w:lineRule="auto"/>
        <w:ind w:left="1134"/>
        <w:jc w:val="both"/>
        <w:rPr>
          <w:rFonts w:ascii="Arial" w:hAnsi="Arial" w:cs="Arial"/>
          <w:iCs/>
          <w:lang w:val="es-EC"/>
        </w:rPr>
        <w:sectPr w:rsidR="00000000">
          <w:pgSz w:w="15840" w:h="12240" w:orient="landscape" w:code="1"/>
          <w:pgMar w:top="2268" w:right="2268" w:bottom="1361" w:left="2268" w:header="709" w:footer="709" w:gutter="0"/>
          <w:cols w:space="708"/>
          <w:titlePg/>
          <w:docGrid w:linePitch="360"/>
        </w:sectPr>
      </w:pPr>
    </w:p>
    <w:p w:rsidR="00000000" w:rsidRDefault="000802FC">
      <w:pPr>
        <w:spacing w:line="480" w:lineRule="auto"/>
        <w:ind w:left="1134"/>
        <w:jc w:val="center"/>
        <w:rPr>
          <w:rFonts w:ascii="Arial" w:hAnsi="Arial" w:cs="Arial"/>
          <w:lang w:val="es-EC"/>
        </w:rPr>
      </w:pPr>
      <w:r>
        <w:rPr>
          <w:rFonts w:ascii="Arial" w:hAnsi="Arial" w:cs="Arial"/>
          <w:lang w:val="es-EC"/>
        </w:rPr>
        <w:lastRenderedPageBreak/>
        <w:t>TABLA 3</w:t>
      </w:r>
    </w:p>
    <w:p w:rsidR="00000000" w:rsidRDefault="000802FC">
      <w:pPr>
        <w:pStyle w:val="Ttulo4"/>
        <w:spacing w:line="480" w:lineRule="auto"/>
        <w:ind w:left="1134"/>
        <w:rPr>
          <w:rFonts w:cs="Arial"/>
          <w:lang w:val="es-EC"/>
        </w:rPr>
      </w:pPr>
      <w:r>
        <w:rPr>
          <w:rFonts w:cs="Arial"/>
          <w:lang w:val="es-EC"/>
        </w:rPr>
        <w:t>COMPARACIÓN ENTRE SISTEMAS DE AMARRE COSTA AFUERA</w:t>
      </w:r>
    </w:p>
    <w:p w:rsidR="00000000" w:rsidRDefault="000802FC">
      <w:pPr>
        <w:spacing w:line="480" w:lineRule="auto"/>
        <w:rPr>
          <w:rFonts w:ascii="Arial" w:hAnsi="Arial" w:cs="Arial"/>
          <w:lang w:val="es-EC"/>
        </w:rPr>
      </w:pPr>
    </w:p>
    <w:tbl>
      <w:tblPr>
        <w:tblW w:w="702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1131"/>
        <w:gridCol w:w="1749"/>
        <w:gridCol w:w="1800"/>
      </w:tblGrid>
      <w:tr w:rsidR="00000000">
        <w:trPr>
          <w:trHeight w:val="340"/>
        </w:trPr>
        <w:tc>
          <w:tcPr>
            <w:tcW w:w="3471" w:type="dxa"/>
            <w:gridSpan w:val="2"/>
            <w:vAlign w:val="center"/>
          </w:tcPr>
          <w:p w:rsidR="00000000" w:rsidRDefault="000802FC">
            <w:pPr>
              <w:spacing w:line="360" w:lineRule="auto"/>
              <w:jc w:val="center"/>
              <w:rPr>
                <w:rFonts w:ascii="Arial" w:hAnsi="Arial" w:cs="Arial"/>
                <w:b/>
              </w:rPr>
            </w:pPr>
            <w:r>
              <w:rPr>
                <w:rFonts w:ascii="Arial" w:hAnsi="Arial" w:cs="Arial"/>
                <w:b/>
              </w:rPr>
              <w:t>CONDICION OPERATIVA</w:t>
            </w:r>
          </w:p>
        </w:tc>
        <w:tc>
          <w:tcPr>
            <w:tcW w:w="1749" w:type="dxa"/>
            <w:vAlign w:val="center"/>
          </w:tcPr>
          <w:p w:rsidR="00000000" w:rsidRDefault="000802FC">
            <w:pPr>
              <w:spacing w:line="360" w:lineRule="auto"/>
              <w:jc w:val="center"/>
              <w:rPr>
                <w:rFonts w:ascii="Arial" w:hAnsi="Arial" w:cs="Arial"/>
                <w:b/>
              </w:rPr>
            </w:pPr>
            <w:r>
              <w:rPr>
                <w:rFonts w:ascii="Arial" w:hAnsi="Arial" w:cs="Arial"/>
                <w:b/>
              </w:rPr>
              <w:t>MONO BOYA</w:t>
            </w:r>
          </w:p>
        </w:tc>
        <w:tc>
          <w:tcPr>
            <w:tcW w:w="1800" w:type="dxa"/>
            <w:vAlign w:val="center"/>
          </w:tcPr>
          <w:p w:rsidR="00000000" w:rsidRDefault="000802FC">
            <w:pPr>
              <w:spacing w:line="360" w:lineRule="auto"/>
              <w:jc w:val="center"/>
              <w:rPr>
                <w:rFonts w:ascii="Arial" w:hAnsi="Arial" w:cs="Arial"/>
                <w:b/>
              </w:rPr>
            </w:pPr>
            <w:r>
              <w:rPr>
                <w:rFonts w:ascii="Arial" w:hAnsi="Arial" w:cs="Arial"/>
                <w:b/>
              </w:rPr>
              <w:t>MULTI BOYA</w:t>
            </w:r>
          </w:p>
        </w:tc>
      </w:tr>
      <w:tr w:rsidR="00000000">
        <w:trPr>
          <w:cantSplit/>
          <w:trHeight w:val="340"/>
        </w:trPr>
        <w:tc>
          <w:tcPr>
            <w:tcW w:w="2340" w:type="dxa"/>
            <w:vMerge w:val="restart"/>
            <w:vAlign w:val="center"/>
          </w:tcPr>
          <w:p w:rsidR="00000000" w:rsidRDefault="000802FC">
            <w:pPr>
              <w:spacing w:line="360" w:lineRule="auto"/>
              <w:rPr>
                <w:rFonts w:ascii="Arial" w:hAnsi="Arial" w:cs="Arial"/>
                <w:b/>
              </w:rPr>
            </w:pPr>
            <w:r>
              <w:rPr>
                <w:rFonts w:ascii="Arial" w:hAnsi="Arial" w:cs="Arial"/>
                <w:b/>
              </w:rPr>
              <w:t>Durante el amarre</w:t>
            </w:r>
          </w:p>
        </w:tc>
        <w:tc>
          <w:tcPr>
            <w:tcW w:w="1131" w:type="dxa"/>
            <w:vAlign w:val="center"/>
          </w:tcPr>
          <w:p w:rsidR="00000000" w:rsidRDefault="000802FC">
            <w:pPr>
              <w:spacing w:before="120" w:line="360" w:lineRule="auto"/>
              <w:jc w:val="center"/>
              <w:rPr>
                <w:rFonts w:ascii="Arial" w:hAnsi="Arial" w:cs="Arial"/>
              </w:rPr>
            </w:pPr>
            <w:r>
              <w:rPr>
                <w:rFonts w:ascii="Arial" w:hAnsi="Arial" w:cs="Arial"/>
              </w:rPr>
              <w:t>Olas</w:t>
            </w:r>
          </w:p>
        </w:tc>
        <w:tc>
          <w:tcPr>
            <w:tcW w:w="1749" w:type="dxa"/>
            <w:vAlign w:val="center"/>
          </w:tcPr>
          <w:p w:rsidR="00000000" w:rsidRDefault="000802FC">
            <w:pPr>
              <w:spacing w:line="360" w:lineRule="auto"/>
              <w:jc w:val="center"/>
              <w:rPr>
                <w:rFonts w:ascii="Arial" w:hAnsi="Arial" w:cs="Arial"/>
              </w:rPr>
            </w:pPr>
            <w:r>
              <w:rPr>
                <w:rFonts w:ascii="Arial" w:hAnsi="Arial" w:cs="Arial"/>
              </w:rPr>
              <w:t>6 – 8 pies</w:t>
            </w:r>
          </w:p>
        </w:tc>
        <w:tc>
          <w:tcPr>
            <w:tcW w:w="1800" w:type="dxa"/>
            <w:vAlign w:val="center"/>
          </w:tcPr>
          <w:p w:rsidR="00000000" w:rsidRDefault="000802FC">
            <w:pPr>
              <w:spacing w:line="360" w:lineRule="auto"/>
              <w:jc w:val="center"/>
              <w:rPr>
                <w:rFonts w:ascii="Arial" w:hAnsi="Arial" w:cs="Arial"/>
              </w:rPr>
            </w:pPr>
            <w:r>
              <w:rPr>
                <w:rFonts w:ascii="Arial" w:hAnsi="Arial" w:cs="Arial"/>
              </w:rPr>
              <w:t>6 – 8 pie</w:t>
            </w:r>
            <w:r>
              <w:rPr>
                <w:rFonts w:ascii="Arial" w:hAnsi="Arial" w:cs="Arial"/>
              </w:rPr>
              <w:t>s</w:t>
            </w:r>
          </w:p>
        </w:tc>
      </w:tr>
      <w:tr w:rsidR="00000000">
        <w:trPr>
          <w:cantSplit/>
          <w:trHeight w:val="466"/>
        </w:trPr>
        <w:tc>
          <w:tcPr>
            <w:tcW w:w="2340" w:type="dxa"/>
            <w:vMerge/>
            <w:vAlign w:val="center"/>
          </w:tcPr>
          <w:p w:rsidR="00000000" w:rsidRDefault="000802FC">
            <w:pPr>
              <w:spacing w:line="360" w:lineRule="auto"/>
              <w:rPr>
                <w:rFonts w:ascii="Arial" w:hAnsi="Arial" w:cs="Arial"/>
                <w:b/>
              </w:rPr>
            </w:pPr>
          </w:p>
        </w:tc>
        <w:tc>
          <w:tcPr>
            <w:tcW w:w="1131" w:type="dxa"/>
            <w:vAlign w:val="center"/>
          </w:tcPr>
          <w:p w:rsidR="00000000" w:rsidRDefault="000802FC">
            <w:pPr>
              <w:spacing w:line="360" w:lineRule="auto"/>
              <w:jc w:val="center"/>
              <w:rPr>
                <w:rFonts w:ascii="Arial" w:hAnsi="Arial" w:cs="Arial"/>
              </w:rPr>
            </w:pPr>
            <w:r>
              <w:rPr>
                <w:rFonts w:ascii="Arial" w:hAnsi="Arial" w:cs="Arial"/>
              </w:rPr>
              <w:t>Vientos</w:t>
            </w:r>
          </w:p>
        </w:tc>
        <w:tc>
          <w:tcPr>
            <w:tcW w:w="1749" w:type="dxa"/>
            <w:vAlign w:val="center"/>
          </w:tcPr>
          <w:p w:rsidR="00000000" w:rsidRDefault="000802FC">
            <w:pPr>
              <w:spacing w:line="360" w:lineRule="auto"/>
              <w:jc w:val="center"/>
              <w:rPr>
                <w:rFonts w:ascii="Arial" w:hAnsi="Arial" w:cs="Arial"/>
              </w:rPr>
            </w:pPr>
            <w:r>
              <w:rPr>
                <w:rFonts w:ascii="Arial" w:hAnsi="Arial" w:cs="Arial"/>
              </w:rPr>
              <w:t>25 nudos</w:t>
            </w:r>
          </w:p>
        </w:tc>
        <w:tc>
          <w:tcPr>
            <w:tcW w:w="1800" w:type="dxa"/>
            <w:vAlign w:val="center"/>
          </w:tcPr>
          <w:p w:rsidR="00000000" w:rsidRDefault="000802FC">
            <w:pPr>
              <w:spacing w:line="360" w:lineRule="auto"/>
              <w:jc w:val="center"/>
              <w:rPr>
                <w:rFonts w:ascii="Arial" w:hAnsi="Arial" w:cs="Arial"/>
              </w:rPr>
            </w:pPr>
            <w:r>
              <w:rPr>
                <w:rFonts w:ascii="Arial" w:hAnsi="Arial" w:cs="Arial"/>
              </w:rPr>
              <w:t>25 nudos</w:t>
            </w:r>
          </w:p>
        </w:tc>
      </w:tr>
      <w:tr w:rsidR="00000000">
        <w:trPr>
          <w:cantSplit/>
          <w:trHeight w:val="340"/>
        </w:trPr>
        <w:tc>
          <w:tcPr>
            <w:tcW w:w="2340" w:type="dxa"/>
            <w:vMerge w:val="restart"/>
            <w:vAlign w:val="center"/>
          </w:tcPr>
          <w:p w:rsidR="00000000" w:rsidRDefault="000802FC">
            <w:pPr>
              <w:spacing w:line="360" w:lineRule="auto"/>
              <w:rPr>
                <w:rFonts w:ascii="Arial" w:hAnsi="Arial" w:cs="Arial"/>
                <w:b/>
              </w:rPr>
            </w:pPr>
            <w:r>
              <w:rPr>
                <w:rFonts w:ascii="Arial" w:hAnsi="Arial" w:cs="Arial"/>
                <w:b/>
              </w:rPr>
              <w:t>Amarrado</w:t>
            </w:r>
          </w:p>
        </w:tc>
        <w:tc>
          <w:tcPr>
            <w:tcW w:w="1131" w:type="dxa"/>
            <w:vAlign w:val="center"/>
          </w:tcPr>
          <w:p w:rsidR="00000000" w:rsidRDefault="000802FC">
            <w:pPr>
              <w:spacing w:line="360" w:lineRule="auto"/>
              <w:jc w:val="center"/>
              <w:rPr>
                <w:rFonts w:ascii="Arial" w:hAnsi="Arial" w:cs="Arial"/>
              </w:rPr>
            </w:pPr>
            <w:r>
              <w:rPr>
                <w:rFonts w:ascii="Arial" w:hAnsi="Arial" w:cs="Arial"/>
              </w:rPr>
              <w:t>Olas</w:t>
            </w:r>
          </w:p>
        </w:tc>
        <w:tc>
          <w:tcPr>
            <w:tcW w:w="1749" w:type="dxa"/>
            <w:vAlign w:val="center"/>
          </w:tcPr>
          <w:p w:rsidR="00000000" w:rsidRDefault="000802FC">
            <w:pPr>
              <w:spacing w:line="360" w:lineRule="auto"/>
              <w:jc w:val="center"/>
              <w:rPr>
                <w:rFonts w:ascii="Arial" w:hAnsi="Arial" w:cs="Arial"/>
              </w:rPr>
            </w:pPr>
            <w:r>
              <w:rPr>
                <w:rFonts w:ascii="Arial" w:hAnsi="Arial" w:cs="Arial"/>
              </w:rPr>
              <w:t>Sobre los 15 pies</w:t>
            </w:r>
          </w:p>
        </w:tc>
        <w:tc>
          <w:tcPr>
            <w:tcW w:w="1800" w:type="dxa"/>
            <w:vAlign w:val="center"/>
          </w:tcPr>
          <w:p w:rsidR="00000000" w:rsidRDefault="000802FC">
            <w:pPr>
              <w:spacing w:line="360" w:lineRule="auto"/>
              <w:jc w:val="center"/>
              <w:rPr>
                <w:rFonts w:ascii="Arial" w:hAnsi="Arial" w:cs="Arial"/>
              </w:rPr>
            </w:pPr>
            <w:r>
              <w:rPr>
                <w:rFonts w:ascii="Arial" w:hAnsi="Arial" w:cs="Arial"/>
              </w:rPr>
              <w:t>3 – 10 pies</w:t>
            </w:r>
          </w:p>
        </w:tc>
      </w:tr>
      <w:tr w:rsidR="00000000">
        <w:trPr>
          <w:cantSplit/>
          <w:trHeight w:val="411"/>
        </w:trPr>
        <w:tc>
          <w:tcPr>
            <w:tcW w:w="2340" w:type="dxa"/>
            <w:vMerge/>
            <w:vAlign w:val="center"/>
          </w:tcPr>
          <w:p w:rsidR="00000000" w:rsidRDefault="000802FC">
            <w:pPr>
              <w:spacing w:line="360" w:lineRule="auto"/>
              <w:rPr>
                <w:rFonts w:ascii="Arial" w:hAnsi="Arial" w:cs="Arial"/>
                <w:b/>
              </w:rPr>
            </w:pPr>
          </w:p>
        </w:tc>
        <w:tc>
          <w:tcPr>
            <w:tcW w:w="1131" w:type="dxa"/>
            <w:vAlign w:val="center"/>
          </w:tcPr>
          <w:p w:rsidR="00000000" w:rsidRDefault="000802FC">
            <w:pPr>
              <w:spacing w:line="360" w:lineRule="auto"/>
              <w:jc w:val="center"/>
              <w:rPr>
                <w:rFonts w:ascii="Arial" w:hAnsi="Arial" w:cs="Arial"/>
              </w:rPr>
            </w:pPr>
            <w:r>
              <w:rPr>
                <w:rFonts w:ascii="Arial" w:hAnsi="Arial" w:cs="Arial"/>
              </w:rPr>
              <w:t>Vientos</w:t>
            </w:r>
          </w:p>
        </w:tc>
        <w:tc>
          <w:tcPr>
            <w:tcW w:w="1749" w:type="dxa"/>
            <w:vAlign w:val="center"/>
          </w:tcPr>
          <w:p w:rsidR="00000000" w:rsidRDefault="000802FC">
            <w:pPr>
              <w:spacing w:line="360" w:lineRule="auto"/>
              <w:jc w:val="center"/>
              <w:rPr>
                <w:rFonts w:ascii="Arial" w:hAnsi="Arial" w:cs="Arial"/>
              </w:rPr>
            </w:pPr>
            <w:r>
              <w:rPr>
                <w:rFonts w:ascii="Arial" w:hAnsi="Arial" w:cs="Arial"/>
              </w:rPr>
              <w:t>60 nudos</w:t>
            </w:r>
          </w:p>
        </w:tc>
        <w:tc>
          <w:tcPr>
            <w:tcW w:w="1800" w:type="dxa"/>
            <w:vAlign w:val="center"/>
          </w:tcPr>
          <w:p w:rsidR="00000000" w:rsidRDefault="000802FC">
            <w:pPr>
              <w:spacing w:line="360" w:lineRule="auto"/>
              <w:jc w:val="center"/>
              <w:rPr>
                <w:rFonts w:ascii="Arial" w:hAnsi="Arial" w:cs="Arial"/>
              </w:rPr>
            </w:pPr>
            <w:r>
              <w:rPr>
                <w:rFonts w:ascii="Arial" w:hAnsi="Arial" w:cs="Arial"/>
              </w:rPr>
              <w:t>30 – 50 nudos</w:t>
            </w:r>
          </w:p>
        </w:tc>
      </w:tr>
      <w:tr w:rsidR="00000000">
        <w:trPr>
          <w:cantSplit/>
          <w:trHeight w:val="340"/>
        </w:trPr>
        <w:tc>
          <w:tcPr>
            <w:tcW w:w="2340" w:type="dxa"/>
            <w:vMerge w:val="restart"/>
            <w:vAlign w:val="center"/>
          </w:tcPr>
          <w:p w:rsidR="00000000" w:rsidRDefault="000802FC">
            <w:pPr>
              <w:spacing w:line="360" w:lineRule="auto"/>
              <w:rPr>
                <w:rFonts w:ascii="Arial" w:hAnsi="Arial" w:cs="Arial"/>
                <w:b/>
              </w:rPr>
            </w:pPr>
            <w:r>
              <w:rPr>
                <w:rFonts w:ascii="Arial" w:hAnsi="Arial" w:cs="Arial"/>
                <w:b/>
              </w:rPr>
              <w:t>Durante la transferencia de carga</w:t>
            </w:r>
          </w:p>
        </w:tc>
        <w:tc>
          <w:tcPr>
            <w:tcW w:w="1131" w:type="dxa"/>
            <w:vAlign w:val="center"/>
          </w:tcPr>
          <w:p w:rsidR="00000000" w:rsidRDefault="000802FC">
            <w:pPr>
              <w:spacing w:line="360" w:lineRule="auto"/>
              <w:jc w:val="center"/>
              <w:rPr>
                <w:rFonts w:ascii="Arial" w:hAnsi="Arial" w:cs="Arial"/>
              </w:rPr>
            </w:pPr>
            <w:r>
              <w:rPr>
                <w:rFonts w:ascii="Arial" w:hAnsi="Arial" w:cs="Arial"/>
              </w:rPr>
              <w:t>Olas</w:t>
            </w:r>
          </w:p>
        </w:tc>
        <w:tc>
          <w:tcPr>
            <w:tcW w:w="1749" w:type="dxa"/>
            <w:vAlign w:val="center"/>
          </w:tcPr>
          <w:p w:rsidR="00000000" w:rsidRDefault="000802FC">
            <w:pPr>
              <w:spacing w:line="360" w:lineRule="auto"/>
              <w:jc w:val="center"/>
              <w:rPr>
                <w:rFonts w:ascii="Arial" w:hAnsi="Arial" w:cs="Arial"/>
              </w:rPr>
            </w:pPr>
            <w:r>
              <w:rPr>
                <w:rFonts w:ascii="Arial" w:hAnsi="Arial" w:cs="Arial"/>
              </w:rPr>
              <w:t>10 – 12 pies</w:t>
            </w:r>
          </w:p>
        </w:tc>
        <w:tc>
          <w:tcPr>
            <w:tcW w:w="1800" w:type="dxa"/>
            <w:vAlign w:val="center"/>
          </w:tcPr>
          <w:p w:rsidR="00000000" w:rsidRDefault="000802FC">
            <w:pPr>
              <w:spacing w:line="360" w:lineRule="auto"/>
              <w:jc w:val="center"/>
              <w:rPr>
                <w:rFonts w:ascii="Arial" w:hAnsi="Arial" w:cs="Arial"/>
              </w:rPr>
            </w:pPr>
            <w:r>
              <w:rPr>
                <w:rFonts w:ascii="Arial" w:hAnsi="Arial" w:cs="Arial"/>
              </w:rPr>
              <w:t>3 – 10 pies</w:t>
            </w:r>
          </w:p>
        </w:tc>
      </w:tr>
      <w:tr w:rsidR="00000000">
        <w:trPr>
          <w:cantSplit/>
          <w:trHeight w:val="340"/>
        </w:trPr>
        <w:tc>
          <w:tcPr>
            <w:tcW w:w="2340" w:type="dxa"/>
            <w:vMerge/>
            <w:vAlign w:val="center"/>
          </w:tcPr>
          <w:p w:rsidR="00000000" w:rsidRDefault="000802FC">
            <w:pPr>
              <w:spacing w:line="360" w:lineRule="auto"/>
              <w:jc w:val="center"/>
              <w:rPr>
                <w:rFonts w:ascii="Arial" w:hAnsi="Arial" w:cs="Arial"/>
              </w:rPr>
            </w:pPr>
          </w:p>
        </w:tc>
        <w:tc>
          <w:tcPr>
            <w:tcW w:w="1131" w:type="dxa"/>
            <w:vAlign w:val="center"/>
          </w:tcPr>
          <w:p w:rsidR="00000000" w:rsidRDefault="000802FC">
            <w:pPr>
              <w:spacing w:line="360" w:lineRule="auto"/>
              <w:jc w:val="center"/>
              <w:rPr>
                <w:rFonts w:ascii="Arial" w:hAnsi="Arial" w:cs="Arial"/>
              </w:rPr>
            </w:pPr>
            <w:r>
              <w:rPr>
                <w:rFonts w:ascii="Arial" w:hAnsi="Arial" w:cs="Arial"/>
              </w:rPr>
              <w:t>Vientos</w:t>
            </w:r>
          </w:p>
        </w:tc>
        <w:tc>
          <w:tcPr>
            <w:tcW w:w="1749" w:type="dxa"/>
            <w:vAlign w:val="center"/>
          </w:tcPr>
          <w:p w:rsidR="00000000" w:rsidRDefault="000802FC">
            <w:pPr>
              <w:spacing w:line="360" w:lineRule="auto"/>
              <w:jc w:val="center"/>
              <w:rPr>
                <w:rFonts w:ascii="Arial" w:hAnsi="Arial" w:cs="Arial"/>
              </w:rPr>
            </w:pPr>
            <w:r>
              <w:rPr>
                <w:rFonts w:ascii="Arial" w:hAnsi="Arial" w:cs="Arial"/>
              </w:rPr>
              <w:t>40 nudos</w:t>
            </w:r>
          </w:p>
        </w:tc>
        <w:tc>
          <w:tcPr>
            <w:tcW w:w="1800" w:type="dxa"/>
            <w:vAlign w:val="center"/>
          </w:tcPr>
          <w:p w:rsidR="00000000" w:rsidRDefault="000802FC">
            <w:pPr>
              <w:spacing w:line="360" w:lineRule="auto"/>
              <w:jc w:val="center"/>
              <w:rPr>
                <w:rFonts w:ascii="Arial" w:hAnsi="Arial" w:cs="Arial"/>
              </w:rPr>
            </w:pPr>
            <w:r>
              <w:rPr>
                <w:rFonts w:ascii="Arial" w:hAnsi="Arial" w:cs="Arial"/>
              </w:rPr>
              <w:t>25 – 35 nudos</w:t>
            </w:r>
          </w:p>
        </w:tc>
      </w:tr>
      <w:tr w:rsidR="00000000">
        <w:trPr>
          <w:trHeight w:val="340"/>
        </w:trPr>
        <w:tc>
          <w:tcPr>
            <w:tcW w:w="3471" w:type="dxa"/>
            <w:gridSpan w:val="2"/>
            <w:vAlign w:val="center"/>
          </w:tcPr>
          <w:p w:rsidR="00000000" w:rsidRDefault="000802FC">
            <w:pPr>
              <w:spacing w:line="360" w:lineRule="auto"/>
              <w:rPr>
                <w:rFonts w:ascii="Arial" w:hAnsi="Arial" w:cs="Arial"/>
                <w:b/>
              </w:rPr>
            </w:pPr>
            <w:r>
              <w:rPr>
                <w:rFonts w:ascii="Arial" w:hAnsi="Arial" w:cs="Arial"/>
                <w:b/>
              </w:rPr>
              <w:t>Distancia desde tierra</w:t>
            </w:r>
          </w:p>
        </w:tc>
        <w:tc>
          <w:tcPr>
            <w:tcW w:w="1749" w:type="dxa"/>
            <w:vAlign w:val="center"/>
          </w:tcPr>
          <w:p w:rsidR="00000000" w:rsidRDefault="000802FC">
            <w:pPr>
              <w:spacing w:line="360" w:lineRule="auto"/>
              <w:jc w:val="center"/>
              <w:rPr>
                <w:rFonts w:ascii="Arial" w:hAnsi="Arial" w:cs="Arial"/>
              </w:rPr>
            </w:pPr>
            <w:r>
              <w:rPr>
                <w:rFonts w:ascii="Arial" w:hAnsi="Arial" w:cs="Arial"/>
              </w:rPr>
              <w:t>Más distante</w:t>
            </w:r>
          </w:p>
        </w:tc>
        <w:tc>
          <w:tcPr>
            <w:tcW w:w="1800" w:type="dxa"/>
            <w:vAlign w:val="center"/>
          </w:tcPr>
          <w:p w:rsidR="00000000" w:rsidRDefault="000802FC">
            <w:pPr>
              <w:spacing w:line="360" w:lineRule="auto"/>
              <w:jc w:val="center"/>
              <w:rPr>
                <w:rFonts w:ascii="Arial" w:hAnsi="Arial" w:cs="Arial"/>
              </w:rPr>
            </w:pPr>
            <w:r>
              <w:rPr>
                <w:rFonts w:ascii="Arial" w:hAnsi="Arial" w:cs="Arial"/>
              </w:rPr>
              <w:t>Mediano</w:t>
            </w:r>
          </w:p>
        </w:tc>
      </w:tr>
      <w:tr w:rsidR="00000000">
        <w:trPr>
          <w:trHeight w:val="340"/>
        </w:trPr>
        <w:tc>
          <w:tcPr>
            <w:tcW w:w="3471" w:type="dxa"/>
            <w:gridSpan w:val="2"/>
            <w:vAlign w:val="center"/>
          </w:tcPr>
          <w:p w:rsidR="00000000" w:rsidRDefault="000802FC">
            <w:pPr>
              <w:spacing w:line="360" w:lineRule="auto"/>
              <w:rPr>
                <w:rFonts w:ascii="Arial" w:hAnsi="Arial" w:cs="Arial"/>
                <w:b/>
              </w:rPr>
            </w:pPr>
            <w:r>
              <w:rPr>
                <w:rFonts w:ascii="Arial" w:hAnsi="Arial" w:cs="Arial"/>
                <w:b/>
              </w:rPr>
              <w:t>Espa</w:t>
            </w:r>
            <w:r>
              <w:rPr>
                <w:rFonts w:ascii="Arial" w:hAnsi="Arial" w:cs="Arial"/>
                <w:b/>
              </w:rPr>
              <w:t>cio de giro</w:t>
            </w:r>
          </w:p>
        </w:tc>
        <w:tc>
          <w:tcPr>
            <w:tcW w:w="1749" w:type="dxa"/>
            <w:vAlign w:val="center"/>
          </w:tcPr>
          <w:p w:rsidR="00000000" w:rsidRDefault="000802FC">
            <w:pPr>
              <w:spacing w:line="360" w:lineRule="auto"/>
              <w:jc w:val="center"/>
              <w:rPr>
                <w:rFonts w:ascii="Arial" w:hAnsi="Arial" w:cs="Arial"/>
              </w:rPr>
            </w:pPr>
            <w:r>
              <w:rPr>
                <w:rFonts w:ascii="Arial" w:hAnsi="Arial" w:cs="Arial"/>
              </w:rPr>
              <w:t>Grande</w:t>
            </w:r>
          </w:p>
        </w:tc>
        <w:tc>
          <w:tcPr>
            <w:tcW w:w="1800" w:type="dxa"/>
            <w:vAlign w:val="center"/>
          </w:tcPr>
          <w:p w:rsidR="00000000" w:rsidRDefault="000802FC">
            <w:pPr>
              <w:spacing w:line="360" w:lineRule="auto"/>
              <w:jc w:val="center"/>
              <w:rPr>
                <w:rFonts w:ascii="Arial" w:hAnsi="Arial" w:cs="Arial"/>
              </w:rPr>
            </w:pPr>
            <w:r>
              <w:rPr>
                <w:rFonts w:ascii="Arial" w:hAnsi="Arial" w:cs="Arial"/>
              </w:rPr>
              <w:t>Mediano</w:t>
            </w:r>
          </w:p>
        </w:tc>
      </w:tr>
      <w:tr w:rsidR="00000000">
        <w:trPr>
          <w:trHeight w:val="340"/>
        </w:trPr>
        <w:tc>
          <w:tcPr>
            <w:tcW w:w="3471" w:type="dxa"/>
            <w:gridSpan w:val="2"/>
            <w:vAlign w:val="center"/>
          </w:tcPr>
          <w:p w:rsidR="00000000" w:rsidRDefault="000802FC">
            <w:pPr>
              <w:spacing w:line="360" w:lineRule="auto"/>
              <w:rPr>
                <w:rFonts w:ascii="Arial" w:hAnsi="Arial" w:cs="Arial"/>
                <w:b/>
              </w:rPr>
            </w:pPr>
            <w:r>
              <w:rPr>
                <w:rFonts w:ascii="Arial" w:hAnsi="Arial" w:cs="Arial"/>
                <w:b/>
              </w:rPr>
              <w:t>Maniobra de amarre</w:t>
            </w:r>
          </w:p>
        </w:tc>
        <w:tc>
          <w:tcPr>
            <w:tcW w:w="1749" w:type="dxa"/>
            <w:vAlign w:val="center"/>
          </w:tcPr>
          <w:p w:rsidR="00000000" w:rsidRDefault="000802FC">
            <w:pPr>
              <w:spacing w:line="360" w:lineRule="auto"/>
              <w:jc w:val="center"/>
              <w:rPr>
                <w:rFonts w:ascii="Arial" w:hAnsi="Arial" w:cs="Arial"/>
              </w:rPr>
            </w:pPr>
            <w:r>
              <w:rPr>
                <w:rFonts w:ascii="Arial" w:hAnsi="Arial" w:cs="Arial"/>
              </w:rPr>
              <w:t>Más fácil</w:t>
            </w:r>
          </w:p>
        </w:tc>
        <w:tc>
          <w:tcPr>
            <w:tcW w:w="1800" w:type="dxa"/>
            <w:vAlign w:val="center"/>
          </w:tcPr>
          <w:p w:rsidR="00000000" w:rsidRDefault="000802FC">
            <w:pPr>
              <w:spacing w:line="360" w:lineRule="auto"/>
              <w:jc w:val="center"/>
              <w:rPr>
                <w:rFonts w:ascii="Arial" w:hAnsi="Arial" w:cs="Arial"/>
              </w:rPr>
            </w:pPr>
            <w:r>
              <w:rPr>
                <w:rFonts w:ascii="Arial" w:hAnsi="Arial" w:cs="Arial"/>
              </w:rPr>
              <w:t>Más complicado</w:t>
            </w:r>
          </w:p>
        </w:tc>
      </w:tr>
      <w:tr w:rsidR="00000000">
        <w:trPr>
          <w:trHeight w:val="340"/>
        </w:trPr>
        <w:tc>
          <w:tcPr>
            <w:tcW w:w="3471" w:type="dxa"/>
            <w:gridSpan w:val="2"/>
            <w:vAlign w:val="center"/>
          </w:tcPr>
          <w:p w:rsidR="00000000" w:rsidRDefault="000802FC">
            <w:pPr>
              <w:spacing w:line="360" w:lineRule="auto"/>
              <w:rPr>
                <w:rFonts w:ascii="Arial" w:hAnsi="Arial" w:cs="Arial"/>
                <w:b/>
              </w:rPr>
            </w:pPr>
            <w:r>
              <w:rPr>
                <w:rFonts w:ascii="Arial" w:hAnsi="Arial" w:cs="Arial"/>
                <w:b/>
              </w:rPr>
              <w:t>Requerimiento de remolcador</w:t>
            </w:r>
          </w:p>
        </w:tc>
        <w:tc>
          <w:tcPr>
            <w:tcW w:w="1749" w:type="dxa"/>
            <w:vAlign w:val="center"/>
          </w:tcPr>
          <w:p w:rsidR="00000000" w:rsidRDefault="000802FC">
            <w:pPr>
              <w:spacing w:line="360" w:lineRule="auto"/>
              <w:jc w:val="center"/>
              <w:rPr>
                <w:rFonts w:ascii="Arial" w:hAnsi="Arial" w:cs="Arial"/>
              </w:rPr>
            </w:pPr>
            <w:r>
              <w:rPr>
                <w:rFonts w:ascii="Arial" w:hAnsi="Arial" w:cs="Arial"/>
              </w:rPr>
              <w:t>SÍ</w:t>
            </w:r>
          </w:p>
        </w:tc>
        <w:tc>
          <w:tcPr>
            <w:tcW w:w="1800" w:type="dxa"/>
            <w:vAlign w:val="center"/>
          </w:tcPr>
          <w:p w:rsidR="00000000" w:rsidRDefault="000802FC">
            <w:pPr>
              <w:spacing w:line="360" w:lineRule="auto"/>
              <w:jc w:val="center"/>
              <w:rPr>
                <w:rFonts w:ascii="Arial" w:hAnsi="Arial" w:cs="Arial"/>
              </w:rPr>
            </w:pPr>
            <w:r>
              <w:rPr>
                <w:rFonts w:ascii="Arial" w:hAnsi="Arial" w:cs="Arial"/>
              </w:rPr>
              <w:t>NO</w:t>
            </w:r>
          </w:p>
        </w:tc>
      </w:tr>
      <w:tr w:rsidR="00000000">
        <w:trPr>
          <w:trHeight w:val="340"/>
        </w:trPr>
        <w:tc>
          <w:tcPr>
            <w:tcW w:w="3471" w:type="dxa"/>
            <w:gridSpan w:val="2"/>
            <w:vAlign w:val="center"/>
          </w:tcPr>
          <w:p w:rsidR="00000000" w:rsidRDefault="000802FC">
            <w:pPr>
              <w:spacing w:line="360" w:lineRule="auto"/>
              <w:rPr>
                <w:rFonts w:ascii="Arial" w:hAnsi="Arial" w:cs="Arial"/>
                <w:b/>
              </w:rPr>
            </w:pPr>
            <w:r>
              <w:rPr>
                <w:rFonts w:ascii="Arial" w:hAnsi="Arial" w:cs="Arial"/>
                <w:b/>
              </w:rPr>
              <w:t>Requerimiento. de lancha</w:t>
            </w:r>
          </w:p>
        </w:tc>
        <w:tc>
          <w:tcPr>
            <w:tcW w:w="1749" w:type="dxa"/>
            <w:vAlign w:val="center"/>
          </w:tcPr>
          <w:p w:rsidR="00000000" w:rsidRDefault="000802FC">
            <w:pPr>
              <w:spacing w:line="360" w:lineRule="auto"/>
              <w:jc w:val="center"/>
              <w:rPr>
                <w:rFonts w:ascii="Arial" w:hAnsi="Arial" w:cs="Arial"/>
              </w:rPr>
            </w:pPr>
            <w:r>
              <w:rPr>
                <w:rFonts w:ascii="Arial" w:hAnsi="Arial" w:cs="Arial"/>
              </w:rPr>
              <w:t>SÍ</w:t>
            </w:r>
          </w:p>
        </w:tc>
        <w:tc>
          <w:tcPr>
            <w:tcW w:w="1800" w:type="dxa"/>
            <w:vAlign w:val="center"/>
          </w:tcPr>
          <w:p w:rsidR="00000000" w:rsidRDefault="000802FC">
            <w:pPr>
              <w:spacing w:line="360" w:lineRule="auto"/>
              <w:jc w:val="center"/>
              <w:rPr>
                <w:rFonts w:ascii="Arial" w:hAnsi="Arial" w:cs="Arial"/>
              </w:rPr>
            </w:pPr>
            <w:r>
              <w:rPr>
                <w:rFonts w:ascii="Arial" w:hAnsi="Arial" w:cs="Arial"/>
              </w:rPr>
              <w:t>SÍ</w:t>
            </w:r>
          </w:p>
        </w:tc>
      </w:tr>
      <w:tr w:rsidR="00000000">
        <w:trPr>
          <w:trHeight w:val="274"/>
        </w:trPr>
        <w:tc>
          <w:tcPr>
            <w:tcW w:w="3471" w:type="dxa"/>
            <w:gridSpan w:val="2"/>
            <w:vAlign w:val="center"/>
          </w:tcPr>
          <w:p w:rsidR="00000000" w:rsidRDefault="000802FC">
            <w:pPr>
              <w:spacing w:line="360" w:lineRule="auto"/>
              <w:rPr>
                <w:rFonts w:ascii="Arial" w:hAnsi="Arial" w:cs="Arial"/>
                <w:b/>
              </w:rPr>
            </w:pPr>
            <w:r>
              <w:rPr>
                <w:rFonts w:ascii="Arial" w:hAnsi="Arial" w:cs="Arial"/>
                <w:b/>
              </w:rPr>
              <w:t>Susceptible de accidente</w:t>
            </w:r>
          </w:p>
        </w:tc>
        <w:tc>
          <w:tcPr>
            <w:tcW w:w="1749" w:type="dxa"/>
            <w:vAlign w:val="center"/>
          </w:tcPr>
          <w:p w:rsidR="00000000" w:rsidRDefault="000802FC">
            <w:pPr>
              <w:spacing w:line="360" w:lineRule="auto"/>
              <w:jc w:val="center"/>
              <w:rPr>
                <w:rFonts w:ascii="Arial" w:hAnsi="Arial" w:cs="Arial"/>
              </w:rPr>
            </w:pPr>
            <w:r>
              <w:rPr>
                <w:rFonts w:ascii="Arial" w:hAnsi="Arial" w:cs="Arial"/>
              </w:rPr>
              <w:t>Moderado a bajo</w:t>
            </w:r>
          </w:p>
        </w:tc>
        <w:tc>
          <w:tcPr>
            <w:tcW w:w="1800" w:type="dxa"/>
            <w:vAlign w:val="center"/>
          </w:tcPr>
          <w:p w:rsidR="00000000" w:rsidRDefault="000802FC">
            <w:pPr>
              <w:spacing w:line="360" w:lineRule="auto"/>
              <w:jc w:val="center"/>
              <w:rPr>
                <w:rFonts w:ascii="Arial" w:hAnsi="Arial" w:cs="Arial"/>
              </w:rPr>
            </w:pPr>
            <w:r>
              <w:rPr>
                <w:rFonts w:ascii="Arial" w:hAnsi="Arial" w:cs="Arial"/>
              </w:rPr>
              <w:t>Bajo</w:t>
            </w:r>
          </w:p>
        </w:tc>
      </w:tr>
      <w:tr w:rsidR="00000000">
        <w:trPr>
          <w:trHeight w:val="340"/>
        </w:trPr>
        <w:tc>
          <w:tcPr>
            <w:tcW w:w="3471" w:type="dxa"/>
            <w:gridSpan w:val="2"/>
            <w:vAlign w:val="center"/>
          </w:tcPr>
          <w:p w:rsidR="00000000" w:rsidRDefault="000802FC">
            <w:pPr>
              <w:spacing w:line="360" w:lineRule="auto"/>
              <w:rPr>
                <w:rFonts w:ascii="Arial" w:hAnsi="Arial" w:cs="Arial"/>
                <w:b/>
              </w:rPr>
            </w:pPr>
            <w:r>
              <w:rPr>
                <w:rFonts w:ascii="Arial" w:hAnsi="Arial" w:cs="Arial"/>
                <w:b/>
              </w:rPr>
              <w:t>Inversión</w:t>
            </w:r>
          </w:p>
        </w:tc>
        <w:tc>
          <w:tcPr>
            <w:tcW w:w="1749" w:type="dxa"/>
            <w:vAlign w:val="center"/>
          </w:tcPr>
          <w:p w:rsidR="00000000" w:rsidRDefault="000802FC">
            <w:pPr>
              <w:spacing w:line="360" w:lineRule="auto"/>
              <w:jc w:val="center"/>
              <w:rPr>
                <w:rFonts w:ascii="Arial" w:hAnsi="Arial" w:cs="Arial"/>
              </w:rPr>
            </w:pPr>
            <w:r>
              <w:rPr>
                <w:rFonts w:ascii="Arial" w:hAnsi="Arial" w:cs="Arial"/>
              </w:rPr>
              <w:t>Moderada</w:t>
            </w:r>
          </w:p>
        </w:tc>
        <w:tc>
          <w:tcPr>
            <w:tcW w:w="1800" w:type="dxa"/>
            <w:vAlign w:val="center"/>
          </w:tcPr>
          <w:p w:rsidR="00000000" w:rsidRDefault="000802FC">
            <w:pPr>
              <w:spacing w:line="360" w:lineRule="auto"/>
              <w:jc w:val="center"/>
              <w:rPr>
                <w:rFonts w:ascii="Arial" w:hAnsi="Arial" w:cs="Arial"/>
                <w:lang w:val="en-US"/>
              </w:rPr>
            </w:pPr>
            <w:r>
              <w:rPr>
                <w:rFonts w:ascii="Arial" w:hAnsi="Arial" w:cs="Arial"/>
                <w:lang w:val="en-US"/>
              </w:rPr>
              <w:t>Baja</w:t>
            </w:r>
          </w:p>
        </w:tc>
      </w:tr>
    </w:tbl>
    <w:p w:rsidR="00000000" w:rsidRDefault="000802FC">
      <w:pPr>
        <w:pStyle w:val="Ttulo4"/>
        <w:spacing w:line="480" w:lineRule="auto"/>
        <w:ind w:left="1134"/>
        <w:jc w:val="both"/>
        <w:rPr>
          <w:rFonts w:cs="Arial"/>
          <w:lang w:val="en-US"/>
        </w:rPr>
      </w:pPr>
    </w:p>
    <w:p w:rsidR="00000000" w:rsidRDefault="000802FC">
      <w:pPr>
        <w:pStyle w:val="Ttulo4"/>
        <w:spacing w:line="480" w:lineRule="auto"/>
        <w:ind w:left="1134"/>
        <w:jc w:val="both"/>
        <w:rPr>
          <w:rFonts w:cs="Arial"/>
          <w:lang w:val="en-US"/>
        </w:rPr>
      </w:pPr>
    </w:p>
    <w:p w:rsidR="00000000" w:rsidRDefault="000802FC">
      <w:pPr>
        <w:spacing w:line="480" w:lineRule="auto"/>
        <w:ind w:left="1134"/>
        <w:rPr>
          <w:lang w:val="en-US"/>
        </w:rPr>
      </w:pPr>
    </w:p>
    <w:p w:rsidR="00000000" w:rsidRDefault="000802FC">
      <w:pPr>
        <w:pStyle w:val="Subttulo"/>
        <w:spacing w:line="480" w:lineRule="auto"/>
        <w:ind w:left="1134"/>
        <w:rPr>
          <w:b w:val="0"/>
          <w:u w:val="single"/>
        </w:rPr>
      </w:pPr>
      <w:r>
        <w:rPr>
          <w:b w:val="0"/>
          <w:u w:val="single"/>
        </w:rPr>
        <w:lastRenderedPageBreak/>
        <w:t>PLEM submarino y mangueras de despacho</w:t>
      </w:r>
    </w:p>
    <w:p w:rsidR="00000000" w:rsidRDefault="000802FC">
      <w:pPr>
        <w:spacing w:line="480" w:lineRule="auto"/>
        <w:ind w:left="1134"/>
        <w:jc w:val="both"/>
        <w:rPr>
          <w:rFonts w:ascii="Arial" w:hAnsi="Arial" w:cs="Arial"/>
          <w:iCs/>
        </w:rPr>
      </w:pPr>
      <w:r>
        <w:rPr>
          <w:rFonts w:ascii="Arial" w:hAnsi="Arial" w:cs="Arial"/>
          <w:iCs/>
        </w:rPr>
        <w:t>El</w:t>
      </w:r>
      <w:r>
        <w:rPr>
          <w:rFonts w:ascii="Arial" w:hAnsi="Arial" w:cs="Arial"/>
          <w:iCs/>
        </w:rPr>
        <w:t xml:space="preserve"> PLEM submarino es un distribuidor de válvulas ubicado al final de una línea submarina. La configuración y diseño de cada PLEM, depende de las características del lugar, el número de líneas existentes, entre otras.</w:t>
      </w:r>
    </w:p>
    <w:p w:rsidR="00000000" w:rsidRDefault="000802FC">
      <w:pPr>
        <w:spacing w:line="480" w:lineRule="auto"/>
        <w:ind w:left="1134"/>
        <w:jc w:val="both"/>
        <w:rPr>
          <w:rFonts w:ascii="Arial" w:hAnsi="Arial" w:cs="Arial"/>
          <w:iCs/>
        </w:rPr>
      </w:pPr>
    </w:p>
    <w:p w:rsidR="00000000" w:rsidRDefault="000802FC">
      <w:pPr>
        <w:spacing w:line="480" w:lineRule="auto"/>
        <w:ind w:left="1134"/>
        <w:jc w:val="both"/>
        <w:rPr>
          <w:rFonts w:ascii="Arial" w:hAnsi="Arial" w:cs="Arial"/>
          <w:iCs/>
        </w:rPr>
      </w:pPr>
      <w:r>
        <w:rPr>
          <w:rFonts w:ascii="Arial" w:hAnsi="Arial" w:cs="Arial"/>
          <w:iCs/>
        </w:rPr>
        <w:t>Las mangueras de despacho sirven de inte</w:t>
      </w:r>
      <w:r>
        <w:rPr>
          <w:rFonts w:ascii="Arial" w:hAnsi="Arial" w:cs="Arial"/>
          <w:iCs/>
        </w:rPr>
        <w:t>rfase entre la línea y el Buque, estas se conectan a la línea posterior al manifold, en la última válvula existente. En el caso de Monoboyas, la manguera se conecta a esta, y la descarga se realiza entre la Monoboya y el B/T.</w:t>
      </w:r>
    </w:p>
    <w:p w:rsidR="00000000" w:rsidRDefault="000802FC">
      <w:pPr>
        <w:spacing w:line="480" w:lineRule="auto"/>
        <w:ind w:left="1134"/>
        <w:jc w:val="both"/>
        <w:rPr>
          <w:rFonts w:ascii="Arial" w:hAnsi="Arial" w:cs="Arial"/>
          <w:iCs/>
        </w:rPr>
      </w:pPr>
    </w:p>
    <w:p w:rsidR="00000000" w:rsidRDefault="000802FC">
      <w:pPr>
        <w:spacing w:line="480" w:lineRule="auto"/>
        <w:ind w:left="1134"/>
        <w:jc w:val="both"/>
        <w:rPr>
          <w:rFonts w:ascii="Arial" w:hAnsi="Arial" w:cs="Arial"/>
          <w:iCs/>
        </w:rPr>
      </w:pPr>
      <w:r>
        <w:rPr>
          <w:rFonts w:ascii="Arial" w:hAnsi="Arial" w:cs="Arial"/>
          <w:iCs/>
        </w:rPr>
        <w:t>Estas mangueras son fabricada</w:t>
      </w:r>
      <w:r>
        <w:rPr>
          <w:rFonts w:ascii="Arial" w:hAnsi="Arial" w:cs="Arial"/>
          <w:iCs/>
        </w:rPr>
        <w:t>s de caucho, con características similares a los materiales que se utilizan en llantas para automóvil. Son flexibles, y soportan presiones y temperaturas elevadas, de acuerdo a la especificación de la manguera. Por lo general, se utilizan bridas deslizante</w:t>
      </w:r>
      <w:r>
        <w:rPr>
          <w:rFonts w:ascii="Arial" w:hAnsi="Arial" w:cs="Arial"/>
          <w:iCs/>
        </w:rPr>
        <w:t>s como acoples.</w:t>
      </w:r>
    </w:p>
    <w:p w:rsidR="00000000" w:rsidRDefault="000802FC">
      <w:pPr>
        <w:spacing w:line="480" w:lineRule="auto"/>
        <w:ind w:left="1134"/>
        <w:jc w:val="both"/>
        <w:rPr>
          <w:rFonts w:ascii="Arial" w:hAnsi="Arial" w:cs="Arial"/>
          <w:iCs/>
        </w:rPr>
      </w:pPr>
    </w:p>
    <w:p w:rsidR="00000000" w:rsidRDefault="000802FC">
      <w:pPr>
        <w:pStyle w:val="Sangradetextonormal"/>
        <w:spacing w:line="480" w:lineRule="auto"/>
        <w:ind w:left="1134"/>
      </w:pPr>
      <w:r>
        <w:t>El largo de una manguera va desde 10.67 metros (35 pies) a 13.72 metros (45 pies).</w:t>
      </w:r>
      <w:r>
        <w:rPr>
          <w:color w:val="008080"/>
        </w:rPr>
        <w:t xml:space="preserve"> </w:t>
      </w:r>
      <w:r>
        <w:t xml:space="preserve">En caso de requerirse una extensión grande de manguera, estas se conectan sucesivamente hasta tener la longitud </w:t>
      </w:r>
      <w:r>
        <w:lastRenderedPageBreak/>
        <w:t>adecuada. Este arreglo, permite realizar con</w:t>
      </w:r>
      <w:r>
        <w:t>venientemente la reparación en un sector de una línea de manguera de despacho extensa, en caso de problemas.</w:t>
      </w:r>
    </w:p>
    <w:p w:rsidR="00000000" w:rsidRDefault="000802FC">
      <w:pPr>
        <w:spacing w:line="480" w:lineRule="auto"/>
        <w:ind w:left="1134"/>
        <w:jc w:val="both"/>
        <w:rPr>
          <w:rFonts w:ascii="Arial" w:hAnsi="Arial" w:cs="Arial"/>
          <w:iCs/>
        </w:rPr>
      </w:pPr>
    </w:p>
    <w:p w:rsidR="00000000" w:rsidRDefault="000802FC">
      <w:pPr>
        <w:spacing w:line="480" w:lineRule="auto"/>
        <w:ind w:left="1134"/>
        <w:jc w:val="center"/>
        <w:rPr>
          <w:rFonts w:ascii="Arial" w:hAnsi="Arial" w:cs="Arial"/>
          <w:iCs/>
        </w:rPr>
      </w:pPr>
      <w:r>
        <w:object w:dxaOrig="14143" w:dyaOrig="11417">
          <v:shape id="_x0000_i1030" type="#_x0000_t75" style="width:255pt;height:206pt" o:ole="" o:bordertopcolor="this" o:borderleftcolor="this" o:borderbottomcolor="this" o:borderrightcolor="this">
            <v:imagedata r:id="rId23" o:title=""/>
            <w10:bordertop type="single" width="8"/>
            <w10:borderleft type="single" width="8"/>
            <w10:borderbottom type="single" width="8"/>
            <w10:borderright type="single" width="8"/>
          </v:shape>
          <o:OLEObject Type="Embed" ProgID="MSPhotoEd.3" ShapeID="_x0000_i1030" DrawAspect="Content" ObjectID="_1307346497" r:id="rId24"/>
        </w:object>
      </w:r>
    </w:p>
    <w:p w:rsidR="00000000" w:rsidRDefault="000802FC">
      <w:pPr>
        <w:spacing w:line="480" w:lineRule="auto"/>
        <w:ind w:left="1134"/>
        <w:jc w:val="both"/>
        <w:rPr>
          <w:rFonts w:ascii="Arial" w:hAnsi="Arial" w:cs="Arial"/>
          <w:iCs/>
        </w:rPr>
      </w:pPr>
    </w:p>
    <w:p w:rsidR="00000000" w:rsidRDefault="000802FC">
      <w:pPr>
        <w:spacing w:line="480" w:lineRule="auto"/>
        <w:ind w:left="1134"/>
        <w:jc w:val="both"/>
        <w:rPr>
          <w:rFonts w:ascii="Arial" w:hAnsi="Arial" w:cs="Arial"/>
          <w:iCs/>
        </w:rPr>
      </w:pPr>
      <w:r>
        <w:rPr>
          <w:rFonts w:ascii="Arial" w:hAnsi="Arial" w:cs="Arial"/>
          <w:iCs/>
        </w:rPr>
        <w:t>FIGURA 1.8.</w:t>
      </w:r>
      <w:r>
        <w:rPr>
          <w:rFonts w:ascii="Arial" w:hAnsi="Arial" w:cs="Arial"/>
          <w:iCs/>
        </w:rPr>
        <w:tab/>
        <w:t>MANGUERAS MARINAS DE DESPACHO; 1) MANGUERAS COLOCADAS ENTRE UNA MONOBOYA Y PUNTO DE DESCARGA, 2) MANGUERAS D</w:t>
      </w:r>
      <w:r>
        <w:rPr>
          <w:rFonts w:ascii="Arial" w:hAnsi="Arial" w:cs="Arial"/>
          <w:iCs/>
        </w:rPr>
        <w:t>E DESPACHO CONECTADAS A BUQUE PARA UN DESPACHO, 3) CARRETE DE ALMACENAMIENTO, 4) PRUEBAS DE FÁBRICA.</w:t>
      </w:r>
    </w:p>
    <w:p w:rsidR="00000000" w:rsidRDefault="000802FC">
      <w:pPr>
        <w:spacing w:line="480" w:lineRule="auto"/>
        <w:ind w:left="1134"/>
        <w:jc w:val="both"/>
        <w:rPr>
          <w:rFonts w:ascii="Arial" w:hAnsi="Arial" w:cs="Arial"/>
          <w:iCs/>
        </w:rPr>
      </w:pPr>
    </w:p>
    <w:p w:rsidR="00000000" w:rsidRDefault="000802FC">
      <w:pPr>
        <w:spacing w:line="480" w:lineRule="auto"/>
        <w:ind w:left="1134"/>
        <w:jc w:val="both"/>
        <w:rPr>
          <w:rFonts w:ascii="Arial" w:hAnsi="Arial" w:cs="Arial"/>
          <w:iCs/>
        </w:rPr>
      </w:pPr>
      <w:r>
        <w:rPr>
          <w:rFonts w:ascii="Arial" w:hAnsi="Arial" w:cs="Arial"/>
          <w:iCs/>
        </w:rPr>
        <w:lastRenderedPageBreak/>
        <w:t>Las operaciones que se realizan en el PLEM submarino, y el manejo de las mangueras de despacho, son realizadas por buzos profesionales. La planificación d</w:t>
      </w:r>
      <w:r>
        <w:rPr>
          <w:rFonts w:ascii="Arial" w:hAnsi="Arial" w:cs="Arial"/>
          <w:iCs/>
        </w:rPr>
        <w:t>e estas operaciones debe considerar factores de seguridad para este personal, sobre todo cuando la profundidad del PLEM submarino es mayor a 6 m.</w:t>
      </w:r>
    </w:p>
    <w:p w:rsidR="00000000" w:rsidRDefault="000802FC">
      <w:pPr>
        <w:spacing w:line="480" w:lineRule="auto"/>
        <w:ind w:left="1134"/>
        <w:jc w:val="both"/>
        <w:rPr>
          <w:rFonts w:ascii="Arial" w:hAnsi="Arial" w:cs="Arial"/>
        </w:rPr>
      </w:pPr>
    </w:p>
    <w:p w:rsidR="00000000" w:rsidRDefault="000802FC" w:rsidP="000802FC">
      <w:pPr>
        <w:pStyle w:val="Ttulo"/>
        <w:numPr>
          <w:ilvl w:val="1"/>
          <w:numId w:val="12"/>
        </w:numPr>
        <w:jc w:val="both"/>
        <w:rPr>
          <w:b/>
          <w:bCs/>
          <w:sz w:val="24"/>
        </w:rPr>
      </w:pPr>
      <w:r>
        <w:rPr>
          <w:b/>
          <w:bCs/>
          <w:sz w:val="24"/>
        </w:rPr>
        <w:t>ESTUDIOS VARIOS</w:t>
      </w:r>
    </w:p>
    <w:p w:rsidR="00000000" w:rsidRDefault="000802FC">
      <w:pPr>
        <w:pStyle w:val="Ttulo"/>
        <w:ind w:left="1134"/>
        <w:jc w:val="both"/>
        <w:rPr>
          <w:sz w:val="24"/>
        </w:rPr>
      </w:pPr>
      <w:r>
        <w:rPr>
          <w:sz w:val="24"/>
        </w:rPr>
        <w:t>Para el diseño del sistema de bombeo, es necesario obtener los resultados del Levantamiento t</w:t>
      </w:r>
      <w:r>
        <w:rPr>
          <w:sz w:val="24"/>
        </w:rPr>
        <w:t>opográfico del sector en tierra donde estará ubicada la estación de bombeo búster, y los resultados del Levantamiento batimétrico del lecho marino por donde la tubería submarina hace su recorrido hasta conectarse con el PLEM. Estos estudios los realizan ot</w:t>
      </w:r>
      <w:r>
        <w:rPr>
          <w:sz w:val="24"/>
        </w:rPr>
        <w:t>ras áreas de la Ingeniería, pero son de vital importancia para realizar el análisis hidráulico de la selección de las bombas búster.</w:t>
      </w:r>
    </w:p>
    <w:p w:rsidR="00000000" w:rsidRDefault="000802FC">
      <w:pPr>
        <w:pStyle w:val="Ttulo"/>
        <w:ind w:left="1134"/>
        <w:jc w:val="both"/>
        <w:rPr>
          <w:sz w:val="24"/>
        </w:rPr>
      </w:pPr>
    </w:p>
    <w:p w:rsidR="00000000" w:rsidRDefault="000802FC">
      <w:pPr>
        <w:pStyle w:val="Ttulo"/>
        <w:ind w:left="1134"/>
        <w:jc w:val="both"/>
        <w:rPr>
          <w:sz w:val="24"/>
        </w:rPr>
      </w:pPr>
      <w:r>
        <w:rPr>
          <w:sz w:val="24"/>
        </w:rPr>
        <w:t>El Levantamiento Topográfico del sector permite conocer al diseñador del sistema de bombeo las irregularidades del terreno</w:t>
      </w:r>
      <w:r>
        <w:rPr>
          <w:sz w:val="24"/>
        </w:rPr>
        <w:t xml:space="preserve"> por donde va a recorrer la tubería, y los desniveles que existen en el sector, así como </w:t>
      </w:r>
      <w:r>
        <w:rPr>
          <w:sz w:val="24"/>
        </w:rPr>
        <w:lastRenderedPageBreak/>
        <w:t>la cota en la que se encuentra la estación de bombeo y los Tanques de almacenamiento.</w:t>
      </w:r>
    </w:p>
    <w:p w:rsidR="00000000" w:rsidRDefault="000802FC">
      <w:pPr>
        <w:pStyle w:val="Ttulo"/>
        <w:ind w:left="1134"/>
        <w:jc w:val="both"/>
        <w:rPr>
          <w:sz w:val="24"/>
        </w:rPr>
      </w:pPr>
    </w:p>
    <w:p w:rsidR="00000000" w:rsidRDefault="000802FC">
      <w:pPr>
        <w:pStyle w:val="Ttulo"/>
        <w:ind w:left="1134"/>
        <w:jc w:val="both"/>
        <w:rPr>
          <w:sz w:val="24"/>
        </w:rPr>
      </w:pPr>
      <w:r>
        <w:rPr>
          <w:sz w:val="24"/>
        </w:rPr>
        <w:t>El Levantamiento Batimétrico del lecho marino por donde recorre la tubería subma</w:t>
      </w:r>
      <w:r>
        <w:rPr>
          <w:sz w:val="24"/>
        </w:rPr>
        <w:t>rina, proporciona información acerca de la profundidad del océano en este sector, así como las características del suelo y el relieve del terreno en este sector, entre otras.</w:t>
      </w:r>
    </w:p>
    <w:p w:rsidR="00000000" w:rsidRDefault="000802FC">
      <w:pPr>
        <w:pStyle w:val="Ttulo"/>
        <w:ind w:left="1134"/>
        <w:jc w:val="both"/>
        <w:rPr>
          <w:sz w:val="24"/>
        </w:rPr>
      </w:pPr>
    </w:p>
    <w:p w:rsidR="00000000" w:rsidRDefault="000802FC">
      <w:pPr>
        <w:pStyle w:val="Ttulo"/>
        <w:ind w:left="1134"/>
        <w:jc w:val="both"/>
        <w:rPr>
          <w:sz w:val="24"/>
        </w:rPr>
      </w:pPr>
    </w:p>
    <w:p w:rsidR="00000000" w:rsidRDefault="000802FC">
      <w:pPr>
        <w:pStyle w:val="Ttulo"/>
        <w:ind w:left="1134"/>
        <w:jc w:val="both"/>
        <w:rPr>
          <w:sz w:val="24"/>
        </w:rPr>
      </w:pPr>
    </w:p>
    <w:p w:rsidR="000802FC" w:rsidRDefault="000802FC">
      <w:pPr>
        <w:pStyle w:val="Ttulo"/>
        <w:ind w:left="1134"/>
        <w:jc w:val="both"/>
        <w:rPr>
          <w:sz w:val="24"/>
        </w:rPr>
      </w:pPr>
    </w:p>
    <w:sectPr w:rsidR="000802FC">
      <w:pgSz w:w="12240" w:h="15840"/>
      <w:pgMar w:top="2268" w:right="1361" w:bottom="2268"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02FC" w:rsidRDefault="000802FC">
      <w:r>
        <w:separator/>
      </w:r>
    </w:p>
  </w:endnote>
  <w:endnote w:type="continuationSeparator" w:id="1">
    <w:p w:rsidR="000802FC" w:rsidRDefault="000802F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0802F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00000" w:rsidRDefault="000802FC">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0802FC">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02FC" w:rsidRDefault="000802FC">
      <w:r>
        <w:separator/>
      </w:r>
    </w:p>
  </w:footnote>
  <w:footnote w:type="continuationSeparator" w:id="1">
    <w:p w:rsidR="000802FC" w:rsidRDefault="000802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0802FC">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00000" w:rsidRDefault="000802FC">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0802FC">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77CA6">
      <w:rPr>
        <w:rStyle w:val="Nmerodepgina"/>
        <w:noProof/>
      </w:rPr>
      <w:t>2</w:t>
    </w:r>
    <w:r>
      <w:rPr>
        <w:rStyle w:val="Nmerodepgina"/>
      </w:rPr>
      <w:fldChar w:fldCharType="end"/>
    </w:r>
  </w:p>
  <w:p w:rsidR="00000000" w:rsidRDefault="000802FC">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70FEF"/>
    <w:multiLevelType w:val="hybridMultilevel"/>
    <w:tmpl w:val="0F4A07AE"/>
    <w:lvl w:ilvl="0" w:tplc="DC74D1B2">
      <w:start w:val="1"/>
      <w:numFmt w:val="bullet"/>
      <w:lvlText w:val=""/>
      <w:lvlJc w:val="left"/>
      <w:pPr>
        <w:tabs>
          <w:tab w:val="num" w:pos="1701"/>
        </w:tabs>
        <w:ind w:left="1701" w:hanging="567"/>
      </w:pPr>
      <w:rPr>
        <w:rFonts w:ascii="Symbol" w:hAnsi="Symbol" w:hint="default"/>
      </w:rPr>
    </w:lvl>
    <w:lvl w:ilvl="1" w:tplc="0C0A0005">
      <w:start w:val="1"/>
      <w:numFmt w:val="bullet"/>
      <w:lvlText w:val=""/>
      <w:lvlJc w:val="left"/>
      <w:pPr>
        <w:tabs>
          <w:tab w:val="num" w:pos="1440"/>
        </w:tabs>
        <w:ind w:left="1440" w:hanging="360"/>
      </w:pPr>
      <w:rPr>
        <w:rFonts w:ascii="Wingdings" w:hAnsi="Wingdings" w:hint="default"/>
      </w:rPr>
    </w:lvl>
    <w:lvl w:ilvl="2" w:tplc="498C0C8C">
      <w:start w:val="1"/>
      <w:numFmt w:val="bullet"/>
      <w:lvlText w:val=""/>
      <w:lvlJc w:val="left"/>
      <w:pPr>
        <w:tabs>
          <w:tab w:val="num" w:pos="2160"/>
        </w:tabs>
        <w:ind w:left="2140" w:hanging="340"/>
      </w:pPr>
      <w:rPr>
        <w:rFonts w:ascii="Symbol" w:hAnsi="Symbol"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9540DC7"/>
    <w:multiLevelType w:val="hybridMultilevel"/>
    <w:tmpl w:val="C66A46A0"/>
    <w:lvl w:ilvl="0" w:tplc="498C0C8C">
      <w:start w:val="1"/>
      <w:numFmt w:val="bullet"/>
      <w:lvlText w:val=""/>
      <w:lvlJc w:val="left"/>
      <w:pPr>
        <w:tabs>
          <w:tab w:val="num" w:pos="360"/>
        </w:tabs>
        <w:ind w:left="340" w:hanging="340"/>
      </w:pPr>
      <w:rPr>
        <w:rFonts w:ascii="Symbol" w:hAnsi="Symbol" w:hint="default"/>
      </w:rPr>
    </w:lvl>
    <w:lvl w:ilvl="1" w:tplc="0C0A0001">
      <w:start w:val="1"/>
      <w:numFmt w:val="bullet"/>
      <w:lvlText w:val=""/>
      <w:lvlJc w:val="left"/>
      <w:pPr>
        <w:tabs>
          <w:tab w:val="num" w:pos="2628"/>
        </w:tabs>
        <w:ind w:left="2628" w:hanging="360"/>
      </w:pPr>
      <w:rPr>
        <w:rFonts w:ascii="Symbol" w:hAnsi="Symbol" w:hint="default"/>
      </w:rPr>
    </w:lvl>
    <w:lvl w:ilvl="2" w:tplc="A788AAA4">
      <w:start w:val="1"/>
      <w:numFmt w:val="bullet"/>
      <w:lvlText w:val=""/>
      <w:lvlJc w:val="left"/>
      <w:pPr>
        <w:tabs>
          <w:tab w:val="num" w:pos="2268"/>
        </w:tabs>
        <w:ind w:left="2268" w:hanging="567"/>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E451761"/>
    <w:multiLevelType w:val="hybridMultilevel"/>
    <w:tmpl w:val="1736D65C"/>
    <w:lvl w:ilvl="0" w:tplc="498C0C8C">
      <w:start w:val="1"/>
      <w:numFmt w:val="bullet"/>
      <w:lvlText w:val=""/>
      <w:lvlJc w:val="left"/>
      <w:pPr>
        <w:tabs>
          <w:tab w:val="num" w:pos="360"/>
        </w:tabs>
        <w:ind w:left="340" w:hanging="340"/>
      </w:pPr>
      <w:rPr>
        <w:rFonts w:ascii="Symbol" w:hAnsi="Symbol" w:hint="default"/>
      </w:rPr>
    </w:lvl>
    <w:lvl w:ilvl="1" w:tplc="0B122D26">
      <w:start w:val="1"/>
      <w:numFmt w:val="bullet"/>
      <w:lvlText w:val=""/>
      <w:lvlJc w:val="left"/>
      <w:pPr>
        <w:tabs>
          <w:tab w:val="num" w:pos="2268"/>
        </w:tabs>
        <w:ind w:left="2268" w:hanging="567"/>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170C4F08"/>
    <w:multiLevelType w:val="hybridMultilevel"/>
    <w:tmpl w:val="50426FDA"/>
    <w:lvl w:ilvl="0" w:tplc="BDDAC6A6">
      <w:start w:val="1"/>
      <w:numFmt w:val="decimal"/>
      <w:lvlText w:val="1.%1"/>
      <w:lvlJc w:val="left"/>
      <w:pPr>
        <w:tabs>
          <w:tab w:val="num" w:pos="1134"/>
        </w:tabs>
        <w:ind w:left="1134" w:hanging="567"/>
      </w:pPr>
      <w:rPr>
        <w:rFonts w:hint="default"/>
      </w:rPr>
    </w:lvl>
    <w:lvl w:ilvl="1" w:tplc="300A0019" w:tentative="1">
      <w:start w:val="1"/>
      <w:numFmt w:val="lowerLetter"/>
      <w:lvlText w:val="%2."/>
      <w:lvlJc w:val="left"/>
      <w:pPr>
        <w:tabs>
          <w:tab w:val="num" w:pos="1440"/>
        </w:tabs>
        <w:ind w:left="1440" w:hanging="360"/>
      </w:pPr>
    </w:lvl>
    <w:lvl w:ilvl="2" w:tplc="300A001B" w:tentative="1">
      <w:start w:val="1"/>
      <w:numFmt w:val="lowerRoman"/>
      <w:lvlText w:val="%3."/>
      <w:lvlJc w:val="right"/>
      <w:pPr>
        <w:tabs>
          <w:tab w:val="num" w:pos="2160"/>
        </w:tabs>
        <w:ind w:left="2160" w:hanging="180"/>
      </w:pPr>
    </w:lvl>
    <w:lvl w:ilvl="3" w:tplc="300A000F" w:tentative="1">
      <w:start w:val="1"/>
      <w:numFmt w:val="decimal"/>
      <w:lvlText w:val="%4."/>
      <w:lvlJc w:val="left"/>
      <w:pPr>
        <w:tabs>
          <w:tab w:val="num" w:pos="2880"/>
        </w:tabs>
        <w:ind w:left="2880" w:hanging="360"/>
      </w:pPr>
    </w:lvl>
    <w:lvl w:ilvl="4" w:tplc="300A0019" w:tentative="1">
      <w:start w:val="1"/>
      <w:numFmt w:val="lowerLetter"/>
      <w:lvlText w:val="%5."/>
      <w:lvlJc w:val="left"/>
      <w:pPr>
        <w:tabs>
          <w:tab w:val="num" w:pos="3600"/>
        </w:tabs>
        <w:ind w:left="3600" w:hanging="360"/>
      </w:pPr>
    </w:lvl>
    <w:lvl w:ilvl="5" w:tplc="300A001B" w:tentative="1">
      <w:start w:val="1"/>
      <w:numFmt w:val="lowerRoman"/>
      <w:lvlText w:val="%6."/>
      <w:lvlJc w:val="right"/>
      <w:pPr>
        <w:tabs>
          <w:tab w:val="num" w:pos="4320"/>
        </w:tabs>
        <w:ind w:left="4320" w:hanging="180"/>
      </w:pPr>
    </w:lvl>
    <w:lvl w:ilvl="6" w:tplc="300A000F" w:tentative="1">
      <w:start w:val="1"/>
      <w:numFmt w:val="decimal"/>
      <w:lvlText w:val="%7."/>
      <w:lvlJc w:val="left"/>
      <w:pPr>
        <w:tabs>
          <w:tab w:val="num" w:pos="5040"/>
        </w:tabs>
        <w:ind w:left="5040" w:hanging="360"/>
      </w:pPr>
    </w:lvl>
    <w:lvl w:ilvl="7" w:tplc="300A0019" w:tentative="1">
      <w:start w:val="1"/>
      <w:numFmt w:val="lowerLetter"/>
      <w:lvlText w:val="%8."/>
      <w:lvlJc w:val="left"/>
      <w:pPr>
        <w:tabs>
          <w:tab w:val="num" w:pos="5760"/>
        </w:tabs>
        <w:ind w:left="5760" w:hanging="360"/>
      </w:pPr>
    </w:lvl>
    <w:lvl w:ilvl="8" w:tplc="300A001B" w:tentative="1">
      <w:start w:val="1"/>
      <w:numFmt w:val="lowerRoman"/>
      <w:lvlText w:val="%9."/>
      <w:lvlJc w:val="right"/>
      <w:pPr>
        <w:tabs>
          <w:tab w:val="num" w:pos="6480"/>
        </w:tabs>
        <w:ind w:left="6480" w:hanging="180"/>
      </w:pPr>
    </w:lvl>
  </w:abstractNum>
  <w:abstractNum w:abstractNumId="4">
    <w:nsid w:val="18C91D04"/>
    <w:multiLevelType w:val="hybridMultilevel"/>
    <w:tmpl w:val="C5AE2462"/>
    <w:lvl w:ilvl="0" w:tplc="E8BAB360">
      <w:start w:val="1"/>
      <w:numFmt w:val="decimal"/>
      <w:lvlText w:val="%1."/>
      <w:lvlJc w:val="left"/>
      <w:pPr>
        <w:tabs>
          <w:tab w:val="num" w:pos="1701"/>
        </w:tabs>
        <w:ind w:left="1701" w:hanging="567"/>
      </w:pPr>
      <w:rPr>
        <w:rFonts w:hint="default"/>
      </w:rPr>
    </w:lvl>
    <w:lvl w:ilvl="1" w:tplc="300A0019" w:tentative="1">
      <w:start w:val="1"/>
      <w:numFmt w:val="lowerLetter"/>
      <w:lvlText w:val="%2."/>
      <w:lvlJc w:val="left"/>
      <w:pPr>
        <w:tabs>
          <w:tab w:val="num" w:pos="1440"/>
        </w:tabs>
        <w:ind w:left="1440" w:hanging="360"/>
      </w:pPr>
    </w:lvl>
    <w:lvl w:ilvl="2" w:tplc="300A001B" w:tentative="1">
      <w:start w:val="1"/>
      <w:numFmt w:val="lowerRoman"/>
      <w:lvlText w:val="%3."/>
      <w:lvlJc w:val="right"/>
      <w:pPr>
        <w:tabs>
          <w:tab w:val="num" w:pos="2160"/>
        </w:tabs>
        <w:ind w:left="2160" w:hanging="180"/>
      </w:pPr>
    </w:lvl>
    <w:lvl w:ilvl="3" w:tplc="300A000F" w:tentative="1">
      <w:start w:val="1"/>
      <w:numFmt w:val="decimal"/>
      <w:lvlText w:val="%4."/>
      <w:lvlJc w:val="left"/>
      <w:pPr>
        <w:tabs>
          <w:tab w:val="num" w:pos="2880"/>
        </w:tabs>
        <w:ind w:left="2880" w:hanging="360"/>
      </w:pPr>
    </w:lvl>
    <w:lvl w:ilvl="4" w:tplc="300A0019" w:tentative="1">
      <w:start w:val="1"/>
      <w:numFmt w:val="lowerLetter"/>
      <w:lvlText w:val="%5."/>
      <w:lvlJc w:val="left"/>
      <w:pPr>
        <w:tabs>
          <w:tab w:val="num" w:pos="3600"/>
        </w:tabs>
        <w:ind w:left="3600" w:hanging="360"/>
      </w:pPr>
    </w:lvl>
    <w:lvl w:ilvl="5" w:tplc="300A001B" w:tentative="1">
      <w:start w:val="1"/>
      <w:numFmt w:val="lowerRoman"/>
      <w:lvlText w:val="%6."/>
      <w:lvlJc w:val="right"/>
      <w:pPr>
        <w:tabs>
          <w:tab w:val="num" w:pos="4320"/>
        </w:tabs>
        <w:ind w:left="4320" w:hanging="180"/>
      </w:pPr>
    </w:lvl>
    <w:lvl w:ilvl="6" w:tplc="300A000F" w:tentative="1">
      <w:start w:val="1"/>
      <w:numFmt w:val="decimal"/>
      <w:lvlText w:val="%7."/>
      <w:lvlJc w:val="left"/>
      <w:pPr>
        <w:tabs>
          <w:tab w:val="num" w:pos="5040"/>
        </w:tabs>
        <w:ind w:left="5040" w:hanging="360"/>
      </w:pPr>
    </w:lvl>
    <w:lvl w:ilvl="7" w:tplc="300A0019" w:tentative="1">
      <w:start w:val="1"/>
      <w:numFmt w:val="lowerLetter"/>
      <w:lvlText w:val="%8."/>
      <w:lvlJc w:val="left"/>
      <w:pPr>
        <w:tabs>
          <w:tab w:val="num" w:pos="5760"/>
        </w:tabs>
        <w:ind w:left="5760" w:hanging="360"/>
      </w:pPr>
    </w:lvl>
    <w:lvl w:ilvl="8" w:tplc="300A001B" w:tentative="1">
      <w:start w:val="1"/>
      <w:numFmt w:val="lowerRoman"/>
      <w:lvlText w:val="%9."/>
      <w:lvlJc w:val="right"/>
      <w:pPr>
        <w:tabs>
          <w:tab w:val="num" w:pos="6480"/>
        </w:tabs>
        <w:ind w:left="6480" w:hanging="180"/>
      </w:pPr>
    </w:lvl>
  </w:abstractNum>
  <w:abstractNum w:abstractNumId="5">
    <w:nsid w:val="1ABE2F91"/>
    <w:multiLevelType w:val="hybridMultilevel"/>
    <w:tmpl w:val="0E3A0986"/>
    <w:lvl w:ilvl="0" w:tplc="6026EF1E">
      <w:start w:val="1"/>
      <w:numFmt w:val="bullet"/>
      <w:lvlText w:val=""/>
      <w:lvlJc w:val="left"/>
      <w:pPr>
        <w:tabs>
          <w:tab w:val="num" w:pos="1701"/>
        </w:tabs>
        <w:ind w:left="1701" w:hanging="567"/>
      </w:pPr>
      <w:rPr>
        <w:rFonts w:ascii="Symbol" w:hAnsi="Symbol" w:hint="default"/>
      </w:rPr>
    </w:lvl>
    <w:lvl w:ilvl="1" w:tplc="032863E2">
      <w:start w:val="1"/>
      <w:numFmt w:val="bullet"/>
      <w:lvlText w:val=""/>
      <w:lvlJc w:val="left"/>
      <w:pPr>
        <w:tabs>
          <w:tab w:val="num" w:pos="1701"/>
        </w:tabs>
        <w:ind w:left="1701" w:hanging="567"/>
      </w:pPr>
      <w:rPr>
        <w:rFonts w:ascii="Symbol" w:hAnsi="Symbol" w:hint="default"/>
      </w:rPr>
    </w:lvl>
    <w:lvl w:ilvl="2" w:tplc="300A0005" w:tentative="1">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cs="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cs="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6">
    <w:nsid w:val="1DEF1F99"/>
    <w:multiLevelType w:val="hybridMultilevel"/>
    <w:tmpl w:val="A8821C24"/>
    <w:lvl w:ilvl="0" w:tplc="498C0C8C">
      <w:start w:val="1"/>
      <w:numFmt w:val="bullet"/>
      <w:lvlText w:val=""/>
      <w:lvlJc w:val="left"/>
      <w:pPr>
        <w:tabs>
          <w:tab w:val="num" w:pos="360"/>
        </w:tabs>
        <w:ind w:left="340" w:hanging="340"/>
      </w:pPr>
      <w:rPr>
        <w:rFonts w:ascii="Symbol" w:hAnsi="Symbol" w:hint="default"/>
      </w:rPr>
    </w:lvl>
    <w:lvl w:ilvl="1" w:tplc="0C0A0001">
      <w:start w:val="1"/>
      <w:numFmt w:val="bullet"/>
      <w:lvlText w:val=""/>
      <w:lvlJc w:val="left"/>
      <w:pPr>
        <w:tabs>
          <w:tab w:val="num" w:pos="2628"/>
        </w:tabs>
        <w:ind w:left="2628" w:hanging="360"/>
      </w:pPr>
      <w:rPr>
        <w:rFonts w:ascii="Symbol" w:hAnsi="Symbol"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21160D90"/>
    <w:multiLevelType w:val="hybridMultilevel"/>
    <w:tmpl w:val="781E81D6"/>
    <w:lvl w:ilvl="0" w:tplc="6324D678">
      <w:start w:val="1"/>
      <w:numFmt w:val="decimal"/>
      <w:lvlText w:val="1.%1"/>
      <w:lvlJc w:val="left"/>
      <w:pPr>
        <w:tabs>
          <w:tab w:val="num" w:pos="1134"/>
        </w:tabs>
        <w:ind w:left="1134" w:hanging="567"/>
      </w:pPr>
      <w:rPr>
        <w:rFonts w:hint="default"/>
      </w:rPr>
    </w:lvl>
    <w:lvl w:ilvl="1" w:tplc="CCD225FC">
      <w:start w:val="3"/>
      <w:numFmt w:val="decimal"/>
      <w:lvlText w:val="1.%2"/>
      <w:lvlJc w:val="left"/>
      <w:pPr>
        <w:tabs>
          <w:tab w:val="num" w:pos="1134"/>
        </w:tabs>
        <w:ind w:left="1134" w:hanging="567"/>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3E65D88"/>
    <w:multiLevelType w:val="multilevel"/>
    <w:tmpl w:val="073A844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36C67EED"/>
    <w:multiLevelType w:val="hybridMultilevel"/>
    <w:tmpl w:val="3C54EDE6"/>
    <w:lvl w:ilvl="0" w:tplc="4FEA2DD6">
      <w:start w:val="1"/>
      <w:numFmt w:val="decimal"/>
      <w:lvlText w:val="%1."/>
      <w:lvlJc w:val="left"/>
      <w:pPr>
        <w:tabs>
          <w:tab w:val="num" w:pos="1304"/>
        </w:tabs>
        <w:ind w:left="1304"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43043EC5"/>
    <w:multiLevelType w:val="hybridMultilevel"/>
    <w:tmpl w:val="B4CA44CE"/>
    <w:lvl w:ilvl="0" w:tplc="5E763CA2">
      <w:start w:val="1"/>
      <w:numFmt w:val="bullet"/>
      <w:lvlText w:val=""/>
      <w:lvlJc w:val="left"/>
      <w:pPr>
        <w:tabs>
          <w:tab w:val="num" w:pos="1701"/>
        </w:tabs>
        <w:ind w:left="1701" w:hanging="567"/>
      </w:pPr>
      <w:rPr>
        <w:rFonts w:ascii="Wingdings" w:hAnsi="Wingdings" w:hint="default"/>
      </w:rPr>
    </w:lvl>
    <w:lvl w:ilvl="1" w:tplc="300A0003" w:tentative="1">
      <w:start w:val="1"/>
      <w:numFmt w:val="bullet"/>
      <w:lvlText w:val="o"/>
      <w:lvlJc w:val="left"/>
      <w:pPr>
        <w:tabs>
          <w:tab w:val="num" w:pos="1440"/>
        </w:tabs>
        <w:ind w:left="1440" w:hanging="360"/>
      </w:pPr>
      <w:rPr>
        <w:rFonts w:ascii="Courier New" w:hAnsi="Courier New" w:cs="Courier New" w:hint="default"/>
      </w:rPr>
    </w:lvl>
    <w:lvl w:ilvl="2" w:tplc="300A0005" w:tentative="1">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cs="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cs="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11">
    <w:nsid w:val="47A13493"/>
    <w:multiLevelType w:val="multilevel"/>
    <w:tmpl w:val="3A24EF90"/>
    <w:lvl w:ilvl="0">
      <w:start w:val="1"/>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4C4B274B"/>
    <w:multiLevelType w:val="hybridMultilevel"/>
    <w:tmpl w:val="5E2C390A"/>
    <w:lvl w:ilvl="0" w:tplc="498C0C8C">
      <w:start w:val="1"/>
      <w:numFmt w:val="bullet"/>
      <w:lvlText w:val=""/>
      <w:lvlJc w:val="left"/>
      <w:pPr>
        <w:tabs>
          <w:tab w:val="num" w:pos="360"/>
        </w:tabs>
        <w:ind w:left="340" w:hanging="340"/>
      </w:pPr>
      <w:rPr>
        <w:rFonts w:ascii="Symbol" w:hAnsi="Symbol" w:hint="default"/>
      </w:rPr>
    </w:lvl>
    <w:lvl w:ilvl="1" w:tplc="0C0A0005">
      <w:start w:val="1"/>
      <w:numFmt w:val="bullet"/>
      <w:lvlText w:val=""/>
      <w:lvlJc w:val="left"/>
      <w:pPr>
        <w:tabs>
          <w:tab w:val="num" w:pos="1440"/>
        </w:tabs>
        <w:ind w:left="1440" w:hanging="360"/>
      </w:pPr>
      <w:rPr>
        <w:rFonts w:ascii="Wingdings" w:hAnsi="Wingdings" w:hint="default"/>
      </w:rPr>
    </w:lvl>
    <w:lvl w:ilvl="2" w:tplc="A788AAA4">
      <w:start w:val="1"/>
      <w:numFmt w:val="bullet"/>
      <w:lvlText w:val=""/>
      <w:lvlJc w:val="left"/>
      <w:pPr>
        <w:tabs>
          <w:tab w:val="num" w:pos="2268"/>
        </w:tabs>
        <w:ind w:left="2268" w:hanging="567"/>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55A15191"/>
    <w:multiLevelType w:val="hybridMultilevel"/>
    <w:tmpl w:val="003EADD2"/>
    <w:lvl w:ilvl="0" w:tplc="7EB2EABC">
      <w:start w:val="1"/>
      <w:numFmt w:val="bullet"/>
      <w:lvlText w:val=""/>
      <w:lvlJc w:val="left"/>
      <w:pPr>
        <w:tabs>
          <w:tab w:val="num" w:pos="1701"/>
        </w:tabs>
        <w:ind w:left="1701" w:hanging="567"/>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56E851EE"/>
    <w:multiLevelType w:val="multilevel"/>
    <w:tmpl w:val="E39A3D3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63630BED"/>
    <w:multiLevelType w:val="hybridMultilevel"/>
    <w:tmpl w:val="7BBC6E20"/>
    <w:lvl w:ilvl="0" w:tplc="A6C0C554">
      <w:start w:val="1"/>
      <w:numFmt w:val="decimal"/>
      <w:lvlText w:val="%1)"/>
      <w:lvlJc w:val="left"/>
      <w:pPr>
        <w:tabs>
          <w:tab w:val="num" w:pos="2835"/>
        </w:tabs>
        <w:ind w:left="2835" w:hanging="567"/>
      </w:pPr>
      <w:rPr>
        <w:rFonts w:hint="default"/>
      </w:rPr>
    </w:lvl>
    <w:lvl w:ilvl="1" w:tplc="A7747C6C">
      <w:start w:val="1"/>
      <w:numFmt w:val="decimal"/>
      <w:lvlText w:val="%2.-"/>
      <w:lvlJc w:val="left"/>
      <w:pPr>
        <w:tabs>
          <w:tab w:val="num" w:pos="1701"/>
        </w:tabs>
        <w:ind w:left="1701" w:hanging="567"/>
      </w:pPr>
      <w:rPr>
        <w:rFonts w:hint="default"/>
      </w:rPr>
    </w:lvl>
    <w:lvl w:ilvl="2" w:tplc="300A001B" w:tentative="1">
      <w:start w:val="1"/>
      <w:numFmt w:val="lowerRoman"/>
      <w:lvlText w:val="%3."/>
      <w:lvlJc w:val="right"/>
      <w:pPr>
        <w:tabs>
          <w:tab w:val="num" w:pos="3294"/>
        </w:tabs>
        <w:ind w:left="3294" w:hanging="180"/>
      </w:pPr>
    </w:lvl>
    <w:lvl w:ilvl="3" w:tplc="300A000F" w:tentative="1">
      <w:start w:val="1"/>
      <w:numFmt w:val="decimal"/>
      <w:lvlText w:val="%4."/>
      <w:lvlJc w:val="left"/>
      <w:pPr>
        <w:tabs>
          <w:tab w:val="num" w:pos="4014"/>
        </w:tabs>
        <w:ind w:left="4014" w:hanging="360"/>
      </w:pPr>
    </w:lvl>
    <w:lvl w:ilvl="4" w:tplc="300A0019" w:tentative="1">
      <w:start w:val="1"/>
      <w:numFmt w:val="lowerLetter"/>
      <w:lvlText w:val="%5."/>
      <w:lvlJc w:val="left"/>
      <w:pPr>
        <w:tabs>
          <w:tab w:val="num" w:pos="4734"/>
        </w:tabs>
        <w:ind w:left="4734" w:hanging="360"/>
      </w:pPr>
    </w:lvl>
    <w:lvl w:ilvl="5" w:tplc="300A001B" w:tentative="1">
      <w:start w:val="1"/>
      <w:numFmt w:val="lowerRoman"/>
      <w:lvlText w:val="%6."/>
      <w:lvlJc w:val="right"/>
      <w:pPr>
        <w:tabs>
          <w:tab w:val="num" w:pos="5454"/>
        </w:tabs>
        <w:ind w:left="5454" w:hanging="180"/>
      </w:pPr>
    </w:lvl>
    <w:lvl w:ilvl="6" w:tplc="300A000F" w:tentative="1">
      <w:start w:val="1"/>
      <w:numFmt w:val="decimal"/>
      <w:lvlText w:val="%7."/>
      <w:lvlJc w:val="left"/>
      <w:pPr>
        <w:tabs>
          <w:tab w:val="num" w:pos="6174"/>
        </w:tabs>
        <w:ind w:left="6174" w:hanging="360"/>
      </w:pPr>
    </w:lvl>
    <w:lvl w:ilvl="7" w:tplc="300A0019" w:tentative="1">
      <w:start w:val="1"/>
      <w:numFmt w:val="lowerLetter"/>
      <w:lvlText w:val="%8."/>
      <w:lvlJc w:val="left"/>
      <w:pPr>
        <w:tabs>
          <w:tab w:val="num" w:pos="6894"/>
        </w:tabs>
        <w:ind w:left="6894" w:hanging="360"/>
      </w:pPr>
    </w:lvl>
    <w:lvl w:ilvl="8" w:tplc="300A001B" w:tentative="1">
      <w:start w:val="1"/>
      <w:numFmt w:val="lowerRoman"/>
      <w:lvlText w:val="%9."/>
      <w:lvlJc w:val="right"/>
      <w:pPr>
        <w:tabs>
          <w:tab w:val="num" w:pos="7614"/>
        </w:tabs>
        <w:ind w:left="7614" w:hanging="180"/>
      </w:pPr>
    </w:lvl>
  </w:abstractNum>
  <w:abstractNum w:abstractNumId="16">
    <w:nsid w:val="6EEC1BCD"/>
    <w:multiLevelType w:val="hybridMultilevel"/>
    <w:tmpl w:val="9AECC412"/>
    <w:lvl w:ilvl="0" w:tplc="498C0C8C">
      <w:start w:val="1"/>
      <w:numFmt w:val="bullet"/>
      <w:lvlText w:val=""/>
      <w:lvlJc w:val="left"/>
      <w:pPr>
        <w:tabs>
          <w:tab w:val="num" w:pos="360"/>
        </w:tabs>
        <w:ind w:left="340" w:hanging="340"/>
      </w:pPr>
      <w:rPr>
        <w:rFonts w:ascii="Symbol" w:hAnsi="Symbol" w:hint="default"/>
      </w:rPr>
    </w:lvl>
    <w:lvl w:ilvl="1" w:tplc="4D76F6BE">
      <w:start w:val="1"/>
      <w:numFmt w:val="bullet"/>
      <w:lvlText w:val=""/>
      <w:lvlJc w:val="left"/>
      <w:pPr>
        <w:tabs>
          <w:tab w:val="num" w:pos="2268"/>
        </w:tabs>
        <w:ind w:left="2268" w:hanging="567"/>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6F2769D9"/>
    <w:multiLevelType w:val="hybridMultilevel"/>
    <w:tmpl w:val="BD54B50C"/>
    <w:lvl w:ilvl="0" w:tplc="498C0C8C">
      <w:start w:val="1"/>
      <w:numFmt w:val="bullet"/>
      <w:lvlText w:val=""/>
      <w:lvlJc w:val="left"/>
      <w:pPr>
        <w:tabs>
          <w:tab w:val="num" w:pos="360"/>
        </w:tabs>
        <w:ind w:left="340" w:hanging="340"/>
      </w:pPr>
      <w:rPr>
        <w:rFonts w:ascii="Symbol" w:hAnsi="Symbol" w:hint="default"/>
      </w:rPr>
    </w:lvl>
    <w:lvl w:ilvl="1" w:tplc="0C0A0001">
      <w:start w:val="1"/>
      <w:numFmt w:val="bullet"/>
      <w:lvlText w:val=""/>
      <w:lvlJc w:val="left"/>
      <w:pPr>
        <w:tabs>
          <w:tab w:val="num" w:pos="2628"/>
        </w:tabs>
        <w:ind w:left="2628" w:hanging="360"/>
      </w:pPr>
      <w:rPr>
        <w:rFonts w:ascii="Symbol" w:hAnsi="Symbol" w:hint="default"/>
      </w:rPr>
    </w:lvl>
    <w:lvl w:ilvl="2" w:tplc="22BE4BDA">
      <w:start w:val="1"/>
      <w:numFmt w:val="bullet"/>
      <w:lvlText w:val=""/>
      <w:lvlJc w:val="left"/>
      <w:pPr>
        <w:tabs>
          <w:tab w:val="num" w:pos="2835"/>
        </w:tabs>
        <w:ind w:left="2835" w:hanging="567"/>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1"/>
  </w:num>
  <w:num w:numId="3">
    <w:abstractNumId w:val="8"/>
  </w:num>
  <w:num w:numId="4">
    <w:abstractNumId w:val="3"/>
  </w:num>
  <w:num w:numId="5">
    <w:abstractNumId w:val="2"/>
  </w:num>
  <w:num w:numId="6">
    <w:abstractNumId w:val="13"/>
  </w:num>
  <w:num w:numId="7">
    <w:abstractNumId w:val="16"/>
  </w:num>
  <w:num w:numId="8">
    <w:abstractNumId w:val="12"/>
  </w:num>
  <w:num w:numId="9">
    <w:abstractNumId w:val="0"/>
  </w:num>
  <w:num w:numId="10">
    <w:abstractNumId w:val="10"/>
  </w:num>
  <w:num w:numId="11">
    <w:abstractNumId w:val="4"/>
  </w:num>
  <w:num w:numId="12">
    <w:abstractNumId w:val="7"/>
  </w:num>
  <w:num w:numId="13">
    <w:abstractNumId w:val="5"/>
  </w:num>
  <w:num w:numId="14">
    <w:abstractNumId w:val="6"/>
  </w:num>
  <w:num w:numId="15">
    <w:abstractNumId w:val="17"/>
  </w:num>
  <w:num w:numId="16">
    <w:abstractNumId w:val="1"/>
  </w:num>
  <w:num w:numId="17">
    <w:abstractNumId w:val="15"/>
  </w:num>
  <w:num w:numId="18">
    <w:abstractNumId w:val="1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activeWritingStyle w:appName="MSWord" w:lang="es-ES" w:vendorID="9" w:dllVersion="512" w:checkStyle="1"/>
  <w:defaultTabStop w:val="708"/>
  <w:hyphenationZone w:val="425"/>
  <w:noPunctuationKerning/>
  <w:characterSpacingControl w:val="doNotCompress"/>
  <w:footnotePr>
    <w:footnote w:id="0"/>
    <w:footnote w:id="1"/>
  </w:footnotePr>
  <w:endnotePr>
    <w:endnote w:id="0"/>
    <w:endnote w:id="1"/>
  </w:endnotePr>
  <w:compat/>
  <w:rsids>
    <w:rsidRoot w:val="00177CA6"/>
    <w:rsid w:val="000802FC"/>
    <w:rsid w:val="00177CA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spacing w:line="480" w:lineRule="auto"/>
      <w:outlineLvl w:val="0"/>
    </w:pPr>
    <w:rPr>
      <w:b/>
      <w:bCs/>
      <w:sz w:val="32"/>
    </w:rPr>
  </w:style>
  <w:style w:type="paragraph" w:styleId="Ttulo2">
    <w:name w:val="heading 2"/>
    <w:basedOn w:val="Normal"/>
    <w:next w:val="Normal"/>
    <w:qFormat/>
    <w:pPr>
      <w:keepNext/>
      <w:spacing w:line="360" w:lineRule="auto"/>
      <w:jc w:val="center"/>
      <w:outlineLvl w:val="1"/>
    </w:pPr>
    <w:rPr>
      <w:rFonts w:ascii="Arial" w:hAnsi="Arial" w:cs="Arial"/>
      <w:b/>
      <w:bCs/>
    </w:rPr>
  </w:style>
  <w:style w:type="paragraph" w:styleId="Ttulo3">
    <w:name w:val="heading 3"/>
    <w:basedOn w:val="Normal"/>
    <w:next w:val="Normal"/>
    <w:qFormat/>
    <w:pPr>
      <w:keepNext/>
      <w:jc w:val="both"/>
      <w:outlineLvl w:val="2"/>
    </w:pPr>
    <w:rPr>
      <w:rFonts w:ascii="Arial" w:hAnsi="Arial"/>
      <w:b/>
      <w:szCs w:val="20"/>
    </w:rPr>
  </w:style>
  <w:style w:type="paragraph" w:styleId="Ttulo4">
    <w:name w:val="heading 4"/>
    <w:basedOn w:val="Normal"/>
    <w:next w:val="Normal"/>
    <w:qFormat/>
    <w:pPr>
      <w:keepNext/>
      <w:jc w:val="center"/>
      <w:outlineLvl w:val="3"/>
    </w:pPr>
    <w:rPr>
      <w:rFonts w:ascii="Arial" w:hAnsi="Arial"/>
      <w:szCs w:val="20"/>
      <w:lang w:val="es-MX"/>
    </w:rPr>
  </w:style>
  <w:style w:type="paragraph" w:styleId="Ttulo5">
    <w:name w:val="heading 5"/>
    <w:basedOn w:val="Normal"/>
    <w:next w:val="Normal"/>
    <w:qFormat/>
    <w:pPr>
      <w:keepNext/>
      <w:jc w:val="both"/>
      <w:outlineLvl w:val="4"/>
    </w:pPr>
    <w:rPr>
      <w:rFonts w:ascii="Arial" w:hAnsi="Arial"/>
      <w:szCs w:val="20"/>
      <w:lang w:val="es-MX"/>
    </w:rPr>
  </w:style>
  <w:style w:type="paragraph" w:styleId="Ttulo6">
    <w:name w:val="heading 6"/>
    <w:basedOn w:val="Normal"/>
    <w:next w:val="Normal"/>
    <w:qFormat/>
    <w:pPr>
      <w:keepNext/>
      <w:spacing w:line="360" w:lineRule="auto"/>
      <w:jc w:val="both"/>
      <w:outlineLvl w:val="5"/>
    </w:pPr>
    <w:rPr>
      <w:i/>
      <w:iCs/>
      <w:u w:val="single"/>
    </w:rPr>
  </w:style>
  <w:style w:type="paragraph" w:styleId="Ttulo7">
    <w:name w:val="heading 7"/>
    <w:basedOn w:val="Normal"/>
    <w:next w:val="Normal"/>
    <w:qFormat/>
    <w:pPr>
      <w:keepNext/>
      <w:jc w:val="both"/>
      <w:outlineLvl w:val="6"/>
    </w:pPr>
    <w:rPr>
      <w:i/>
      <w:iCs/>
    </w:rPr>
  </w:style>
  <w:style w:type="paragraph" w:styleId="Ttulo8">
    <w:name w:val="heading 8"/>
    <w:basedOn w:val="Normal"/>
    <w:next w:val="Normal"/>
    <w:qFormat/>
    <w:pPr>
      <w:keepNext/>
      <w:outlineLvl w:val="7"/>
    </w:pPr>
    <w:rPr>
      <w:rFonts w:ascii="Arial Narrow" w:hAnsi="Arial Narrow"/>
      <w:szCs w:val="20"/>
      <w:lang w:val="es-MX"/>
    </w:rPr>
  </w:style>
  <w:style w:type="paragraph" w:styleId="Ttulo9">
    <w:name w:val="heading 9"/>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outlineLvl w:val="8"/>
    </w:pPr>
    <w:rPr>
      <w:rFonts w:ascii="Arial" w:hAnsi="Arial"/>
      <w:b/>
      <w:bCs/>
      <w:spacing w:val="-3"/>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pPr>
      <w:spacing w:line="480" w:lineRule="auto"/>
      <w:jc w:val="center"/>
    </w:pPr>
    <w:rPr>
      <w:rFonts w:ascii="Arial" w:hAnsi="Arial" w:cs="Arial"/>
      <w:sz w:val="48"/>
    </w:rPr>
  </w:style>
  <w:style w:type="paragraph" w:styleId="Sangradetextonormal">
    <w:name w:val="Body Text Indent"/>
    <w:basedOn w:val="Normal"/>
    <w:semiHidden/>
    <w:pPr>
      <w:ind w:left="360"/>
    </w:pPr>
    <w:rPr>
      <w:rFonts w:ascii="Arial" w:hAnsi="Arial"/>
      <w:szCs w:val="20"/>
      <w:lang w:val="es-MX"/>
    </w:rPr>
  </w:style>
  <w:style w:type="paragraph" w:styleId="Textoindependiente3">
    <w:name w:val="Body Text 3"/>
    <w:basedOn w:val="Normal"/>
    <w:semiHidden/>
    <w:rPr>
      <w:rFonts w:ascii="Arial" w:hAnsi="Arial"/>
      <w:b/>
      <w:szCs w:val="20"/>
    </w:rPr>
  </w:style>
  <w:style w:type="paragraph" w:styleId="Piedepgina">
    <w:name w:val="footer"/>
    <w:basedOn w:val="Normal"/>
    <w:semiHidden/>
    <w:pPr>
      <w:tabs>
        <w:tab w:val="center" w:pos="4419"/>
        <w:tab w:val="right" w:pos="8838"/>
      </w:tabs>
    </w:pPr>
    <w:rPr>
      <w:sz w:val="20"/>
      <w:szCs w:val="20"/>
    </w:rPr>
  </w:style>
  <w:style w:type="paragraph" w:styleId="Textoindependiente2">
    <w:name w:val="Body Text 2"/>
    <w:basedOn w:val="Normal"/>
    <w:semiHidden/>
    <w:pPr>
      <w:jc w:val="both"/>
    </w:pPr>
    <w:rPr>
      <w:rFonts w:ascii="Arial" w:hAnsi="Arial"/>
      <w:szCs w:val="20"/>
      <w:lang w:val="es-MX"/>
    </w:rPr>
  </w:style>
  <w:style w:type="paragraph" w:styleId="Textoindependiente">
    <w:name w:val="Body Text"/>
    <w:basedOn w:val="Normal"/>
    <w:semiHidden/>
    <w:pPr>
      <w:jc w:val="both"/>
    </w:pPr>
    <w:rPr>
      <w:b/>
      <w:bCs/>
    </w:rPr>
  </w:style>
  <w:style w:type="paragraph" w:styleId="Subttulo">
    <w:name w:val="Subtitle"/>
    <w:basedOn w:val="Normal"/>
    <w:qFormat/>
    <w:pPr>
      <w:spacing w:before="240" w:line="360" w:lineRule="auto"/>
      <w:ind w:left="284"/>
      <w:jc w:val="both"/>
    </w:pPr>
    <w:rPr>
      <w:rFonts w:ascii="Arial" w:hAnsi="Arial" w:cs="Arial"/>
      <w:b/>
      <w:bCs/>
    </w:rPr>
  </w:style>
  <w:style w:type="paragraph" w:styleId="Sangra3detindependiente">
    <w:name w:val="Body Text Indent 3"/>
    <w:basedOn w:val="Normal"/>
    <w:semiHidden/>
    <w:pPr>
      <w:ind w:left="360"/>
      <w:jc w:val="both"/>
    </w:pPr>
    <w:rPr>
      <w:rFonts w:ascii="Arial" w:hAnsi="Arial"/>
      <w:szCs w:val="20"/>
      <w:lang w:val="es-MX"/>
    </w:rPr>
  </w:style>
  <w:style w:type="paragraph" w:styleId="Sangra2detindependiente">
    <w:name w:val="Body Text Indent 2"/>
    <w:basedOn w:val="Normal"/>
    <w:semiHidden/>
    <w:pPr>
      <w:spacing w:line="360" w:lineRule="auto"/>
      <w:ind w:left="720"/>
      <w:jc w:val="both"/>
    </w:pPr>
    <w:rPr>
      <w:rFonts w:ascii="Arial" w:hAnsi="Arial" w:cs="Arial"/>
      <w:lang w:val="es-EC"/>
    </w:rPr>
  </w:style>
  <w:style w:type="paragraph" w:styleId="NormalWeb">
    <w:name w:val="Normal (Web)"/>
    <w:basedOn w:val="Normal"/>
    <w:semiHidden/>
    <w:pPr>
      <w:spacing w:before="100" w:beforeAutospacing="1" w:after="100" w:afterAutospacing="1"/>
    </w:pPr>
    <w:rPr>
      <w:rFonts w:ascii="Arial" w:hAnsi="Arial" w:cs="Arial"/>
      <w:color w:val="000000"/>
      <w:sz w:val="26"/>
      <w:szCs w:val="26"/>
      <w:lang w:val="es-EC" w:eastAsia="es-EC"/>
    </w:rPr>
  </w:style>
  <w:style w:type="character" w:styleId="Nmerodepgina">
    <w:name w:val="page number"/>
    <w:basedOn w:val="Fuentedeprrafopredeter"/>
    <w:semiHidden/>
  </w:style>
  <w:style w:type="paragraph" w:styleId="Encabezado">
    <w:name w:val="header"/>
    <w:basedOn w:val="Normal"/>
    <w:semiHidden/>
    <w:pPr>
      <w:tabs>
        <w:tab w:val="center" w:pos="4419"/>
        <w:tab w:val="right" w:pos="8838"/>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wmf"/><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6.bin"/><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8.png"/><Relationship Id="rId10" Type="http://schemas.openxmlformats.org/officeDocument/2006/relationships/oleObject" Target="embeddings/oleObject2.bin"/><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5.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3482</Words>
  <Characters>19157</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CAPÍTULO 1</vt:lpstr>
    </vt:vector>
  </TitlesOfParts>
  <Company>Casa</Company>
  <LinksUpToDate>false</LinksUpToDate>
  <CharactersWithSpaces>22594</CharactersWithSpaces>
  <SharedDoc>false</SharedDoc>
  <HLinks>
    <vt:vector size="12" baseType="variant">
      <vt:variant>
        <vt:i4>6094869</vt:i4>
      </vt:variant>
      <vt:variant>
        <vt:i4>18605</vt:i4>
      </vt:variant>
      <vt:variant>
        <vt:i4>1027</vt:i4>
      </vt:variant>
      <vt:variant>
        <vt:i4>1</vt:i4>
      </vt:variant>
      <vt:variant>
        <vt:lpwstr>sof2</vt:lpwstr>
      </vt:variant>
      <vt:variant>
        <vt:lpwstr/>
      </vt:variant>
      <vt:variant>
        <vt:i4>6160405</vt:i4>
      </vt:variant>
      <vt:variant>
        <vt:i4>19294</vt:i4>
      </vt:variant>
      <vt:variant>
        <vt:i4>1028</vt:i4>
      </vt:variant>
      <vt:variant>
        <vt:i4>1</vt:i4>
      </vt:variant>
      <vt:variant>
        <vt:lpwstr>sof1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1</dc:title>
  <dc:subject/>
  <dc:creator>Mauricio Verdy</dc:creator>
  <cp:keywords/>
  <cp:lastModifiedBy>Ayudante</cp:lastModifiedBy>
  <cp:revision>2</cp:revision>
  <cp:lastPrinted>2004-09-15T19:06:00Z</cp:lastPrinted>
  <dcterms:created xsi:type="dcterms:W3CDTF">2009-06-24T16:02:00Z</dcterms:created>
  <dcterms:modified xsi:type="dcterms:W3CDTF">2009-06-24T16:02:00Z</dcterms:modified>
</cp:coreProperties>
</file>