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Default="00095EF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BIBLIOGRAFIA</w:t>
      </w:r>
    </w:p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Default="00095EF3">
      <w:pPr>
        <w:jc w:val="center"/>
        <w:rPr>
          <w:rFonts w:ascii="Arial" w:hAnsi="Arial"/>
          <w:b/>
          <w:sz w:val="32"/>
        </w:rPr>
      </w:pPr>
    </w:p>
    <w:p w:rsidR="00000000" w:rsidRPr="00227D4D" w:rsidRDefault="00095EF3" w:rsidP="00095EF3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hAnsi="Arial"/>
          <w:lang w:val="en-US"/>
        </w:rPr>
      </w:pPr>
      <w:r w:rsidRPr="00227D4D">
        <w:rPr>
          <w:rFonts w:ascii="Arial" w:hAnsi="Arial"/>
          <w:lang w:val="en-US"/>
        </w:rPr>
        <w:t>IM&amp;C - Total Perfomance Management - 2003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MASAAKI IMAI – Kaizen – CECSA – 1999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MASAAKI IMAI – Cómo implementar el Kaizen en el sitio de trabajo – McGraw Hill – 1997</w:t>
      </w:r>
    </w:p>
    <w:p w:rsidR="00000000" w:rsidRPr="00227D4D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  <w:lang w:val="en-US"/>
        </w:rPr>
      </w:pPr>
      <w:r w:rsidRPr="00227D4D">
        <w:rPr>
          <w:rFonts w:ascii="Arial" w:hAnsi="Arial"/>
          <w:lang w:val="en-US"/>
        </w:rPr>
        <w:t>OUCHI WILLIAM – Teoría Z – Hyspamerica – 1982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BAND WILLIAM A. – Creaci</w:t>
      </w:r>
      <w:r>
        <w:rPr>
          <w:rFonts w:ascii="Arial" w:hAnsi="Arial"/>
        </w:rPr>
        <w:t>ón del Valor –Díaz de Santos – 1994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MACDONALD JOHN Y PIGGOTT JOHN – Calidad Global – Panorama – 1993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 w:rsidRPr="00227D4D">
        <w:rPr>
          <w:rFonts w:ascii="Arial" w:hAnsi="Arial"/>
          <w:lang w:val="en-US"/>
        </w:rPr>
        <w:t xml:space="preserve">ABEGGLEN JAMES Y STALK GEORGE – Kaisha. </w:t>
      </w:r>
      <w:r>
        <w:rPr>
          <w:rFonts w:ascii="Arial" w:hAnsi="Arial"/>
        </w:rPr>
        <w:t>La corporación japonesa –– Plaza &amp; Janes – 1990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REICH ROBERT – El trabajo de las naciones – Vergara – 1993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THUROW L</w:t>
      </w:r>
      <w:r>
        <w:rPr>
          <w:rFonts w:ascii="Arial" w:hAnsi="Arial"/>
        </w:rPr>
        <w:t>ESTER – La guerra del siglo XXI – Vergara – 1992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ROBBINS STEPHEN – Comportamiento Organizacional – Prentice Hall – 1993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DAVIS KEITH Y NEWSTROM JOHN W.– Comportamiento Humano en el Trabajo – McGraw Hill – 1999</w:t>
      </w:r>
    </w:p>
    <w:p w:rsidR="00000000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GORDON JUDITH R.– Comportamiento Organizacional</w:t>
      </w:r>
      <w:r>
        <w:rPr>
          <w:rFonts w:ascii="Arial" w:hAnsi="Arial"/>
        </w:rPr>
        <w:t xml:space="preserve"> – Prentice Hall – 1997</w:t>
      </w:r>
    </w:p>
    <w:p w:rsidR="00095EF3" w:rsidRDefault="00095EF3" w:rsidP="00095EF3">
      <w:pPr>
        <w:pStyle w:val="NormalWeb"/>
        <w:numPr>
          <w:ilvl w:val="0"/>
          <w:numId w:val="1"/>
        </w:numPr>
        <w:spacing w:before="0" w:after="0" w:line="480" w:lineRule="auto"/>
        <w:jc w:val="both"/>
        <w:rPr>
          <w:rFonts w:ascii="Arial" w:hAnsi="Arial"/>
        </w:rPr>
      </w:pPr>
      <w:r>
        <w:rPr>
          <w:rFonts w:ascii="Arial" w:hAnsi="Arial"/>
        </w:rPr>
        <w:t>CHASE Y AQUILANO – Dirección y Administración de la Producción y de las Operaciones – McGraw Hill / Irwin – 1992</w:t>
      </w:r>
    </w:p>
    <w:sectPr w:rsidR="00095EF3">
      <w:pgSz w:w="11907" w:h="16840" w:code="9"/>
      <w:pgMar w:top="1985" w:right="1134" w:bottom="2268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F3" w:rsidRDefault="00095EF3">
      <w:r>
        <w:separator/>
      </w:r>
    </w:p>
  </w:endnote>
  <w:endnote w:type="continuationSeparator" w:id="1">
    <w:p w:rsidR="00095EF3" w:rsidRDefault="0009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F3" w:rsidRDefault="00095EF3">
      <w:r>
        <w:separator/>
      </w:r>
    </w:p>
  </w:footnote>
  <w:footnote w:type="continuationSeparator" w:id="1">
    <w:p w:rsidR="00095EF3" w:rsidRDefault="00095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79BE"/>
    <w:multiLevelType w:val="singleLevel"/>
    <w:tmpl w:val="BAAA8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D4D"/>
    <w:rsid w:val="00095EF3"/>
    <w:rsid w:val="0022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  <w:snapToGrid w:val="0"/>
      <w:color w:val="000000"/>
      <w:sz w:val="10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Impact" w:hAnsi="Impact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Impact" w:hAnsi="Impact"/>
      <w:b/>
      <w:sz w:val="22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Impact" w:hAnsi="Impact"/>
      <w:b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Impact" w:hAnsi="Impact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Impact" w:hAnsi="Impact"/>
      <w:b/>
      <w:sz w:val="22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Impact" w:hAnsi="Impact"/>
      <w:b/>
      <w:sz w:val="16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Sangradetextonormal">
    <w:name w:val="Body Text Indent"/>
    <w:basedOn w:val="Normal"/>
    <w:semiHidden/>
    <w:pPr>
      <w:spacing w:line="360" w:lineRule="auto"/>
      <w:ind w:left="3540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Tahoma" w:hAnsi="Tahoma"/>
      <w:color w:val="000000"/>
      <w:sz w:val="26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Textoindependiente2">
    <w:name w:val="Body Text 2"/>
    <w:basedOn w:val="Normal"/>
    <w:semiHidden/>
    <w:pPr>
      <w:jc w:val="both"/>
    </w:pPr>
    <w:rPr>
      <w:rFonts w:ascii="Tahoma" w:hAnsi="Tahoma"/>
      <w:sz w:val="26"/>
    </w:rPr>
  </w:style>
  <w:style w:type="paragraph" w:styleId="Textoindependiente3">
    <w:name w:val="Body Text 3"/>
    <w:basedOn w:val="Normal"/>
    <w:semiHidden/>
    <w:rPr>
      <w:sz w:val="14"/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RCH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Guillermo Bonilla L.</dc:creator>
  <cp:keywords/>
  <cp:lastModifiedBy>Ayudante</cp:lastModifiedBy>
  <cp:revision>2</cp:revision>
  <dcterms:created xsi:type="dcterms:W3CDTF">2009-06-25T15:02:00Z</dcterms:created>
  <dcterms:modified xsi:type="dcterms:W3CDTF">2009-06-25T15:02:00Z</dcterms:modified>
</cp:coreProperties>
</file>