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84" w:rsidRDefault="00690E84">
      <w:pPr>
        <w:pStyle w:val="Textoindependiente2"/>
        <w:spacing w:line="24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ABREVIATURAS</w:t>
      </w:r>
    </w:p>
    <w:p w:rsidR="00690E84" w:rsidRDefault="00690E84">
      <w:pPr>
        <w:pStyle w:val="Textoindependiente2"/>
        <w:spacing w:line="24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690E84" w:rsidRDefault="00690E84">
      <w:pPr>
        <w:pStyle w:val="Textoindependiente2"/>
        <w:spacing w:line="24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690E84" w:rsidRDefault="00690E84">
      <w:pPr>
        <w:pStyle w:val="Textoindependiente2"/>
        <w:spacing w:line="240" w:lineRule="auto"/>
        <w:jc w:val="center"/>
        <w:rPr>
          <w:rFonts w:ascii="Arial" w:hAnsi="Arial" w:cs="Arial"/>
          <w:sz w:val="23"/>
          <w:lang w:val="es-ES_tradnl"/>
        </w:rPr>
      </w:pPr>
    </w:p>
    <w:p w:rsidR="00690E84" w:rsidRDefault="00690E84">
      <w:pPr>
        <w:pStyle w:val="Textoindependiente2"/>
        <w:spacing w:line="240" w:lineRule="auto"/>
        <w:jc w:val="center"/>
        <w:rPr>
          <w:rFonts w:ascii="Arial" w:hAnsi="Arial" w:cs="Arial"/>
          <w:lang w:val="es-ES_tradnl"/>
        </w:rPr>
      </w:pPr>
    </w:p>
    <w:p w:rsidR="00690E84" w:rsidRDefault="00690E84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t>LGISF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3"/>
        </w:rPr>
        <w:t>Ley General de Instituciones del Sistema Financiero</w:t>
      </w:r>
    </w:p>
    <w:p w:rsidR="00690E84" w:rsidRDefault="00690E84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t>BCE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Banco Central del Ecuador</w:t>
      </w:r>
    </w:p>
    <w:p w:rsidR="00690E84" w:rsidRDefault="00690E84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t>SBS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Superintendencia de Bancos y Seguros</w:t>
      </w:r>
    </w:p>
    <w:p w:rsidR="00690E84" w:rsidRDefault="00690E84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t>ABPE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Asociación de Bancos Privados del Ecuador</w:t>
      </w:r>
    </w:p>
    <w:p w:rsidR="00690E84" w:rsidRDefault="00690E84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t>BCOS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Bancos</w:t>
      </w:r>
    </w:p>
    <w:p w:rsidR="00690E84" w:rsidRDefault="00690E84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t>N°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Número</w:t>
      </w:r>
    </w:p>
    <w:p w:rsidR="00690E84" w:rsidRDefault="00690E84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t>etc.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Etcétera</w:t>
      </w:r>
    </w:p>
    <w:p w:rsidR="00690E84" w:rsidRDefault="00690E84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t>REF.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Referencia</w:t>
      </w:r>
    </w:p>
    <w:p w:rsidR="00690E84" w:rsidRDefault="00690E84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t>ELAB.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Elaborado</w:t>
      </w:r>
    </w:p>
    <w:p w:rsidR="00690E84" w:rsidRDefault="00690E84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t>ACC.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Acción</w:t>
      </w:r>
    </w:p>
    <w:p w:rsidR="00690E84" w:rsidRDefault="00690E84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t>F. 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Fecha inicial</w:t>
      </w:r>
    </w:p>
    <w:p w:rsidR="00690E84" w:rsidRDefault="00690E84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t>SEG.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Seguimiento</w:t>
      </w:r>
    </w:p>
    <w:p w:rsidR="00690E84" w:rsidRDefault="00690E84">
      <w:pPr>
        <w:pStyle w:val="Textoindependiente2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TELEF.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>Teléfono</w:t>
      </w:r>
    </w:p>
    <w:p w:rsidR="00690E84" w:rsidRDefault="00690E84">
      <w:pPr>
        <w:pStyle w:val="Textoindependiente2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PAG.</w:t>
      </w:r>
      <w:r>
        <w:rPr>
          <w:rFonts w:ascii="Arial" w:hAnsi="Arial"/>
          <w:lang w:val="es-EC"/>
        </w:rPr>
        <w:tab/>
      </w:r>
      <w:r>
        <w:rPr>
          <w:rFonts w:ascii="Arial" w:hAnsi="Arial"/>
          <w:lang w:val="es-EC"/>
        </w:rPr>
        <w:tab/>
      </w:r>
      <w:r>
        <w:rPr>
          <w:rFonts w:ascii="Arial" w:hAnsi="Arial"/>
          <w:lang w:val="es-EC"/>
        </w:rPr>
        <w:tab/>
      </w:r>
      <w:r>
        <w:rPr>
          <w:rFonts w:ascii="Arial" w:hAnsi="Arial"/>
          <w:lang w:val="es-EC"/>
        </w:rPr>
        <w:tab/>
        <w:t>Página</w:t>
      </w:r>
    </w:p>
    <w:p w:rsidR="00690E84" w:rsidRDefault="00690E84">
      <w:pPr>
        <w:pStyle w:val="Textoindependiente2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ADM.</w:t>
      </w:r>
      <w:r>
        <w:rPr>
          <w:rFonts w:ascii="Arial" w:hAnsi="Arial"/>
          <w:lang w:val="es-EC"/>
        </w:rPr>
        <w:tab/>
      </w:r>
      <w:r>
        <w:rPr>
          <w:rFonts w:ascii="Arial" w:hAnsi="Arial"/>
          <w:lang w:val="es-EC"/>
        </w:rPr>
        <w:tab/>
      </w:r>
      <w:r>
        <w:rPr>
          <w:rFonts w:ascii="Arial" w:hAnsi="Arial"/>
          <w:lang w:val="es-EC"/>
        </w:rPr>
        <w:tab/>
      </w:r>
      <w:r>
        <w:rPr>
          <w:rFonts w:ascii="Arial" w:hAnsi="Arial"/>
          <w:lang w:val="es-EC"/>
        </w:rPr>
        <w:tab/>
        <w:t>Administrativa</w:t>
      </w:r>
    </w:p>
    <w:p w:rsidR="00690E84" w:rsidRDefault="00690E84">
      <w:pPr>
        <w:pStyle w:val="Textoindependiente2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CDP.                                  Certificado de Depósito a Plazo</w:t>
      </w:r>
    </w:p>
    <w:p w:rsidR="00690E84" w:rsidRDefault="00690E84">
      <w:pPr>
        <w:pStyle w:val="Textoindependiente2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CPG.                                  Certificado de Pagaré</w:t>
      </w:r>
    </w:p>
    <w:p w:rsidR="00690E84" w:rsidRDefault="00690E84">
      <w:pPr>
        <w:pStyle w:val="Textoindependiente2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CHO                                   Cédulas Hipotecarias otros Bancos</w:t>
      </w:r>
    </w:p>
    <w:p w:rsidR="00690E84" w:rsidRDefault="00690E84">
      <w:pPr>
        <w:pStyle w:val="Textoindependiente2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CFI                                     Certificados de Inversión</w:t>
      </w:r>
    </w:p>
    <w:p w:rsidR="00690E84" w:rsidRDefault="00690E84">
      <w:pPr>
        <w:pStyle w:val="Textoindependiente2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lastRenderedPageBreak/>
        <w:t>CDR                                Certificados de depósitos Reprogramados</w:t>
      </w:r>
    </w:p>
    <w:p w:rsidR="00690E84" w:rsidRDefault="00690E84">
      <w:pPr>
        <w:pStyle w:val="Textoindependiente2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BPO                                Bonos en Prenda</w:t>
      </w:r>
    </w:p>
    <w:p w:rsidR="00690E84" w:rsidRDefault="00690E84">
      <w:pPr>
        <w:pStyle w:val="Textoindependiente2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OBL                                 Obligaciones</w:t>
      </w:r>
    </w:p>
    <w:p w:rsidR="00690E84" w:rsidRDefault="00690E84">
      <w:pPr>
        <w:pStyle w:val="Textoindependiente2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AVL                                  Avales</w:t>
      </w:r>
    </w:p>
    <w:p w:rsidR="00690E84" w:rsidRDefault="00690E84">
      <w:pPr>
        <w:pStyle w:val="Textoindependiente2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BDG                                 Bonos de Gobierno</w:t>
      </w:r>
    </w:p>
    <w:p w:rsidR="00690E84" w:rsidRDefault="00690E84">
      <w:pPr>
        <w:pStyle w:val="Textoindependiente2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CUP                                 Cupones de Cédulas</w:t>
      </w:r>
    </w:p>
    <w:p w:rsidR="00690E84" w:rsidRDefault="00690E84">
      <w:pPr>
        <w:pStyle w:val="Textoindependiente2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PAG                                 Pagaré</w:t>
      </w:r>
    </w:p>
    <w:p w:rsidR="00690E84" w:rsidRDefault="00690E84" w:rsidP="00690E84">
      <w:pPr>
        <w:pStyle w:val="Textoindependiente2"/>
        <w:jc w:val="left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COA                                Contrato de Acción</w:t>
      </w:r>
    </w:p>
    <w:p w:rsidR="00690E84" w:rsidRDefault="00690E84" w:rsidP="00690E84">
      <w:pPr>
        <w:pStyle w:val="Textoindependiente2"/>
        <w:jc w:val="left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br/>
      </w:r>
    </w:p>
    <w:p w:rsidR="00690E84" w:rsidRDefault="00690E84">
      <w:pPr>
        <w:pStyle w:val="Textoindependiente2"/>
        <w:rPr>
          <w:rFonts w:ascii="Arial" w:hAnsi="Arial" w:cs="Arial"/>
        </w:rPr>
      </w:pPr>
    </w:p>
    <w:sectPr w:rsidR="00690E84">
      <w:pgSz w:w="11907" w:h="16840" w:code="9"/>
      <w:pgMar w:top="2268" w:right="136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90E84"/>
    <w:rsid w:val="00690E84"/>
    <w:rsid w:val="00EE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 w:eastAsia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2">
    <w:name w:val="Body Text 2"/>
    <w:basedOn w:val="Normal"/>
    <w:pPr>
      <w:spacing w:line="480" w:lineRule="auto"/>
      <w:jc w:val="both"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ABREVIATURAS</vt:lpstr>
    </vt:vector>
  </TitlesOfParts>
  <Company>SEBEQ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ABREVIATURAS</dc:title>
  <dc:subject/>
  <dc:creator>Ing. Segundo Becerra</dc:creator>
  <cp:keywords/>
  <dc:description/>
  <cp:lastModifiedBy>Ayudante</cp:lastModifiedBy>
  <cp:revision>2</cp:revision>
  <dcterms:created xsi:type="dcterms:W3CDTF">2009-06-25T20:17:00Z</dcterms:created>
  <dcterms:modified xsi:type="dcterms:W3CDTF">2009-06-25T20:17:00Z</dcterms:modified>
</cp:coreProperties>
</file>