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22"/>
        <w:tblW w:w="13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5"/>
        <w:gridCol w:w="3610"/>
        <w:gridCol w:w="3493"/>
        <w:gridCol w:w="3990"/>
      </w:tblGrid>
      <w:tr w:rsidR="00C648DD" w:rsidRPr="00F45E0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05" w:type="dxa"/>
            <w:vMerge w:val="restart"/>
            <w:vAlign w:val="center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Servicios</w:t>
            </w: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Tráfico entrante</w:t>
            </w:r>
          </w:p>
        </w:tc>
        <w:tc>
          <w:tcPr>
            <w:tcW w:w="7483" w:type="dxa"/>
            <w:gridSpan w:val="2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Tráfico saliente</w:t>
            </w:r>
          </w:p>
        </w:tc>
      </w:tr>
      <w:tr w:rsidR="00C648DD" w:rsidRPr="00F45E0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05" w:type="dxa"/>
            <w:vMerge/>
          </w:tcPr>
          <w:p w:rsidR="00C648DD" w:rsidRPr="00F45E05" w:rsidRDefault="00C648DD" w:rsidP="00962F28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line="240" w:lineRule="auto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Ingresos</w:t>
            </w:r>
          </w:p>
        </w:tc>
        <w:tc>
          <w:tcPr>
            <w:tcW w:w="3493" w:type="dxa"/>
          </w:tcPr>
          <w:p w:rsidR="00C648DD" w:rsidRPr="00F45E05" w:rsidRDefault="00C648DD" w:rsidP="00962F28">
            <w:pPr>
              <w:pStyle w:val="Textoindependiente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Ingresos</w:t>
            </w:r>
          </w:p>
        </w:tc>
        <w:tc>
          <w:tcPr>
            <w:tcW w:w="399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Costos</w:t>
            </w:r>
          </w:p>
        </w:tc>
      </w:tr>
      <w:tr w:rsidR="00C648DD" w:rsidRPr="00F45E05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2005" w:type="dxa"/>
            <w:vAlign w:val="center"/>
          </w:tcPr>
          <w:p w:rsidR="00C648DD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Larga distancia</w:t>
            </w:r>
          </w:p>
          <w:p w:rsidR="0014699B" w:rsidRPr="00F45E05" w:rsidRDefault="0014699B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>(Telefonía Fija)</w:t>
            </w: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Para los corresponsales con rutas directas, y para los corresponsales con rutas 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de otras operadoras, 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los ingresos son registrados en función de las mediciones del sistema </w:t>
            </w:r>
            <w:r w:rsidR="004B5933">
              <w:rPr>
                <w:rFonts w:ascii="Arial" w:hAnsi="Arial" w:cs="Arial"/>
                <w:color w:val="auto"/>
                <w:szCs w:val="24"/>
                <w:lang w:val="es-ES_tradnl"/>
              </w:rPr>
              <w:t>utilizado por la operadora.</w:t>
            </w:r>
          </w:p>
        </w:tc>
        <w:tc>
          <w:tcPr>
            <w:tcW w:w="3493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Diferencia entre la facturación de telefonía internacional, menos la información del tráfico saliente de los corresponsales con ruta directa según las liquidaciones presentadas por ellos, y para los corresponsales con rutas 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de otras operadoras 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cuyas liquidaciones no son recibidas por 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>la operadora principal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), los ingresos se basan en las mediciones del sistema</w:t>
            </w:r>
            <w:r w:rsidR="001727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contador </w:t>
            </w:r>
            <w:r w:rsidR="004B5933">
              <w:rPr>
                <w:rFonts w:ascii="Arial" w:hAnsi="Arial" w:cs="Arial"/>
                <w:color w:val="auto"/>
                <w:szCs w:val="24"/>
                <w:lang w:val="es-ES_tradnl"/>
              </w:rPr>
              <w:t>utilizado por la operadora.</w:t>
            </w:r>
          </w:p>
          <w:p w:rsidR="00C648DD" w:rsidRPr="00F45E05" w:rsidRDefault="00C648DD" w:rsidP="00962F28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line="240" w:lineRule="auto"/>
              <w:ind w:left="-108"/>
              <w:rPr>
                <w:rFonts w:ascii="Arial" w:hAnsi="Arial" w:cs="Arial"/>
                <w:color w:val="auto"/>
                <w:szCs w:val="24"/>
                <w:lang w:val="es-ES_tradnl"/>
              </w:rPr>
            </w:pPr>
          </w:p>
        </w:tc>
        <w:tc>
          <w:tcPr>
            <w:tcW w:w="399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Para los corresponsales con rutas directas, los costos son registrados con base en las liquidaciones realizadas por 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>la operadora principal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Para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los corresponsales, con rutas de otras operadoras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(cuyas liquidaciones no son recibidas por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la operadora principal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.), los costos son registrados en función de las mediciones del sistema </w:t>
            </w:r>
            <w:r w:rsidR="001727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contador </w:t>
            </w:r>
            <w:r w:rsidR="004B5933">
              <w:rPr>
                <w:rFonts w:ascii="Arial" w:hAnsi="Arial" w:cs="Arial"/>
                <w:color w:val="auto"/>
                <w:szCs w:val="24"/>
                <w:lang w:val="es-ES_tradnl"/>
              </w:rPr>
              <w:t>utilizado por la operadora.</w:t>
            </w:r>
          </w:p>
        </w:tc>
      </w:tr>
      <w:tr w:rsidR="00C648DD" w:rsidRPr="00F45E05">
        <w:tblPrEx>
          <w:tblCellMar>
            <w:top w:w="0" w:type="dxa"/>
            <w:bottom w:w="0" w:type="dxa"/>
          </w:tblCellMar>
        </w:tblPrEx>
        <w:tc>
          <w:tcPr>
            <w:tcW w:w="2005" w:type="dxa"/>
            <w:vAlign w:val="center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right="33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Telefonía nacional</w:t>
            </w: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No se ha contabilizado por falta de información.</w:t>
            </w:r>
          </w:p>
        </w:tc>
        <w:tc>
          <w:tcPr>
            <w:tcW w:w="3493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Con base en la facturación emitida para todas las provincias.</w:t>
            </w:r>
          </w:p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</w:p>
        </w:tc>
        <w:tc>
          <w:tcPr>
            <w:tcW w:w="3990" w:type="dxa"/>
          </w:tcPr>
          <w:p w:rsidR="00C648DD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No se ha contabilizado por falta de información.</w:t>
            </w:r>
          </w:p>
          <w:p w:rsidR="00C648DD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</w:p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</w:p>
        </w:tc>
      </w:tr>
      <w:tr w:rsidR="00C648DD" w:rsidRPr="00F45E05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005" w:type="dxa"/>
            <w:vAlign w:val="center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Telefonía regional</w:t>
            </w: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No aplica porque pertenece a la misma red</w:t>
            </w:r>
            <w:r w:rsidR="004B5933">
              <w:rPr>
                <w:rFonts w:ascii="Arial" w:hAnsi="Arial" w:cs="Arial"/>
                <w:color w:val="auto"/>
                <w:szCs w:val="24"/>
                <w:lang w:val="es-ES_tradnl"/>
              </w:rPr>
              <w:t>, al tratarse de las telefónicas fijas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.</w:t>
            </w:r>
          </w:p>
        </w:tc>
        <w:tc>
          <w:tcPr>
            <w:tcW w:w="3493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Con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base en la facturación emitida</w:t>
            </w: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, para todas las provincias.</w:t>
            </w:r>
          </w:p>
        </w:tc>
        <w:tc>
          <w:tcPr>
            <w:tcW w:w="399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No aplica porque pertenece a la misma red</w:t>
            </w:r>
            <w:r w:rsidR="004B5933">
              <w:rPr>
                <w:rFonts w:ascii="Arial" w:hAnsi="Arial" w:cs="Arial"/>
                <w:color w:val="auto"/>
                <w:szCs w:val="24"/>
                <w:lang w:val="es-ES_tradnl"/>
              </w:rPr>
              <w:t>,  al tratarse de las telefónicas fijas</w:t>
            </w:r>
          </w:p>
        </w:tc>
      </w:tr>
      <w:tr w:rsidR="00C648DD" w:rsidRPr="00F45E05">
        <w:tblPrEx>
          <w:tblCellMar>
            <w:top w:w="0" w:type="dxa"/>
            <w:bottom w:w="0" w:type="dxa"/>
          </w:tblCellMar>
        </w:tblPrEx>
        <w:tc>
          <w:tcPr>
            <w:tcW w:w="2005" w:type="dxa"/>
            <w:vAlign w:val="center"/>
          </w:tcPr>
          <w:p w:rsidR="00C648DD" w:rsidRPr="00C648DD" w:rsidRDefault="00C648DD" w:rsidP="004B5933">
            <w:pPr>
              <w:pStyle w:val="Textoindependiente2"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-108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C648DD">
              <w:rPr>
                <w:rFonts w:ascii="Arial" w:hAnsi="Arial" w:cs="Arial"/>
                <w:szCs w:val="24"/>
                <w:lang w:val="es-ES_tradnl"/>
              </w:rPr>
              <w:t>Interconexión Celular</w:t>
            </w:r>
            <w:r w:rsidR="0014699B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  <w:tc>
          <w:tcPr>
            <w:tcW w:w="361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Con base en las mediciones realizadas por la</w:t>
            </w:r>
            <w:r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s operadoras </w:t>
            </w:r>
          </w:p>
        </w:tc>
        <w:tc>
          <w:tcPr>
            <w:tcW w:w="3493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Con base en la facturación por telefonía celular emitida por </w:t>
            </w:r>
            <w:smartTag w:uri="urn:schemas-microsoft-com:office:smarttags" w:element="PersonName">
              <w:smartTagPr>
                <w:attr w:name="ProductID" w:val="la Compa￱￭a"/>
              </w:smartTagPr>
              <w:r w:rsidRPr="00F45E05">
                <w:rPr>
                  <w:rFonts w:ascii="Arial" w:hAnsi="Arial" w:cs="Arial"/>
                  <w:color w:val="auto"/>
                  <w:szCs w:val="24"/>
                  <w:lang w:val="es-ES_tradnl"/>
                </w:rPr>
                <w:t>la Compañía</w:t>
              </w:r>
            </w:smartTag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 xml:space="preserve"> a los abonados.</w:t>
            </w:r>
          </w:p>
        </w:tc>
        <w:tc>
          <w:tcPr>
            <w:tcW w:w="3990" w:type="dxa"/>
          </w:tcPr>
          <w:p w:rsidR="00C648DD" w:rsidRPr="00F45E05" w:rsidRDefault="00C648DD" w:rsidP="004B5933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left="-108"/>
              <w:jc w:val="left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 w:rsidRPr="00F45E05">
              <w:rPr>
                <w:rFonts w:ascii="Arial" w:hAnsi="Arial" w:cs="Arial"/>
                <w:color w:val="auto"/>
                <w:szCs w:val="24"/>
                <w:lang w:val="es-ES_tradnl"/>
              </w:rPr>
              <w:t>Con base en la facturación recibida de las operadoras de telefonía celular.</w:t>
            </w:r>
          </w:p>
        </w:tc>
      </w:tr>
    </w:tbl>
    <w:p w:rsidR="00D402DA" w:rsidRDefault="00D402DA" w:rsidP="00962F28">
      <w:pPr>
        <w:jc w:val="center"/>
        <w:rPr>
          <w:rFonts w:ascii="Arial" w:hAnsi="Arial" w:cs="Arial"/>
          <w:lang w:val="es-ES_tradnl"/>
        </w:rPr>
      </w:pPr>
    </w:p>
    <w:p w:rsidR="00D402DA" w:rsidRDefault="00D402DA" w:rsidP="00962F2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Anexo I</w:t>
      </w:r>
      <w:r w:rsidR="00962F28" w:rsidRPr="00962F28">
        <w:rPr>
          <w:rFonts w:ascii="Arial" w:hAnsi="Arial" w:cs="Arial"/>
          <w:lang w:val="es-ES_tradnl"/>
        </w:rPr>
        <w:t xml:space="preserve">I </w:t>
      </w:r>
      <w:r w:rsidR="00962F28">
        <w:rPr>
          <w:rFonts w:ascii="Arial" w:hAnsi="Arial" w:cs="Arial"/>
          <w:lang w:val="es-ES_tradnl"/>
        </w:rPr>
        <w:t>-</w:t>
      </w:r>
      <w:r w:rsidR="00962F28" w:rsidRPr="00962F28">
        <w:rPr>
          <w:rFonts w:ascii="Arial" w:hAnsi="Arial" w:cs="Arial"/>
          <w:lang w:val="es-ES_tradnl"/>
        </w:rPr>
        <w:t xml:space="preserve"> </w:t>
      </w:r>
      <w:r w:rsidR="00962F28">
        <w:rPr>
          <w:rFonts w:ascii="Arial" w:hAnsi="Arial" w:cs="Arial"/>
          <w:lang w:val="es-ES_tradnl"/>
        </w:rPr>
        <w:t>Registro de los Servicios de Te</w:t>
      </w:r>
      <w:r w:rsidR="00962F28" w:rsidRPr="00962F28">
        <w:rPr>
          <w:rFonts w:ascii="Arial" w:hAnsi="Arial" w:cs="Arial"/>
          <w:lang w:val="es-ES_tradnl"/>
        </w:rPr>
        <w:t>l</w:t>
      </w:r>
      <w:r w:rsidR="00962F28">
        <w:rPr>
          <w:rFonts w:ascii="Arial" w:hAnsi="Arial" w:cs="Arial"/>
          <w:lang w:val="es-ES_tradnl"/>
        </w:rPr>
        <w:t>e</w:t>
      </w:r>
      <w:r w:rsidR="00962F28" w:rsidRPr="00962F28">
        <w:rPr>
          <w:rFonts w:ascii="Arial" w:hAnsi="Arial" w:cs="Arial"/>
          <w:lang w:val="es-ES_tradnl"/>
        </w:rPr>
        <w:t xml:space="preserve">comunicaciones </w:t>
      </w:r>
    </w:p>
    <w:p w:rsidR="00D402DA" w:rsidRDefault="00D402DA" w:rsidP="00962F2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>
        <w:rPr>
          <w:rFonts w:ascii="Arial" w:hAnsi="Arial" w:cs="Arial"/>
          <w:lang w:val="es-ES_tradnl"/>
        </w:rPr>
        <w:lastRenderedPageBreak/>
        <w:t xml:space="preserve">Anexo I. Matriz de Riesgos – Controles </w:t>
      </w:r>
    </w:p>
    <w:p w:rsidR="00D402DA" w:rsidRPr="00962F28" w:rsidRDefault="00D402DA" w:rsidP="00962F28">
      <w:pPr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15190" w:type="dxa"/>
        <w:tblCellMar>
          <w:left w:w="70" w:type="dxa"/>
          <w:right w:w="70" w:type="dxa"/>
        </w:tblCellMar>
        <w:tblLook w:val="0000"/>
      </w:tblPr>
      <w:tblGrid>
        <w:gridCol w:w="1660"/>
        <w:gridCol w:w="2680"/>
        <w:gridCol w:w="2860"/>
        <w:gridCol w:w="3820"/>
        <w:gridCol w:w="4170"/>
      </w:tblGrid>
      <w:tr w:rsidR="00D402DA">
        <w:trPr>
          <w:trHeight w:val="62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402DA" w:rsidRPr="00D402DA" w:rsidRDefault="00D402DA" w:rsidP="00D402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RANGE!B3:F17"/>
            <w:r w:rsidRPr="00D402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RIESGO REAL </w:t>
            </w:r>
            <w:bookmarkEnd w:id="0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402DA" w:rsidRPr="00D402DA" w:rsidRDefault="00D402DA" w:rsidP="00D402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2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CONFIANZA EN EL CONTROL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402DA" w:rsidRPr="00D402DA" w:rsidRDefault="00D402DA" w:rsidP="00D402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2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PRUEBAS DE CUMPLIMIENTO 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402DA" w:rsidRPr="00D402DA" w:rsidRDefault="00D402DA" w:rsidP="00D402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2DA">
              <w:rPr>
                <w:rFonts w:ascii="Arial" w:hAnsi="Arial" w:cs="Arial"/>
                <w:b/>
                <w:bCs/>
                <w:sz w:val="22"/>
                <w:szCs w:val="22"/>
              </w:rPr>
              <w:t>PRUEBAS SUSTANTIVAS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402DA" w:rsidRPr="00D402DA" w:rsidRDefault="00D402DA" w:rsidP="00D402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2DA">
              <w:rPr>
                <w:rFonts w:ascii="Arial" w:hAnsi="Arial" w:cs="Arial"/>
                <w:b/>
                <w:bCs/>
                <w:sz w:val="22"/>
                <w:szCs w:val="22"/>
              </w:rPr>
              <w:t>PRUEBAS ANALÍTICAS</w:t>
            </w:r>
          </w:p>
        </w:tc>
      </w:tr>
      <w:tr w:rsidR="00D402DA">
        <w:trPr>
          <w:cantSplit/>
          <w:trHeight w:val="292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Extenso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613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Moderadas sobre </w:t>
            </w:r>
            <w:proofErr w:type="spellStart"/>
            <w:r>
              <w:rPr>
                <w:rFonts w:ascii="Arial" w:hAnsi="Arial" w:cs="Arial"/>
                <w:sz w:val="20"/>
              </w:rPr>
              <w:t>items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afectados por debilidades de control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659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Baja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Reducido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extenso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con información externa o no afectada por problemas de control interno </w:t>
            </w:r>
          </w:p>
        </w:tc>
      </w:tr>
      <w:tr w:rsidR="00D402DA">
        <w:trPr>
          <w:cantSplit/>
          <w:trHeight w:val="69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Insignificante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extenso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con información externa o no afectada por problemas de control interno </w:t>
            </w:r>
          </w:p>
        </w:tc>
      </w:tr>
      <w:tr w:rsidR="00D402DA">
        <w:trPr>
          <w:cantSplit/>
          <w:trHeight w:val="292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58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Reducidas sobre </w:t>
            </w:r>
            <w:proofErr w:type="spellStart"/>
            <w:r>
              <w:rPr>
                <w:rFonts w:ascii="Arial" w:hAnsi="Arial" w:cs="Arial"/>
                <w:sz w:val="20"/>
              </w:rPr>
              <w:t>items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afectados por debilidades de control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652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con información externa o no afectada por problemas de control interno </w:t>
            </w:r>
          </w:p>
        </w:tc>
      </w:tr>
      <w:tr w:rsidR="00D402DA">
        <w:trPr>
          <w:cantSplit/>
          <w:trHeight w:val="713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Insignificante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moderado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con información externa o no afectada por problemas de control interno </w:t>
            </w:r>
          </w:p>
        </w:tc>
      </w:tr>
      <w:tr w:rsidR="00D402DA">
        <w:trPr>
          <w:cantSplit/>
          <w:trHeight w:val="292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Reducido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544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Reducido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Reducidas sobre </w:t>
            </w:r>
            <w:proofErr w:type="spellStart"/>
            <w:r>
              <w:rPr>
                <w:rFonts w:ascii="Arial" w:hAnsi="Arial" w:cs="Arial"/>
                <w:sz w:val="20"/>
              </w:rPr>
              <w:t>items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afectados por debilidades de control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662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Alcance Reducido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Alcance Reducido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con información externa o no afectada por problemas de control interno </w:t>
            </w:r>
          </w:p>
        </w:tc>
      </w:tr>
      <w:tr w:rsidR="00D402DA">
        <w:trPr>
          <w:cantSplit/>
          <w:trHeight w:val="307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Insignificante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Pocas Pruebas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D402DA">
        <w:trPr>
          <w:cantSplit/>
          <w:trHeight w:val="292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Insignificante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 – Moderada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Muy Limitadas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</w:t>
            </w:r>
          </w:p>
        </w:tc>
      </w:tr>
      <w:tr w:rsidR="00D402DA">
        <w:trPr>
          <w:cantSplit/>
          <w:trHeight w:val="327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Baja - Insignificante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Pocas Pruebas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DA" w:rsidRDefault="00D402DA" w:rsidP="00D402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</w:tr>
    </w:tbl>
    <w:p w:rsidR="00EB221A" w:rsidRPr="00962F28" w:rsidRDefault="00EB221A" w:rsidP="00962F28">
      <w:pPr>
        <w:jc w:val="center"/>
        <w:rPr>
          <w:rFonts w:ascii="Arial" w:hAnsi="Arial" w:cs="Arial"/>
          <w:lang w:val="es-ES_tradnl"/>
        </w:rPr>
      </w:pPr>
    </w:p>
    <w:sectPr w:rsidR="00EB221A" w:rsidRPr="00962F28" w:rsidSect="00C648D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C648DD"/>
    <w:rsid w:val="001239F0"/>
    <w:rsid w:val="0014699B"/>
    <w:rsid w:val="00172705"/>
    <w:rsid w:val="00333049"/>
    <w:rsid w:val="004B5933"/>
    <w:rsid w:val="005A6384"/>
    <w:rsid w:val="007002D0"/>
    <w:rsid w:val="00936771"/>
    <w:rsid w:val="00962F28"/>
    <w:rsid w:val="00C648DD"/>
    <w:rsid w:val="00D402DA"/>
    <w:rsid w:val="00EB221A"/>
    <w:rsid w:val="00FB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8D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C648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left="566" w:hanging="566"/>
      <w:jc w:val="both"/>
    </w:pPr>
    <w:rPr>
      <w:rFonts w:ascii="Tms Rmn" w:hAnsi="Tms Rmn"/>
      <w:color w:val="000000"/>
      <w:szCs w:val="20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León </dc:creator>
  <cp:keywords/>
  <dc:description/>
  <cp:lastModifiedBy>Ayudante</cp:lastModifiedBy>
  <cp:revision>2</cp:revision>
  <cp:lastPrinted>2004-06-01T03:40:00Z</cp:lastPrinted>
  <dcterms:created xsi:type="dcterms:W3CDTF">2009-06-26T15:56:00Z</dcterms:created>
  <dcterms:modified xsi:type="dcterms:W3CDTF">2009-06-26T15:56:00Z</dcterms:modified>
</cp:coreProperties>
</file>