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5EC6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napToGrid w:val="0"/>
          <w:sz w:val="24"/>
        </w:rPr>
        <w:fldChar w:fldCharType="begin"/>
      </w:r>
      <w:r>
        <w:rPr>
          <w:rFonts w:ascii="Arial" w:hAnsi="Arial" w:cs="Arial"/>
          <w:snapToGrid w:val="0"/>
          <w:sz w:val="24"/>
        </w:rPr>
        <w:instrText xml:space="preserve"> TOC \o "1-3" \h \z </w:instrText>
      </w:r>
      <w:r>
        <w:rPr>
          <w:rFonts w:ascii="Arial" w:hAnsi="Arial" w:cs="Arial"/>
          <w:snapToGrid w:val="0"/>
          <w:sz w:val="24"/>
        </w:rPr>
        <w:fldChar w:fldCharType="separate"/>
      </w:r>
      <w:hyperlink w:anchor="_Toc513942909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>4.5.3 Análisis de varianza de la variable aleatoria calificación de matemáticas con respecto al factor ubicación.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_Toc513942909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325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155EC6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hyperlink w:anchor="_Toc513942911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>4.5.4 Análisis de v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arianza de la variable aleatoria calificación de matemáticas con respecto al factor jornada de trabajo de los colegios fiscales rurales del cantón Guayaquil.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_Toc513942911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328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155EC6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hyperlink w:anchor="_Toc513942913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 xml:space="preserve">4.5.5 Análisis de varianza de 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la variable aleatoria calificación total con respecto al factor ubicación de los colegios fiscales rurales del cantón guayaquil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_Toc513942913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331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155EC6">
      <w:pPr>
        <w:pStyle w:val="TDC3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  <w:hyperlink w:anchor="_Toc513942915" w:history="1">
        <w:r>
          <w:rPr>
            <w:rStyle w:val="Hipervnculo"/>
            <w:rFonts w:ascii="Arial" w:hAnsi="Arial" w:cs="Arial"/>
            <w:noProof/>
            <w:snapToGrid w:val="0"/>
            <w:sz w:val="24"/>
          </w:rPr>
          <w:t>4.5.6 Análisis de varianza de la variable aleatoria califica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ción total con respecto al factor jorna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d</w:t>
        </w:r>
        <w:r>
          <w:rPr>
            <w:rStyle w:val="Hipervnculo"/>
            <w:rFonts w:ascii="Arial" w:hAnsi="Arial" w:cs="Arial"/>
            <w:noProof/>
            <w:snapToGrid w:val="0"/>
            <w:sz w:val="24"/>
          </w:rPr>
          <w:t>a de los colegios fiscales rurales del cantón Guayaquil.</w:t>
        </w:r>
        <w:r>
          <w:rPr>
            <w:rFonts w:ascii="Arial" w:hAnsi="Arial" w:cs="Arial"/>
            <w:noProof/>
            <w:webHidden/>
            <w:sz w:val="24"/>
          </w:rPr>
          <w:tab/>
        </w:r>
        <w:r>
          <w:rPr>
            <w:rFonts w:ascii="Arial" w:hAnsi="Arial" w:cs="Arial"/>
            <w:noProof/>
            <w:webHidden/>
            <w:sz w:val="24"/>
          </w:rPr>
          <w:fldChar w:fldCharType="begin"/>
        </w:r>
        <w:r>
          <w:rPr>
            <w:rFonts w:ascii="Arial" w:hAnsi="Arial" w:cs="Arial"/>
            <w:noProof/>
            <w:webHidden/>
            <w:sz w:val="24"/>
          </w:rPr>
          <w:instrText xml:space="preserve"> PAGEREF _Toc513942915 \h </w:instrText>
        </w:r>
        <w:r>
          <w:rPr>
            <w:rFonts w:ascii="Arial" w:hAnsi="Arial" w:cs="Arial"/>
            <w:noProof/>
            <w:sz w:val="24"/>
          </w:rPr>
        </w:r>
        <w:r>
          <w:rPr>
            <w:rFonts w:ascii="Arial" w:hAnsi="Arial" w:cs="Arial"/>
            <w:noProof/>
            <w:webHidden/>
            <w:sz w:val="24"/>
          </w:rPr>
          <w:fldChar w:fldCharType="separate"/>
        </w:r>
        <w:r>
          <w:rPr>
            <w:rFonts w:ascii="Arial" w:hAnsi="Arial" w:cs="Arial"/>
            <w:noProof/>
            <w:webHidden/>
            <w:sz w:val="24"/>
          </w:rPr>
          <w:t>333</w:t>
        </w:r>
        <w:r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000000" w:rsidRDefault="00155EC6">
      <w:pPr>
        <w:pStyle w:val="TDC2"/>
        <w:tabs>
          <w:tab w:val="right" w:leader="dot" w:pos="8268"/>
        </w:tabs>
        <w:jc w:val="both"/>
        <w:rPr>
          <w:rFonts w:ascii="Arial" w:hAnsi="Arial" w:cs="Arial"/>
          <w:noProof/>
          <w:sz w:val="24"/>
          <w:szCs w:val="24"/>
        </w:rPr>
      </w:pPr>
    </w:p>
    <w:p w:rsidR="00000000" w:rsidRDefault="00155EC6">
      <w:pPr>
        <w:pStyle w:val="Ttulo3"/>
        <w:jc w:val="both"/>
        <w:rPr>
          <w:snapToGrid w:val="0"/>
          <w:sz w:val="24"/>
        </w:rPr>
      </w:pPr>
      <w:r>
        <w:rPr>
          <w:snapToGrid w:val="0"/>
          <w:sz w:val="24"/>
        </w:rPr>
        <w:fldChar w:fldCharType="end"/>
      </w:r>
      <w:r>
        <w:rPr>
          <w:snapToGrid w:val="0"/>
        </w:rPr>
        <w:br w:type="page"/>
      </w:r>
      <w:bookmarkStart w:id="0" w:name="_Toc513942909"/>
      <w:r>
        <w:rPr>
          <w:snapToGrid w:val="0"/>
          <w:sz w:val="24"/>
        </w:rPr>
        <w:lastRenderedPageBreak/>
        <w:t>4.5.3 Análisis de varianza de la variable aleatoria calificación de matemáticas con respecto al factor ubicación.</w:t>
      </w:r>
      <w:bookmarkEnd w:id="0"/>
    </w:p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 w:cs="Arial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7.65pt;margin-top:122.75pt;width:217pt;height:58pt;z-index:251658240">
            <v:imagedata r:id="rId6" o:title=""/>
            <w10:wrap type="topAndBottom"/>
          </v:shape>
          <o:OLEObject Type="Embed" ProgID="Equation.3" ShapeID="_x0000_s1032" DrawAspect="Content" ObjectID="_1307788062" r:id="rId7"/>
        </w:pict>
      </w:r>
      <w:r>
        <w:rPr>
          <w:rFonts w:ascii="Arial" w:hAnsi="Arial" w:cs="Arial"/>
          <w:sz w:val="24"/>
        </w:rPr>
        <w:t>Para</w:t>
      </w:r>
      <w:r>
        <w:rPr>
          <w:rFonts w:ascii="Arial" w:hAnsi="Arial" w:cs="Arial"/>
          <w:sz w:val="24"/>
        </w:rPr>
        <w:t xml:space="preserve"> realizar el análisis de varianza entre </w:t>
      </w:r>
      <w:r>
        <w:rPr>
          <w:rFonts w:ascii="Arial" w:hAnsi="Arial" w:cs="Arial"/>
          <w:snapToGrid w:val="0"/>
          <w:sz w:val="24"/>
        </w:rPr>
        <w:t>la variable aleatoria calificación de matemáticas, con respecto a la ubicación de los planteles educativos fiscales rurales del cantón Guayaquil, se planteó e</w:t>
      </w:r>
      <w:r>
        <w:rPr>
          <w:rFonts w:ascii="Arial" w:hAnsi="Arial" w:cs="Arial"/>
          <w:sz w:val="24"/>
        </w:rPr>
        <w:t>l modelo estadístico lineal siguiente: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</w:rPr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</w:t>
      </w:r>
      <w:r>
        <w:rPr>
          <w:rFonts w:ascii="Arial" w:hAnsi="Arial"/>
          <w:sz w:val="24"/>
        </w:rPr>
        <w:t xml:space="preserve">ésima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13.31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 xml:space="preserve">) y se supone, es constante para todos los tratamientos. </w:t>
      </w:r>
      <w:r>
        <w:rPr>
          <w:rFonts w:ascii="Arial" w:hAnsi="Arial"/>
          <w:sz w:val="24"/>
          <w:lang w:val="es-MX"/>
        </w:rPr>
        <w:t>El número de tratamientos del fact</w:t>
      </w:r>
      <w:r>
        <w:rPr>
          <w:rFonts w:ascii="Arial" w:hAnsi="Arial"/>
          <w:sz w:val="24"/>
          <w:lang w:val="es-MX"/>
        </w:rPr>
        <w:t>or ubicación es cinco, los cuales corresponden a las parroquias Progreso, Sabana Grande, Puná, Posorja y Tenguel.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155EC6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en términos de lo</w:t>
      </w:r>
      <w:r>
        <w:rPr>
          <w:rFonts w:ascii="Arial" w:hAnsi="Arial"/>
          <w:snapToGrid w:val="0"/>
          <w:sz w:val="24"/>
          <w:lang w:val="es-MX"/>
        </w:rPr>
        <w:t xml:space="preserve">s efectos de los tratamientos es 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 xml:space="preserve">3 </w:t>
      </w:r>
      <w:r>
        <w:rPr>
          <w:rFonts w:ascii="Arial" w:hAnsi="Arial"/>
          <w:snapToGrid w:val="0"/>
          <w:sz w:val="24"/>
        </w:rPr>
        <w:t xml:space="preserve">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Por lo tanto se desea probar la igualdad de las medias de los tratamientos,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de v</w:t>
      </w:r>
      <w:r>
        <w:rPr>
          <w:rFonts w:ascii="Arial" w:hAnsi="Arial"/>
          <w:snapToGrid w:val="0"/>
          <w:sz w:val="24"/>
        </w:rPr>
        <w:t>arianza de la variable aleatoria calificación de matemáticas con respecto al factor ubicación se obtuvo los siguientes resultados:</w:t>
      </w:r>
    </w:p>
    <w:p w:rsidR="00000000" w:rsidRDefault="00155EC6">
      <w:pPr>
        <w:spacing w:line="480" w:lineRule="auto"/>
        <w:ind w:left="426"/>
        <w:jc w:val="both"/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418"/>
        <w:gridCol w:w="1417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Fuente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Grados de libertad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Sumas cuadráticas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Cuadrados medios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155EC6">
            <w:pPr>
              <w:pStyle w:val="Ttulo2"/>
              <w:jc w:val="center"/>
              <w:rPr>
                <w:b/>
                <w:bCs/>
                <w:i/>
                <w:sz w:val="22"/>
              </w:rPr>
            </w:pPr>
            <w:bookmarkStart w:id="1" w:name="_Toc512699476"/>
            <w:bookmarkStart w:id="2" w:name="_Toc513608819"/>
            <w:bookmarkStart w:id="3" w:name="_Toc513942910"/>
            <w:r>
              <w:rPr>
                <w:b/>
                <w:bCs/>
                <w:i/>
                <w:sz w:val="22"/>
              </w:rPr>
              <w:t>Tratamientos</w:t>
            </w:r>
            <w:bookmarkEnd w:id="1"/>
            <w:bookmarkEnd w:id="2"/>
            <w:bookmarkEnd w:id="3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1028.075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257.</w:t>
            </w:r>
            <w:r>
              <w:rPr>
                <w:rFonts w:ascii="Arial" w:hAnsi="Arial"/>
                <w:i/>
                <w:snapToGrid w:val="0"/>
                <w:sz w:val="24"/>
              </w:rPr>
              <w:t>019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5.576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162</w:t>
            </w:r>
          </w:p>
        </w:tc>
        <w:tc>
          <w:tcPr>
            <w:tcW w:w="1418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7467.7333</w:t>
            </w:r>
          </w:p>
        </w:tc>
        <w:tc>
          <w:tcPr>
            <w:tcW w:w="1417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46.057</w:t>
            </w:r>
          </w:p>
        </w:tc>
        <w:tc>
          <w:tcPr>
            <w:tcW w:w="851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8495.808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El nivel de significancia alcanzado o valor p = 0.000 de esta prueba indica que existe evidencia estadística para rechazar la hipótesis nula de que las medias de los 5 tratamientos son</w:t>
      </w:r>
      <w:r>
        <w:rPr>
          <w:rFonts w:ascii="Arial" w:hAnsi="Arial"/>
          <w:sz w:val="24"/>
          <w:lang w:val="es-MX"/>
        </w:rPr>
        <w:t xml:space="preserve"> iguales. Por lo tanto se realiza la prueba de mínima diferencia significativa, descrita en la sección 4.5, para determinar cuales pares de medias, de los cinco tratamientos del </w:t>
      </w:r>
      <w:r>
        <w:rPr>
          <w:rFonts w:ascii="Arial" w:hAnsi="Arial"/>
          <w:sz w:val="24"/>
          <w:lang w:val="es-MX"/>
        </w:rPr>
        <w:lastRenderedPageBreak/>
        <w:t>factor ubicación, difieren entre sí, para lo cual se determinó que el valor de</w:t>
      </w:r>
      <w:r>
        <w:rPr>
          <w:rFonts w:ascii="Arial" w:hAnsi="Arial"/>
          <w:sz w:val="24"/>
          <w:lang w:val="es-MX"/>
        </w:rPr>
        <w:t xml:space="preserve"> LSD es igual a 6.94.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 Las diferencias de las medias de los tratamientos Sabana Grande y Puná es 7.69, que es mayor al LSD, por lo tanto existe evidencia estadística para concluir que las medias de estos dos tratamientos son diferentes. De igual forma se c</w:t>
      </w:r>
      <w:r>
        <w:rPr>
          <w:rFonts w:ascii="Arial" w:hAnsi="Arial"/>
          <w:sz w:val="24"/>
          <w:lang w:val="es-MX"/>
        </w:rPr>
        <w:t>alculó la diferencia de medias de los tratamientos de Puná y Posorja, cuyo valor es 7.52 &gt; LSD, por lo tanto se concluye que existe evidencia estadística de que las medias de estos dos tratamientos difieren significativamente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 </w:t>
      </w:r>
    </w:p>
    <w:tbl>
      <w:tblPr>
        <w:tblW w:w="0" w:type="auto"/>
        <w:jc w:val="center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1725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b/>
                <w:bCs/>
                <w:sz w:val="24"/>
                <w:vertAlign w:val="subscript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vertAlign w:val="subscript"/>
                <w:lang w:val="es-MX"/>
              </w:rPr>
              <w:t>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b/>
                <w:bCs/>
                <w:vertAlign w:val="subscript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H</w:t>
            </w:r>
            <w:r>
              <w:rPr>
                <w:rFonts w:ascii="Arial" w:hAnsi="Arial" w:cs="Arial"/>
                <w:b/>
                <w:bCs/>
                <w:sz w:val="24"/>
                <w:vertAlign w:val="subscript"/>
                <w:lang w:val="es-MX"/>
              </w:rPr>
              <w:t>1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b/>
                <w:bCs/>
                <w:sz w:val="24"/>
                <w:lang w:val="es-MX"/>
              </w:rPr>
            </w:pPr>
            <w:r>
              <w:rPr>
                <w:rFonts w:ascii="Arial" w:hAnsi="Arial" w:cs="Arial"/>
                <w:b/>
                <w:bCs/>
                <w:sz w:val="24"/>
                <w:lang w:val="es-MX"/>
              </w:rPr>
              <w:t>Diferencias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=</w:t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3.81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 xml:space="preserve">3 </w:t>
            </w:r>
            <w:r>
              <w:rPr>
                <w:rFonts w:ascii="Arial" w:hAnsi="Arial" w:cs="Arial"/>
                <w:sz w:val="24"/>
                <w:lang w:val="en-US"/>
              </w:rPr>
              <w:t>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 xml:space="preserve">3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3.64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1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2.05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7.69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0.17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1.76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4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7.52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3</w:t>
            </w:r>
            <w:r>
              <w:rPr>
                <w:rFonts w:ascii="Arial" w:hAnsi="Arial" w:cs="Arial"/>
                <w:sz w:val="24"/>
                <w:lang w:val="en-US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n-US"/>
              </w:rPr>
              <w:t>5</w:t>
            </w:r>
            <w:r>
              <w:rPr>
                <w:rFonts w:ascii="Arial" w:hAnsi="Arial" w:cs="Arial"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n-US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5</w:t>
            </w:r>
            <w:r>
              <w:rPr>
                <w:rFonts w:ascii="Arial" w:hAnsi="Arial" w:cs="Arial"/>
                <w:sz w:val="24"/>
                <w:lang w:val="es-MX"/>
              </w:rPr>
              <w:t>.93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s-MX"/>
              </w:rPr>
              <w:t>4</w:t>
            </w:r>
            <w:r>
              <w:rPr>
                <w:rFonts w:ascii="Arial" w:hAnsi="Arial" w:cs="Arial"/>
                <w:sz w:val="24"/>
                <w:lang w:val="es-MX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s-MX"/>
              </w:rPr>
              <w:t>5</w:t>
            </w:r>
            <w:r>
              <w:rPr>
                <w:rFonts w:ascii="Arial" w:hAnsi="Arial" w:cs="Arial"/>
                <w:sz w:val="24"/>
                <w:lang w:val="es-MX"/>
              </w:rPr>
              <w:t xml:space="preserve"> = 0</w:t>
            </w:r>
          </w:p>
        </w:tc>
        <w:tc>
          <w:tcPr>
            <w:tcW w:w="1725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s-MX"/>
              </w:rPr>
              <w:t>4</w:t>
            </w:r>
            <w:r>
              <w:rPr>
                <w:rFonts w:ascii="Arial" w:hAnsi="Arial" w:cs="Arial"/>
                <w:sz w:val="24"/>
                <w:lang w:val="es-MX"/>
              </w:rPr>
              <w:t xml:space="preserve"> -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6D"/>
            </w:r>
            <w:r>
              <w:rPr>
                <w:rFonts w:ascii="Arial" w:hAnsi="Arial" w:cs="Arial"/>
                <w:sz w:val="24"/>
                <w:vertAlign w:val="subscript"/>
                <w:lang w:val="es-MX"/>
              </w:rPr>
              <w:t>5</w:t>
            </w:r>
            <w:r>
              <w:rPr>
                <w:rFonts w:ascii="Arial" w:hAnsi="Arial" w:cs="Arial"/>
                <w:sz w:val="24"/>
                <w:lang w:val="es-MX"/>
              </w:rPr>
              <w:t xml:space="preserve"> </w:t>
            </w:r>
            <w:r>
              <w:rPr>
                <w:rFonts w:ascii="Arial" w:hAnsi="Arial" w:cs="Arial"/>
                <w:sz w:val="24"/>
                <w:lang w:val="en-US"/>
              </w:rPr>
              <w:sym w:font="Symbol" w:char="F0B9"/>
            </w:r>
            <w:r>
              <w:rPr>
                <w:rFonts w:ascii="Arial" w:hAnsi="Arial" w:cs="Arial"/>
                <w:sz w:val="24"/>
                <w:lang w:val="es-MX"/>
              </w:rPr>
              <w:t xml:space="preserve"> 0</w:t>
            </w:r>
          </w:p>
        </w:tc>
        <w:tc>
          <w:tcPr>
            <w:tcW w:w="1701" w:type="dxa"/>
          </w:tcPr>
          <w:p w:rsidR="00000000" w:rsidRDefault="00155EC6">
            <w:pPr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1.59</w:t>
            </w:r>
          </w:p>
        </w:tc>
      </w:tr>
    </w:tbl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En el gráfico 4.9 se puede apreciar las medias de cada uno de los tratamientos del factor ubicación, con respecto a la calificación de la prueba de matemáticas. 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pStyle w:val="Ttulo3"/>
        <w:jc w:val="both"/>
        <w:rPr>
          <w:snapToGrid w:val="0"/>
          <w:sz w:val="24"/>
        </w:rPr>
      </w:pPr>
      <w:bookmarkStart w:id="4" w:name="_Toc513942911"/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.65pt;margin-top:30.8pt;width:5in;height:203.4pt;z-index:251654144">
            <v:textbox style="mso-next-textbox:#_x0000_s1027">
              <w:txbxContent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4.9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</w:t>
                  </w: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s del factor ubicación con respecto a al calificación de matemáticas</w:t>
                  </w:r>
                </w:p>
                <w:p w:rsidR="00000000" w:rsidRDefault="00ED09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733165" cy="1607820"/>
                        <wp:effectExtent l="0" t="0" r="0" b="0"/>
                        <wp:docPr id="1" name="Objeto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:inline>
                    </w:drawing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000000" w:rsidRDefault="00155EC6">
      <w:pPr>
        <w:pStyle w:val="Ttulo3"/>
        <w:jc w:val="both"/>
        <w:rPr>
          <w:snapToGrid w:val="0"/>
          <w:sz w:val="24"/>
        </w:rPr>
      </w:pPr>
    </w:p>
    <w:p w:rsidR="00000000" w:rsidRDefault="00155EC6">
      <w:pPr>
        <w:pStyle w:val="Ttulo3"/>
        <w:jc w:val="both"/>
        <w:rPr>
          <w:snapToGrid w:val="0"/>
          <w:sz w:val="24"/>
        </w:rPr>
      </w:pPr>
      <w:r>
        <w:rPr>
          <w:snapToGrid w:val="0"/>
          <w:sz w:val="24"/>
        </w:rPr>
        <w:t>4.5.4 Análisis de varianza de la variable aleatoria c</w:t>
      </w:r>
      <w:r>
        <w:rPr>
          <w:snapToGrid w:val="0"/>
          <w:sz w:val="24"/>
        </w:rPr>
        <w:t>alificación de matemáticas con respecto al factor jornada de trabajo de los colegios fiscales rurales del cantón Guayaquil.</w:t>
      </w:r>
      <w:bookmarkEnd w:id="4"/>
    </w:p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pict>
          <v:shape id="_x0000_s1033" type="#_x0000_t75" style="position:absolute;left:0;text-align:left;margin-left:97.65pt;margin-top:174pt;width:217pt;height:58pt;z-index:251659264">
            <v:imagedata r:id="rId9" o:title=""/>
            <w10:wrap type="topAndBottom"/>
          </v:shape>
          <o:OLEObject Type="Embed" ProgID="Equation.3" ShapeID="_x0000_s1033" DrawAspect="Content" ObjectID="_1307788061" r:id="rId10"/>
        </w:pict>
      </w:r>
      <w:r>
        <w:rPr>
          <w:rFonts w:ascii="Arial" w:hAnsi="Arial"/>
          <w:sz w:val="24"/>
          <w:lang w:val="es-MX"/>
        </w:rPr>
        <w:t xml:space="preserve">El número de tratamientos del factor jornada es tres, los cuales corresponden a las jornadas matutina, vespertina y nocturna. </w:t>
      </w:r>
      <w:r>
        <w:rPr>
          <w:rFonts w:ascii="Arial" w:hAnsi="Arial" w:cs="Arial"/>
          <w:sz w:val="24"/>
        </w:rPr>
        <w:t>Par</w:t>
      </w:r>
      <w:r>
        <w:rPr>
          <w:rFonts w:ascii="Arial" w:hAnsi="Arial" w:cs="Arial"/>
          <w:sz w:val="24"/>
        </w:rPr>
        <w:t xml:space="preserve">a realizar el análisis de varianza entre </w:t>
      </w:r>
      <w:r>
        <w:rPr>
          <w:rFonts w:ascii="Arial" w:hAnsi="Arial" w:cs="Arial"/>
          <w:snapToGrid w:val="0"/>
          <w:sz w:val="24"/>
        </w:rPr>
        <w:t>la variable aleatoria calificación de matemáticas  con respecto a la jornada de los planteles educativos fiscales rurales del cantón Guayaquil, se planteó e</w:t>
      </w:r>
      <w:r>
        <w:rPr>
          <w:rFonts w:ascii="Arial" w:hAnsi="Arial" w:cs="Arial"/>
          <w:sz w:val="24"/>
        </w:rPr>
        <w:t>l modelo estadístico lineal siguiente: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lastRenderedPageBreak/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</w:t>
      </w:r>
      <w:r>
        <w:rPr>
          <w:rFonts w:ascii="Arial" w:hAnsi="Arial"/>
          <w:sz w:val="24"/>
        </w:rPr>
        <w:t xml:space="preserve">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13.31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supone, es constante para todos los tratamientos.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155EC6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</w:t>
      </w:r>
    </w:p>
    <w:p w:rsidR="00000000" w:rsidRDefault="00155EC6">
      <w:pPr>
        <w:spacing w:line="48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 xml:space="preserve">El contraste en términos de los efectos de los tratamientos es 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3</w:t>
      </w:r>
    </w:p>
    <w:p w:rsidR="00000000" w:rsidRDefault="00155EC6">
      <w:pPr>
        <w:spacing w:line="48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   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Por lo tanto se desea probar la igualdad de las medias de los trat</w:t>
      </w:r>
      <w:r>
        <w:rPr>
          <w:rFonts w:ascii="Arial" w:hAnsi="Arial"/>
          <w:snapToGrid w:val="0"/>
          <w:sz w:val="24"/>
        </w:rPr>
        <w:t xml:space="preserve">amientos,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de varianza de la variable aleatoria calificación de matemáticas con respecto al factor jornada se obtuvo los siguientes resultados: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418"/>
        <w:gridCol w:w="1417"/>
        <w:gridCol w:w="709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Fuent</w:t>
            </w: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Grados de libertad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Sumas cuadráticas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Cuadrados medios</w:t>
            </w:r>
          </w:p>
        </w:tc>
        <w:tc>
          <w:tcPr>
            <w:tcW w:w="709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155EC6">
            <w:pPr>
              <w:pStyle w:val="Ttulo2"/>
              <w:jc w:val="center"/>
              <w:rPr>
                <w:b/>
                <w:bCs/>
                <w:i/>
                <w:sz w:val="22"/>
              </w:rPr>
            </w:pPr>
            <w:bookmarkStart w:id="5" w:name="_Toc512699478"/>
            <w:bookmarkStart w:id="6" w:name="_Toc513608821"/>
            <w:bookmarkStart w:id="7" w:name="_Toc513942912"/>
            <w:r>
              <w:rPr>
                <w:b/>
                <w:bCs/>
                <w:i/>
                <w:sz w:val="22"/>
              </w:rPr>
              <w:t>Tratamientos</w:t>
            </w:r>
            <w:bookmarkEnd w:id="5"/>
            <w:bookmarkEnd w:id="6"/>
            <w:bookmarkEnd w:id="7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208.215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104.108</w:t>
            </w:r>
          </w:p>
        </w:tc>
        <w:tc>
          <w:tcPr>
            <w:tcW w:w="709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2.06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0.131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164</w:t>
            </w:r>
          </w:p>
        </w:tc>
        <w:tc>
          <w:tcPr>
            <w:tcW w:w="1418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8287.593</w:t>
            </w:r>
          </w:p>
        </w:tc>
        <w:tc>
          <w:tcPr>
            <w:tcW w:w="1417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50.534</w:t>
            </w:r>
          </w:p>
        </w:tc>
        <w:tc>
          <w:tcPr>
            <w:tcW w:w="709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8495.808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709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El nivel de significancia alcanzado o valor p = 0.131 de esta prueba indica que existe evidencia e</w:t>
      </w:r>
      <w:r>
        <w:rPr>
          <w:rFonts w:ascii="Arial" w:hAnsi="Arial"/>
          <w:sz w:val="24"/>
          <w:lang w:val="es-MX"/>
        </w:rPr>
        <w:t>stadística para no rechazar la hipótesis nula de que las medias de los 3 tratamientos son iguales.  En el gráfico 4.10 se puede apreciar las medias de cada uno de los tratamientos del factor jornada, con respecto a la calificación de la prueba de matemátic</w:t>
      </w:r>
      <w:r>
        <w:rPr>
          <w:rFonts w:ascii="Arial" w:hAnsi="Arial"/>
          <w:sz w:val="24"/>
          <w:lang w:val="es-MX"/>
        </w:rPr>
        <w:t xml:space="preserve">as. 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</w:rPr>
        <w:pict>
          <v:shape id="_x0000_s1028" type="#_x0000_t202" style="position:absolute;left:0;text-align:left;margin-left:43.65pt;margin-top:22.4pt;width:351pt;height:210.1pt;z-index:251655168">
            <v:textbox style="mso-next-textbox:#_x0000_s1028">
              <w:txbxContent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4.10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tratamientos del factor jornada con respecto a la calificación de matemáticas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ED09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69565" cy="1525905"/>
                        <wp:effectExtent l="0" t="0" r="0" b="0"/>
                        <wp:docPr id="2" name="Objeto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:inline>
                    </w:drawing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000000" w:rsidRDefault="00155EC6">
      <w:pPr>
        <w:pStyle w:val="Ttulo3"/>
        <w:jc w:val="both"/>
        <w:rPr>
          <w:snapToGrid w:val="0"/>
          <w:sz w:val="24"/>
        </w:rPr>
      </w:pPr>
      <w:bookmarkStart w:id="8" w:name="_Toc513942913"/>
    </w:p>
    <w:p w:rsidR="00000000" w:rsidRDefault="00155EC6">
      <w:pPr>
        <w:pStyle w:val="Ttulo3"/>
        <w:jc w:val="both"/>
        <w:rPr>
          <w:snapToGrid w:val="0"/>
          <w:sz w:val="24"/>
        </w:rPr>
      </w:pPr>
      <w:r>
        <w:rPr>
          <w:snapToGrid w:val="0"/>
          <w:sz w:val="24"/>
        </w:rPr>
        <w:t>4.5.5 Análisis de varianza de la variable aleatoria calificación total con respecto al factor ubicación de los colegios fiscales rurales del cantón guayaquil</w:t>
      </w:r>
      <w:bookmarkEnd w:id="8"/>
    </w:p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  <w:lang w:val="es-MX"/>
        </w:rPr>
        <w:t>El número de tratamientos del factor ubicación es cinco, los cuales corresponden a las p</w:t>
      </w:r>
      <w:r>
        <w:rPr>
          <w:rFonts w:ascii="Arial" w:hAnsi="Arial"/>
          <w:sz w:val="24"/>
          <w:lang w:val="es-MX"/>
        </w:rPr>
        <w:t xml:space="preserve">arroquias Progreso, Sabana Grande, Puná, Posorja y Tenguel. </w:t>
      </w:r>
      <w:r>
        <w:rPr>
          <w:rFonts w:ascii="Arial" w:hAnsi="Arial" w:cs="Arial"/>
          <w:sz w:val="24"/>
        </w:rPr>
        <w:t xml:space="preserve">Para realizar el análisis de varianza entre </w:t>
      </w:r>
      <w:r>
        <w:rPr>
          <w:rFonts w:ascii="Arial" w:hAnsi="Arial" w:cs="Arial"/>
          <w:snapToGrid w:val="0"/>
          <w:sz w:val="24"/>
        </w:rPr>
        <w:t>la variable aleatoria calificación total con respecto a la ubicación de los planteles educativos fiscales rurales del cantón Guayaquil, se planteó e</w:t>
      </w:r>
      <w:r>
        <w:rPr>
          <w:rFonts w:ascii="Arial" w:hAnsi="Arial" w:cs="Arial"/>
          <w:sz w:val="24"/>
        </w:rPr>
        <w:t>l mo</w:t>
      </w:r>
      <w:r>
        <w:rPr>
          <w:rFonts w:ascii="Arial" w:hAnsi="Arial" w:cs="Arial"/>
          <w:sz w:val="24"/>
        </w:rPr>
        <w:t>delo estadístico lineal siguiente: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pict>
          <v:shape id="_x0000_s1034" type="#_x0000_t75" style="position:absolute;left:0;text-align:left;margin-left:106.65pt;margin-top:11.6pt;width:217pt;height:58pt;z-index:251660288">
            <v:imagedata r:id="rId6" o:title=""/>
            <w10:wrap type="topAndBottom"/>
          </v:shape>
          <o:OLEObject Type="Embed" ProgID="Equation.3" ShapeID="_x0000_s1034" DrawAspect="Content" ObjectID="_1307788063" r:id="rId12"/>
        </w:pic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j-ésima observación del i-ésimo tratamiento,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28.22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supone, es constante para tod</w:t>
      </w:r>
      <w:r>
        <w:rPr>
          <w:rFonts w:ascii="Arial" w:hAnsi="Arial"/>
          <w:snapToGrid w:val="0"/>
          <w:sz w:val="24"/>
        </w:rPr>
        <w:t>os los tratamientos.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155EC6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 al menos un para de ( i, j)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lastRenderedPageBreak/>
        <w:t xml:space="preserve">El contraste en términos de los efectos de los tratamientos es 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 xml:space="preserve">3 </w:t>
      </w:r>
      <w:r>
        <w:rPr>
          <w:rFonts w:ascii="Arial" w:hAnsi="Arial"/>
          <w:snapToGrid w:val="0"/>
          <w:sz w:val="24"/>
        </w:rPr>
        <w:t xml:space="preserve">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4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5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</w:t>
      </w:r>
      <w:r>
        <w:rPr>
          <w:rFonts w:ascii="Arial" w:hAnsi="Arial"/>
          <w:snapToGrid w:val="0"/>
          <w:sz w:val="24"/>
        </w:rPr>
        <w:t xml:space="preserve">  i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Por lo tanto se desea probar la igualdad de las medias de los tratamientos, o que los efectos de los tratamientos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de varianza de la variable aleatoria calificación total con respecto al factor ubicación se obtuvo </w:t>
      </w:r>
      <w:r>
        <w:rPr>
          <w:rFonts w:ascii="Arial" w:hAnsi="Arial"/>
          <w:snapToGrid w:val="0"/>
          <w:sz w:val="24"/>
        </w:rPr>
        <w:t>los siguientes resultados: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418"/>
        <w:gridCol w:w="1417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Fuente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Grados de libertad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Sumas cuadráticas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Cuadrados medios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155EC6">
            <w:pPr>
              <w:pStyle w:val="Ttulo2"/>
              <w:jc w:val="center"/>
              <w:rPr>
                <w:b/>
                <w:bCs/>
                <w:i/>
                <w:sz w:val="22"/>
              </w:rPr>
            </w:pPr>
            <w:bookmarkStart w:id="9" w:name="_Toc512699482"/>
            <w:bookmarkStart w:id="10" w:name="_Toc513608823"/>
            <w:bookmarkStart w:id="11" w:name="_Toc513942914"/>
            <w:r>
              <w:rPr>
                <w:b/>
                <w:bCs/>
                <w:i/>
                <w:sz w:val="22"/>
              </w:rPr>
              <w:t>Tratamientos</w:t>
            </w:r>
            <w:bookmarkEnd w:id="9"/>
            <w:bookmarkEnd w:id="10"/>
            <w:bookmarkEnd w:id="11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349.614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87.403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0.935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162</w:t>
            </w:r>
          </w:p>
        </w:tc>
        <w:tc>
          <w:tcPr>
            <w:tcW w:w="1418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15140.015</w:t>
            </w:r>
          </w:p>
        </w:tc>
        <w:tc>
          <w:tcPr>
            <w:tcW w:w="1417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93.457</w:t>
            </w:r>
          </w:p>
        </w:tc>
        <w:tc>
          <w:tcPr>
            <w:tcW w:w="851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15489.629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rPr>
          <w:rFonts w:ascii="Arial" w:hAnsi="Arial"/>
          <w:sz w:val="24"/>
        </w:rPr>
      </w:pPr>
    </w:p>
    <w:p w:rsidR="00000000" w:rsidRDefault="00155EC6">
      <w:pPr>
        <w:rPr>
          <w:rFonts w:ascii="Arial" w:hAnsi="Arial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El nivel de significancia alcanz</w:t>
      </w:r>
      <w:r>
        <w:rPr>
          <w:rFonts w:ascii="Arial" w:hAnsi="Arial"/>
          <w:sz w:val="24"/>
          <w:lang w:val="es-MX"/>
        </w:rPr>
        <w:t>ado o valor p = 0.445 de esta prueba indica que existe evidencia estadística para no rechazar la hipótesis nula de que las medias de los 5 tratamientos son iguales.  En el gráfico 4.11 se puede apreciar las medias de cada uno de los tratamientos del factor</w:t>
      </w:r>
      <w:r>
        <w:rPr>
          <w:rFonts w:ascii="Arial" w:hAnsi="Arial"/>
          <w:sz w:val="24"/>
          <w:lang w:val="es-MX"/>
        </w:rPr>
        <w:t xml:space="preserve"> ubicación, con respecto a la calificación total. En este gráfico se observa que los estudiantes cuyo colegio está ubicado en Progreso obtuvieron la más alta media de la calificación total.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rPr>
          <w:rFonts w:ascii="Arial" w:hAnsi="Arial"/>
          <w:sz w:val="24"/>
          <w:lang w:val="es-MX"/>
        </w:rPr>
      </w:pPr>
    </w:p>
    <w:p w:rsidR="00000000" w:rsidRDefault="00155EC6">
      <w:pPr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</w:rPr>
        <w:pict>
          <v:shape id="_x0000_s1030" type="#_x0000_t202" style="position:absolute;margin-left:25.65pt;margin-top:11.6pt;width:378pt;height:211.35pt;z-index:251656192">
            <v:textbox style="mso-next-textbox:#_x0000_s1030">
              <w:txbxContent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4.11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tratamientos del factor ubicación con respecto a la calificación total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ED09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411855" cy="1437640"/>
                        <wp:effectExtent l="0" t="0" r="0" b="0"/>
                        <wp:docPr id="3" name="Objeto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000000" w:rsidRDefault="00155EC6">
      <w:pPr>
        <w:pStyle w:val="Ttulo3"/>
        <w:ind w:left="426" w:hanging="426"/>
        <w:jc w:val="both"/>
        <w:rPr>
          <w:snapToGrid w:val="0"/>
          <w:sz w:val="24"/>
        </w:rPr>
      </w:pPr>
      <w:bookmarkStart w:id="12" w:name="_Toc513942915"/>
      <w:r>
        <w:rPr>
          <w:snapToGrid w:val="0"/>
          <w:sz w:val="24"/>
        </w:rPr>
        <w:t>4.5.6 Análisis de varianza de la variable aleatoria calificaci</w:t>
      </w:r>
      <w:r>
        <w:rPr>
          <w:snapToGrid w:val="0"/>
          <w:sz w:val="24"/>
        </w:rPr>
        <w:t>ón total con respecto al factor jornada de los colegios fiscales rurales del cantón Guayaquil.</w:t>
      </w:r>
      <w:bookmarkEnd w:id="12"/>
    </w:p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 w:cs="Arial"/>
          <w:sz w:val="24"/>
        </w:rPr>
      </w:pPr>
      <w:r>
        <w:rPr>
          <w:rFonts w:ascii="Arial" w:hAnsi="Arial"/>
          <w:sz w:val="24"/>
          <w:lang w:val="es-MX"/>
        </w:rPr>
        <w:t xml:space="preserve">El número de tratamientos del factor jornada es tres, los cuales corresponden a las jornadas matutina, vespertina y nocturna. </w:t>
      </w:r>
      <w:r>
        <w:rPr>
          <w:rFonts w:ascii="Arial" w:hAnsi="Arial" w:cs="Arial"/>
          <w:sz w:val="24"/>
        </w:rPr>
        <w:t>Para realizar el análisis de vari</w:t>
      </w:r>
      <w:r>
        <w:rPr>
          <w:rFonts w:ascii="Arial" w:hAnsi="Arial" w:cs="Arial"/>
          <w:sz w:val="24"/>
        </w:rPr>
        <w:t xml:space="preserve">anza entre </w:t>
      </w:r>
      <w:r>
        <w:rPr>
          <w:rFonts w:ascii="Arial" w:hAnsi="Arial" w:cs="Arial"/>
          <w:snapToGrid w:val="0"/>
          <w:sz w:val="24"/>
        </w:rPr>
        <w:t>la variable aleatoria calificación total ,con respecto a la jornada de los planteles educativos fiscales rurales del cantón Guayaquil, se planteó e</w:t>
      </w:r>
      <w:r>
        <w:rPr>
          <w:rFonts w:ascii="Arial" w:hAnsi="Arial" w:cs="Arial"/>
          <w:sz w:val="24"/>
        </w:rPr>
        <w:t>l modelo estadístico lineal siguiente: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pict>
          <v:shape id="_x0000_s1035" type="#_x0000_t75" style="position:absolute;left:0;text-align:left;margin-left:115.65pt;margin-top:14pt;width:217pt;height:58pt;z-index:251661312">
            <v:imagedata r:id="rId9" o:title=""/>
            <w10:wrap type="topAndBottom"/>
          </v:shape>
          <o:OLEObject Type="Embed" ProgID="Equation.3" ShapeID="_x0000_s1035" DrawAspect="Content" ObjectID="_1307788064" r:id="rId14"/>
        </w:pic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z w:val="24"/>
        </w:rPr>
        <w:lastRenderedPageBreak/>
        <w:t xml:space="preserve">donde </w:t>
      </w:r>
      <w:r>
        <w:rPr>
          <w:rFonts w:ascii="Arial" w:hAnsi="Arial"/>
          <w:sz w:val="28"/>
        </w:rPr>
        <w:t>y</w:t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j-ésima observación del i-ésimo tratamien</w:t>
      </w:r>
      <w:r>
        <w:rPr>
          <w:rFonts w:ascii="Arial" w:hAnsi="Arial"/>
          <w:sz w:val="24"/>
        </w:rPr>
        <w:t xml:space="preserve">to, </w:t>
      </w:r>
      <w:r>
        <w:rPr>
          <w:rFonts w:ascii="Arial" w:hAnsi="Arial"/>
          <w:sz w:val="24"/>
        </w:rPr>
        <w:sym w:font="UniversalMath1 BT" w:char="F06D"/>
      </w:r>
      <w:r>
        <w:rPr>
          <w:rFonts w:ascii="Arial" w:hAnsi="Arial"/>
          <w:sz w:val="24"/>
        </w:rPr>
        <w:t xml:space="preserve"> es 13.31 puntos, </w:t>
      </w:r>
      <w:r>
        <w:rPr>
          <w:rFonts w:ascii="Arial" w:hAnsi="Arial"/>
          <w:sz w:val="28"/>
        </w:rPr>
        <w:sym w:font="UniversalMath1 BT" w:char="F074"/>
      </w:r>
      <w:r>
        <w:rPr>
          <w:rFonts w:ascii="Arial" w:hAnsi="Arial"/>
          <w:sz w:val="24"/>
          <w:vertAlign w:val="subscript"/>
        </w:rPr>
        <w:t>i</w:t>
      </w:r>
      <w:r>
        <w:rPr>
          <w:rFonts w:ascii="Arial" w:hAnsi="Arial"/>
          <w:sz w:val="24"/>
        </w:rPr>
        <w:t xml:space="preserve"> es el </w:t>
      </w:r>
      <w:r>
        <w:rPr>
          <w:rFonts w:ascii="Arial" w:hAnsi="Arial"/>
          <w:iCs/>
          <w:sz w:val="24"/>
        </w:rPr>
        <w:t xml:space="preserve">efecto del </w:t>
      </w:r>
      <w:r>
        <w:rPr>
          <w:rFonts w:ascii="Arial" w:hAnsi="Arial"/>
          <w:sz w:val="24"/>
        </w:rPr>
        <w:t xml:space="preserve">i-ésimo tratamiento y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z w:val="24"/>
        </w:rPr>
        <w:t xml:space="preserve"> es la componente aleatoria del error, </w:t>
      </w:r>
      <w:r>
        <w:rPr>
          <w:rFonts w:ascii="Arial" w:hAnsi="Arial"/>
          <w:snapToGrid w:val="0"/>
          <w:sz w:val="24"/>
        </w:rPr>
        <w:t xml:space="preserve">donde </w:t>
      </w:r>
      <w:r>
        <w:rPr>
          <w:rFonts w:ascii="Arial" w:hAnsi="Arial"/>
          <w:sz w:val="28"/>
        </w:rPr>
        <w:sym w:font="UniversalMath1 BT" w:char="F065"/>
      </w:r>
      <w:r>
        <w:rPr>
          <w:rFonts w:ascii="Arial" w:hAnsi="Arial"/>
          <w:sz w:val="24"/>
          <w:vertAlign w:val="subscript"/>
        </w:rPr>
        <w:t>ij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</w:rPr>
        <w:sym w:font="Symbol" w:char="F07E"/>
      </w:r>
      <w:r>
        <w:rPr>
          <w:rFonts w:ascii="Arial" w:hAnsi="Arial"/>
          <w:snapToGrid w:val="0"/>
          <w:sz w:val="24"/>
        </w:rPr>
        <w:t xml:space="preserve"> N(0, </w:t>
      </w:r>
      <w:r>
        <w:rPr>
          <w:rFonts w:ascii="Arial" w:hAnsi="Arial"/>
          <w:snapToGrid w:val="0"/>
          <w:sz w:val="24"/>
        </w:rPr>
        <w:sym w:font="Symbol" w:char="F073"/>
      </w:r>
      <w:r>
        <w:rPr>
          <w:rFonts w:ascii="Arial" w:hAnsi="Arial"/>
          <w:snapToGrid w:val="0"/>
          <w:sz w:val="24"/>
          <w:vertAlign w:val="superscript"/>
        </w:rPr>
        <w:t>2</w:t>
      </w:r>
      <w:r>
        <w:rPr>
          <w:rFonts w:ascii="Arial" w:hAnsi="Arial"/>
          <w:snapToGrid w:val="0"/>
          <w:sz w:val="24"/>
        </w:rPr>
        <w:t>) y se supone, es constante para todos los tratamientos.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>El contraste de hipótesis es:</w:t>
      </w:r>
    </w:p>
    <w:p w:rsidR="00000000" w:rsidRDefault="00155EC6">
      <w:pPr>
        <w:spacing w:line="480" w:lineRule="auto"/>
        <w:ind w:left="2124" w:firstLine="708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0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3</w:t>
      </w:r>
      <w:r>
        <w:rPr>
          <w:rFonts w:ascii="Arial" w:hAnsi="Arial"/>
          <w:snapToGrid w:val="0"/>
          <w:sz w:val="24"/>
        </w:rPr>
        <w:t xml:space="preserve"> </w:t>
      </w:r>
    </w:p>
    <w:p w:rsidR="00000000" w:rsidRDefault="00155EC6">
      <w:pPr>
        <w:spacing w:line="48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  <w:lang w:val="es-MX"/>
        </w:rPr>
        <w:t>H</w:t>
      </w:r>
      <w:r>
        <w:rPr>
          <w:rFonts w:ascii="Arial" w:hAnsi="Arial"/>
          <w:snapToGrid w:val="0"/>
          <w:sz w:val="24"/>
          <w:vertAlign w:val="subscript"/>
          <w:lang w:val="es-MX"/>
        </w:rPr>
        <w:t>1</w:t>
      </w:r>
      <w:r>
        <w:rPr>
          <w:rFonts w:ascii="Arial" w:hAnsi="Arial"/>
          <w:snapToGrid w:val="0"/>
          <w:sz w:val="24"/>
          <w:lang w:val="es-MX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6D"/>
      </w:r>
      <w:r>
        <w:rPr>
          <w:rFonts w:ascii="Arial" w:hAnsi="Arial"/>
          <w:snapToGrid w:val="0"/>
          <w:sz w:val="24"/>
          <w:vertAlign w:val="subscript"/>
        </w:rPr>
        <w:t>j</w:t>
      </w:r>
      <w:r>
        <w:rPr>
          <w:rFonts w:ascii="Arial" w:hAnsi="Arial"/>
          <w:snapToGrid w:val="0"/>
          <w:sz w:val="24"/>
        </w:rPr>
        <w:t xml:space="preserve"> , para</w:t>
      </w:r>
      <w:r>
        <w:rPr>
          <w:rFonts w:ascii="Arial" w:hAnsi="Arial"/>
          <w:snapToGrid w:val="0"/>
          <w:sz w:val="24"/>
        </w:rPr>
        <w:t xml:space="preserve"> al menos un para de ( i, j)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  <w:lang w:val="es-MX"/>
        </w:rPr>
      </w:pPr>
      <w:r>
        <w:rPr>
          <w:rFonts w:ascii="Arial" w:hAnsi="Arial"/>
          <w:snapToGrid w:val="0"/>
          <w:sz w:val="24"/>
          <w:lang w:val="es-MX"/>
        </w:rPr>
        <w:t xml:space="preserve">El contraste en términos de los efectos de los tratamientos es </w:t>
      </w:r>
    </w:p>
    <w:p w:rsidR="00000000" w:rsidRDefault="00155EC6">
      <w:pPr>
        <w:spacing w:line="480" w:lineRule="auto"/>
        <w:ind w:left="2550" w:firstLine="282"/>
        <w:rPr>
          <w:rFonts w:ascii="Arial" w:hAnsi="Arial"/>
          <w:snapToGrid w:val="0"/>
          <w:sz w:val="24"/>
          <w:vertAlign w:val="subscript"/>
        </w:rPr>
      </w:pPr>
      <w:r>
        <w:rPr>
          <w:rFonts w:ascii="Arial" w:hAnsi="Arial"/>
          <w:snapToGrid w:val="0"/>
          <w:sz w:val="24"/>
        </w:rPr>
        <w:t>H</w:t>
      </w:r>
      <w:r>
        <w:rPr>
          <w:rFonts w:ascii="Arial" w:hAnsi="Arial"/>
          <w:snapToGrid w:val="0"/>
          <w:sz w:val="24"/>
          <w:vertAlign w:val="subscript"/>
        </w:rPr>
        <w:t>0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2</w:t>
      </w:r>
      <w:r>
        <w:rPr>
          <w:rFonts w:ascii="Arial" w:hAnsi="Arial"/>
          <w:snapToGrid w:val="0"/>
          <w:sz w:val="24"/>
        </w:rPr>
        <w:t xml:space="preserve"> =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3</w:t>
      </w:r>
    </w:p>
    <w:p w:rsidR="00000000" w:rsidRDefault="00155EC6">
      <w:pPr>
        <w:spacing w:line="480" w:lineRule="auto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vs.</w:t>
      </w:r>
    </w:p>
    <w:p w:rsidR="00000000" w:rsidRDefault="00155EC6">
      <w:pPr>
        <w:spacing w:line="480" w:lineRule="auto"/>
        <w:ind w:left="426"/>
        <w:jc w:val="center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 xml:space="preserve">   H</w:t>
      </w:r>
      <w:r>
        <w:rPr>
          <w:rFonts w:ascii="Arial" w:hAnsi="Arial"/>
          <w:snapToGrid w:val="0"/>
          <w:sz w:val="24"/>
          <w:vertAlign w:val="subscript"/>
        </w:rPr>
        <w:t>1</w:t>
      </w:r>
      <w:r>
        <w:rPr>
          <w:rFonts w:ascii="Arial" w:hAnsi="Arial"/>
          <w:snapToGrid w:val="0"/>
          <w:sz w:val="24"/>
        </w:rPr>
        <w:t xml:space="preserve"> :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</w:t>
      </w:r>
      <w:r>
        <w:rPr>
          <w:rFonts w:ascii="Arial" w:hAnsi="Arial"/>
          <w:snapToGrid w:val="0"/>
          <w:sz w:val="24"/>
          <w:lang w:val="en-US"/>
        </w:rPr>
        <w:sym w:font="Symbol" w:char="F0B9"/>
      </w:r>
      <w:r>
        <w:rPr>
          <w:rFonts w:ascii="Arial" w:hAnsi="Arial"/>
          <w:snapToGrid w:val="0"/>
          <w:sz w:val="24"/>
        </w:rPr>
        <w:t xml:space="preserve"> 0, para al menos un  i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t>Por lo tanto se desea probar la igualdad de las medias de los tratamientos, o que los efectos de los tr</w:t>
      </w:r>
      <w:r>
        <w:rPr>
          <w:rFonts w:ascii="Arial" w:hAnsi="Arial"/>
          <w:snapToGrid w:val="0"/>
          <w:sz w:val="24"/>
        </w:rPr>
        <w:t xml:space="preserve">atamientos </w:t>
      </w:r>
      <w:r>
        <w:rPr>
          <w:rFonts w:ascii="Arial" w:hAnsi="Arial"/>
          <w:snapToGrid w:val="0"/>
          <w:sz w:val="24"/>
        </w:rPr>
        <w:sym w:font="Symbol" w:char="F074"/>
      </w:r>
      <w:r>
        <w:rPr>
          <w:rFonts w:ascii="Arial" w:hAnsi="Arial"/>
          <w:snapToGrid w:val="0"/>
          <w:sz w:val="24"/>
          <w:vertAlign w:val="subscript"/>
        </w:rPr>
        <w:t>i</w:t>
      </w:r>
      <w:r>
        <w:rPr>
          <w:rFonts w:ascii="Arial" w:hAnsi="Arial"/>
          <w:snapToGrid w:val="0"/>
          <w:sz w:val="24"/>
        </w:rPr>
        <w:t xml:space="preserve"> son iguales a cero. En el análisis de varianza de la variable aleatoria calificación total con respecto al factor jornada se obtuvo los siguientes resultados:</w:t>
      </w:r>
    </w:p>
    <w:p w:rsidR="00000000" w:rsidRDefault="00155EC6">
      <w:pPr>
        <w:spacing w:line="480" w:lineRule="auto"/>
        <w:ind w:left="426"/>
        <w:jc w:val="both"/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</w:p>
    <w:p w:rsidR="00000000" w:rsidRDefault="00155EC6">
      <w:pPr>
        <w:ind w:left="426"/>
        <w:jc w:val="center"/>
        <w:rPr>
          <w:rFonts w:ascii="Arial" w:hAnsi="Arial"/>
          <w:b/>
          <w:bCs/>
          <w:snapToGrid w:val="0"/>
          <w:sz w:val="24"/>
        </w:rPr>
      </w:pPr>
      <w:r>
        <w:rPr>
          <w:rFonts w:ascii="Arial" w:hAnsi="Arial"/>
          <w:b/>
          <w:bCs/>
          <w:snapToGrid w:val="0"/>
          <w:sz w:val="24"/>
        </w:rPr>
        <w:t>Tabla de análisis de varianza</w:t>
      </w:r>
    </w:p>
    <w:tbl>
      <w:tblPr>
        <w:tblW w:w="0" w:type="auto"/>
        <w:jc w:val="center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74"/>
        <w:gridCol w:w="1373"/>
        <w:gridCol w:w="1418"/>
        <w:gridCol w:w="1417"/>
        <w:gridCol w:w="85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Fuente</w:t>
            </w:r>
          </w:p>
        </w:tc>
        <w:tc>
          <w:tcPr>
            <w:tcW w:w="1373" w:type="dxa"/>
            <w:tcBorders>
              <w:top w:val="single" w:sz="18" w:space="0" w:color="000000"/>
              <w:left w:val="nil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Grados de libertad</w:t>
            </w:r>
          </w:p>
        </w:tc>
        <w:tc>
          <w:tcPr>
            <w:tcW w:w="1418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Sumas cuadráticas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Cuadr</w:t>
            </w: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ados medios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F</w:t>
            </w:r>
          </w:p>
        </w:tc>
        <w:tc>
          <w:tcPr>
            <w:tcW w:w="850" w:type="dxa"/>
            <w:tcBorders>
              <w:top w:val="single" w:sz="18" w:space="0" w:color="000000"/>
              <w:bottom w:val="single" w:sz="6" w:space="0" w:color="000000"/>
            </w:tcBorders>
            <w:vAlign w:val="center"/>
          </w:tcPr>
          <w:p w:rsidR="00000000" w:rsidRDefault="00155EC6">
            <w:pPr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top w:val="nil"/>
              <w:right w:val="single" w:sz="6" w:space="0" w:color="000000"/>
            </w:tcBorders>
          </w:tcPr>
          <w:p w:rsidR="00000000" w:rsidRDefault="00155EC6">
            <w:pPr>
              <w:pStyle w:val="Ttulo2"/>
              <w:jc w:val="center"/>
              <w:rPr>
                <w:b/>
                <w:bCs/>
                <w:i/>
                <w:sz w:val="22"/>
              </w:rPr>
            </w:pPr>
            <w:bookmarkStart w:id="13" w:name="_Toc512699484"/>
            <w:bookmarkStart w:id="14" w:name="_Toc513608825"/>
            <w:bookmarkStart w:id="15" w:name="_Toc513942916"/>
            <w:r>
              <w:rPr>
                <w:b/>
                <w:bCs/>
                <w:i/>
                <w:sz w:val="22"/>
              </w:rPr>
              <w:t>Tratamientos</w:t>
            </w:r>
            <w:bookmarkEnd w:id="13"/>
            <w:bookmarkEnd w:id="14"/>
            <w:bookmarkEnd w:id="15"/>
          </w:p>
        </w:tc>
        <w:tc>
          <w:tcPr>
            <w:tcW w:w="1373" w:type="dxa"/>
            <w:tcBorders>
              <w:top w:val="nil"/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57.358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28.679</w:t>
            </w:r>
          </w:p>
        </w:tc>
        <w:tc>
          <w:tcPr>
            <w:tcW w:w="851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0.305</w:t>
            </w:r>
          </w:p>
        </w:tc>
        <w:tc>
          <w:tcPr>
            <w:tcW w:w="850" w:type="dxa"/>
            <w:tcBorders>
              <w:top w:val="nil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0.738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74" w:type="dxa"/>
            <w:tcBorders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Error</w:t>
            </w:r>
          </w:p>
        </w:tc>
        <w:tc>
          <w:tcPr>
            <w:tcW w:w="1373" w:type="dxa"/>
            <w:tcBorders>
              <w:left w:val="nil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164</w:t>
            </w:r>
          </w:p>
        </w:tc>
        <w:tc>
          <w:tcPr>
            <w:tcW w:w="1418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15432.271</w:t>
            </w:r>
          </w:p>
        </w:tc>
        <w:tc>
          <w:tcPr>
            <w:tcW w:w="1417" w:type="dxa"/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94.099</w:t>
            </w:r>
          </w:p>
        </w:tc>
        <w:tc>
          <w:tcPr>
            <w:tcW w:w="851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674" w:type="dxa"/>
            <w:tcBorders>
              <w:bottom w:val="single" w:sz="18" w:space="0" w:color="000000"/>
              <w:right w:val="single" w:sz="6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b/>
                <w:bCs/>
                <w:i/>
                <w:snapToGrid w:val="0"/>
                <w:sz w:val="22"/>
              </w:rPr>
            </w:pPr>
            <w:r>
              <w:rPr>
                <w:rFonts w:ascii="Arial" w:hAnsi="Arial"/>
                <w:b/>
                <w:bCs/>
                <w:i/>
                <w:snapToGrid w:val="0"/>
                <w:sz w:val="22"/>
              </w:rPr>
              <w:t>Total</w:t>
            </w:r>
          </w:p>
        </w:tc>
        <w:tc>
          <w:tcPr>
            <w:tcW w:w="1373" w:type="dxa"/>
            <w:tcBorders>
              <w:left w:val="nil"/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166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</w:tcPr>
          <w:p w:rsidR="00000000" w:rsidRDefault="00155EC6">
            <w:pPr>
              <w:jc w:val="center"/>
              <w:rPr>
                <w:rFonts w:ascii="Arial" w:hAnsi="Arial"/>
                <w:i/>
                <w:snapToGrid w:val="0"/>
                <w:sz w:val="24"/>
              </w:rPr>
            </w:pPr>
            <w:r>
              <w:rPr>
                <w:rFonts w:ascii="Arial" w:hAnsi="Arial"/>
                <w:i/>
                <w:snapToGrid w:val="0"/>
                <w:sz w:val="24"/>
              </w:rPr>
              <w:t>15489.629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000000" w:rsidRDefault="00155EC6">
            <w:pPr>
              <w:ind w:left="426"/>
              <w:jc w:val="center"/>
              <w:rPr>
                <w:rFonts w:ascii="Arial" w:hAnsi="Arial"/>
                <w:i/>
                <w:snapToGrid w:val="0"/>
                <w:sz w:val="24"/>
              </w:rPr>
            </w:pPr>
          </w:p>
        </w:tc>
      </w:tr>
    </w:tbl>
    <w:p w:rsidR="00000000" w:rsidRDefault="00155EC6">
      <w:pPr>
        <w:jc w:val="both"/>
        <w:rPr>
          <w:rFonts w:ascii="Arial" w:hAnsi="Arial"/>
          <w:snapToGrid w:val="0"/>
          <w:sz w:val="24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El nivel de significancia alcanzado o valor p = 0.738 de esta prueba indica que existe evidencia estadística para no rechazar la hipótesis nu</w:t>
      </w:r>
      <w:r>
        <w:rPr>
          <w:rFonts w:ascii="Arial" w:hAnsi="Arial"/>
          <w:sz w:val="24"/>
          <w:lang w:val="es-MX"/>
        </w:rPr>
        <w:t xml:space="preserve">la de que las medias de los 3 tratamientos son iguales. </w: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noProof/>
        </w:rPr>
        <w:pict>
          <v:shape id="_x0000_s1031" type="#_x0000_t202" style="position:absolute;left:0;text-align:left;margin-left:34.65pt;margin-top:15.7pt;width:378pt;height:171.2pt;z-index:251657216">
            <v:textbox style="mso-next-textbox:#_x0000_s1031">
              <w:txbxContent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</w:rPr>
                    <w:t>Gráfico 4.12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</w:rPr>
                    <w:t>Medias de los tratamientos del factor jornada con respecto a la calificación total</w:t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  <w:p w:rsidR="00000000" w:rsidRDefault="00ED0902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13380" cy="1116330"/>
                        <wp:effectExtent l="0" t="0" r="0" b="0"/>
                        <wp:docPr id="4" name="Objeto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  <w:p w:rsidR="00000000" w:rsidRDefault="00155EC6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</w:rPr>
                  </w:pPr>
                </w:p>
              </w:txbxContent>
            </v:textbox>
            <w10:wrap type="topAndBottom"/>
          </v:shape>
        </w:pict>
      </w:r>
    </w:p>
    <w:p w:rsidR="00000000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</w:p>
    <w:p w:rsidR="00155EC6" w:rsidRDefault="00155EC6">
      <w:pPr>
        <w:spacing w:line="480" w:lineRule="auto"/>
        <w:ind w:left="426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 xml:space="preserve"> En el gráfico 4.12 se puede apreciar las medias de cada uno de los tratamientos del factor jornada, con respecto a la calificación total de los estudiantes de décimo año de los colegios fiscales </w:t>
      </w:r>
      <w:r>
        <w:rPr>
          <w:rFonts w:ascii="Arial" w:hAnsi="Arial"/>
          <w:sz w:val="24"/>
          <w:lang w:val="es-MX"/>
        </w:rPr>
        <w:t xml:space="preserve">rurales del cantón Guayaquil. Como se puede observar loas estudiantes de colegios, que </w:t>
      </w:r>
      <w:r>
        <w:rPr>
          <w:rFonts w:ascii="Arial" w:hAnsi="Arial"/>
          <w:sz w:val="24"/>
          <w:lang w:val="es-MX"/>
        </w:rPr>
        <w:lastRenderedPageBreak/>
        <w:t>funcionan con jornada matutina, obtuvieron la mayor media de la calificación total (28.55).</w:t>
      </w:r>
    </w:p>
    <w:sectPr w:rsidR="00155EC6">
      <w:headerReference w:type="default" r:id="rId16"/>
      <w:pgSz w:w="11907" w:h="16840" w:code="9"/>
      <w:pgMar w:top="2268" w:right="1361" w:bottom="2268" w:left="2268" w:header="720" w:footer="1436" w:gutter="0"/>
      <w:pgNumType w:start="32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EC6" w:rsidRDefault="00155EC6">
      <w:r>
        <w:separator/>
      </w:r>
    </w:p>
  </w:endnote>
  <w:endnote w:type="continuationSeparator" w:id="1">
    <w:p w:rsidR="00155EC6" w:rsidRDefault="0015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EC6" w:rsidRDefault="00155EC6">
      <w:r>
        <w:separator/>
      </w:r>
    </w:p>
  </w:footnote>
  <w:footnote w:type="continuationSeparator" w:id="1">
    <w:p w:rsidR="00155EC6" w:rsidRDefault="0015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5EC6">
    <w:pPr>
      <w:pStyle w:val="Encabezado"/>
      <w:jc w:val="right"/>
      <w:rPr>
        <w:rStyle w:val="Nmerodepgina"/>
        <w:rFonts w:ascii="Arial" w:hAnsi="Arial" w:cs="Arial"/>
      </w:rPr>
    </w:pPr>
  </w:p>
  <w:p w:rsidR="00000000" w:rsidRDefault="00155EC6">
    <w:pPr>
      <w:pStyle w:val="Encabezado"/>
      <w:jc w:val="right"/>
      <w:rPr>
        <w:rStyle w:val="Nmerodepgina"/>
        <w:rFonts w:ascii="Arial" w:hAnsi="Arial" w:cs="Arial"/>
      </w:rPr>
    </w:pPr>
  </w:p>
  <w:p w:rsidR="00000000" w:rsidRDefault="00155EC6">
    <w:pPr>
      <w:pStyle w:val="Encabezado"/>
      <w:jc w:val="right"/>
      <w:rPr>
        <w:rFonts w:ascii="Arial" w:hAnsi="Arial" w:cs="Arial"/>
      </w:rPr>
    </w:pP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 PAGE </w:instrText>
    </w:r>
    <w:r>
      <w:rPr>
        <w:rStyle w:val="Nmerodepgina"/>
        <w:rFonts w:ascii="Arial" w:hAnsi="Arial" w:cs="Arial"/>
      </w:rPr>
      <w:fldChar w:fldCharType="separate"/>
    </w:r>
    <w:r w:rsidR="00ED0902">
      <w:rPr>
        <w:rStyle w:val="Nmerodepgina"/>
        <w:rFonts w:ascii="Arial" w:hAnsi="Arial" w:cs="Arial"/>
        <w:noProof/>
      </w:rPr>
      <w:t>324</w:t>
    </w:r>
    <w:r>
      <w:rPr>
        <w:rStyle w:val="Nmerodepgina"/>
        <w:rFonts w:ascii="Arial" w:hAnsi="Arial" w:cs="Arial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902"/>
    <w:rsid w:val="00155EC6"/>
    <w:rsid w:val="00ED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basedOn w:val="Fuentedeprrafopredeter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chart" Target="charts/chart4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5.7636887608069162E-2"/>
          <c:y val="0.5"/>
          <c:w val="0.88472622478386154"/>
          <c:h val="5.0724637681159424E-2"/>
        </c:manualLayout>
      </c:layout>
      <c:scatterChart>
        <c:scatterStyle val="lineMarker"/>
        <c:ser>
          <c:idx val="0"/>
          <c:order val="0"/>
          <c:tx>
            <c:strRef>
              <c:f>Hoja1!$A$58</c:f>
              <c:strCache>
                <c:ptCount val="1"/>
                <c:pt idx="0">
                  <c:v>Progeso</c:v>
                </c:pt>
              </c:strCache>
            </c:strRef>
          </c:tx>
          <c:spPr>
            <a:ln w="29716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5417867435158501"/>
                  <c:y val="0.43478260869565238"/>
                </c:manualLayout>
              </c:layout>
              <c:dLblPos val="r"/>
              <c:showCatName val="1"/>
            </c:dLbl>
            <c:spPr>
              <a:noFill/>
              <a:ln w="26414">
                <a:noFill/>
              </a:ln>
            </c:spPr>
            <c:txPr>
              <a:bodyPr/>
              <a:lstStyle/>
              <a:p>
                <a:pPr>
                  <a:defRPr sz="98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Hoja1!$B$58</c:f>
              <c:numCache>
                <c:formatCode>General</c:formatCode>
                <c:ptCount val="1"/>
                <c:pt idx="0">
                  <c:v>15.21</c:v>
                </c:pt>
              </c:numCache>
            </c:numRef>
          </c:xVal>
          <c:yVal>
            <c:numRef>
              <c:f>Hoja1!$C$58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Hoja1!$A$59</c:f>
              <c:strCache>
                <c:ptCount val="1"/>
                <c:pt idx="0">
                  <c:v>P. Sabana</c:v>
                </c:pt>
              </c:strCache>
            </c:strRef>
          </c:tx>
          <c:spPr>
            <a:ln w="29716">
              <a:noFill/>
            </a:ln>
          </c:spPr>
          <c:marker>
            <c:symbol val="squar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8.9337175792507204E-2"/>
                  <c:y val="0.43478260869565238"/>
                </c:manualLayout>
              </c:layout>
              <c:dLblPos val="r"/>
              <c:showCatName val="1"/>
            </c:dLbl>
            <c:spPr>
              <a:noFill/>
              <a:ln w="26414">
                <a:noFill/>
              </a:ln>
            </c:spPr>
            <c:txPr>
              <a:bodyPr/>
              <a:lstStyle/>
              <a:p>
                <a:pPr>
                  <a:defRPr sz="98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Hoja1!$B$59</c:f>
              <c:numCache>
                <c:formatCode>General</c:formatCode>
                <c:ptCount val="1"/>
                <c:pt idx="0">
                  <c:v>11.4</c:v>
                </c:pt>
              </c:numCache>
            </c:numRef>
          </c:xVal>
          <c:yVal>
            <c:numRef>
              <c:f>Hoja1!$C$59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Hoja1!$A$60</c:f>
              <c:strCache>
                <c:ptCount val="1"/>
                <c:pt idx="0">
                  <c:v>Puná</c:v>
                </c:pt>
              </c:strCache>
            </c:strRef>
          </c:tx>
          <c:spPr>
            <a:ln w="29716">
              <a:noFill/>
            </a:ln>
          </c:spPr>
          <c:marker>
            <c:symbol val="triangl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75504322766570653"/>
                  <c:y val="0.44202898550724662"/>
                </c:manualLayout>
              </c:layout>
              <c:dLblPos val="r"/>
              <c:showCatName val="1"/>
            </c:dLbl>
            <c:spPr>
              <a:noFill/>
              <a:ln w="26414">
                <a:noFill/>
              </a:ln>
            </c:spPr>
            <c:txPr>
              <a:bodyPr/>
              <a:lstStyle/>
              <a:p>
                <a:pPr>
                  <a:defRPr sz="98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Hoja1!$B$60</c:f>
              <c:numCache>
                <c:formatCode>General</c:formatCode>
                <c:ptCount val="1"/>
                <c:pt idx="0">
                  <c:v>19.09</c:v>
                </c:pt>
              </c:numCache>
            </c:numRef>
          </c:xVal>
          <c:yVal>
            <c:numRef>
              <c:f>Hoja1!$C$60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3"/>
          <c:order val="3"/>
          <c:tx>
            <c:strRef>
              <c:f>Hoja1!$A$61</c:f>
              <c:strCache>
                <c:ptCount val="1"/>
                <c:pt idx="0">
                  <c:v>Posorja</c:v>
                </c:pt>
              </c:strCache>
            </c:strRef>
          </c:tx>
          <c:spPr>
            <a:ln w="29716">
              <a:noFill/>
            </a:ln>
          </c:spPr>
          <c:marker>
            <c:symbol val="x"/>
            <c:size val="5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1037463976945245"/>
                  <c:y val="0.43478260869565238"/>
                </c:manualLayout>
              </c:layout>
              <c:dLblPos val="r"/>
              <c:showCatName val="1"/>
            </c:dLbl>
            <c:spPr>
              <a:noFill/>
              <a:ln w="26414">
                <a:noFill/>
              </a:ln>
            </c:spPr>
            <c:txPr>
              <a:bodyPr/>
              <a:lstStyle/>
              <a:p>
                <a:pPr>
                  <a:defRPr sz="98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Hoja1!$B$61</c:f>
              <c:numCache>
                <c:formatCode>General</c:formatCode>
                <c:ptCount val="1"/>
                <c:pt idx="0">
                  <c:v>11.57</c:v>
                </c:pt>
              </c:numCache>
            </c:numRef>
          </c:xVal>
          <c:yVal>
            <c:numRef>
              <c:f>Hoja1!$C$61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4"/>
          <c:order val="4"/>
          <c:tx>
            <c:strRef>
              <c:f>Hoja1!$A$62</c:f>
              <c:strCache>
                <c:ptCount val="1"/>
                <c:pt idx="0">
                  <c:v>Tenguel</c:v>
                </c:pt>
              </c:strCache>
            </c:strRef>
          </c:tx>
          <c:spPr>
            <a:ln w="29716">
              <a:noFill/>
            </a:ln>
          </c:spPr>
          <c:marker>
            <c:symbol val="star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35446685878962547"/>
                  <c:y val="0.44202898550724662"/>
                </c:manualLayout>
              </c:layout>
              <c:spPr>
                <a:noFill/>
                <a:ln w="26414">
                  <a:noFill/>
                </a:ln>
              </c:spPr>
              <c:txPr>
                <a:bodyPr/>
                <a:lstStyle/>
                <a:p>
                  <a:pPr>
                    <a:defRPr sz="988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s-ES"/>
                </a:p>
              </c:txPr>
              <c:dLblPos val="r"/>
              <c:showCatName val="1"/>
            </c:dLbl>
            <c:spPr>
              <a:noFill/>
              <a:ln w="26414">
                <a:noFill/>
              </a:ln>
            </c:spPr>
            <c:txPr>
              <a:bodyPr/>
              <a:lstStyle/>
              <a:p>
                <a:pPr>
                  <a:defRPr sz="832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Hoja1!$B$62</c:f>
              <c:numCache>
                <c:formatCode>General</c:formatCode>
                <c:ptCount val="1"/>
                <c:pt idx="0">
                  <c:v>13.16</c:v>
                </c:pt>
              </c:numCache>
            </c:numRef>
          </c:xVal>
          <c:yVal>
            <c:numRef>
              <c:f>Hoja1!$C$62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44005376"/>
        <c:axId val="144138240"/>
      </c:scatterChart>
      <c:valAx>
        <c:axId val="144005376"/>
        <c:scaling>
          <c:orientation val="minMax"/>
          <c:max val="20"/>
          <c:min val="10"/>
        </c:scaling>
        <c:axPos val="b"/>
        <c:numFmt formatCode="General" sourceLinked="1"/>
        <c:tickLblPos val="nextTo"/>
        <c:spPr>
          <a:ln w="330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44138240"/>
        <c:crosses val="autoZero"/>
        <c:crossBetween val="midCat"/>
        <c:majorUnit val="5"/>
      </c:valAx>
      <c:valAx>
        <c:axId val="144138240"/>
        <c:scaling>
          <c:orientation val="minMax"/>
        </c:scaling>
        <c:delete val="1"/>
        <c:axPos val="l"/>
        <c:numFmt formatCode="General" sourceLinked="1"/>
        <c:tickLblPos val="nextTo"/>
        <c:crossAx val="144005376"/>
        <c:crosses val="autoZero"/>
        <c:crossBetween val="midCat"/>
      </c:valAx>
      <c:spPr>
        <a:noFill/>
        <a:ln w="26414">
          <a:noFill/>
        </a:ln>
      </c:spPr>
    </c:plotArea>
    <c:legend>
      <c:legendPos val="r"/>
      <c:spPr>
        <a:solidFill>
          <a:srgbClr val="FFFFFF"/>
        </a:solidFill>
        <a:ln w="3302">
          <a:solidFill>
            <a:srgbClr val="000000"/>
          </a:solidFill>
          <a:prstDash val="solid"/>
        </a:ln>
      </c:spPr>
      <c:txPr>
        <a:bodyPr/>
        <a:lstStyle/>
        <a:p>
          <a:pPr>
            <a:defRPr sz="97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302">
      <a:solidFill>
        <a:srgbClr val="000000"/>
      </a:solidFill>
      <a:prstDash val="solid"/>
    </a:ln>
  </c:spPr>
  <c:txPr>
    <a:bodyPr/>
    <a:lstStyle/>
    <a:p>
      <a:pPr>
        <a:defRPr sz="83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6.7796610169491581E-2"/>
          <c:y val="0.18493150684931511"/>
          <c:w val="0.86440677966101698"/>
          <c:h val="0.3356164383561645"/>
        </c:manualLayout>
      </c:layout>
      <c:scatterChart>
        <c:scatterStyle val="lineMarker"/>
        <c:ser>
          <c:idx val="0"/>
          <c:order val="0"/>
          <c:tx>
            <c:strRef>
              <c:f>Hoja1!$A$71</c:f>
              <c:strCache>
                <c:ptCount val="1"/>
                <c:pt idx="0">
                  <c:v>Matutina</c:v>
                </c:pt>
              </c:strCache>
            </c:strRef>
          </c:tx>
          <c:spPr>
            <a:ln w="3076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82372881355932259"/>
                  <c:y val="0.27397260273972612"/>
                </c:manualLayout>
              </c:layout>
              <c:dLblPos val="r"/>
              <c:showCatName val="1"/>
            </c:dLbl>
            <c:spPr>
              <a:noFill/>
              <a:ln w="27346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Hoja1!$B$71</c:f>
              <c:numCache>
                <c:formatCode>General</c:formatCode>
                <c:ptCount val="1"/>
                <c:pt idx="0">
                  <c:v>13.870000000000003</c:v>
                </c:pt>
              </c:numCache>
            </c:numRef>
          </c:xVal>
          <c:yVal>
            <c:numRef>
              <c:f>Hoja1!$C$71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Hoja1!$A$72</c:f>
              <c:strCache>
                <c:ptCount val="1"/>
                <c:pt idx="0">
                  <c:v>Vespertina</c:v>
                </c:pt>
              </c:strCache>
            </c:strRef>
          </c:tx>
          <c:spPr>
            <a:ln w="30765">
              <a:noFill/>
            </a:ln>
          </c:spPr>
          <c:marker>
            <c:symbol val="squar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6000000000000002"/>
                  <c:y val="0.28082191780821936"/>
                </c:manualLayout>
              </c:layout>
              <c:dLblPos val="r"/>
              <c:showCatName val="1"/>
            </c:dLbl>
            <c:spPr>
              <a:noFill/>
              <a:ln w="27346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Hoja1!$B$72</c:f>
              <c:numCache>
                <c:formatCode>General</c:formatCode>
                <c:ptCount val="1"/>
                <c:pt idx="0">
                  <c:v>10.92</c:v>
                </c:pt>
              </c:numCache>
            </c:numRef>
          </c:xVal>
          <c:yVal>
            <c:numRef>
              <c:f>Hoja1!$C$72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Hoja1!$A$73</c:f>
              <c:strCache>
                <c:ptCount val="1"/>
                <c:pt idx="0">
                  <c:v>Nocturna</c:v>
                </c:pt>
              </c:strCache>
            </c:strRef>
          </c:tx>
          <c:spPr>
            <a:ln w="30765">
              <a:noFill/>
            </a:ln>
          </c:spPr>
          <c:marker>
            <c:symbol val="triangl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41694915254237275"/>
                  <c:y val="0.26027397260273971"/>
                </c:manualLayout>
              </c:layout>
              <c:dLblPos val="r"/>
              <c:showCatName val="1"/>
            </c:dLbl>
            <c:spPr>
              <a:noFill/>
              <a:ln w="27346">
                <a:noFill/>
              </a:ln>
            </c:spPr>
            <c:txPr>
              <a:bodyPr/>
              <a:lstStyle/>
              <a:p>
                <a:pPr>
                  <a:defRPr sz="1023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Hoja1!$B$73</c:f>
              <c:numCache>
                <c:formatCode>General</c:formatCode>
                <c:ptCount val="1"/>
                <c:pt idx="0">
                  <c:v>10.53</c:v>
                </c:pt>
              </c:numCache>
            </c:numRef>
          </c:xVal>
          <c:yVal>
            <c:numRef>
              <c:f>Hoja1!$C$73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07382656"/>
        <c:axId val="107384192"/>
      </c:scatterChart>
      <c:valAx>
        <c:axId val="107382656"/>
        <c:scaling>
          <c:orientation val="minMax"/>
          <c:min val="5"/>
        </c:scaling>
        <c:axPos val="b"/>
        <c:numFmt formatCode="General" sourceLinked="1"/>
        <c:tickLblPos val="nextTo"/>
        <c:spPr>
          <a:ln w="341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1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07384192"/>
        <c:crosses val="autoZero"/>
        <c:crossBetween val="midCat"/>
      </c:valAx>
      <c:valAx>
        <c:axId val="107384192"/>
        <c:scaling>
          <c:orientation val="minMax"/>
        </c:scaling>
        <c:delete val="1"/>
        <c:axPos val="l"/>
        <c:numFmt formatCode="General" sourceLinked="1"/>
        <c:tickLblPos val="nextTo"/>
        <c:crossAx val="107382656"/>
        <c:crosses val="autoZero"/>
        <c:crossBetween val="midCat"/>
      </c:valAx>
      <c:spPr>
        <a:noFill/>
        <a:ln w="27346">
          <a:noFill/>
        </a:ln>
      </c:spPr>
    </c:plotArea>
    <c:legend>
      <c:legendPos val="b"/>
      <c:layout>
        <c:manualLayout>
          <c:xMode val="edge"/>
          <c:yMode val="edge"/>
          <c:x val="0.10169491525423729"/>
          <c:y val="0.81506849315068519"/>
          <c:w val="0.8"/>
          <c:h val="0.16438356164383555"/>
        </c:manualLayout>
      </c:layout>
      <c:spPr>
        <a:solidFill>
          <a:srgbClr val="FFFFFF"/>
        </a:solidFill>
        <a:ln w="3418">
          <a:solidFill>
            <a:srgbClr val="000000"/>
          </a:solidFill>
          <a:prstDash val="solid"/>
        </a:ln>
      </c:spPr>
      <c:txPr>
        <a:bodyPr/>
        <a:lstStyle/>
        <a:p>
          <a:pPr>
            <a:defRPr sz="937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418">
      <a:solidFill>
        <a:srgbClr val="000000"/>
      </a:solidFill>
      <a:prstDash val="solid"/>
    </a:ln>
  </c:spPr>
  <c:txPr>
    <a:bodyPr/>
    <a:lstStyle/>
    <a:p>
      <a:pPr>
        <a:defRPr sz="86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5.9659090909090912E-2"/>
          <c:y val="0.31386861313868641"/>
          <c:w val="0.88636363636363635"/>
          <c:h val="5.1094890510948912E-2"/>
        </c:manualLayout>
      </c:layout>
      <c:scatterChart>
        <c:scatterStyle val="lineMarker"/>
        <c:ser>
          <c:idx val="0"/>
          <c:order val="0"/>
          <c:tx>
            <c:strRef>
              <c:f>Hoja1!$A$97</c:f>
              <c:strCache>
                <c:ptCount val="1"/>
                <c:pt idx="0">
                  <c:v>Progeso</c:v>
                </c:pt>
              </c:strCache>
            </c:strRef>
          </c:tx>
          <c:spPr>
            <a:ln w="3040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60227272727272729"/>
                  <c:y val="0.23357664233576642"/>
                </c:manualLayout>
              </c:layout>
              <c:dLblPos val="r"/>
              <c:showCatName val="1"/>
            </c:dLbl>
            <c:spPr>
              <a:noFill/>
              <a:ln w="27023">
                <a:noFill/>
              </a:ln>
            </c:spPr>
            <c:txPr>
              <a:bodyPr/>
              <a:lstStyle/>
              <a:p>
                <a:pPr>
                  <a:defRPr sz="101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Hoja1!$B$97</c:f>
              <c:numCache>
                <c:formatCode>General</c:formatCode>
                <c:ptCount val="1"/>
                <c:pt idx="0">
                  <c:v>31.03</c:v>
                </c:pt>
              </c:numCache>
            </c:numRef>
          </c:xVal>
          <c:yVal>
            <c:numRef>
              <c:f>Hoja1!$C$97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Hoja1!$A$98</c:f>
              <c:strCache>
                <c:ptCount val="1"/>
                <c:pt idx="0">
                  <c:v>P. Sabana</c:v>
                </c:pt>
              </c:strCache>
            </c:strRef>
          </c:tx>
          <c:spPr>
            <a:ln w="30400">
              <a:noFill/>
            </a:ln>
          </c:spPr>
          <c:marker>
            <c:symbol val="circle"/>
            <c:size val="5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14772727272727279"/>
                  <c:y val="0.35766423357664245"/>
                </c:manualLayout>
              </c:layout>
              <c:dLblPos val="r"/>
              <c:showCatName val="1"/>
            </c:dLbl>
            <c:spPr>
              <a:noFill/>
              <a:ln w="27023">
                <a:noFill/>
              </a:ln>
            </c:spPr>
            <c:txPr>
              <a:bodyPr/>
              <a:lstStyle/>
              <a:p>
                <a:pPr>
                  <a:defRPr sz="101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Hoja1!$B$98</c:f>
              <c:numCache>
                <c:formatCode>General</c:formatCode>
                <c:ptCount val="1"/>
                <c:pt idx="0">
                  <c:v>27.91</c:v>
                </c:pt>
              </c:numCache>
            </c:numRef>
          </c:xVal>
          <c:yVal>
            <c:numRef>
              <c:f>Hoja1!$C$98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Hoja1!$A$99</c:f>
              <c:strCache>
                <c:ptCount val="1"/>
                <c:pt idx="0">
                  <c:v>Puná</c:v>
                </c:pt>
              </c:strCache>
            </c:strRef>
          </c:tx>
          <c:spPr>
            <a:ln w="30400">
              <a:noFill/>
            </a:ln>
          </c:spPr>
          <c:marker>
            <c:symbol val="triangl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50568181818181845"/>
                  <c:y val="0.23357664233576642"/>
                </c:manualLayout>
              </c:layout>
              <c:dLblPos val="r"/>
              <c:showCatName val="1"/>
            </c:dLbl>
            <c:spPr>
              <a:noFill/>
              <a:ln w="27023">
                <a:noFill/>
              </a:ln>
            </c:spPr>
            <c:txPr>
              <a:bodyPr/>
              <a:lstStyle/>
              <a:p>
                <a:pPr>
                  <a:defRPr sz="101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Hoja1!$B$99</c:f>
              <c:numCache>
                <c:formatCode>General</c:formatCode>
                <c:ptCount val="1"/>
                <c:pt idx="0">
                  <c:v>30.2</c:v>
                </c:pt>
              </c:numCache>
            </c:numRef>
          </c:xVal>
          <c:yVal>
            <c:numRef>
              <c:f>Hoja1!$C$99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3"/>
          <c:order val="3"/>
          <c:tx>
            <c:strRef>
              <c:f>Hoja1!$A$100</c:f>
              <c:strCache>
                <c:ptCount val="1"/>
                <c:pt idx="0">
                  <c:v>Posorja</c:v>
                </c:pt>
              </c:strCache>
            </c:strRef>
          </c:tx>
          <c:spPr>
            <a:ln w="30400">
              <a:noFill/>
            </a:ln>
          </c:spPr>
          <c:marker>
            <c:symbol val="square"/>
            <c:size val="5"/>
            <c:spPr>
              <a:solidFill>
                <a:srgbClr val="969696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6.25E-2"/>
                  <c:y val="0.23357664233576642"/>
                </c:manualLayout>
              </c:layout>
              <c:dLblPos val="r"/>
              <c:showCatName val="1"/>
            </c:dLbl>
            <c:spPr>
              <a:noFill/>
              <a:ln w="27023">
                <a:noFill/>
              </a:ln>
            </c:spPr>
            <c:txPr>
              <a:bodyPr/>
              <a:lstStyle/>
              <a:p>
                <a:pPr>
                  <a:defRPr sz="101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Hoja1!$B$100</c:f>
              <c:numCache>
                <c:formatCode>General</c:formatCode>
                <c:ptCount val="1"/>
                <c:pt idx="0">
                  <c:v>27.650000000000006</c:v>
                </c:pt>
              </c:numCache>
            </c:numRef>
          </c:xVal>
          <c:yVal>
            <c:numRef>
              <c:f>Hoja1!$C$100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4"/>
          <c:order val="4"/>
          <c:tx>
            <c:strRef>
              <c:f>Hoja1!$A$101</c:f>
              <c:strCache>
                <c:ptCount val="1"/>
                <c:pt idx="0">
                  <c:v>Tenguel</c:v>
                </c:pt>
              </c:strCache>
            </c:strRef>
          </c:tx>
          <c:spPr>
            <a:ln w="30400">
              <a:noFill/>
            </a:ln>
          </c:spPr>
          <c:marker>
            <c:symbol val="star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23295454545454539"/>
                  <c:y val="0.23357664233576642"/>
                </c:manualLayout>
              </c:layout>
              <c:dLblPos val="r"/>
              <c:showCatName val="1"/>
            </c:dLbl>
            <c:spPr>
              <a:noFill/>
              <a:ln w="27023">
                <a:noFill/>
              </a:ln>
            </c:spPr>
            <c:txPr>
              <a:bodyPr/>
              <a:lstStyle/>
              <a:p>
                <a:pPr>
                  <a:defRPr sz="101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Hoja1!$B$101</c:f>
              <c:numCache>
                <c:formatCode>General</c:formatCode>
                <c:ptCount val="1"/>
                <c:pt idx="0">
                  <c:v>28.06</c:v>
                </c:pt>
              </c:numCache>
            </c:numRef>
          </c:xVal>
          <c:yVal>
            <c:numRef>
              <c:f>Hoja1!$C$101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43958016"/>
        <c:axId val="143959552"/>
      </c:scatterChart>
      <c:valAx>
        <c:axId val="143958016"/>
        <c:scaling>
          <c:orientation val="minMax"/>
          <c:max val="33"/>
        </c:scaling>
        <c:axPos val="b"/>
        <c:numFmt formatCode="General" sourceLinked="1"/>
        <c:tickLblPos val="nextTo"/>
        <c:spPr>
          <a:ln w="3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3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43959552"/>
        <c:crosses val="autoZero"/>
        <c:crossBetween val="midCat"/>
        <c:majorUnit val="2"/>
      </c:valAx>
      <c:valAx>
        <c:axId val="143959552"/>
        <c:scaling>
          <c:orientation val="minMax"/>
        </c:scaling>
        <c:delete val="1"/>
        <c:axPos val="l"/>
        <c:numFmt formatCode="General" sourceLinked="1"/>
        <c:tickLblPos val="nextTo"/>
        <c:crossAx val="143958016"/>
        <c:crosses val="autoZero"/>
        <c:crossBetween val="midCat"/>
      </c:valAx>
      <c:spPr>
        <a:noFill/>
        <a:ln w="27023">
          <a:noFill/>
        </a:ln>
      </c:spPr>
    </c:plotArea>
    <c:legend>
      <c:legendPos val="b"/>
      <c:layout>
        <c:manualLayout>
          <c:xMode val="edge"/>
          <c:yMode val="edge"/>
          <c:x val="9.0909090909090981E-2"/>
          <c:y val="0.79562043795620463"/>
          <c:w val="0.83238636363636331"/>
          <c:h val="0.16058394160583939"/>
        </c:manualLayout>
      </c:layout>
      <c:spPr>
        <a:solidFill>
          <a:srgbClr val="FFFFFF"/>
        </a:solidFill>
        <a:ln w="3378">
          <a:solidFill>
            <a:srgbClr val="000000"/>
          </a:solidFill>
          <a:prstDash val="solid"/>
        </a:ln>
      </c:spPr>
      <c:txPr>
        <a:bodyPr/>
        <a:lstStyle/>
        <a:p>
          <a:pPr>
            <a:defRPr sz="83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378">
      <a:solidFill>
        <a:srgbClr val="000000"/>
      </a:solidFill>
      <a:prstDash val="solid"/>
    </a:ln>
  </c:spPr>
  <c:txPr>
    <a:bodyPr/>
    <a:lstStyle/>
    <a:p>
      <a:pPr>
        <a:defRPr sz="85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>
        <c:manualLayout>
          <c:layoutTarget val="inner"/>
          <c:xMode val="edge"/>
          <c:yMode val="edge"/>
          <c:x val="7.3333333333333375E-2"/>
          <c:y val="0.13592233009708746"/>
          <c:w val="0.8666666666666667"/>
          <c:h val="6.7961165048543729E-2"/>
        </c:manualLayout>
      </c:layout>
      <c:scatterChart>
        <c:scatterStyle val="lineMarker"/>
        <c:ser>
          <c:idx val="0"/>
          <c:order val="0"/>
          <c:tx>
            <c:strRef>
              <c:f>Hoja1!$A$110</c:f>
              <c:strCache>
                <c:ptCount val="1"/>
                <c:pt idx="0">
                  <c:v>Matutina</c:v>
                </c:pt>
              </c:strCache>
            </c:strRef>
          </c:tx>
          <c:spPr>
            <a:ln w="30680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78333333333333333"/>
                  <c:y val="0"/>
                </c:manualLayout>
              </c:layout>
              <c:dLblPos val="r"/>
              <c:showCatName val="1"/>
            </c:dLbl>
            <c:spPr>
              <a:noFill/>
              <a:ln w="27271">
                <a:noFill/>
              </a:ln>
            </c:spPr>
            <c:txPr>
              <a:bodyPr/>
              <a:lstStyle/>
              <a:p>
                <a:pPr>
                  <a:defRPr sz="102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Hoja1!$B$110</c:f>
              <c:numCache>
                <c:formatCode>General</c:formatCode>
                <c:ptCount val="1"/>
                <c:pt idx="0">
                  <c:v>28.55</c:v>
                </c:pt>
              </c:numCache>
            </c:numRef>
          </c:xVal>
          <c:yVal>
            <c:numRef>
              <c:f>Hoja1!$C$110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1"/>
          <c:order val="1"/>
          <c:tx>
            <c:strRef>
              <c:f>Hoja1!$A$111</c:f>
              <c:strCache>
                <c:ptCount val="1"/>
                <c:pt idx="0">
                  <c:v>Vespertina</c:v>
                </c:pt>
              </c:strCache>
            </c:strRef>
          </c:tx>
          <c:spPr>
            <a:ln w="30680">
              <a:noFill/>
            </a:ln>
          </c:spPr>
          <c:marker>
            <c:symbol val="square"/>
            <c:size val="5"/>
            <c:spPr>
              <a:solidFill>
                <a:srgbClr val="969696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0.54333333333333333"/>
                  <c:y val="0"/>
                </c:manualLayout>
              </c:layout>
              <c:dLblPos val="r"/>
              <c:showCatName val="1"/>
            </c:dLbl>
            <c:spPr>
              <a:noFill/>
              <a:ln w="27271">
                <a:noFill/>
              </a:ln>
            </c:spPr>
            <c:txPr>
              <a:bodyPr/>
              <a:lstStyle/>
              <a:p>
                <a:pPr>
                  <a:defRPr sz="102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Hoja1!$B$111</c:f>
              <c:numCache>
                <c:formatCode>General</c:formatCode>
                <c:ptCount val="1"/>
                <c:pt idx="0">
                  <c:v>27.82</c:v>
                </c:pt>
              </c:numCache>
            </c:numRef>
          </c:xVal>
          <c:yVal>
            <c:numRef>
              <c:f>Hoja1!$C$111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ser>
          <c:idx val="2"/>
          <c:order val="2"/>
          <c:tx>
            <c:strRef>
              <c:f>Hoja1!$A$112</c:f>
              <c:strCache>
                <c:ptCount val="1"/>
                <c:pt idx="0">
                  <c:v>Nocturna</c:v>
                </c:pt>
              </c:strCache>
            </c:strRef>
          </c:tx>
          <c:spPr>
            <a:ln w="30680">
              <a:noFill/>
            </a:ln>
          </c:spPr>
          <c:marker>
            <c:symbol val="triangle"/>
            <c:size val="5"/>
            <c:spPr>
              <a:solidFill>
                <a:srgbClr val="C0C0C0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Mode val="edge"/>
                  <c:yMode val="edge"/>
                  <c:x val="7.3333333333333375E-2"/>
                  <c:y val="0"/>
                </c:manualLayout>
              </c:layout>
              <c:dLblPos val="r"/>
              <c:showCatName val="1"/>
            </c:dLbl>
            <c:spPr>
              <a:noFill/>
              <a:ln w="27271">
                <a:noFill/>
              </a:ln>
            </c:spPr>
            <c:txPr>
              <a:bodyPr/>
              <a:lstStyle/>
              <a:p>
                <a:pPr>
                  <a:defRPr sz="102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s-ES"/>
              </a:p>
            </c:txPr>
            <c:showCatName val="1"/>
          </c:dLbls>
          <c:xVal>
            <c:numRef>
              <c:f>Hoja1!$B$112</c:f>
              <c:numCache>
                <c:formatCode>General</c:formatCode>
                <c:ptCount val="1"/>
                <c:pt idx="0">
                  <c:v>26.130000000000006</c:v>
                </c:pt>
              </c:numCache>
            </c:numRef>
          </c:xVal>
          <c:yVal>
            <c:numRef>
              <c:f>Hoja1!$C$112</c:f>
              <c:numCache>
                <c:formatCode>General</c:formatCode>
                <c:ptCount val="1"/>
                <c:pt idx="0">
                  <c:v>0</c:v>
                </c:pt>
              </c:numCache>
            </c:numRef>
          </c:yVal>
        </c:ser>
        <c:dLbls>
          <c:showCatName val="1"/>
        </c:dLbls>
        <c:axId val="144276864"/>
        <c:axId val="144295040"/>
      </c:scatterChart>
      <c:valAx>
        <c:axId val="144276864"/>
        <c:scaling>
          <c:orientation val="minMax"/>
        </c:scaling>
        <c:axPos val="b"/>
        <c:numFmt formatCode="General" sourceLinked="1"/>
        <c:tickLblPos val="nextTo"/>
        <c:spPr>
          <a:ln w="340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s-ES"/>
          </a:p>
        </c:txPr>
        <c:crossAx val="144295040"/>
        <c:crosses val="autoZero"/>
        <c:crossBetween val="midCat"/>
      </c:valAx>
      <c:valAx>
        <c:axId val="144295040"/>
        <c:scaling>
          <c:orientation val="minMax"/>
        </c:scaling>
        <c:delete val="1"/>
        <c:axPos val="l"/>
        <c:numFmt formatCode="General" sourceLinked="1"/>
        <c:tickLblPos val="nextTo"/>
        <c:crossAx val="144276864"/>
        <c:crosses val="autoZero"/>
        <c:crossBetween val="midCat"/>
      </c:valAx>
      <c:spPr>
        <a:noFill/>
        <a:ln w="27271">
          <a:noFill/>
        </a:ln>
      </c:spPr>
    </c:plotArea>
    <c:legend>
      <c:legendPos val="b"/>
      <c:layout>
        <c:manualLayout>
          <c:xMode val="edge"/>
          <c:yMode val="edge"/>
          <c:x val="0.16000000000000003"/>
          <c:y val="0.7087378640776697"/>
          <c:w val="0.69000000000000028"/>
          <c:h val="0.21359223300970878"/>
        </c:manualLayout>
      </c:layout>
      <c:spPr>
        <a:solidFill>
          <a:srgbClr val="FFFFFF"/>
        </a:solidFill>
        <a:ln w="3409">
          <a:solidFill>
            <a:srgbClr val="000000"/>
          </a:solidFill>
          <a:prstDash val="solid"/>
        </a:ln>
      </c:spPr>
      <c:txPr>
        <a:bodyPr/>
        <a:lstStyle/>
        <a:p>
          <a:pPr>
            <a:defRPr sz="789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s-ES"/>
        </a:p>
      </c:txPr>
    </c:legend>
    <c:plotVisOnly val="1"/>
    <c:dispBlanksAs val="gap"/>
  </c:chart>
  <c:spPr>
    <a:solidFill>
      <a:srgbClr val="FFFFFF"/>
    </a:solidFill>
    <a:ln w="3409">
      <a:solidFill>
        <a:srgbClr val="000000"/>
      </a:solidFill>
      <a:prstDash val="solid"/>
    </a:ln>
  </c:spPr>
  <c:txPr>
    <a:bodyPr/>
    <a:lstStyle/>
    <a:p>
      <a:pPr>
        <a:defRPr sz="56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s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gráfico 4</vt:lpstr>
    </vt:vector>
  </TitlesOfParts>
  <Company>Ingeniería Estadística Informática</Company>
  <LinksUpToDate>false</LinksUpToDate>
  <CharactersWithSpaces>9632</CharactersWithSpaces>
  <SharedDoc>false</SharedDoc>
  <HLinks>
    <vt:vector size="24" baseType="variant">
      <vt:variant>
        <vt:i4>1835067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_Toc513942915</vt:lpwstr>
      </vt:variant>
      <vt:variant>
        <vt:i4>1835067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_Toc513942913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_Toc513942911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_Toc513942909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gráfico 4</dc:title>
  <dc:subject/>
  <dc:creator>Carlos Ronquillo Franco</dc:creator>
  <cp:keywords/>
  <dc:description/>
  <cp:lastModifiedBy>Ayudante</cp:lastModifiedBy>
  <cp:revision>2</cp:revision>
  <cp:lastPrinted>2001-05-29T04:15:00Z</cp:lastPrinted>
  <dcterms:created xsi:type="dcterms:W3CDTF">2009-06-29T18:41:00Z</dcterms:created>
  <dcterms:modified xsi:type="dcterms:W3CDTF">2009-06-29T18:41:00Z</dcterms:modified>
</cp:coreProperties>
</file>