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0739">
      <w:pPr>
        <w:pStyle w:val="Ttulo1"/>
        <w:numPr>
          <w:ilvl w:val="0"/>
          <w:numId w:val="0"/>
        </w:numPr>
        <w:jc w:val="center"/>
        <w:rPr>
          <w:b w:val="0"/>
          <w:sz w:val="24"/>
        </w:rPr>
      </w:pPr>
    </w:p>
    <w:p w:rsidR="00000000" w:rsidRDefault="00B70739">
      <w:pPr>
        <w:pStyle w:val="Ttulo1"/>
        <w:numPr>
          <w:ilvl w:val="0"/>
          <w:numId w:val="0"/>
        </w:numPr>
        <w:jc w:val="center"/>
        <w:rPr>
          <w:b w:val="0"/>
          <w:sz w:val="24"/>
        </w:rPr>
      </w:pPr>
    </w:p>
    <w:p w:rsidR="00000000" w:rsidRDefault="00B70739">
      <w:pPr>
        <w:pStyle w:val="Ttulo1"/>
        <w:numPr>
          <w:ilvl w:val="0"/>
          <w:numId w:val="0"/>
        </w:numPr>
        <w:jc w:val="center"/>
        <w:rPr>
          <w:b w:val="0"/>
          <w:sz w:val="24"/>
        </w:rPr>
      </w:pPr>
    </w:p>
    <w:p w:rsidR="00000000" w:rsidRDefault="00B70739">
      <w:pPr>
        <w:pStyle w:val="Ttulo1"/>
        <w:numPr>
          <w:ilvl w:val="0"/>
          <w:numId w:val="0"/>
        </w:numPr>
        <w:jc w:val="center"/>
        <w:rPr>
          <w:b w:val="0"/>
          <w:sz w:val="24"/>
        </w:rPr>
      </w:pPr>
    </w:p>
    <w:p w:rsidR="00000000" w:rsidRDefault="00B70739"/>
    <w:p w:rsidR="00000000" w:rsidRDefault="00B70739"/>
    <w:p w:rsidR="00000000" w:rsidRDefault="00B70739">
      <w:pPr>
        <w:pStyle w:val="Ttulo1"/>
        <w:numPr>
          <w:ilvl w:val="0"/>
          <w:numId w:val="0"/>
        </w:numPr>
        <w:jc w:val="center"/>
        <w:rPr>
          <w:sz w:val="48"/>
        </w:rPr>
      </w:pPr>
      <w:r>
        <w:rPr>
          <w:sz w:val="48"/>
        </w:rPr>
        <w:t>Conclusiones</w:t>
      </w:r>
    </w:p>
    <w:p w:rsidR="00000000" w:rsidRDefault="00B70739"/>
    <w:p w:rsidR="00000000" w:rsidRDefault="00B70739"/>
    <w:p w:rsidR="00000000" w:rsidRDefault="00B70739"/>
    <w:p w:rsidR="00000000" w:rsidRDefault="00B70739">
      <w:pPr>
        <w:pStyle w:val="Textoindependiente"/>
        <w:numPr>
          <w:ilvl w:val="0"/>
          <w:numId w:val="5"/>
        </w:numPr>
        <w:rPr>
          <w:lang w:val="es-EC"/>
        </w:rPr>
      </w:pPr>
      <w:r>
        <w:rPr>
          <w:lang w:val="es-EC"/>
        </w:rPr>
        <w:t xml:space="preserve">De acuerdo a los resultados obtenidos del análisis de varianza se concluye que la especialización del bachiller de los colegios fiscales urbanos del cantón Guayaquil afecta su calificación en el área de matemáticas y lenguaje, además </w:t>
      </w:r>
      <w:r>
        <w:rPr>
          <w:lang w:val="es-EC"/>
        </w:rPr>
        <w:t>se tiene que la jornada de estudio y el hecho de que el estudiante realice alguna actividad extra educativa no afecta su rendimiento académico en dichas áreas. Cabe indicar que el efecto combinado de los factores Especialización y Jornada de estudio sólo a</w:t>
      </w:r>
      <w:r>
        <w:rPr>
          <w:lang w:val="es-EC"/>
        </w:rPr>
        <w:t xml:space="preserve">fectan a la nota de matemáticas. </w:t>
      </w:r>
    </w:p>
    <w:p w:rsidR="00000000" w:rsidRDefault="00B70739">
      <w:pPr>
        <w:ind w:left="1134"/>
        <w:jc w:val="center"/>
        <w:rPr>
          <w:rFonts w:ascii="Arial" w:hAnsi="Arial"/>
          <w:b/>
        </w:rPr>
      </w:pPr>
    </w:p>
    <w:p w:rsidR="00000000" w:rsidRDefault="00B70739">
      <w:pPr>
        <w:ind w:left="1134"/>
        <w:jc w:val="center"/>
        <w:rPr>
          <w:rFonts w:ascii="Arial" w:hAnsi="Arial"/>
          <w:b/>
        </w:rPr>
      </w:pPr>
    </w:p>
    <w:p w:rsidR="00000000" w:rsidRDefault="00B70739">
      <w:pPr>
        <w:numPr>
          <w:ilvl w:val="0"/>
          <w:numId w:val="5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Siendo el análisis de componentes principales a partir de los datos estandarizados la mejor opción, el hecho de tener 14 componentes principales calculadas a partir de la matriz de correlación, hace que la técnica de com</w:t>
      </w:r>
      <w:r>
        <w:rPr>
          <w:rFonts w:ascii="Arial" w:hAnsi="Arial"/>
        </w:rPr>
        <w:t>ponentes principales no represente una buena alternativa para la reducción de datos.</w:t>
      </w:r>
    </w:p>
    <w:p w:rsidR="00000000" w:rsidRDefault="00B70739">
      <w:pPr>
        <w:pStyle w:val="Textoindepe"/>
        <w:rPr>
          <w:lang w:val="es-EC"/>
        </w:rPr>
      </w:pPr>
    </w:p>
    <w:p w:rsidR="00000000" w:rsidRDefault="00B70739">
      <w:pPr>
        <w:pStyle w:val="Textoindepe"/>
        <w:rPr>
          <w:lang w:val="es-EC"/>
        </w:rPr>
      </w:pPr>
    </w:p>
    <w:p w:rsidR="00000000" w:rsidRDefault="00B70739">
      <w:pPr>
        <w:numPr>
          <w:ilvl w:val="0"/>
          <w:numId w:val="5"/>
        </w:numPr>
        <w:tabs>
          <w:tab w:val="left" w:pos="426"/>
        </w:tabs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La correlación canónica del primer par de variables canónicas, formado por </w:t>
      </w:r>
      <w:r>
        <w:rPr>
          <w:rFonts w:ascii="Arial" w:hAnsi="Arial"/>
          <w:b/>
        </w:rPr>
        <w:t>U</w:t>
      </w:r>
      <w:r>
        <w:rPr>
          <w:rFonts w:ascii="Arial" w:hAnsi="Arial"/>
          <w:vertAlign w:val="subscript"/>
        </w:rPr>
        <w:t>1</w:t>
      </w:r>
      <w:r>
        <w:rPr>
          <w:rFonts w:ascii="Arial" w:hAnsi="Arial"/>
        </w:rPr>
        <w:t xml:space="preserve"> que se identifica con las variables de lenguaje y </w:t>
      </w:r>
      <w:r>
        <w:rPr>
          <w:rFonts w:ascii="Arial" w:hAnsi="Arial"/>
          <w:b/>
        </w:rPr>
        <w:t>V</w:t>
      </w:r>
      <w:r>
        <w:rPr>
          <w:rFonts w:ascii="Arial" w:hAnsi="Arial"/>
          <w:vertAlign w:val="subscript"/>
        </w:rPr>
        <w:t>1</w:t>
      </w:r>
      <w:r>
        <w:rPr>
          <w:rFonts w:ascii="Arial" w:hAnsi="Arial"/>
        </w:rPr>
        <w:t xml:space="preserve"> que se identifica con las variables de</w:t>
      </w:r>
      <w:r>
        <w:rPr>
          <w:rFonts w:ascii="Arial" w:hAnsi="Arial"/>
        </w:rPr>
        <w:t xml:space="preserve"> matemáticas es igual a 0.58; donde los coeficientes de las variables que en valor absoluto son altos corresponden a X</w:t>
      </w:r>
      <w:r>
        <w:rPr>
          <w:rFonts w:ascii="Arial" w:hAnsi="Arial"/>
          <w:vertAlign w:val="subscript"/>
        </w:rPr>
        <w:t>39</w:t>
      </w:r>
      <w:r>
        <w:rPr>
          <w:rFonts w:ascii="Arial" w:hAnsi="Arial"/>
        </w:rPr>
        <w:t>: Géneros literarios de la prosa y X</w:t>
      </w:r>
      <w:r>
        <w:rPr>
          <w:rFonts w:ascii="Arial" w:hAnsi="Arial"/>
          <w:vertAlign w:val="subscript"/>
        </w:rPr>
        <w:t>35</w:t>
      </w:r>
      <w:r>
        <w:rPr>
          <w:rFonts w:ascii="Arial" w:hAnsi="Arial"/>
        </w:rPr>
        <w:t xml:space="preserve">: Hiatos, para </w:t>
      </w:r>
      <w:r>
        <w:rPr>
          <w:rFonts w:ascii="Arial" w:hAnsi="Arial"/>
          <w:b/>
        </w:rPr>
        <w:t>U</w:t>
      </w:r>
      <w:r>
        <w:rPr>
          <w:rFonts w:ascii="Arial" w:hAnsi="Arial"/>
          <w:vertAlign w:val="subscript"/>
        </w:rPr>
        <w:t>1</w:t>
      </w:r>
      <w:r>
        <w:rPr>
          <w:rFonts w:ascii="Arial" w:hAnsi="Arial"/>
        </w:rPr>
        <w:t>, y las variables X</w:t>
      </w:r>
      <w:r>
        <w:rPr>
          <w:rFonts w:ascii="Arial" w:hAnsi="Arial"/>
          <w:vertAlign w:val="subscript"/>
        </w:rPr>
        <w:t>18</w:t>
      </w:r>
      <w:r>
        <w:rPr>
          <w:rFonts w:ascii="Arial" w:hAnsi="Arial"/>
        </w:rPr>
        <w:t xml:space="preserve">: Ecuación de </w:t>
      </w:r>
      <w:r>
        <w:rPr>
          <w:rFonts w:ascii="Arial" w:hAnsi="Arial"/>
        </w:rPr>
        <w:lastRenderedPageBreak/>
        <w:t>la circunferencia, Variable X</w:t>
      </w:r>
      <w:r>
        <w:rPr>
          <w:rFonts w:ascii="Arial" w:hAnsi="Arial"/>
          <w:vertAlign w:val="subscript"/>
        </w:rPr>
        <w:t>19</w:t>
      </w:r>
      <w:r>
        <w:rPr>
          <w:rFonts w:ascii="Arial" w:hAnsi="Arial"/>
        </w:rPr>
        <w:t>: Teorema de Pi</w:t>
      </w:r>
      <w:r>
        <w:rPr>
          <w:rFonts w:ascii="Arial" w:hAnsi="Arial"/>
        </w:rPr>
        <w:t>tágoras y trigonometría y Variable X</w:t>
      </w:r>
      <w:r>
        <w:rPr>
          <w:rFonts w:ascii="Arial" w:hAnsi="Arial"/>
          <w:vertAlign w:val="subscript"/>
        </w:rPr>
        <w:t>22</w:t>
      </w:r>
      <w:r>
        <w:rPr>
          <w:rFonts w:ascii="Arial" w:hAnsi="Arial"/>
        </w:rPr>
        <w:t xml:space="preserve">: Volumen para </w:t>
      </w:r>
      <w:r>
        <w:rPr>
          <w:rFonts w:ascii="Arial" w:hAnsi="Arial"/>
          <w:b/>
        </w:rPr>
        <w:t>V</w:t>
      </w:r>
      <w:r>
        <w:rPr>
          <w:rFonts w:ascii="Arial" w:hAnsi="Arial"/>
          <w:vertAlign w:val="subscript"/>
        </w:rPr>
        <w:t>1</w:t>
      </w:r>
      <w:r>
        <w:rPr>
          <w:rFonts w:ascii="Arial" w:hAnsi="Arial"/>
        </w:rPr>
        <w:t xml:space="preserve">. </w:t>
      </w:r>
    </w:p>
    <w:p w:rsidR="00000000" w:rsidRDefault="00B70739">
      <w:pPr>
        <w:pStyle w:val="Textoindepe"/>
        <w:tabs>
          <w:tab w:val="left" w:pos="426"/>
        </w:tabs>
        <w:rPr>
          <w:lang w:val="es-EC"/>
        </w:rPr>
      </w:pPr>
    </w:p>
    <w:p w:rsidR="00000000" w:rsidRDefault="00B70739">
      <w:pPr>
        <w:pStyle w:val="Textoindepe"/>
        <w:tabs>
          <w:tab w:val="left" w:pos="426"/>
        </w:tabs>
        <w:rPr>
          <w:lang w:val="es-EC"/>
        </w:rPr>
      </w:pPr>
    </w:p>
    <w:p w:rsidR="00000000" w:rsidRDefault="00B70739">
      <w:pPr>
        <w:numPr>
          <w:ilvl w:val="0"/>
          <w:numId w:val="5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La correlación canónica del primer par de variables canónicas, formado por </w:t>
      </w:r>
      <w:r>
        <w:rPr>
          <w:rFonts w:ascii="Arial" w:hAnsi="Arial"/>
          <w:b/>
        </w:rPr>
        <w:t>U</w:t>
      </w:r>
      <w:r>
        <w:rPr>
          <w:rFonts w:ascii="Arial" w:hAnsi="Arial"/>
          <w:vertAlign w:val="subscript"/>
        </w:rPr>
        <w:t>1</w:t>
      </w:r>
      <w:r>
        <w:rPr>
          <w:rFonts w:ascii="Arial" w:hAnsi="Arial"/>
        </w:rPr>
        <w:t xml:space="preserve"> que se identifica con las variables de lenguaje y </w:t>
      </w:r>
      <w:r>
        <w:rPr>
          <w:rFonts w:ascii="Arial" w:hAnsi="Arial"/>
          <w:b/>
        </w:rPr>
        <w:t>V</w:t>
      </w:r>
      <w:r>
        <w:rPr>
          <w:rFonts w:ascii="Arial" w:hAnsi="Arial"/>
          <w:vertAlign w:val="subscript"/>
        </w:rPr>
        <w:t>1</w:t>
      </w:r>
      <w:r>
        <w:rPr>
          <w:rFonts w:ascii="Arial" w:hAnsi="Arial"/>
        </w:rPr>
        <w:t xml:space="preserve"> que se identifica con las variables de matemáticas es igual a 0.4</w:t>
      </w:r>
      <w:r>
        <w:rPr>
          <w:rFonts w:ascii="Arial" w:hAnsi="Arial"/>
        </w:rPr>
        <w:t>9; donde los coeficientes de las variables que en valor absoluto son altos corresponden a las variables X</w:t>
      </w:r>
      <w:r>
        <w:rPr>
          <w:rFonts w:ascii="Arial" w:hAnsi="Arial"/>
          <w:vertAlign w:val="subscript"/>
        </w:rPr>
        <w:t>28</w:t>
      </w:r>
      <w:r>
        <w:rPr>
          <w:rFonts w:ascii="Arial" w:hAnsi="Arial"/>
        </w:rPr>
        <w:t>: Sujeto y X</w:t>
      </w:r>
      <w:r>
        <w:rPr>
          <w:rFonts w:ascii="Arial" w:hAnsi="Arial"/>
          <w:vertAlign w:val="subscript"/>
        </w:rPr>
        <w:t>31</w:t>
      </w:r>
      <w:r>
        <w:rPr>
          <w:rFonts w:ascii="Arial" w:hAnsi="Arial"/>
        </w:rPr>
        <w:t xml:space="preserve">: Corrección de errores, para </w:t>
      </w:r>
      <w:r>
        <w:rPr>
          <w:rFonts w:ascii="Arial" w:hAnsi="Arial"/>
          <w:b/>
        </w:rPr>
        <w:t>U</w:t>
      </w:r>
      <w:r>
        <w:rPr>
          <w:rFonts w:ascii="Arial" w:hAnsi="Arial"/>
          <w:vertAlign w:val="subscript"/>
        </w:rPr>
        <w:t>1</w:t>
      </w:r>
      <w:r>
        <w:rPr>
          <w:rFonts w:ascii="Arial" w:hAnsi="Arial"/>
        </w:rPr>
        <w:t>, y la variable X</w:t>
      </w:r>
      <w:r>
        <w:rPr>
          <w:rFonts w:ascii="Arial" w:hAnsi="Arial"/>
          <w:vertAlign w:val="subscript"/>
        </w:rPr>
        <w:t>17</w:t>
      </w:r>
      <w:r>
        <w:rPr>
          <w:rFonts w:ascii="Arial" w:hAnsi="Arial"/>
        </w:rPr>
        <w:t xml:space="preserve">: Sistemas de ecuaciones lineales para </w:t>
      </w:r>
      <w:r>
        <w:rPr>
          <w:rFonts w:ascii="Arial" w:hAnsi="Arial"/>
          <w:b/>
        </w:rPr>
        <w:t>V</w:t>
      </w:r>
      <w:r>
        <w:rPr>
          <w:rFonts w:ascii="Arial" w:hAnsi="Arial"/>
          <w:vertAlign w:val="subscript"/>
        </w:rPr>
        <w:t>1</w:t>
      </w:r>
      <w:r>
        <w:rPr>
          <w:rFonts w:ascii="Arial" w:hAnsi="Arial"/>
        </w:rPr>
        <w:t>.</w:t>
      </w:r>
    </w:p>
    <w:p w:rsidR="00000000" w:rsidRDefault="00B70739">
      <w:pPr>
        <w:pStyle w:val="Textoindepe"/>
        <w:tabs>
          <w:tab w:val="left" w:pos="426"/>
        </w:tabs>
        <w:rPr>
          <w:lang w:val="es-EC"/>
        </w:rPr>
      </w:pPr>
    </w:p>
    <w:p w:rsidR="00000000" w:rsidRDefault="00B70739">
      <w:pPr>
        <w:pStyle w:val="Textoindepe"/>
        <w:tabs>
          <w:tab w:val="left" w:pos="426"/>
        </w:tabs>
        <w:rPr>
          <w:lang w:val="es-EC"/>
        </w:rPr>
      </w:pPr>
    </w:p>
    <w:p w:rsidR="00000000" w:rsidRDefault="00B70739">
      <w:pPr>
        <w:numPr>
          <w:ilvl w:val="0"/>
          <w:numId w:val="5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De la matriz de correlación se tiene qu</w:t>
      </w:r>
      <w:r>
        <w:rPr>
          <w:rFonts w:ascii="Arial" w:hAnsi="Arial"/>
        </w:rPr>
        <w:t xml:space="preserve">e las variables División de polinomios, Potenciación de polinomios, Ecuación de la recta, Sistemas de ecuaciones lineales, Teorema de Pitágoras y trigonometría, están relacionadas linealmente  con la variable, Nota de matemáticas, es decir; mientras mayor </w:t>
      </w:r>
      <w:r>
        <w:rPr>
          <w:rFonts w:ascii="Arial" w:hAnsi="Arial"/>
        </w:rPr>
        <w:t>sea la capacidad del estudiante para alcanzar los niveles más altos de las variables mencionadas, mayor será su rendimiento en el área de matemáticas.</w:t>
      </w:r>
    </w:p>
    <w:p w:rsidR="00000000" w:rsidRDefault="00B70739">
      <w:pPr>
        <w:pStyle w:val="TDC2"/>
      </w:pPr>
    </w:p>
    <w:p w:rsidR="00000000" w:rsidRDefault="00B70739"/>
    <w:p w:rsidR="00000000" w:rsidRDefault="00B70739"/>
    <w:p w:rsidR="00000000" w:rsidRDefault="00B70739"/>
    <w:p w:rsidR="00000000" w:rsidRDefault="00B70739"/>
    <w:p w:rsidR="00000000" w:rsidRDefault="00B70739"/>
    <w:p w:rsidR="00000000" w:rsidRDefault="00B70739">
      <w:pPr>
        <w:numPr>
          <w:ilvl w:val="0"/>
          <w:numId w:val="5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 igual manera se concluye de la matriz de correlación que las variables Función de la palabra en </w:t>
      </w:r>
      <w:r>
        <w:rPr>
          <w:rFonts w:ascii="Arial" w:hAnsi="Arial"/>
        </w:rPr>
        <w:t xml:space="preserve">la oración, Sujeto, Predicado, Diptongo, Hiato, tiene relación directa con la variable Nota de lenguaje, es decir; que mientras mayor sea la capacidad del estudiante para alcanzar los niveles </w:t>
      </w:r>
      <w:r>
        <w:rPr>
          <w:rFonts w:ascii="Arial" w:hAnsi="Arial"/>
        </w:rPr>
        <w:lastRenderedPageBreak/>
        <w:t>más altos de las variables mencionadas, con seguridad mayor será</w:t>
      </w:r>
      <w:r>
        <w:rPr>
          <w:rFonts w:ascii="Arial" w:hAnsi="Arial"/>
        </w:rPr>
        <w:t xml:space="preserve"> su rendimiento en el área de lenguaje.</w:t>
      </w:r>
    </w:p>
    <w:p w:rsidR="00000000" w:rsidRDefault="00B70739">
      <w:pPr>
        <w:ind w:left="1134"/>
        <w:jc w:val="both"/>
        <w:rPr>
          <w:rFonts w:ascii="Arial" w:hAnsi="Arial"/>
          <w:b/>
        </w:rPr>
      </w:pPr>
    </w:p>
    <w:p w:rsidR="00000000" w:rsidRDefault="00B70739">
      <w:pPr>
        <w:ind w:left="1134"/>
        <w:jc w:val="both"/>
        <w:rPr>
          <w:rFonts w:ascii="Arial" w:hAnsi="Arial"/>
          <w:b/>
        </w:rPr>
      </w:pPr>
    </w:p>
    <w:p w:rsidR="00000000" w:rsidRDefault="00B70739">
      <w:pPr>
        <w:pStyle w:val="Sangra3detindependiente"/>
        <w:numPr>
          <w:ilvl w:val="0"/>
          <w:numId w:val="5"/>
        </w:numPr>
        <w:spacing w:line="480" w:lineRule="auto"/>
        <w:rPr>
          <w:lang w:val="es-EC"/>
        </w:rPr>
      </w:pPr>
      <w:r>
        <w:rPr>
          <w:lang w:val="es-EC"/>
        </w:rPr>
        <w:t>El 50.4% de los estudiantes del último año de bachillerato de los colegios fiscales urbanos del cantón Guayaquil pertenecen al sexo masculino y el 49.6% restante corresponde al sexo femenino.</w:t>
      </w:r>
    </w:p>
    <w:p w:rsidR="00000000" w:rsidRDefault="00B70739">
      <w:pPr>
        <w:pStyle w:val="TDC2"/>
      </w:pPr>
    </w:p>
    <w:p w:rsidR="00000000" w:rsidRDefault="00B70739"/>
    <w:p w:rsidR="00000000" w:rsidRDefault="00B70739">
      <w:pPr>
        <w:numPr>
          <w:ilvl w:val="0"/>
          <w:numId w:val="5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La edad promedio de </w:t>
      </w:r>
      <w:r>
        <w:rPr>
          <w:rFonts w:ascii="Arial" w:hAnsi="Arial"/>
        </w:rPr>
        <w:t xml:space="preserve">los estudiantes investigados a octubre del 2000 es 18,08 años. </w:t>
      </w:r>
    </w:p>
    <w:p w:rsidR="00000000" w:rsidRDefault="00B70739">
      <w:pPr>
        <w:jc w:val="both"/>
        <w:rPr>
          <w:rFonts w:ascii="Arial" w:hAnsi="Arial"/>
        </w:rPr>
      </w:pPr>
    </w:p>
    <w:p w:rsidR="00000000" w:rsidRDefault="00B70739">
      <w:pPr>
        <w:pStyle w:val="TDC2"/>
      </w:pPr>
    </w:p>
    <w:p w:rsidR="00000000" w:rsidRDefault="00B70739">
      <w:pPr>
        <w:pStyle w:val="Sangra3detindependiente"/>
        <w:numPr>
          <w:ilvl w:val="0"/>
          <w:numId w:val="5"/>
        </w:numPr>
        <w:tabs>
          <w:tab w:val="left" w:pos="2127"/>
          <w:tab w:val="left" w:pos="6096"/>
        </w:tabs>
        <w:spacing w:line="480" w:lineRule="auto"/>
        <w:rPr>
          <w:snapToGrid w:val="0"/>
          <w:lang w:val="es-EC"/>
        </w:rPr>
      </w:pPr>
      <w:r>
        <w:rPr>
          <w:snapToGrid w:val="0"/>
          <w:lang w:val="es-EC"/>
        </w:rPr>
        <w:t>De cada 100 estudiantes del último año de bachillerato pertenecientes a los colegios fiscales urbanos del cantón Guayaquil, el 23% de ellos realizan alguna actividad extra educativa.</w:t>
      </w:r>
    </w:p>
    <w:p w:rsidR="00000000" w:rsidRDefault="00B70739">
      <w:pPr>
        <w:pStyle w:val="Sangra3detindependiente"/>
        <w:tabs>
          <w:tab w:val="left" w:pos="2127"/>
          <w:tab w:val="left" w:pos="6096"/>
        </w:tabs>
        <w:rPr>
          <w:snapToGrid w:val="0"/>
          <w:lang w:val="es-EC"/>
        </w:rPr>
      </w:pPr>
    </w:p>
    <w:p w:rsidR="00000000" w:rsidRDefault="00B70739">
      <w:pPr>
        <w:pStyle w:val="Sangra3detindependiente"/>
        <w:tabs>
          <w:tab w:val="left" w:pos="2127"/>
          <w:tab w:val="left" w:pos="6096"/>
        </w:tabs>
        <w:rPr>
          <w:snapToGrid w:val="0"/>
          <w:lang w:val="es-EC"/>
        </w:rPr>
      </w:pPr>
    </w:p>
    <w:p w:rsidR="00000000" w:rsidRDefault="00B70739">
      <w:pPr>
        <w:pStyle w:val="Sangra3detindependiente"/>
        <w:numPr>
          <w:ilvl w:val="0"/>
          <w:numId w:val="5"/>
        </w:numPr>
        <w:tabs>
          <w:tab w:val="left" w:pos="2127"/>
          <w:tab w:val="left" w:pos="6096"/>
        </w:tabs>
        <w:spacing w:line="480" w:lineRule="auto"/>
        <w:rPr>
          <w:snapToGrid w:val="0"/>
          <w:lang w:val="es-EC"/>
        </w:rPr>
      </w:pPr>
      <w:r>
        <w:rPr>
          <w:snapToGrid w:val="0"/>
          <w:lang w:val="es-EC"/>
        </w:rPr>
        <w:t>La no</w:t>
      </w:r>
      <w:r>
        <w:rPr>
          <w:snapToGrid w:val="0"/>
          <w:lang w:val="es-EC"/>
        </w:rPr>
        <w:t xml:space="preserve">ta promedio de matemáticas es de 7,92 puntos sobre 100, la calificación máxima obtenida es de 56 y la mínima es 0 puntos. Se estima que el 66% de los estudiantes obtienen notas en el intervalo [0,10). </w:t>
      </w:r>
    </w:p>
    <w:p w:rsidR="00000000" w:rsidRDefault="00B70739">
      <w:pPr>
        <w:pStyle w:val="Sangra3detindependiente"/>
        <w:tabs>
          <w:tab w:val="left" w:pos="2127"/>
          <w:tab w:val="left" w:pos="6096"/>
        </w:tabs>
        <w:ind w:left="0"/>
        <w:rPr>
          <w:snapToGrid w:val="0"/>
          <w:lang w:val="es-EC"/>
        </w:rPr>
      </w:pPr>
    </w:p>
    <w:p w:rsidR="00000000" w:rsidRDefault="00B70739">
      <w:pPr>
        <w:pStyle w:val="Sangra3detindependiente"/>
        <w:tabs>
          <w:tab w:val="left" w:pos="2127"/>
          <w:tab w:val="left" w:pos="6096"/>
        </w:tabs>
        <w:ind w:left="0"/>
        <w:rPr>
          <w:snapToGrid w:val="0"/>
          <w:lang w:val="es-EC"/>
        </w:rPr>
      </w:pPr>
    </w:p>
    <w:p w:rsidR="00000000" w:rsidRDefault="00B70739">
      <w:pPr>
        <w:pStyle w:val="Sangra3detindependiente"/>
        <w:numPr>
          <w:ilvl w:val="0"/>
          <w:numId w:val="5"/>
        </w:numPr>
        <w:tabs>
          <w:tab w:val="left" w:pos="2127"/>
          <w:tab w:val="left" w:pos="6096"/>
        </w:tabs>
        <w:spacing w:line="480" w:lineRule="auto"/>
        <w:rPr>
          <w:snapToGrid w:val="0"/>
          <w:lang w:val="es-EC"/>
        </w:rPr>
      </w:pPr>
      <w:r>
        <w:rPr>
          <w:snapToGrid w:val="0"/>
          <w:lang w:val="es-EC"/>
        </w:rPr>
        <w:t xml:space="preserve">La nota promedio de lenguaje que se obtuvo a través </w:t>
      </w:r>
      <w:r>
        <w:rPr>
          <w:snapToGrid w:val="0"/>
          <w:lang w:val="es-EC"/>
        </w:rPr>
        <w:t>de las pruebas es de 54,42 puntos sobre 100,  la calificación máxima obtenida es de 91 y la mínima es de 3 puntos. Se estima que el 23% de los estudiantes obtienen notas en el intervalo [50,60).</w:t>
      </w:r>
    </w:p>
    <w:p w:rsidR="00000000" w:rsidRDefault="00B70739">
      <w:pPr>
        <w:pStyle w:val="Sangra3detindependiente"/>
        <w:tabs>
          <w:tab w:val="left" w:pos="2127"/>
          <w:tab w:val="left" w:pos="6096"/>
        </w:tabs>
        <w:ind w:left="0"/>
        <w:rPr>
          <w:snapToGrid w:val="0"/>
          <w:lang w:val="es-EC"/>
        </w:rPr>
      </w:pPr>
    </w:p>
    <w:p w:rsidR="00000000" w:rsidRDefault="00B70739">
      <w:pPr>
        <w:pStyle w:val="Sangra3detindependiente"/>
        <w:tabs>
          <w:tab w:val="left" w:pos="2127"/>
          <w:tab w:val="left" w:pos="6096"/>
        </w:tabs>
        <w:ind w:left="0"/>
        <w:rPr>
          <w:snapToGrid w:val="0"/>
          <w:lang w:val="es-EC"/>
        </w:rPr>
      </w:pPr>
    </w:p>
    <w:p w:rsidR="00000000" w:rsidRDefault="00B70739">
      <w:pPr>
        <w:pStyle w:val="Sangra3detindependiente"/>
        <w:numPr>
          <w:ilvl w:val="0"/>
          <w:numId w:val="5"/>
        </w:numPr>
        <w:tabs>
          <w:tab w:val="left" w:pos="2127"/>
          <w:tab w:val="left" w:pos="6096"/>
        </w:tabs>
        <w:spacing w:line="480" w:lineRule="auto"/>
        <w:rPr>
          <w:snapToGrid w:val="0"/>
          <w:lang w:val="es-EC"/>
        </w:rPr>
      </w:pPr>
      <w:r>
        <w:rPr>
          <w:snapToGrid w:val="0"/>
          <w:lang w:val="es-EC"/>
        </w:rPr>
        <w:lastRenderedPageBreak/>
        <w:t xml:space="preserve">Las preguntas utilizadas en el cuestionario de matemáticas </w:t>
      </w:r>
      <w:r>
        <w:rPr>
          <w:snapToGrid w:val="0"/>
          <w:lang w:val="es-EC"/>
        </w:rPr>
        <w:t xml:space="preserve">se encuentran sesgadas hacia la derecha, es decir; el mayor porcentaje de los estudiantes alcanzan las categorías más bajas de cada variable. </w:t>
      </w:r>
    </w:p>
    <w:p w:rsidR="00000000" w:rsidRDefault="00B70739">
      <w:pPr>
        <w:pStyle w:val="Sangra3detindependiente"/>
        <w:tabs>
          <w:tab w:val="left" w:pos="2127"/>
          <w:tab w:val="left" w:pos="6096"/>
        </w:tabs>
        <w:ind w:left="0"/>
        <w:rPr>
          <w:snapToGrid w:val="0"/>
          <w:lang w:val="es-EC"/>
        </w:rPr>
      </w:pPr>
    </w:p>
    <w:p w:rsidR="00000000" w:rsidRDefault="00B70739">
      <w:pPr>
        <w:pStyle w:val="Sangra3detindependiente"/>
        <w:tabs>
          <w:tab w:val="left" w:pos="2127"/>
          <w:tab w:val="left" w:pos="6096"/>
        </w:tabs>
        <w:ind w:left="0"/>
        <w:rPr>
          <w:snapToGrid w:val="0"/>
          <w:lang w:val="es-EC"/>
        </w:rPr>
      </w:pPr>
    </w:p>
    <w:p w:rsidR="00000000" w:rsidRDefault="00B70739">
      <w:pPr>
        <w:pStyle w:val="Textoindependiente"/>
        <w:numPr>
          <w:ilvl w:val="0"/>
          <w:numId w:val="5"/>
        </w:numPr>
        <w:rPr>
          <w:lang w:val="es-EC"/>
        </w:rPr>
      </w:pPr>
      <w:r>
        <w:rPr>
          <w:lang w:val="es-EC"/>
        </w:rPr>
        <w:t>Aproximadamente 99 estudiantes de cada 100 no está en capacidad de resolver algunos de los problemas propuestos</w:t>
      </w:r>
      <w:r>
        <w:rPr>
          <w:lang w:val="es-EC"/>
        </w:rPr>
        <w:t xml:space="preserve"> tales como los ejercicios de planteamiento en los que se utilizan sistemas de ecuaciones lineales, regla de tres compuesta o sucesiones, así también los problemas en los que se aplica conjuntos, desigualdades, identidades trigonométricas, área del trapeci</w:t>
      </w:r>
      <w:r>
        <w:rPr>
          <w:lang w:val="es-EC"/>
        </w:rPr>
        <w:t>o, y probabilidad.</w:t>
      </w:r>
    </w:p>
    <w:p w:rsidR="00000000" w:rsidRDefault="00B70739">
      <w:pPr>
        <w:pStyle w:val="Textoindependiente"/>
        <w:tabs>
          <w:tab w:val="left" w:pos="480"/>
        </w:tabs>
        <w:spacing w:line="240" w:lineRule="auto"/>
        <w:rPr>
          <w:lang w:val="es-EC"/>
        </w:rPr>
      </w:pPr>
      <w:r>
        <w:rPr>
          <w:lang w:val="es-EC"/>
        </w:rPr>
        <w:t xml:space="preserve"> </w:t>
      </w:r>
    </w:p>
    <w:p w:rsidR="00000000" w:rsidRDefault="00B70739">
      <w:pPr>
        <w:pStyle w:val="Textoindependiente"/>
        <w:tabs>
          <w:tab w:val="left" w:pos="480"/>
        </w:tabs>
        <w:spacing w:line="240" w:lineRule="auto"/>
        <w:rPr>
          <w:lang w:val="es-EC"/>
        </w:rPr>
      </w:pPr>
    </w:p>
    <w:p w:rsidR="00000000" w:rsidRDefault="00B70739">
      <w:pPr>
        <w:pStyle w:val="Textoindependiente"/>
        <w:numPr>
          <w:ilvl w:val="0"/>
          <w:numId w:val="5"/>
        </w:numPr>
        <w:rPr>
          <w:lang w:val="es-EC"/>
        </w:rPr>
      </w:pPr>
      <w:r>
        <w:rPr>
          <w:lang w:val="es-EC"/>
        </w:rPr>
        <w:t xml:space="preserve"> El área correspondiente a la teoría de funciones, es parte integral dentro de los conocimientos básicos que debe poseer el estudiante, sin embargo, el 59.8% no diferencian una función de una relación, así mismo, el 96.2% no está en c</w:t>
      </w:r>
      <w:r>
        <w:rPr>
          <w:lang w:val="es-EC"/>
        </w:rPr>
        <w:t>apacidad de graficar una función lineal ni cuadrática, por lo que se concluye que es notable la falta de conocimientos de este concepto.</w:t>
      </w:r>
    </w:p>
    <w:p w:rsidR="00000000" w:rsidRDefault="00B70739">
      <w:pPr>
        <w:pStyle w:val="Textoindependiente"/>
        <w:spacing w:line="240" w:lineRule="auto"/>
        <w:rPr>
          <w:lang w:val="es-EC"/>
        </w:rPr>
      </w:pPr>
    </w:p>
    <w:p w:rsidR="00000000" w:rsidRDefault="00B70739">
      <w:pPr>
        <w:pStyle w:val="Textoindependiente"/>
        <w:spacing w:line="240" w:lineRule="auto"/>
        <w:rPr>
          <w:lang w:val="es-EC"/>
        </w:rPr>
      </w:pPr>
    </w:p>
    <w:p w:rsidR="00000000" w:rsidRDefault="00B70739">
      <w:pPr>
        <w:pStyle w:val="Textoindependiente"/>
        <w:numPr>
          <w:ilvl w:val="0"/>
          <w:numId w:val="5"/>
        </w:numPr>
        <w:rPr>
          <w:lang w:val="es-EC"/>
        </w:rPr>
      </w:pPr>
      <w:r>
        <w:rPr>
          <w:lang w:val="es-EC"/>
        </w:rPr>
        <w:t>Sólo el 11% de los estudiantes de último año de bachillerato de colegios fiscales urbanos, están en capacidad de plan</w:t>
      </w:r>
      <w:r>
        <w:rPr>
          <w:lang w:val="es-EC"/>
        </w:rPr>
        <w:t>tear el problema propuesto con notación científica y de obtener la respuesta correctamente.</w:t>
      </w:r>
    </w:p>
    <w:p w:rsidR="00000000" w:rsidRDefault="00B70739">
      <w:pPr>
        <w:pStyle w:val="Textoindependiente"/>
        <w:spacing w:line="240" w:lineRule="auto"/>
        <w:rPr>
          <w:lang w:val="es-EC"/>
        </w:rPr>
      </w:pPr>
    </w:p>
    <w:p w:rsidR="00000000" w:rsidRDefault="00B70739">
      <w:pPr>
        <w:pStyle w:val="Textoindependiente"/>
        <w:spacing w:line="240" w:lineRule="auto"/>
        <w:rPr>
          <w:lang w:val="es-EC"/>
        </w:rPr>
      </w:pPr>
    </w:p>
    <w:p w:rsidR="00000000" w:rsidRDefault="00B70739">
      <w:pPr>
        <w:pStyle w:val="Textoindependiente"/>
        <w:numPr>
          <w:ilvl w:val="0"/>
          <w:numId w:val="5"/>
        </w:numPr>
        <w:rPr>
          <w:lang w:val="es-EC"/>
        </w:rPr>
      </w:pPr>
      <w:r>
        <w:rPr>
          <w:lang w:val="es-EC"/>
        </w:rPr>
        <w:t>El 93% de los estudiantes de último año de bachillerato de colegios fiscales urbanos no están en capacidad de determinar la ecuación de una recta. El 81% no resue</w:t>
      </w:r>
      <w:r>
        <w:rPr>
          <w:lang w:val="es-EC"/>
        </w:rPr>
        <w:t xml:space="preserve">lven problemas en los que se aplican sistemas de ecuaciones lineales. El 97% no determinan la ecuación de la circunferencia planteada. </w:t>
      </w:r>
    </w:p>
    <w:p w:rsidR="00000000" w:rsidRDefault="00B70739">
      <w:pPr>
        <w:pStyle w:val="Textoindependiente"/>
        <w:spacing w:line="240" w:lineRule="auto"/>
        <w:rPr>
          <w:lang w:val="es-EC"/>
        </w:rPr>
      </w:pPr>
    </w:p>
    <w:p w:rsidR="00000000" w:rsidRDefault="00B70739">
      <w:pPr>
        <w:pStyle w:val="Textoindependiente"/>
        <w:spacing w:line="240" w:lineRule="auto"/>
        <w:rPr>
          <w:lang w:val="es-EC"/>
        </w:rPr>
      </w:pPr>
    </w:p>
    <w:p w:rsidR="00000000" w:rsidRDefault="00B70739">
      <w:pPr>
        <w:pStyle w:val="Sangra3detindependiente"/>
        <w:numPr>
          <w:ilvl w:val="0"/>
          <w:numId w:val="5"/>
        </w:numPr>
        <w:tabs>
          <w:tab w:val="left" w:pos="2127"/>
          <w:tab w:val="left" w:pos="6096"/>
        </w:tabs>
        <w:spacing w:line="480" w:lineRule="auto"/>
        <w:rPr>
          <w:snapToGrid w:val="0"/>
          <w:lang w:val="es-EC"/>
        </w:rPr>
      </w:pPr>
      <w:r>
        <w:rPr>
          <w:snapToGrid w:val="0"/>
          <w:lang w:val="es-EC"/>
        </w:rPr>
        <w:t xml:space="preserve"> En su mayoría, las variables analizadas en el cuestionario de lenguaje se encuentran sesgadas hacia la izquierda, es </w:t>
      </w:r>
      <w:r>
        <w:rPr>
          <w:snapToGrid w:val="0"/>
          <w:lang w:val="es-EC"/>
        </w:rPr>
        <w:t>decir; el mayor porcentaje de los estudiantes alcanzan calificaciones aceptables, las únicas variables con sesgo positivo y cuyos valores son considerablemente altos son las relacionadas con los conocimientos para diferenciar una oración simple de una comp</w:t>
      </w:r>
      <w:r>
        <w:rPr>
          <w:snapToGrid w:val="0"/>
          <w:lang w:val="es-EC"/>
        </w:rPr>
        <w:t xml:space="preserve">uesta, así como los conocimientos necesarios para corregir errores, y los relacionados con los géneros literarios de la prosa.   </w:t>
      </w:r>
    </w:p>
    <w:p w:rsidR="00000000" w:rsidRDefault="00B70739">
      <w:pPr>
        <w:pStyle w:val="Sangra3detindependiente"/>
        <w:tabs>
          <w:tab w:val="left" w:pos="2127"/>
          <w:tab w:val="left" w:pos="6096"/>
        </w:tabs>
        <w:ind w:left="0"/>
        <w:rPr>
          <w:snapToGrid w:val="0"/>
          <w:lang w:val="es-EC"/>
        </w:rPr>
      </w:pPr>
    </w:p>
    <w:p w:rsidR="00000000" w:rsidRDefault="00B70739">
      <w:pPr>
        <w:pStyle w:val="Sangra3detindependiente"/>
        <w:tabs>
          <w:tab w:val="left" w:pos="2127"/>
          <w:tab w:val="left" w:pos="6096"/>
        </w:tabs>
        <w:ind w:left="0"/>
        <w:rPr>
          <w:snapToGrid w:val="0"/>
          <w:lang w:val="es-EC"/>
        </w:rPr>
      </w:pPr>
    </w:p>
    <w:p w:rsidR="00000000" w:rsidRDefault="00B70739">
      <w:pPr>
        <w:pStyle w:val="Textoindependiente"/>
        <w:numPr>
          <w:ilvl w:val="0"/>
          <w:numId w:val="5"/>
        </w:numPr>
        <w:rPr>
          <w:lang w:val="es-EC"/>
        </w:rPr>
      </w:pPr>
      <w:r>
        <w:rPr>
          <w:lang w:val="es-EC"/>
        </w:rPr>
        <w:t xml:space="preserve">Del nivel de conocimientos de los estudiantes del último año de bachillerato de los colegios de fiscales urbanos del cantón </w:t>
      </w:r>
      <w:r>
        <w:rPr>
          <w:lang w:val="es-EC"/>
        </w:rPr>
        <w:t>Guayaquil en lo concerniente al análisis gramatical, se estima que aproximadamente el 81% identifican correctamente sustantivos, artículos o verbos. El 42,3% determinan únicamente el sujeto en la oración, mientras que 36,6% determinan el predicado. El 77,8</w:t>
      </w:r>
      <w:r>
        <w:rPr>
          <w:lang w:val="es-EC"/>
        </w:rPr>
        <w:t>% de los estudiantes no distingue la oración simple de la compuesta.</w:t>
      </w:r>
    </w:p>
    <w:p w:rsidR="00000000" w:rsidRDefault="00B70739">
      <w:pPr>
        <w:pStyle w:val="Textoindependiente"/>
        <w:spacing w:line="240" w:lineRule="auto"/>
        <w:rPr>
          <w:lang w:val="es-EC"/>
        </w:rPr>
      </w:pPr>
    </w:p>
    <w:p w:rsidR="00000000" w:rsidRDefault="00B70739">
      <w:pPr>
        <w:pStyle w:val="Textoindependiente"/>
        <w:spacing w:line="240" w:lineRule="auto"/>
        <w:rPr>
          <w:lang w:val="es-EC"/>
        </w:rPr>
      </w:pPr>
    </w:p>
    <w:p w:rsidR="00000000" w:rsidRDefault="00B70739">
      <w:pPr>
        <w:pStyle w:val="Textoindependiente"/>
        <w:numPr>
          <w:ilvl w:val="0"/>
          <w:numId w:val="5"/>
        </w:numPr>
        <w:rPr>
          <w:lang w:val="es-EC"/>
        </w:rPr>
      </w:pPr>
      <w:r>
        <w:rPr>
          <w:lang w:val="es-EC"/>
        </w:rPr>
        <w:t>El 54,8% de los estudiantes que respondieron a los cuestionarios de lenguaje identifican todos los diptongos presentados, el 18,7% de reconocen todos los triptongos y el 46% de los estu</w:t>
      </w:r>
      <w:r>
        <w:rPr>
          <w:lang w:val="es-EC"/>
        </w:rPr>
        <w:t>diantes reconocen todos los hiatos planteados.</w:t>
      </w:r>
    </w:p>
    <w:p w:rsidR="00000000" w:rsidRDefault="00B70739">
      <w:pPr>
        <w:pStyle w:val="Textoindependiente"/>
        <w:spacing w:line="240" w:lineRule="auto"/>
        <w:rPr>
          <w:lang w:val="es-EC"/>
        </w:rPr>
      </w:pPr>
    </w:p>
    <w:p w:rsidR="00000000" w:rsidRDefault="00B70739">
      <w:pPr>
        <w:pStyle w:val="Textoindependiente"/>
        <w:spacing w:line="240" w:lineRule="auto"/>
        <w:rPr>
          <w:lang w:val="es-EC"/>
        </w:rPr>
      </w:pPr>
    </w:p>
    <w:p w:rsidR="00000000" w:rsidRDefault="00B70739">
      <w:pPr>
        <w:pStyle w:val="Textoindependiente"/>
        <w:numPr>
          <w:ilvl w:val="0"/>
          <w:numId w:val="5"/>
        </w:numPr>
        <w:rPr>
          <w:lang w:val="es-EC"/>
        </w:rPr>
      </w:pPr>
      <w:r>
        <w:rPr>
          <w:lang w:val="es-EC"/>
        </w:rPr>
        <w:t>El 45,8% de los estudiantes identifican correctamente tres o cuatro sinónimos de un total de cuatro y el 15,4% identifican correctamente tres o cuatro antónimos.</w:t>
      </w:r>
    </w:p>
    <w:p w:rsidR="00000000" w:rsidRDefault="00B70739">
      <w:pPr>
        <w:pStyle w:val="Textoindependiente"/>
        <w:spacing w:line="240" w:lineRule="auto"/>
        <w:rPr>
          <w:lang w:val="es-EC"/>
        </w:rPr>
      </w:pPr>
    </w:p>
    <w:p w:rsidR="00000000" w:rsidRDefault="00B70739">
      <w:pPr>
        <w:pStyle w:val="Textoindependiente"/>
        <w:spacing w:line="240" w:lineRule="auto"/>
        <w:rPr>
          <w:lang w:val="es-EC"/>
        </w:rPr>
      </w:pPr>
    </w:p>
    <w:p w:rsidR="00000000" w:rsidRDefault="00B70739">
      <w:pPr>
        <w:pStyle w:val="Textoindependiente"/>
        <w:numPr>
          <w:ilvl w:val="0"/>
          <w:numId w:val="5"/>
        </w:numPr>
        <w:rPr>
          <w:lang w:val="es-EC"/>
        </w:rPr>
      </w:pPr>
      <w:r>
        <w:rPr>
          <w:lang w:val="es-EC"/>
        </w:rPr>
        <w:t xml:space="preserve"> El 90.4% identifica correctamente el signi</w:t>
      </w:r>
      <w:r>
        <w:rPr>
          <w:lang w:val="es-EC"/>
        </w:rPr>
        <w:t>ficado de palabras a partir del contexto de una oración.</w:t>
      </w:r>
    </w:p>
    <w:p w:rsidR="00000000" w:rsidRDefault="00B70739">
      <w:pPr>
        <w:pStyle w:val="Textoindependiente"/>
        <w:spacing w:line="240" w:lineRule="auto"/>
        <w:rPr>
          <w:lang w:val="es-EC"/>
        </w:rPr>
      </w:pPr>
    </w:p>
    <w:p w:rsidR="00000000" w:rsidRDefault="00B70739">
      <w:pPr>
        <w:pStyle w:val="Textoindependiente"/>
        <w:spacing w:line="240" w:lineRule="auto"/>
        <w:rPr>
          <w:lang w:val="es-EC"/>
        </w:rPr>
      </w:pPr>
    </w:p>
    <w:p w:rsidR="00000000" w:rsidRDefault="00B70739">
      <w:pPr>
        <w:pStyle w:val="Textoindependiente"/>
        <w:numPr>
          <w:ilvl w:val="0"/>
          <w:numId w:val="5"/>
        </w:numPr>
        <w:rPr>
          <w:lang w:val="es-EC"/>
        </w:rPr>
      </w:pPr>
      <w:r>
        <w:rPr>
          <w:lang w:val="es-EC"/>
        </w:rPr>
        <w:t xml:space="preserve"> Por último en lo que refiere al área de literatura, el 18.4% identifica todos los géneros literarios de la prosa, el 69.7% identifica correctamente tres o cuatro autores y sus obras literarias. </w:t>
      </w:r>
    </w:p>
    <w:p w:rsidR="00000000" w:rsidRDefault="00B70739">
      <w:pPr>
        <w:pStyle w:val="Textoindependiente"/>
        <w:rPr>
          <w:lang w:val="es-EC"/>
        </w:rPr>
      </w:pPr>
    </w:p>
    <w:p w:rsidR="00000000" w:rsidRDefault="00B70739">
      <w:pPr>
        <w:tabs>
          <w:tab w:val="left" w:pos="1080"/>
        </w:tabs>
        <w:ind w:left="1134"/>
        <w:jc w:val="both"/>
        <w:rPr>
          <w:rFonts w:ascii="Arial" w:hAnsi="Arial"/>
          <w:b/>
        </w:rPr>
      </w:pPr>
    </w:p>
    <w:p w:rsidR="00000000" w:rsidRDefault="00B70739">
      <w:pPr>
        <w:tabs>
          <w:tab w:val="left" w:pos="1080"/>
        </w:tabs>
        <w:ind w:left="1134"/>
        <w:jc w:val="both"/>
        <w:rPr>
          <w:rFonts w:ascii="Arial" w:hAnsi="Arial"/>
          <w:b/>
        </w:rPr>
      </w:pPr>
    </w:p>
    <w:p w:rsidR="00000000" w:rsidRDefault="00B70739">
      <w:pPr>
        <w:pStyle w:val="Textoindependiente"/>
        <w:tabs>
          <w:tab w:val="left" w:pos="480"/>
        </w:tabs>
        <w:spacing w:line="240" w:lineRule="auto"/>
        <w:rPr>
          <w:b/>
          <w:color w:val="800000"/>
          <w:lang w:val="es-EC"/>
        </w:rPr>
      </w:pPr>
    </w:p>
    <w:p w:rsidR="00000000" w:rsidRDefault="00B70739">
      <w:pPr>
        <w:pStyle w:val="Textoindependiente"/>
        <w:tabs>
          <w:tab w:val="left" w:pos="480"/>
        </w:tabs>
        <w:spacing w:line="240" w:lineRule="auto"/>
        <w:rPr>
          <w:b/>
          <w:color w:val="800000"/>
          <w:lang w:val="es-EC"/>
        </w:rPr>
      </w:pPr>
    </w:p>
    <w:p w:rsidR="00000000" w:rsidRDefault="00B70739">
      <w:pPr>
        <w:pStyle w:val="Textoindependiente"/>
        <w:tabs>
          <w:tab w:val="left" w:pos="480"/>
        </w:tabs>
        <w:spacing w:line="240" w:lineRule="auto"/>
        <w:rPr>
          <w:b/>
          <w:color w:val="800000"/>
          <w:lang w:val="es-EC"/>
        </w:rPr>
      </w:pPr>
    </w:p>
    <w:p w:rsidR="00000000" w:rsidRDefault="00B70739">
      <w:pPr>
        <w:pStyle w:val="Textoindependiente"/>
        <w:tabs>
          <w:tab w:val="left" w:pos="480"/>
        </w:tabs>
        <w:spacing w:line="240" w:lineRule="auto"/>
        <w:rPr>
          <w:b/>
          <w:color w:val="800000"/>
          <w:lang w:val="es-EC"/>
        </w:rPr>
      </w:pPr>
    </w:p>
    <w:p w:rsidR="00000000" w:rsidRDefault="00B70739">
      <w:pPr>
        <w:pStyle w:val="Ttulo1"/>
        <w:numPr>
          <w:ilvl w:val="0"/>
          <w:numId w:val="0"/>
        </w:numPr>
        <w:jc w:val="center"/>
        <w:rPr>
          <w:sz w:val="24"/>
        </w:rPr>
      </w:pPr>
    </w:p>
    <w:p w:rsidR="00000000" w:rsidRDefault="00B70739">
      <w:pPr>
        <w:pStyle w:val="Ttulo1"/>
        <w:numPr>
          <w:ilvl w:val="0"/>
          <w:numId w:val="0"/>
        </w:numPr>
        <w:jc w:val="center"/>
        <w:rPr>
          <w:b w:val="0"/>
          <w:sz w:val="24"/>
        </w:rPr>
      </w:pPr>
    </w:p>
    <w:p w:rsidR="00000000" w:rsidRDefault="00B70739">
      <w:pPr>
        <w:pStyle w:val="Ttulo1"/>
        <w:numPr>
          <w:ilvl w:val="0"/>
          <w:numId w:val="0"/>
        </w:numPr>
        <w:jc w:val="center"/>
        <w:rPr>
          <w:b w:val="0"/>
          <w:sz w:val="24"/>
        </w:rPr>
      </w:pPr>
    </w:p>
    <w:p w:rsidR="00000000" w:rsidRDefault="00B70739">
      <w:pPr>
        <w:pStyle w:val="Ttulo1"/>
        <w:numPr>
          <w:ilvl w:val="0"/>
          <w:numId w:val="0"/>
        </w:numPr>
        <w:jc w:val="center"/>
        <w:rPr>
          <w:b w:val="0"/>
          <w:sz w:val="24"/>
        </w:rPr>
      </w:pPr>
    </w:p>
    <w:p w:rsidR="00000000" w:rsidRDefault="00B70739"/>
    <w:p w:rsidR="00000000" w:rsidRDefault="00B70739"/>
    <w:p w:rsidR="00000000" w:rsidRDefault="00B70739"/>
    <w:p w:rsidR="00000000" w:rsidRDefault="00B70739"/>
    <w:p w:rsidR="00000000" w:rsidRDefault="00B70739">
      <w:pPr>
        <w:pStyle w:val="Encabezado"/>
        <w:tabs>
          <w:tab w:val="clear" w:pos="0"/>
          <w:tab w:val="clear" w:pos="4251"/>
          <w:tab w:val="clear" w:pos="8504"/>
        </w:tabs>
        <w:rPr>
          <w:rFonts w:ascii="Times New Roman" w:hAnsi="Times New Roman"/>
          <w:lang w:val="es-EC"/>
        </w:rPr>
      </w:pPr>
    </w:p>
    <w:p w:rsidR="00000000" w:rsidRDefault="00B70739">
      <w:pPr>
        <w:pStyle w:val="Ttulo1"/>
        <w:numPr>
          <w:ilvl w:val="0"/>
          <w:numId w:val="0"/>
        </w:numPr>
        <w:jc w:val="center"/>
        <w:rPr>
          <w:sz w:val="48"/>
        </w:rPr>
      </w:pPr>
      <w:r>
        <w:rPr>
          <w:sz w:val="48"/>
        </w:rPr>
        <w:t>Recomendaciones</w:t>
      </w:r>
    </w:p>
    <w:p w:rsidR="00000000" w:rsidRDefault="00B70739"/>
    <w:p w:rsidR="00000000" w:rsidRDefault="00B70739"/>
    <w:p w:rsidR="00000000" w:rsidRDefault="00B70739">
      <w:pPr>
        <w:pStyle w:val="Textoindependiente"/>
        <w:numPr>
          <w:ilvl w:val="0"/>
          <w:numId w:val="4"/>
        </w:numPr>
        <w:rPr>
          <w:lang w:val="es-EC"/>
        </w:rPr>
      </w:pPr>
      <w:r>
        <w:rPr>
          <w:lang w:val="es-EC"/>
        </w:rPr>
        <w:t xml:space="preserve">Siendo consecuentes con el tipo de evaluación que se ha venido realizando en el desarrollo de los procesos escolares, es importante incentivar a los profesores para que realicen actividades que involucren los conocimientos </w:t>
      </w:r>
      <w:r>
        <w:rPr>
          <w:lang w:val="es-EC"/>
        </w:rPr>
        <w:t>adquiridos por los estudiantes en los años anteriores.</w:t>
      </w:r>
    </w:p>
    <w:p w:rsidR="00000000" w:rsidRDefault="00B70739">
      <w:pPr>
        <w:pStyle w:val="Textoindependiente"/>
        <w:rPr>
          <w:lang w:val="es-EC"/>
        </w:rPr>
      </w:pPr>
    </w:p>
    <w:p w:rsidR="00000000" w:rsidRDefault="00B70739">
      <w:pPr>
        <w:pStyle w:val="Textoindependiente"/>
        <w:numPr>
          <w:ilvl w:val="0"/>
          <w:numId w:val="4"/>
        </w:numPr>
        <w:rPr>
          <w:lang w:val="es-EC"/>
        </w:rPr>
      </w:pPr>
      <w:r>
        <w:rPr>
          <w:lang w:val="es-EC"/>
        </w:rPr>
        <w:t xml:space="preserve">Se recomienda también realizar evaluaciones periódicas en el año en curso, a fin de determinar el estado de los procesos educativos en pro del mejoramiento de los mismos. </w:t>
      </w:r>
    </w:p>
    <w:p w:rsidR="00000000" w:rsidRDefault="00B70739">
      <w:pPr>
        <w:pStyle w:val="Textoindependiente"/>
        <w:rPr>
          <w:lang w:val="es-EC"/>
        </w:rPr>
      </w:pPr>
    </w:p>
    <w:p w:rsidR="00000000" w:rsidRDefault="00B70739">
      <w:pPr>
        <w:pStyle w:val="Textoindependiente"/>
        <w:numPr>
          <w:ilvl w:val="0"/>
          <w:numId w:val="4"/>
        </w:numPr>
        <w:rPr>
          <w:lang w:val="es-EC"/>
        </w:rPr>
      </w:pPr>
      <w:r>
        <w:rPr>
          <w:lang w:val="es-EC"/>
        </w:rPr>
        <w:t>Se recomienda a las autorid</w:t>
      </w:r>
      <w:r>
        <w:rPr>
          <w:lang w:val="es-EC"/>
        </w:rPr>
        <w:t>ades encargadas de la educación que se aseguren que el bachiller reciba los conocimientos básicos de las dos áreas en estudio sin considerar su especialización.</w:t>
      </w:r>
    </w:p>
    <w:p w:rsidR="00000000" w:rsidRDefault="00B70739">
      <w:pPr>
        <w:pStyle w:val="Textoindependiente"/>
        <w:rPr>
          <w:lang w:val="es-EC"/>
        </w:rPr>
      </w:pPr>
    </w:p>
    <w:p w:rsidR="00000000" w:rsidRDefault="00B70739">
      <w:pPr>
        <w:pStyle w:val="Textoindependiente"/>
        <w:numPr>
          <w:ilvl w:val="0"/>
          <w:numId w:val="4"/>
        </w:numPr>
        <w:rPr>
          <w:color w:val="800000"/>
        </w:rPr>
      </w:pPr>
      <w:r>
        <w:rPr>
          <w:lang w:val="es-EC"/>
        </w:rPr>
        <w:t>Debido a la dependencia que existe en los temas representados por ciertas variables, se recomi</w:t>
      </w:r>
      <w:r>
        <w:rPr>
          <w:lang w:val="es-EC"/>
        </w:rPr>
        <w:t>enda que se dicten conjuntamente a fin de que el estudiante pueda relacionar los conocimientos requeridos por las variables.</w:t>
      </w:r>
    </w:p>
    <w:p w:rsidR="00000000" w:rsidRDefault="00B70739">
      <w:pPr>
        <w:pStyle w:val="Textoindependiente"/>
        <w:rPr>
          <w:color w:val="800000"/>
        </w:rPr>
      </w:pPr>
    </w:p>
    <w:p w:rsidR="00000000" w:rsidRDefault="00B70739">
      <w:pPr>
        <w:pStyle w:val="Textoindependiente"/>
        <w:numPr>
          <w:ilvl w:val="0"/>
          <w:numId w:val="4"/>
        </w:numPr>
      </w:pPr>
      <w:r>
        <w:rPr>
          <w:lang w:val="es-EC"/>
        </w:rPr>
        <w:t>S</w:t>
      </w:r>
      <w:r>
        <w:t xml:space="preserve">e recomienda a los profesores que se realicen lecturas comprensivas, donde no sólo se evalúe el nivel de comprensión del alumno, </w:t>
      </w:r>
      <w:r>
        <w:t xml:space="preserve">sino también el nivel analítico. </w:t>
      </w:r>
    </w:p>
    <w:p w:rsidR="00000000" w:rsidRDefault="00B70739">
      <w:pPr>
        <w:pStyle w:val="Textoindependiente"/>
      </w:pPr>
    </w:p>
    <w:p w:rsidR="00000000" w:rsidRDefault="00B70739">
      <w:pPr>
        <w:pStyle w:val="Textoindependiente"/>
        <w:numPr>
          <w:ilvl w:val="0"/>
          <w:numId w:val="4"/>
        </w:numPr>
      </w:pPr>
      <w:r>
        <w:t>Se recomienda al Ministerio de educación que no sólo realice pruebas, para conocer el nivel educativo en matemáticas y lenguaje; sino  que también apliquen otros cuestionarios para observar las causas del actual estado de</w:t>
      </w:r>
      <w:r>
        <w:t xml:space="preserve"> la educación.</w:t>
      </w:r>
    </w:p>
    <w:p w:rsidR="00000000" w:rsidRDefault="00B70739">
      <w:pPr>
        <w:pStyle w:val="Textoindependiente"/>
        <w:jc w:val="center"/>
        <w:outlineLvl w:val="0"/>
        <w:rPr>
          <w:lang w:val="es-EC"/>
        </w:rPr>
      </w:pPr>
    </w:p>
    <w:p w:rsidR="00B70739" w:rsidRDefault="00B70739"/>
    <w:sectPr w:rsidR="00B70739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egrit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 Negrit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964"/>
    <w:multiLevelType w:val="multilevel"/>
    <w:tmpl w:val="3FF6121C"/>
    <w:lvl w:ilvl="0">
      <w:start w:val="1"/>
      <w:numFmt w:val="decimal"/>
      <w:pStyle w:val="T1"/>
      <w:lvlText w:val="%1."/>
      <w:lvlJc w:val="left"/>
      <w:pPr>
        <w:tabs>
          <w:tab w:val="num" w:pos="567"/>
        </w:tabs>
        <w:ind w:left="567" w:hanging="567"/>
      </w:pPr>
      <w:rPr>
        <w:rFonts w:ascii="Arial Negrita" w:hAnsi="Arial Negrita" w:hint="default"/>
        <w:b/>
        <w:i w:val="0"/>
        <w:sz w:val="32"/>
      </w:rPr>
    </w:lvl>
    <w:lvl w:ilvl="1">
      <w:start w:val="1"/>
      <w:numFmt w:val="none"/>
      <w:lvlText w:val="1.4"/>
      <w:lvlJc w:val="left"/>
      <w:pPr>
        <w:tabs>
          <w:tab w:val="num" w:pos="1418"/>
        </w:tabs>
        <w:ind w:left="1418" w:hanging="709"/>
      </w:pPr>
      <w:rPr>
        <w:rFonts w:ascii="Arial Negrita" w:hAnsi="Arial Negrita" w:hint="default"/>
        <w:b/>
        <w:i w:val="0"/>
        <w:sz w:val="24"/>
      </w:rPr>
    </w:lvl>
    <w:lvl w:ilvl="2">
      <w:start w:val="1"/>
      <w:numFmt w:val="decimal"/>
      <w:lvlText w:val="%3.3.1."/>
      <w:lvlJc w:val="left"/>
      <w:pPr>
        <w:tabs>
          <w:tab w:val="num" w:pos="1418"/>
        </w:tabs>
        <w:ind w:left="1418" w:hanging="698"/>
      </w:pPr>
      <w:rPr>
        <w:rFonts w:ascii="Arial Negrita" w:hAnsi="Arial Negrita" w:hint="default"/>
        <w:b/>
        <w:i w:val="0"/>
        <w:sz w:val="24"/>
      </w:rPr>
    </w:lvl>
    <w:lvl w:ilvl="3">
      <w:start w:val="1"/>
      <w:numFmt w:val="decimal"/>
      <w:lvlText w:val="2.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51.7.2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>
    <w:nsid w:val="1C627F3F"/>
    <w:multiLevelType w:val="multilevel"/>
    <w:tmpl w:val="A240205E"/>
    <w:lvl w:ilvl="0">
      <w:start w:val="1"/>
      <w:numFmt w:val="decimal"/>
      <w:pStyle w:val="T3"/>
      <w:lvlText w:val="%1."/>
      <w:lvlJc w:val="left"/>
      <w:pPr>
        <w:tabs>
          <w:tab w:val="num" w:pos="567"/>
        </w:tabs>
        <w:ind w:left="567" w:hanging="567"/>
      </w:pPr>
      <w:rPr>
        <w:rFonts w:ascii="Arial Negrita" w:hAnsi="Arial Negrita" w:hint="default"/>
        <w:b/>
        <w:i w:val="0"/>
        <w:sz w:val="32"/>
      </w:rPr>
    </w:lvl>
    <w:lvl w:ilvl="1">
      <w:start w:val="1"/>
      <w:numFmt w:val="decimal"/>
      <w:lvlText w:val="1.%2"/>
      <w:lvlJc w:val="left"/>
      <w:pPr>
        <w:tabs>
          <w:tab w:val="num" w:pos="1418"/>
        </w:tabs>
        <w:ind w:left="1418" w:hanging="709"/>
      </w:pPr>
      <w:rPr>
        <w:rFonts w:ascii="Arial Negrita" w:hAnsi="Arial Negrita" w:hint="default"/>
        <w:b/>
        <w:i w:val="0"/>
        <w:sz w:val="24"/>
      </w:rPr>
    </w:lvl>
    <w:lvl w:ilvl="2">
      <w:start w:val="1"/>
      <w:numFmt w:val="decimal"/>
      <w:lvlText w:val="%3.3.1."/>
      <w:lvlJc w:val="left"/>
      <w:pPr>
        <w:tabs>
          <w:tab w:val="num" w:pos="1418"/>
        </w:tabs>
        <w:ind w:left="1418" w:hanging="698"/>
      </w:pPr>
      <w:rPr>
        <w:rFonts w:ascii="Arial Negrita" w:hAnsi="Arial Negrita" w:hint="default"/>
        <w:b/>
        <w:i w:val="0"/>
        <w:sz w:val="24"/>
      </w:rPr>
    </w:lvl>
    <w:lvl w:ilvl="3">
      <w:start w:val="1"/>
      <w:numFmt w:val="decimal"/>
      <w:lvlText w:val="2.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51.7.2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">
    <w:nsid w:val="1D795941"/>
    <w:multiLevelType w:val="multilevel"/>
    <w:tmpl w:val="834A54B8"/>
    <w:lvl w:ilvl="0">
      <w:start w:val="1"/>
      <w:numFmt w:val="decimal"/>
      <w:pStyle w:val="Ttulo1"/>
      <w:lvlText w:val="%1."/>
      <w:lvlJc w:val="left"/>
      <w:pPr>
        <w:tabs>
          <w:tab w:val="num" w:pos="567"/>
        </w:tabs>
        <w:ind w:left="567" w:hanging="567"/>
      </w:pPr>
      <w:rPr>
        <w:rFonts w:ascii="Arial Negrita" w:hAnsi="Arial Negrita" w:hint="default"/>
        <w:b/>
        <w:i w:val="0"/>
        <w:sz w:val="24"/>
      </w:rPr>
    </w:lvl>
    <w:lvl w:ilvl="1">
      <w:start w:val="1"/>
      <w:numFmt w:val="decimal"/>
      <w:lvlText w:val="1.%2."/>
      <w:lvlJc w:val="left"/>
      <w:pPr>
        <w:tabs>
          <w:tab w:val="num" w:pos="1418"/>
        </w:tabs>
        <w:ind w:left="1418" w:hanging="709"/>
      </w:pPr>
      <w:rPr>
        <w:rFonts w:ascii="Arial Negrita" w:hAnsi="Arial Negrita" w:hint="default"/>
        <w:b/>
        <w:i w:val="0"/>
        <w:sz w:val="24"/>
      </w:rPr>
    </w:lvl>
    <w:lvl w:ilvl="2">
      <w:start w:val="1"/>
      <w:numFmt w:val="none"/>
      <w:lvlText w:val="2.3.1."/>
      <w:lvlJc w:val="left"/>
      <w:pPr>
        <w:tabs>
          <w:tab w:val="num" w:pos="1418"/>
        </w:tabs>
        <w:ind w:left="1418" w:hanging="698"/>
      </w:pPr>
      <w:rPr>
        <w:rFonts w:ascii="Verdana Negrita" w:hAnsi="Verdana" w:hint="default"/>
        <w:b/>
        <w:i w:val="0"/>
        <w:sz w:val="20"/>
      </w:rPr>
    </w:lvl>
    <w:lvl w:ilvl="3">
      <w:start w:val="1"/>
      <w:numFmt w:val="decimal"/>
      <w:lvlText w:val="2.3.4.%4."/>
      <w:lvlJc w:val="left"/>
      <w:pPr>
        <w:tabs>
          <w:tab w:val="num" w:pos="1800"/>
        </w:tabs>
        <w:ind w:left="1728" w:hanging="648"/>
      </w:pPr>
    </w:lvl>
    <w:lvl w:ilvl="4">
      <w:start w:val="1"/>
      <w:numFmt w:val="none"/>
      <w:lvlText w:val="1.7.2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>
    <w:nsid w:val="367D09F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7552A1C"/>
    <w:multiLevelType w:val="singleLevel"/>
    <w:tmpl w:val="A650D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6C06414"/>
    <w:multiLevelType w:val="multilevel"/>
    <w:tmpl w:val="DFBCE42C"/>
    <w:lvl w:ilvl="0">
      <w:start w:val="1"/>
      <w:numFmt w:val="decimal"/>
      <w:lvlText w:val="%1"/>
      <w:lvlJc w:val="left"/>
      <w:pPr>
        <w:tabs>
          <w:tab w:val="num" w:pos="1418"/>
        </w:tabs>
        <w:ind w:left="1418" w:hanging="709"/>
      </w:pPr>
    </w:lvl>
    <w:lvl w:ilvl="1">
      <w:start w:val="1"/>
      <w:numFmt w:val="decimal"/>
      <w:lvlText w:val="1.%2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1.4.%3"/>
      <w:lvlJc w:val="left"/>
      <w:pPr>
        <w:tabs>
          <w:tab w:val="num" w:pos="1418"/>
        </w:tabs>
        <w:ind w:left="1418" w:hanging="709"/>
      </w:p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709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148BB"/>
    <w:rsid w:val="006148BB"/>
    <w:rsid w:val="00B7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lang w:val="es-EC"/>
    </w:rPr>
  </w:style>
  <w:style w:type="paragraph" w:styleId="Ttulo1">
    <w:name w:val="heading 1"/>
    <w:basedOn w:val="Normal"/>
    <w:next w:val="Normal"/>
    <w:qFormat/>
    <w:pPr>
      <w:widowControl w:val="0"/>
      <w:numPr>
        <w:numId w:val="1"/>
      </w:numPr>
      <w:jc w:val="both"/>
      <w:outlineLvl w:val="0"/>
    </w:pPr>
    <w:rPr>
      <w:rFonts w:ascii="Arial Negrita" w:hAnsi="Arial Negrita"/>
      <w:b/>
      <w:snapToGrid w:val="0"/>
      <w:sz w:val="32"/>
      <w:lang w:val="es-MX"/>
    </w:rPr>
  </w:style>
  <w:style w:type="paragraph" w:styleId="Ttulo3">
    <w:name w:val="heading 3"/>
    <w:basedOn w:val="Normal"/>
    <w:next w:val="Normal"/>
    <w:qFormat/>
    <w:pPr>
      <w:keepNext/>
      <w:widowControl w:val="0"/>
      <w:numPr>
        <w:ilvl w:val="2"/>
        <w:numId w:val="43"/>
      </w:numPr>
      <w:spacing w:before="240" w:after="60"/>
      <w:outlineLvl w:val="2"/>
    </w:pPr>
    <w:rPr>
      <w:rFonts w:ascii="Arial" w:hAnsi="Arial"/>
      <w:snapToGrid w:val="0"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43"/>
      </w:numPr>
      <w:spacing w:before="240" w:after="60"/>
      <w:outlineLvl w:val="3"/>
    </w:pPr>
    <w:rPr>
      <w:rFonts w:ascii="Arial" w:hAnsi="Arial"/>
      <w:b/>
      <w:snapToGrid w:val="0"/>
    </w:rPr>
  </w:style>
  <w:style w:type="paragraph" w:styleId="Ttulo5">
    <w:name w:val="heading 5"/>
    <w:basedOn w:val="Normal"/>
    <w:next w:val="Normal"/>
    <w:qFormat/>
    <w:pPr>
      <w:widowControl w:val="0"/>
      <w:numPr>
        <w:ilvl w:val="4"/>
        <w:numId w:val="43"/>
      </w:numPr>
      <w:spacing w:before="240" w:after="60"/>
      <w:outlineLvl w:val="4"/>
    </w:pPr>
    <w:rPr>
      <w:rFonts w:ascii="Times New Roman" w:hAnsi="Times New Roman"/>
      <w:snapToGrid w:val="0"/>
      <w:sz w:val="22"/>
    </w:rPr>
  </w:style>
  <w:style w:type="paragraph" w:styleId="Ttulo6">
    <w:name w:val="heading 6"/>
    <w:basedOn w:val="Normal"/>
    <w:next w:val="Normal"/>
    <w:qFormat/>
    <w:pPr>
      <w:widowControl w:val="0"/>
      <w:numPr>
        <w:ilvl w:val="5"/>
        <w:numId w:val="43"/>
      </w:numPr>
      <w:spacing w:before="240" w:after="60"/>
      <w:outlineLvl w:val="5"/>
    </w:pPr>
    <w:rPr>
      <w:rFonts w:ascii="Times New Roman" w:hAnsi="Times New Roman"/>
      <w:i/>
      <w:snapToGrid w:val="0"/>
      <w:sz w:val="22"/>
    </w:rPr>
  </w:style>
  <w:style w:type="paragraph" w:styleId="Ttulo7">
    <w:name w:val="heading 7"/>
    <w:basedOn w:val="Normal"/>
    <w:next w:val="Normal"/>
    <w:qFormat/>
    <w:pPr>
      <w:widowControl w:val="0"/>
      <w:numPr>
        <w:ilvl w:val="6"/>
        <w:numId w:val="43"/>
      </w:numPr>
      <w:spacing w:before="240" w:after="60"/>
      <w:outlineLvl w:val="6"/>
    </w:pPr>
    <w:rPr>
      <w:rFonts w:ascii="Arial" w:hAnsi="Arial"/>
      <w:snapToGrid w:val="0"/>
      <w:sz w:val="20"/>
    </w:rPr>
  </w:style>
  <w:style w:type="paragraph" w:styleId="Ttulo8">
    <w:name w:val="heading 8"/>
    <w:basedOn w:val="Normal"/>
    <w:next w:val="Normal"/>
    <w:qFormat/>
    <w:pPr>
      <w:widowControl w:val="0"/>
      <w:numPr>
        <w:ilvl w:val="7"/>
        <w:numId w:val="43"/>
      </w:numPr>
      <w:spacing w:before="240" w:after="60"/>
      <w:outlineLvl w:val="7"/>
    </w:pPr>
    <w:rPr>
      <w:rFonts w:ascii="Arial" w:hAnsi="Arial"/>
      <w:i/>
      <w:snapToGrid w:val="0"/>
      <w:sz w:val="20"/>
    </w:rPr>
  </w:style>
  <w:style w:type="paragraph" w:styleId="Ttulo9">
    <w:name w:val="heading 9"/>
    <w:basedOn w:val="Normal"/>
    <w:next w:val="Normal"/>
    <w:qFormat/>
    <w:pPr>
      <w:widowControl w:val="0"/>
      <w:numPr>
        <w:ilvl w:val="8"/>
        <w:numId w:val="43"/>
      </w:numPr>
      <w:spacing w:before="240" w:after="60"/>
      <w:outlineLvl w:val="8"/>
    </w:pPr>
    <w:rPr>
      <w:rFonts w:ascii="Arial" w:hAnsi="Arial"/>
      <w:b/>
      <w:i/>
      <w:snapToGrid w:val="0"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1">
    <w:name w:val="T1"/>
    <w:basedOn w:val="Ttulo1"/>
    <w:pPr>
      <w:numPr>
        <w:numId w:val="2"/>
      </w:numPr>
    </w:pPr>
    <w:rPr>
      <w:b w:val="0"/>
    </w:rPr>
  </w:style>
  <w:style w:type="paragraph" w:customStyle="1" w:styleId="T3">
    <w:name w:val="T3"/>
    <w:basedOn w:val="Normal"/>
    <w:pPr>
      <w:widowControl w:val="0"/>
      <w:numPr>
        <w:numId w:val="3"/>
      </w:numPr>
      <w:spacing w:before="240" w:after="60"/>
    </w:pPr>
    <w:rPr>
      <w:snapToGrid w:val="0"/>
      <w:lang/>
    </w:rPr>
  </w:style>
  <w:style w:type="paragraph" w:styleId="Textoindependiente">
    <w:name w:val="Body Text"/>
    <w:basedOn w:val="Normal"/>
    <w:semiHidden/>
    <w:pPr>
      <w:widowControl w:val="0"/>
      <w:spacing w:line="480" w:lineRule="auto"/>
      <w:jc w:val="both"/>
    </w:pPr>
    <w:rPr>
      <w:rFonts w:ascii="Arial" w:hAnsi="Arial"/>
      <w:snapToGrid w:val="0"/>
      <w:lang w:val="es-ES"/>
    </w:rPr>
  </w:style>
  <w:style w:type="paragraph" w:styleId="TDC2">
    <w:name w:val="toc 2"/>
    <w:basedOn w:val="Normal"/>
    <w:next w:val="Normal"/>
    <w:autoRedefine/>
    <w:semiHidden/>
    <w:pPr>
      <w:widowControl w:val="0"/>
      <w:tabs>
        <w:tab w:val="left" w:pos="840"/>
        <w:tab w:val="right" w:leader="dot" w:pos="8268"/>
      </w:tabs>
      <w:jc w:val="right"/>
    </w:pPr>
    <w:rPr>
      <w:rFonts w:ascii="Arial" w:hAnsi="Arial"/>
      <w:noProof/>
      <w:snapToGrid w:val="0"/>
      <w:sz w:val="22"/>
    </w:rPr>
  </w:style>
  <w:style w:type="paragraph" w:customStyle="1" w:styleId="Textoindepe">
    <w:name w:val="Texto indepe"/>
    <w:pPr>
      <w:widowControl w:val="0"/>
      <w:jc w:val="both"/>
    </w:pPr>
    <w:rPr>
      <w:rFonts w:ascii="Arial" w:hAnsi="Arial"/>
      <w:snapToGrid w:val="0"/>
      <w:sz w:val="24"/>
      <w:lang w:val="es-MX"/>
    </w:rPr>
  </w:style>
  <w:style w:type="paragraph" w:styleId="Encabezado">
    <w:name w:val="header"/>
    <w:basedOn w:val="Normal"/>
    <w:semiHidden/>
    <w:pPr>
      <w:widowControl w:val="0"/>
      <w:tabs>
        <w:tab w:val="left" w:pos="0"/>
        <w:tab w:val="center" w:pos="4251"/>
        <w:tab w:val="right" w:pos="8504"/>
      </w:tabs>
    </w:pPr>
    <w:rPr>
      <w:rFonts w:ascii="Arial" w:hAnsi="Arial"/>
      <w:snapToGrid w:val="0"/>
      <w:lang w:val="es-MX"/>
    </w:rPr>
  </w:style>
  <w:style w:type="paragraph" w:styleId="Sangra3detindependiente">
    <w:name w:val="Body Text Indent 3"/>
    <w:basedOn w:val="Normal"/>
    <w:semiHidden/>
    <w:pPr>
      <w:ind w:left="1134"/>
      <w:jc w:val="both"/>
    </w:pPr>
    <w:rPr>
      <w:rFonts w:ascii="Arial" w:hAnsi="Arial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1223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Conclusiones</vt:lpstr>
    </vt:vector>
  </TitlesOfParts>
  <Company>ORAMS S.A.</Company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Conclusiones</dc:title>
  <dc:subject/>
  <dc:creator>ING. LAURA PAREDES</dc:creator>
  <cp:keywords/>
  <cp:lastModifiedBy>Ayudante</cp:lastModifiedBy>
  <cp:revision>2</cp:revision>
  <dcterms:created xsi:type="dcterms:W3CDTF">2009-07-01T15:25:00Z</dcterms:created>
  <dcterms:modified xsi:type="dcterms:W3CDTF">2009-07-01T15:25:00Z</dcterms:modified>
</cp:coreProperties>
</file>