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B38">
      <w:pPr>
        <w:pStyle w:val="Piedepgina"/>
        <w:tabs>
          <w:tab w:val="clear" w:pos="4252"/>
          <w:tab w:val="clear" w:pos="8504"/>
        </w:tabs>
      </w:pPr>
    </w:p>
    <w:p w:rsidR="00000000" w:rsidRDefault="000C2B38"/>
    <w:p w:rsidR="00000000" w:rsidRDefault="000C2B38"/>
    <w:p w:rsidR="00000000" w:rsidRDefault="000C2B38"/>
    <w:p w:rsidR="00000000" w:rsidRDefault="000C2B38"/>
    <w:p w:rsidR="00000000" w:rsidRDefault="000C2B38"/>
    <w:p w:rsidR="00000000" w:rsidRDefault="000C2B38"/>
    <w:p w:rsidR="00000000" w:rsidRDefault="000C2B38">
      <w:pPr>
        <w:pStyle w:val="Ttulo4"/>
        <w:rPr>
          <w:rFonts w:ascii="Arial" w:hAnsi="Arial"/>
          <w:sz w:val="24"/>
        </w:rPr>
      </w:pPr>
      <w:r>
        <w:rPr>
          <w:rFonts w:ascii="Arial" w:hAnsi="Arial"/>
          <w:sz w:val="48"/>
        </w:rPr>
        <w:t>Capítulo 4</w:t>
      </w:r>
    </w:p>
    <w:p w:rsidR="00000000" w:rsidRDefault="000C2B38">
      <w:pPr>
        <w:jc w:val="both"/>
        <w:rPr>
          <w:rFonts w:ascii="Arial" w:hAnsi="Arial"/>
          <w:sz w:val="24"/>
        </w:rPr>
      </w:pPr>
    </w:p>
    <w:p w:rsidR="00000000" w:rsidRDefault="000C2B38">
      <w:pPr>
        <w:jc w:val="both"/>
        <w:rPr>
          <w:rFonts w:ascii="Arial" w:hAnsi="Arial"/>
          <w:sz w:val="24"/>
        </w:rPr>
      </w:pPr>
    </w:p>
    <w:p w:rsidR="00000000" w:rsidRDefault="000C2B38">
      <w:pPr>
        <w:jc w:val="both"/>
        <w:rPr>
          <w:rFonts w:ascii="Arial" w:hAnsi="Arial"/>
          <w:sz w:val="24"/>
        </w:rPr>
      </w:pPr>
    </w:p>
    <w:p w:rsidR="00000000" w:rsidRDefault="000C2B38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32"/>
          <w:lang w:val="es-MX"/>
        </w:rPr>
        <w:t xml:space="preserve">   Prueba de Hipótesis</w:t>
      </w:r>
    </w:p>
    <w:p w:rsidR="00000000" w:rsidRDefault="000C2B38">
      <w:pPr>
        <w:pStyle w:val="Ttulo3"/>
        <w:spacing w:line="240" w:lineRule="auto"/>
        <w:jc w:val="both"/>
      </w:pPr>
    </w:p>
    <w:p w:rsidR="00000000" w:rsidRDefault="000C2B38">
      <w:pPr>
        <w:pStyle w:val="Ttulo3"/>
        <w:spacing w:line="240" w:lineRule="auto"/>
        <w:jc w:val="both"/>
      </w:pPr>
    </w:p>
    <w:p w:rsidR="00000000" w:rsidRDefault="000C2B38">
      <w:pPr>
        <w:pStyle w:val="Ttulo3"/>
        <w:spacing w:line="240" w:lineRule="auto"/>
        <w:jc w:val="both"/>
      </w:pPr>
    </w:p>
    <w:p w:rsidR="00000000" w:rsidRDefault="000C2B38"/>
    <w:p w:rsidR="00000000" w:rsidRDefault="000C2B38">
      <w:pPr>
        <w:pStyle w:val="Ttulo3"/>
        <w:ind w:left="708"/>
        <w:jc w:val="both"/>
      </w:pPr>
      <w:r>
        <w:t>Este capítulo consta de 3 secciones, la primera sección da una breve explicación de los procedimientos estadísticos para realizar nuestras pruebas de hipótesis, la segunda sección concierne a los resultados o</w:t>
      </w:r>
      <w:r>
        <w:t>btenidos con la prueba de Bondad de Ajuste de Kolmogorov-Smirnov y la tercera sección concierne a los resultados obtenidos con la prueba de Levene.</w:t>
      </w:r>
    </w:p>
    <w:p w:rsidR="00000000" w:rsidRDefault="000C2B38">
      <w:pPr>
        <w:pStyle w:val="Ttulo3"/>
        <w:ind w:left="360"/>
        <w:jc w:val="both"/>
      </w:pPr>
    </w:p>
    <w:p w:rsidR="00000000" w:rsidRDefault="000C2B38">
      <w:pPr>
        <w:ind w:left="360"/>
        <w:jc w:val="both"/>
      </w:pPr>
    </w:p>
    <w:p w:rsidR="00000000" w:rsidRDefault="000C2B38">
      <w:pPr>
        <w:spacing w:line="480" w:lineRule="auto"/>
        <w:jc w:val="both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4.1     Explicación de los procedimientos estadísticos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Normalidad es la suposición más fundamental en aná</w:t>
      </w:r>
      <w:r>
        <w:rPr>
          <w:rFonts w:ascii="Arial" w:hAnsi="Arial"/>
          <w:sz w:val="24"/>
        </w:rPr>
        <w:t>lisis multivariante, se refiere a la forma de la distribución de la información comparada con la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napToGrid w:val="0"/>
          <w:color w:val="000000"/>
          <w:sz w:val="24"/>
        </w:rPr>
        <w:lastRenderedPageBreak/>
        <w:t>Homogeneidad</w:t>
      </w:r>
      <w:r>
        <w:rPr>
          <w:rFonts w:ascii="Arial" w:hAnsi="Arial"/>
          <w:sz w:val="24"/>
        </w:rPr>
        <w:t xml:space="preserve"> es una suposición relacionada primariamente con la relación de dependencia entre variables.  Se refiere a la suposición que </w:t>
      </w:r>
      <w:r>
        <w:rPr>
          <w:rFonts w:ascii="Arial" w:hAnsi="Arial"/>
          <w:sz w:val="24"/>
        </w:rPr>
        <w:t>la variable dependiente exhibe igual nivel de varianza alrededor de la variable predecible.  H</w:t>
      </w:r>
      <w:r>
        <w:rPr>
          <w:rFonts w:ascii="Arial" w:hAnsi="Arial"/>
          <w:snapToGrid w:val="0"/>
          <w:color w:val="000000"/>
          <w:sz w:val="24"/>
        </w:rPr>
        <w:t>omogeneidad</w:t>
      </w:r>
      <w:r>
        <w:rPr>
          <w:rFonts w:ascii="Arial" w:hAnsi="Arial"/>
          <w:sz w:val="24"/>
        </w:rPr>
        <w:t xml:space="preserve"> es deseable porque la varianza de la variable dependiente comienza a ser explicada en la relación que no debería ser concentrada en un limitado rango </w:t>
      </w:r>
      <w:r>
        <w:rPr>
          <w:rFonts w:ascii="Arial" w:hAnsi="Arial"/>
          <w:sz w:val="24"/>
        </w:rPr>
        <w:t xml:space="preserve">de valores dependientes.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Las variables son examinadas para poder aplicar alguna técnica de análisis multivariante como por ejemplo:  Análisis de Regresión Múltiple, Componentes principales, etc.</w:t>
      </w:r>
    </w:p>
    <w:p w:rsidR="00000000" w:rsidRDefault="000C2B38">
      <w:pPr>
        <w:pStyle w:val="Sangradetextonormal"/>
      </w:pPr>
    </w:p>
    <w:p w:rsidR="00000000" w:rsidRDefault="000C2B38">
      <w:pPr>
        <w:pStyle w:val="Sangradetextonormal"/>
      </w:pPr>
      <w:r>
        <w:t>Una hipótesis estadística es una afirmación o conjetura ac</w:t>
      </w:r>
      <w:r>
        <w:t xml:space="preserve">erca de los parámetros de la distribución de una o más variables aleatorias, pero algunas veces también conciernen al tipo, o naturaleza, de las distribuciones mismas.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elementos de una prueba estadística son:</w:t>
      </w:r>
    </w:p>
    <w:p w:rsidR="00000000" w:rsidRDefault="000C2B38">
      <w:pPr>
        <w:numPr>
          <w:ilvl w:val="0"/>
          <w:numId w:val="3"/>
        </w:numPr>
        <w:tabs>
          <w:tab w:val="clear" w:pos="360"/>
          <w:tab w:val="num" w:pos="1776"/>
        </w:tabs>
        <w:spacing w:line="480" w:lineRule="auto"/>
        <w:ind w:left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hipótesis nula, H</w:t>
      </w:r>
      <w:r>
        <w:rPr>
          <w:rFonts w:ascii="Arial" w:hAnsi="Arial"/>
          <w:sz w:val="24"/>
          <w:vertAlign w:val="subscript"/>
        </w:rPr>
        <w:t>0</w:t>
      </w:r>
    </w:p>
    <w:p w:rsidR="00000000" w:rsidRDefault="000C2B38">
      <w:pPr>
        <w:numPr>
          <w:ilvl w:val="0"/>
          <w:numId w:val="3"/>
        </w:numPr>
        <w:tabs>
          <w:tab w:val="clear" w:pos="360"/>
          <w:tab w:val="num" w:pos="1776"/>
        </w:tabs>
        <w:spacing w:line="480" w:lineRule="auto"/>
        <w:ind w:left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hipótesis altern</w:t>
      </w:r>
      <w:r>
        <w:rPr>
          <w:rFonts w:ascii="Arial" w:hAnsi="Arial"/>
          <w:sz w:val="24"/>
        </w:rPr>
        <w:t>ativa, H</w:t>
      </w:r>
      <w:r>
        <w:rPr>
          <w:rFonts w:ascii="Arial" w:hAnsi="Arial"/>
          <w:sz w:val="24"/>
          <w:vertAlign w:val="subscript"/>
        </w:rPr>
        <w:t>a</w:t>
      </w:r>
    </w:p>
    <w:p w:rsidR="00000000" w:rsidRDefault="000C2B38">
      <w:pPr>
        <w:numPr>
          <w:ilvl w:val="0"/>
          <w:numId w:val="3"/>
        </w:numPr>
        <w:tabs>
          <w:tab w:val="clear" w:pos="360"/>
          <w:tab w:val="num" w:pos="1776"/>
        </w:tabs>
        <w:spacing w:line="480" w:lineRule="auto"/>
        <w:ind w:left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estadístico de la prueba</w:t>
      </w:r>
    </w:p>
    <w:p w:rsidR="00000000" w:rsidRDefault="000C2B38">
      <w:pPr>
        <w:numPr>
          <w:ilvl w:val="0"/>
          <w:numId w:val="3"/>
        </w:numPr>
        <w:tabs>
          <w:tab w:val="clear" w:pos="360"/>
          <w:tab w:val="num" w:pos="1776"/>
        </w:tabs>
        <w:spacing w:line="480" w:lineRule="auto"/>
        <w:ind w:left="17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región de rechazo</w:t>
      </w:r>
    </w:p>
    <w:p w:rsidR="00000000" w:rsidRDefault="000C2B38">
      <w:pPr>
        <w:spacing w:line="480" w:lineRule="auto"/>
        <w:ind w:left="1056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Prueba de Bondad de Ajuste de Kolmogorov-Smirnov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extoindependiente"/>
        <w:ind w:left="708"/>
        <w:jc w:val="both"/>
      </w:pPr>
      <w:r>
        <w:t>Esta prueba se utiliza para probar hipótesis acerca de la distribución de la población, de la cual se extrae una variable aleatoria.  La hipótesis</w:t>
      </w:r>
      <w:r>
        <w:t xml:space="preserve"> nula para la prueba de bondad de ajuste es que la distribución de la población es una distribución dada frente a la alternativa de que los datos no se ajustan a la distribución dada.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esta prueba consideremos lo siguiente: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se tiene una muestra de v</w:t>
      </w:r>
      <w:r>
        <w:rPr>
          <w:rFonts w:ascii="Arial" w:hAnsi="Arial"/>
          <w:sz w:val="24"/>
        </w:rPr>
        <w:t>ariables aleatorias X:x</w:t>
      </w:r>
      <w:r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</w:rPr>
        <w:t>, x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x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, . . ., x</w:t>
      </w:r>
      <w:r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 xml:space="preserve"> se define la función de distribución empírica de la muestra: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tbl>
      <w:tblPr>
        <w:tblW w:w="0" w:type="auto"/>
        <w:tblInd w:w="2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3"/>
        <w:gridCol w:w="87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166.95pt;margin-top:3pt;width:7.2pt;height:122.4pt;z-index:251657728" o:allowincell="f"/>
              </w:pict>
            </w:r>
          </w:p>
        </w:tc>
        <w:tc>
          <w:tcPr>
            <w:tcW w:w="875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984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position w:val="-14"/>
                <w:sz w:val="24"/>
              </w:rPr>
              <w:object w:dxaOrig="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8.75pt" o:ole="" fillcolor="window">
                  <v:imagedata r:id="rId7" o:title=""/>
                </v:shape>
                <o:OLEObject Type="Embed" ProgID="Equation.3" ShapeID="_x0000_i1025" DrawAspect="Content" ObjectID="_1308031120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position w:val="-12"/>
                <w:sz w:val="24"/>
              </w:rPr>
              <w:object w:dxaOrig="780" w:dyaOrig="360">
                <v:shape id="_x0000_i1026" type="#_x0000_t75" style="width:39pt;height:18pt" o:ole="" fillcolor="window">
                  <v:imagedata r:id="rId9" o:title=""/>
                </v:shape>
                <o:OLEObject Type="Embed" ProgID="Equation.3" ShapeID="_x0000_i1026" DrawAspect="Content" ObjectID="_1308031121" r:id="rId10"/>
              </w:object>
            </w: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875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position w:val="-24"/>
                <w:sz w:val="24"/>
              </w:rPr>
              <w:object w:dxaOrig="480" w:dyaOrig="620">
                <v:shape id="_x0000_i1027" type="#_x0000_t75" style="width:24pt;height:30.75pt" o:ole="" fillcolor="window">
                  <v:imagedata r:id="rId11" o:title=""/>
                </v:shape>
                <o:OLEObject Type="Embed" ProgID="Equation.3" ShapeID="_x0000_i1027" DrawAspect="Content" ObjectID="_1308031122" r:id="rId12"/>
              </w:object>
            </w:r>
          </w:p>
        </w:tc>
        <w:tc>
          <w:tcPr>
            <w:tcW w:w="1984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position w:val="-14"/>
                <w:sz w:val="24"/>
              </w:rPr>
              <w:object w:dxaOrig="1600" w:dyaOrig="380">
                <v:shape id="_x0000_i1028" type="#_x0000_t75" style="width:80.25pt;height:18.75pt" o:ole="" fillcolor="window">
                  <v:imagedata r:id="rId13" o:title=""/>
                </v:shape>
                <o:OLEObject Type="Embed" ProgID="Equation.3" ShapeID="_x0000_i1028" DrawAspect="Content" ObjectID="_1308031123" r:id="rId14"/>
              </w:object>
            </w:r>
          </w:p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para </w:t>
            </w:r>
            <w:r>
              <w:rPr>
                <w:rFonts w:ascii="Arial" w:hAnsi="Arial"/>
                <w:position w:val="-10"/>
                <w:sz w:val="24"/>
              </w:rPr>
              <w:object w:dxaOrig="1100" w:dyaOrig="320">
                <v:shape id="_x0000_i1029" type="#_x0000_t75" style="width:54.75pt;height:15.75pt" o:ole="" fillcolor="window">
                  <v:imagedata r:id="rId15" o:title=""/>
                </v:shape>
                <o:OLEObject Type="Embed" ProgID="Equation.3" ShapeID="_x0000_i1029" DrawAspect="Content" ObjectID="_1308031124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75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984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position w:val="-14"/>
                <w:sz w:val="24"/>
              </w:rPr>
              <w:object w:dxaOrig="840" w:dyaOrig="380">
                <v:shape id="_x0000_i1030" type="#_x0000_t75" style="width:42pt;height:18.75pt" o:ole="" fillcolor="window">
                  <v:imagedata r:id="rId17" o:title=""/>
                </v:shape>
                <o:OLEObject Type="Embed" ProgID="Equation.3" ShapeID="_x0000_i1030" DrawAspect="Content" ObjectID="_1308031125" r:id="rId18"/>
              </w:objec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Donde x</w:t>
      </w:r>
      <w:r>
        <w:rPr>
          <w:rFonts w:ascii="Arial" w:hAnsi="Arial"/>
          <w:sz w:val="24"/>
          <w:vertAlign w:val="subscript"/>
        </w:rPr>
        <w:t>(1)</w:t>
      </w:r>
      <w:r>
        <w:rPr>
          <w:rFonts w:ascii="Arial" w:hAnsi="Arial"/>
          <w:sz w:val="24"/>
        </w:rPr>
        <w:t>, x</w:t>
      </w:r>
      <w:r>
        <w:rPr>
          <w:rFonts w:ascii="Arial" w:hAnsi="Arial"/>
          <w:sz w:val="24"/>
          <w:vertAlign w:val="subscript"/>
        </w:rPr>
        <w:t>(2)</w:t>
      </w:r>
      <w:r>
        <w:rPr>
          <w:rFonts w:ascii="Arial" w:hAnsi="Arial"/>
          <w:sz w:val="24"/>
        </w:rPr>
        <w:t>, x</w:t>
      </w:r>
      <w:r>
        <w:rPr>
          <w:rFonts w:ascii="Arial" w:hAnsi="Arial"/>
          <w:sz w:val="24"/>
          <w:vertAlign w:val="subscript"/>
        </w:rPr>
        <w:t>(3)</w:t>
      </w:r>
      <w:r>
        <w:rPr>
          <w:rFonts w:ascii="Arial" w:hAnsi="Arial"/>
          <w:sz w:val="24"/>
        </w:rPr>
        <w:t>, . . ., x</w:t>
      </w:r>
      <w:r>
        <w:rPr>
          <w:rFonts w:ascii="Arial" w:hAnsi="Arial"/>
          <w:sz w:val="24"/>
          <w:vertAlign w:val="subscript"/>
        </w:rPr>
        <w:t>(n)</w:t>
      </w:r>
      <w:r>
        <w:rPr>
          <w:rFonts w:ascii="Arial" w:hAnsi="Arial"/>
          <w:sz w:val="24"/>
        </w:rPr>
        <w:t xml:space="preserve"> constituyen la muestra ordenada de menor a mayor.  El estadístico de prueba para este test de Bondad de Ajuste se basa en la mayor distancia entre la distribución empírica de los dato</w:t>
      </w:r>
      <w:r>
        <w:rPr>
          <w:rFonts w:ascii="Arial" w:hAnsi="Arial"/>
          <w:sz w:val="24"/>
        </w:rPr>
        <w:t>s Fe(x) y la distribución teórica que suponemos para la población F(x), entonces: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position w:val="-14"/>
          <w:sz w:val="24"/>
        </w:rPr>
        <w:object w:dxaOrig="2280" w:dyaOrig="400">
          <v:shape id="_x0000_i1031" type="#_x0000_t75" style="width:114pt;height:20.25pt" o:ole="" fillcolor="window">
            <v:imagedata r:id="rId19" o:title=""/>
          </v:shape>
          <o:OLEObject Type="Embed" ProgID="Equation.3" ShapeID="_x0000_i1031" DrawAspect="Content" ObjectID="_1308031126" r:id="rId20"/>
        </w:objec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pero </w:t>
      </w:r>
      <w:r>
        <w:rPr>
          <w:rFonts w:ascii="Arial" w:hAnsi="Arial"/>
          <w:position w:val="-10"/>
          <w:sz w:val="24"/>
        </w:rPr>
        <w:object w:dxaOrig="1800" w:dyaOrig="360">
          <v:shape id="_x0000_i1032" type="#_x0000_t75" style="width:90pt;height:18pt" o:ole="" fillcolor="window">
            <v:imagedata r:id="rId21" o:title=""/>
          </v:shape>
          <o:OLEObject Type="Embed" ProgID="Equation.3" ShapeID="_x0000_i1032" DrawAspect="Content" ObjectID="_1308031127" r:id="rId22"/>
        </w:objec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valor p es el nivel de significación alcanzado de una prueba.   Esta cantidad es un estadístico que represent</w:t>
      </w:r>
      <w:r>
        <w:rPr>
          <w:rFonts w:ascii="Arial" w:hAnsi="Arial"/>
          <w:sz w:val="24"/>
        </w:rPr>
        <w:t xml:space="preserve">a el mínimo valor de </w:t>
      </w:r>
      <w:r>
        <w:rPr>
          <w:rFonts w:ascii="Arial" w:hAnsi="Arial"/>
          <w:position w:val="-6"/>
          <w:sz w:val="24"/>
        </w:rPr>
        <w:object w:dxaOrig="220" w:dyaOrig="220">
          <v:shape id="_x0000_i1033" type="#_x0000_t75" style="width:11.25pt;height:11.25pt" o:ole="" fillcolor="window">
            <v:imagedata r:id="rId23" o:title=""/>
          </v:shape>
          <o:OLEObject Type="Embed" ProgID="Equation.3" ShapeID="_x0000_i1033" DrawAspect="Content" ObjectID="_1308031128" r:id="rId24"/>
        </w:object>
      </w:r>
      <w:r>
        <w:rPr>
          <w:rFonts w:ascii="Arial" w:hAnsi="Arial"/>
          <w:sz w:val="24"/>
        </w:rPr>
        <w:t xml:space="preserve"> para el cual se rechaza la hipótesis nula.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Prueba de homogeneidad de la varianza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Esta prueba se utiliza para probar hipótesis acerca de la igualdad de varianza de una variable.  La hipótesis nula para la p</w:t>
      </w:r>
      <w:r>
        <w:rPr>
          <w:rFonts w:ascii="Arial" w:hAnsi="Arial"/>
          <w:sz w:val="24"/>
        </w:rPr>
        <w:t>rueba de homogeneidad de varianza es que la variable exhibe igual varianza dada frente a la alternativa de que la variable no exhibe igual varianza.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su cálculo se siguen los siguientes pasos: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1.- Calcular la diferencia (en valor absoluto) entre cada</w:t>
      </w:r>
      <w:r>
        <w:rPr>
          <w:rFonts w:ascii="Arial" w:hAnsi="Arial"/>
          <w:sz w:val="24"/>
        </w:rPr>
        <w:t xml:space="preserve"> valor y la media de su grupo:</w:t>
      </w:r>
    </w:p>
    <w:p w:rsidR="00000000" w:rsidRDefault="0087291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1676400" cy="438150"/>
            <wp:effectExtent l="19050" t="0" r="0" b="0"/>
            <wp:docPr id="10" name="Imagen 10" descr="C:\My Documents\levene_archivos\dif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My Documents\levene_archivos\difab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B38">
        <w:rPr>
          <w:rFonts w:ascii="Arial" w:hAnsi="Arial"/>
          <w:sz w:val="24"/>
        </w:rPr>
        <w:fldChar w:fldCharType="begin"/>
      </w:r>
      <w:r w:rsidR="000C2B38">
        <w:rPr>
          <w:rFonts w:ascii="Arial" w:hAnsi="Arial"/>
          <w:sz w:val="24"/>
        </w:rPr>
        <w:instrText>PRIVATE</w:instrText>
      </w:r>
      <w:r w:rsidR="000C2B38">
        <w:rPr>
          <w:rFonts w:ascii="Arial" w:hAnsi="Arial"/>
          <w:sz w:val="24"/>
        </w:rPr>
      </w:r>
      <w:r w:rsidR="000C2B38">
        <w:rPr>
          <w:rFonts w:ascii="Arial" w:hAnsi="Arial"/>
          <w:sz w:val="24"/>
        </w:rPr>
        <w:fldChar w:fldCharType="end"/>
      </w:r>
    </w:p>
    <w:p w:rsidR="00000000" w:rsidRDefault="000C2B38">
      <w:pPr>
        <w:pStyle w:val="Textoindependiente"/>
        <w:ind w:left="708"/>
        <w:jc w:val="both"/>
      </w:pPr>
      <w:r>
        <w:t xml:space="preserve">donde...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Xij: es la puntuación del sujeto i perteneciente al grupo j.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72918">
        <w:rPr>
          <w:noProof/>
        </w:rPr>
        <w:drawing>
          <wp:inline distT="0" distB="0" distL="0" distR="0">
            <wp:extent cx="247650" cy="323850"/>
            <wp:effectExtent l="19050" t="0" r="0" b="0"/>
            <wp:docPr id="11" name="Imagen 11" descr="C:\My Documents\levene_archivos\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My Documents\levene_archivos\media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>j: es la media del grupo j.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2.- Calcular la media de las diferencias de cada grupo: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PRIVATE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 w:rsidR="00872918">
        <w:rPr>
          <w:noProof/>
        </w:rPr>
        <w:drawing>
          <wp:inline distT="0" distB="0" distL="0" distR="0">
            <wp:extent cx="1343025" cy="781050"/>
            <wp:effectExtent l="19050" t="0" r="9525" b="0"/>
            <wp:docPr id="12" name="Imagen 12" descr="C:\My Documents\levene_archivos\med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My Documents\levene_archivos\medif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donde...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72918">
        <w:rPr>
          <w:rFonts w:ascii="Arial" w:hAnsi="Arial"/>
          <w:noProof/>
          <w:sz w:val="24"/>
        </w:rPr>
        <w:drawing>
          <wp:inline distT="0" distB="0" distL="0" distR="0">
            <wp:extent cx="323850" cy="352425"/>
            <wp:effectExtent l="19050" t="0" r="0" b="0"/>
            <wp:docPr id="13" name="Imagen 13" descr="C:\My Documents\levene_archivos\su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My Documents\levene_archivos\suma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PRIVATE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Dij: es la suma de la</w:t>
      </w:r>
      <w:r>
        <w:rPr>
          <w:rFonts w:ascii="Arial" w:hAnsi="Arial"/>
          <w:sz w:val="24"/>
        </w:rPr>
        <w:t>s puntuaciones D en el grupo j.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nj: es el tamaño del grupo j.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3.- Calcular la media total de las diferencias: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PRIVATE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 w:rsidR="00872918">
        <w:rPr>
          <w:rFonts w:ascii="Arial" w:hAnsi="Arial"/>
          <w:noProof/>
          <w:sz w:val="24"/>
        </w:rPr>
        <w:drawing>
          <wp:inline distT="0" distB="0" distL="0" distR="0">
            <wp:extent cx="1762125" cy="971550"/>
            <wp:effectExtent l="19050" t="0" r="9525" b="0"/>
            <wp:docPr id="14" name="Imagen 14" descr="C:\My Documents\levene_archivos\medi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levene_archivos\medif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donde...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PRIVATE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 w:rsidR="00872918">
        <w:rPr>
          <w:rFonts w:ascii="Arial" w:hAnsi="Arial"/>
          <w:noProof/>
          <w:sz w:val="24"/>
        </w:rPr>
        <w:drawing>
          <wp:inline distT="0" distB="0" distL="0" distR="0">
            <wp:extent cx="695325" cy="685800"/>
            <wp:effectExtent l="19050" t="0" r="9525" b="0"/>
            <wp:docPr id="15" name="Imagen 15" descr="C:\My Documents\levene_archivos\sum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My Documents\levene_archivos\suma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>Dij: es la suma de las puntuaciones D de todos los sujetos.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N: es la suma de todos los sujetos.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4.- Calcular l</w:t>
      </w:r>
      <w:r>
        <w:rPr>
          <w:rFonts w:ascii="Arial" w:hAnsi="Arial"/>
          <w:sz w:val="24"/>
        </w:rPr>
        <w:t>a suma de cuadrados intragrupo (SCintra):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PRIVATE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 w:rsidR="00872918">
        <w:rPr>
          <w:rFonts w:ascii="Arial" w:hAnsi="Arial"/>
          <w:noProof/>
          <w:sz w:val="24"/>
        </w:rPr>
        <w:drawing>
          <wp:inline distT="0" distB="0" distL="0" distR="0">
            <wp:extent cx="2733675" cy="676275"/>
            <wp:effectExtent l="19050" t="0" r="9525" b="0"/>
            <wp:docPr id="16" name="Imagen 16" descr="C:\My Documents\levene_archivos\s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My Documents\levene_archivos\sc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5.- Calcular la suma de cuadrados intergrupo (SCinter):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fldChar w:fldCharType="begin"/>
      </w:r>
      <w:r>
        <w:rPr>
          <w:rFonts w:ascii="Arial" w:hAnsi="Arial"/>
          <w:sz w:val="24"/>
        </w:rPr>
        <w:instrText>PRIVATE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 w:rsidR="00872918">
        <w:rPr>
          <w:rFonts w:ascii="Arial" w:hAnsi="Arial"/>
          <w:noProof/>
          <w:sz w:val="24"/>
        </w:rPr>
        <w:drawing>
          <wp:inline distT="0" distB="0" distL="0" distR="0">
            <wp:extent cx="2543175" cy="638175"/>
            <wp:effectExtent l="19050" t="0" r="9525" b="0"/>
            <wp:docPr id="17" name="Imagen 17" descr="C:\My Documents\levene_archivos\s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My Documents\levene_archivos\sc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2B38">
      <w:pPr>
        <w:pStyle w:val="Textoindependiente"/>
        <w:ind w:left="708"/>
        <w:jc w:val="both"/>
      </w:pPr>
      <w:r>
        <w:t xml:space="preserve">6.- Calcular los grados de libertad: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G.L.(inter) = k -1; siendo k el número de grupos.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G.L.(intra) =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PRIVATE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 w:rsidR="00872918">
        <w:rPr>
          <w:rFonts w:ascii="Arial" w:hAnsi="Arial"/>
          <w:noProof/>
          <w:sz w:val="24"/>
        </w:rPr>
        <w:drawing>
          <wp:inline distT="0" distB="0" distL="0" distR="0">
            <wp:extent cx="1200150" cy="704850"/>
            <wp:effectExtent l="19050" t="0" r="0" b="0"/>
            <wp:docPr id="18" name="Imagen 18" descr="C:\My Documents\levene_archivos\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My Documents\levene_archivos\gl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>; siendo nj el tamañ</w:t>
      </w:r>
      <w:r>
        <w:rPr>
          <w:rFonts w:ascii="Arial" w:hAnsi="Arial"/>
          <w:sz w:val="24"/>
        </w:rPr>
        <w:t xml:space="preserve">o muestral del grupo j.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7.- Calcular la media cuadrática intergrupos (MCinter)= SCinter / G.L.inter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8.- Calcular la media cuadrática intragrupos (MCintra)=SCintra / G.L.intra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9.- Calcular la F = MCinter / MCintra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4.2      Prueba de Bondad de Ajuste de</w:t>
      </w:r>
      <w:r>
        <w:rPr>
          <w:rFonts w:ascii="Arial" w:hAnsi="Arial"/>
          <w:b/>
          <w:sz w:val="24"/>
        </w:rPr>
        <w:t xml:space="preserve"> Kolmogorov-Smirnov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Nuestra hipótesis para esta prueba es: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0</w:t>
      </w:r>
      <w:r>
        <w:rPr>
          <w:rFonts w:ascii="Arial" w:hAnsi="Arial"/>
          <w:sz w:val="24"/>
        </w:rPr>
        <w:t>:  Los datos de cada año provienen de una distribución normal.</w:t>
      </w:r>
    </w:p>
    <w:p w:rsidR="00000000" w:rsidRDefault="000C2B38">
      <w:pPr>
        <w:spacing w:line="480" w:lineRule="auto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a</w:t>
      </w:r>
      <w:r>
        <w:rPr>
          <w:rFonts w:ascii="Arial" w:hAnsi="Arial"/>
          <w:sz w:val="24"/>
        </w:rPr>
        <w:t>:  Los datos de cada año no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región de aceptación es:  Sig.&gt;0.170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z w:val="24"/>
        </w:rPr>
        <w:t xml:space="preserve">Variable: </w:t>
      </w:r>
      <w:r>
        <w:rPr>
          <w:rFonts w:ascii="Arial" w:hAnsi="Arial"/>
          <w:snapToGrid w:val="0"/>
          <w:color w:val="000000"/>
          <w:sz w:val="24"/>
        </w:rPr>
        <w:t xml:space="preserve">Centro </w:t>
      </w:r>
      <w:r>
        <w:rPr>
          <w:rFonts w:ascii="Arial" w:hAnsi="Arial"/>
          <w:snapToGrid w:val="0"/>
          <w:color w:val="000000"/>
          <w:sz w:val="24"/>
        </w:rPr>
        <w:t>de Salud</w:t>
      </w:r>
    </w:p>
    <w:p w:rsidR="00000000" w:rsidRDefault="000C2B38">
      <w:pPr>
        <w:pStyle w:val="Ttulo1"/>
        <w:spacing w:line="480" w:lineRule="auto"/>
        <w:ind w:left="708"/>
      </w:pPr>
      <w:r>
        <w:t>Tabla IV</w:t>
      </w:r>
    </w:p>
    <w:p w:rsidR="00000000" w:rsidRDefault="000C2B38">
      <w:pPr>
        <w:pStyle w:val="Ttulo5"/>
      </w:pPr>
      <w:r>
        <w:t>Prueba de K-S de la Variable Centro de Salud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64"/>
        <w:gridCol w:w="1483"/>
        <w:gridCol w:w="567"/>
        <w:gridCol w:w="14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48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0,09958735</w:t>
            </w:r>
          </w:p>
        </w:tc>
        <w:tc>
          <w:tcPr>
            <w:tcW w:w="567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48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0,13292171</w:t>
            </w:r>
          </w:p>
        </w:tc>
        <w:tc>
          <w:tcPr>
            <w:tcW w:w="567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48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0,12417928</w:t>
            </w:r>
          </w:p>
        </w:tc>
        <w:tc>
          <w:tcPr>
            <w:tcW w:w="567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48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0,22596681</w:t>
            </w:r>
          </w:p>
        </w:tc>
        <w:tc>
          <w:tcPr>
            <w:tcW w:w="567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48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0,14152053</w:t>
            </w:r>
          </w:p>
        </w:tc>
        <w:tc>
          <w:tcPr>
            <w:tcW w:w="567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48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0,19696055</w:t>
            </w:r>
          </w:p>
        </w:tc>
        <w:tc>
          <w:tcPr>
            <w:tcW w:w="567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483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0,12405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267</w:t>
            </w:r>
          </w:p>
        </w:tc>
        <w:tc>
          <w:tcPr>
            <w:tcW w:w="567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0,18418140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hay evidencia estadística que para el año 1996 se acepta la hipótesis alternativa; mientras tanto, para el resto de los años se acepta la hipótesis nula:  los datos provienen de una</w:t>
      </w:r>
      <w:r>
        <w:rPr>
          <w:rFonts w:ascii="Arial" w:hAnsi="Arial"/>
          <w:sz w:val="24"/>
        </w:rPr>
        <w:t xml:space="preserve">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 Hospital</w:t>
      </w:r>
    </w:p>
    <w:p w:rsidR="00000000" w:rsidRDefault="000C2B38">
      <w:pPr>
        <w:pStyle w:val="Ttulo1"/>
        <w:spacing w:line="480" w:lineRule="auto"/>
        <w:ind w:left="708"/>
      </w:pPr>
      <w:r>
        <w:t>Tabla V</w:t>
      </w:r>
    </w:p>
    <w:p w:rsidR="00000000" w:rsidRDefault="000C2B38">
      <w:pPr>
        <w:pStyle w:val="Ttulo5"/>
      </w:pPr>
      <w:r>
        <w:t>Prueba de K-S de la Variable Hospital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42"/>
        <w:gridCol w:w="1418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pStyle w:val="Ttulo6"/>
            </w:pPr>
            <w:r>
              <w:t>Año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0,28351948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  <w:gridSpan w:val="2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0,12565365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  <w:gridSpan w:val="2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0,17586354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  <w:gridSpan w:val="2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0,19691792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  <w:gridSpan w:val="2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0,17579386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  <w:gridSpan w:val="2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0,18813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436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  <w:gridSpan w:val="2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0,12766458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0,15639661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 hay evidencia estadística que para el año 1993 se acepta la hipótesis alternativa:  Los datos no provienen de una distribución normal; mientras tanto, par</w:t>
      </w:r>
      <w:r>
        <w:rPr>
          <w:rFonts w:ascii="Arial" w:hAnsi="Arial"/>
          <w:sz w:val="24"/>
        </w:rPr>
        <w:t>a los demás años se 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</w:pPr>
      <w:r>
        <w:rPr>
          <w:rFonts w:ascii="Arial" w:hAnsi="Arial"/>
          <w:sz w:val="24"/>
        </w:rPr>
        <w:lastRenderedPageBreak/>
        <w:t>Variable:  Particular</w:t>
      </w:r>
      <w:r>
        <w:t xml:space="preserve"> </w:t>
      </w:r>
    </w:p>
    <w:p w:rsidR="00000000" w:rsidRDefault="000C2B38">
      <w:pPr>
        <w:pStyle w:val="Ttulo1"/>
        <w:spacing w:line="480" w:lineRule="auto"/>
        <w:ind w:left="708"/>
      </w:pPr>
      <w:r>
        <w:t>Tabla VI</w:t>
      </w:r>
    </w:p>
    <w:p w:rsidR="00000000" w:rsidRDefault="000C2B38">
      <w:pPr>
        <w:pStyle w:val="Ttulo5"/>
      </w:pPr>
      <w:r>
        <w:t>Prueba de K-S de la Variable Particular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0,1580491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0,156375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0,153059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0,28597259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0,15204797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0,16316984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0,20812963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0,22884096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pStyle w:val="Ttulo1"/>
        <w:spacing w:line="480" w:lineRule="auto"/>
        <w:ind w:left="708"/>
        <w:jc w:val="both"/>
      </w:pPr>
    </w:p>
    <w:p w:rsidR="00000000" w:rsidRDefault="000C2B38">
      <w:pPr>
        <w:spacing w:line="480" w:lineRule="auto"/>
        <w:ind w:left="708"/>
        <w:jc w:val="both"/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 hay evidencia estadística que para los años 1996 y 1999 se acepta la hipótes</w:t>
      </w:r>
      <w:r>
        <w:rPr>
          <w:rFonts w:ascii="Arial" w:hAnsi="Arial"/>
          <w:sz w:val="24"/>
        </w:rPr>
        <w:t>is alternativa:  Los datos no provienen de una distribución normal; mientras tanto, para los demás años se cumple la hipótesis nula: los datos provienen de una distribución normal.</w:t>
      </w:r>
    </w:p>
    <w:p w:rsidR="00000000" w:rsidRDefault="000C2B38">
      <w:pPr>
        <w:pStyle w:val="Ttulo1"/>
        <w:spacing w:line="480" w:lineRule="auto"/>
        <w:ind w:left="708"/>
        <w:jc w:val="both"/>
      </w:pPr>
      <w:r>
        <w:lastRenderedPageBreak/>
        <w:t xml:space="preserve">Variable:  Total </w:t>
      </w:r>
    </w:p>
    <w:p w:rsidR="00000000" w:rsidRDefault="000C2B38">
      <w:pPr>
        <w:pStyle w:val="Ttulo1"/>
        <w:spacing w:line="480" w:lineRule="auto"/>
        <w:ind w:left="708"/>
      </w:pPr>
      <w:r>
        <w:t>Tabla VII</w:t>
      </w:r>
    </w:p>
    <w:p w:rsidR="00000000" w:rsidRDefault="000C2B38">
      <w:pPr>
        <w:pStyle w:val="Ttulo5"/>
      </w:pPr>
      <w:r>
        <w:t>Prueba de K-S de la Variable Total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0,28218556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0,15804705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0,1915516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0,23207112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0,17237091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0,23294004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0,24453374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0,14045052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Como podemos observar en la Tabla,  </w:t>
      </w:r>
      <w:r>
        <w:rPr>
          <w:rFonts w:ascii="Arial" w:hAnsi="Arial"/>
          <w:sz w:val="24"/>
        </w:rPr>
        <w:t>hay evidencia estadística que para los años 1993, 1996, 1998, 1999 se acepta la hipótesis alternativa:  Los datos no provienen de una distribución normal; mientras tanto, para los demás años se cumple la hipótesis nula: los datos provienen de una distribuc</w:t>
      </w:r>
      <w:r>
        <w:rPr>
          <w:rFonts w:ascii="Arial" w:hAnsi="Arial"/>
          <w:sz w:val="24"/>
        </w:rPr>
        <w:t>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tulo1"/>
        <w:spacing w:line="480" w:lineRule="auto"/>
        <w:ind w:left="708"/>
        <w:jc w:val="both"/>
      </w:pPr>
      <w:r>
        <w:lastRenderedPageBreak/>
        <w:t xml:space="preserve">Variable:  Ciudad </w:t>
      </w:r>
    </w:p>
    <w:p w:rsidR="00000000" w:rsidRDefault="000C2B38">
      <w:pPr>
        <w:pStyle w:val="Ttulo1"/>
        <w:spacing w:line="480" w:lineRule="auto"/>
        <w:ind w:left="708"/>
      </w:pPr>
      <w:r>
        <w:t>Tabla VIII</w:t>
      </w:r>
    </w:p>
    <w:p w:rsidR="00000000" w:rsidRDefault="000C2B38">
      <w:pPr>
        <w:pStyle w:val="Ttulo5"/>
      </w:pPr>
      <w:r>
        <w:t>Prueba de K-S de la Variable Ciudad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0,27174711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0,1503166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0,20043508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0,20512079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0,13615948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0,22702199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0,18177542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0,22593383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hay evidencia estadística que para los años 1993 y 1998 se acepta la hipótesis alternativa:  los datos no provienen de una distribución normal: mientras tanto, par</w:t>
      </w:r>
      <w:r>
        <w:rPr>
          <w:rFonts w:ascii="Arial" w:hAnsi="Arial"/>
          <w:sz w:val="24"/>
        </w:rPr>
        <w:t>a los demás años se acepta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Variable:  Afuera de la Ciudad</w:t>
      </w:r>
    </w:p>
    <w:p w:rsidR="00000000" w:rsidRDefault="000C2B38">
      <w:pPr>
        <w:pStyle w:val="Ttulo1"/>
        <w:spacing w:line="480" w:lineRule="auto"/>
        <w:ind w:left="708"/>
      </w:pPr>
      <w:r>
        <w:t>Tabla IX</w:t>
      </w:r>
    </w:p>
    <w:p w:rsidR="00000000" w:rsidRDefault="000C2B38">
      <w:pPr>
        <w:pStyle w:val="Ttulo5"/>
      </w:pPr>
      <w:r>
        <w:t>Prueba de K-S de la Variable Afuera de la Ciudad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0,22631789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0,20912702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0,07867285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0,11232983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0,14143538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0,17680784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0,12805663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0,23372662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hay evidencia estadística que para los años 1993 y 1994 s</w:t>
      </w:r>
      <w:r>
        <w:rPr>
          <w:rFonts w:ascii="Arial" w:hAnsi="Arial"/>
          <w:sz w:val="24"/>
        </w:rPr>
        <w:t>e acepta la hipótesis alternativa:  los datos no provienen de una distribución normal: mientras tanto, para los demás años se acepta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Variable:  Muestra de Esputo</w:t>
      </w:r>
    </w:p>
    <w:p w:rsidR="00000000" w:rsidRDefault="000C2B38">
      <w:pPr>
        <w:pStyle w:val="Ttulo1"/>
        <w:spacing w:line="480" w:lineRule="auto"/>
        <w:ind w:left="708"/>
      </w:pPr>
      <w:r>
        <w:t>Tabla  X</w:t>
      </w:r>
    </w:p>
    <w:p w:rsidR="00000000" w:rsidRDefault="000C2B38">
      <w:pPr>
        <w:pStyle w:val="Ttulo5"/>
      </w:pPr>
      <w:r>
        <w:t xml:space="preserve">Prueba de K-S </w:t>
      </w:r>
      <w:r>
        <w:t>de la Variable Muestra de Esputo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0,23236213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0,10684608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0,256526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0,23158229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0,11672304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0,25580307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0,13461766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0,22997434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pStyle w:val="Ttulo1"/>
        <w:spacing w:line="480" w:lineRule="auto"/>
        <w:ind w:left="708"/>
        <w:jc w:val="both"/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hay evidencia estadística que para los años 1993,  1995, 1996 y 1998  se acepta la hipótesis alternativa:  los datos no provienen de una distribución normal: mientras tanto, para los demás años se acepta la hipóte</w:t>
      </w:r>
      <w:r>
        <w:rPr>
          <w:rFonts w:ascii="Arial" w:hAnsi="Arial"/>
          <w:sz w:val="24"/>
        </w:rPr>
        <w:t>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 Muestra de Orina</w:t>
      </w:r>
    </w:p>
    <w:p w:rsidR="00000000" w:rsidRDefault="000C2B38">
      <w:pPr>
        <w:pStyle w:val="Ttulo1"/>
        <w:spacing w:line="480" w:lineRule="auto"/>
        <w:ind w:left="708"/>
      </w:pPr>
      <w:r>
        <w:t>Tabla  XI</w:t>
      </w:r>
    </w:p>
    <w:p w:rsidR="00000000" w:rsidRDefault="000C2B38">
      <w:pPr>
        <w:pStyle w:val="Ttulo5"/>
      </w:pPr>
      <w:r>
        <w:t>Prueba de K-S de la Variable Muestra de Orina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0,22145901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0,18908869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0,16581313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15521969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0,16976283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0,1699869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0,15690376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0,15762176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hay evidencia estadística que para el año 1993 se acepta la hipótesis alternativa:  los datos no pr</w:t>
      </w:r>
      <w:r>
        <w:rPr>
          <w:rFonts w:ascii="Arial" w:hAnsi="Arial"/>
          <w:sz w:val="24"/>
        </w:rPr>
        <w:t>ovienen de una distribución normal: mientras tanto, para los demás años se acepta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Muestra de Hisopados Laringeos</w:t>
      </w:r>
    </w:p>
    <w:p w:rsidR="00000000" w:rsidRDefault="000C2B38">
      <w:pPr>
        <w:pStyle w:val="Ttulo1"/>
        <w:spacing w:line="480" w:lineRule="auto"/>
        <w:ind w:left="708"/>
      </w:pPr>
      <w:r>
        <w:t>Tabla XII</w:t>
      </w:r>
    </w:p>
    <w:p w:rsidR="00000000" w:rsidRDefault="000C2B38">
      <w:pPr>
        <w:pStyle w:val="Ttulo5"/>
      </w:pPr>
      <w:r>
        <w:t>Prueba de K-S de la Variable Muestra de Hisopados L</w:t>
      </w:r>
      <w:r>
        <w:t>aringeos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0,1652567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0,19878885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0,11703369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0,18907688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0,20904332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0,17204786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0,1866488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0,15325772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</w:t>
      </w:r>
      <w:r>
        <w:rPr>
          <w:rFonts w:ascii="Arial" w:hAnsi="Arial"/>
          <w:sz w:val="24"/>
        </w:rPr>
        <w:t>ervar en la Tabla, hay evidencia estadística que para el año 1997 se acepta la hipótesis alternativa:  los datos no provienen de una distribución normal: mientras tanto, para los demás años se acepta la hipótesis nula: los datos provienen de una distribuci</w:t>
      </w:r>
      <w:r>
        <w:rPr>
          <w:rFonts w:ascii="Arial" w:hAnsi="Arial"/>
          <w:sz w:val="24"/>
        </w:rPr>
        <w:t>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Muestra Varios</w:t>
      </w:r>
    </w:p>
    <w:p w:rsidR="00000000" w:rsidRDefault="000C2B38">
      <w:pPr>
        <w:pStyle w:val="Ttulo1"/>
        <w:spacing w:line="480" w:lineRule="auto"/>
        <w:ind w:left="708"/>
      </w:pPr>
      <w:r>
        <w:t>Tabla XIII</w:t>
      </w:r>
    </w:p>
    <w:p w:rsidR="00000000" w:rsidRDefault="000C2B38">
      <w:pPr>
        <w:pStyle w:val="Ttulo5"/>
      </w:pPr>
      <w:r>
        <w:t>Prueba de K-S de la Variable Muestra Varios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0,15208822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0,31612268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0,14774228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0,14849485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0,13783215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0,13487544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0,17606702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0,27297038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0,081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 hay evidencia estadística que para los años 1994 y 2000 se acepta la hipótesis alternativa:  Los datos no provienen de una distribución normal; mie</w:t>
      </w:r>
      <w:r>
        <w:rPr>
          <w:rFonts w:ascii="Arial" w:hAnsi="Arial"/>
          <w:sz w:val="24"/>
        </w:rPr>
        <w:t>ntras tanto, para los demás años se 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tulo1"/>
        <w:spacing w:line="480" w:lineRule="auto"/>
        <w:ind w:left="708"/>
        <w:jc w:val="both"/>
      </w:pPr>
      <w:r>
        <w:t xml:space="preserve">Variable: Pulmonar </w:t>
      </w:r>
    </w:p>
    <w:p w:rsidR="00000000" w:rsidRDefault="000C2B38">
      <w:pPr>
        <w:pStyle w:val="Ttulo1"/>
        <w:spacing w:line="480" w:lineRule="auto"/>
        <w:ind w:left="708"/>
      </w:pPr>
      <w:r>
        <w:t>Tabla XIV</w:t>
      </w:r>
    </w:p>
    <w:p w:rsidR="00000000" w:rsidRDefault="000C2B38">
      <w:pPr>
        <w:pStyle w:val="Ttulo5"/>
      </w:pPr>
      <w:r>
        <w:t>Prueba de K-S de la Variable Pulmonar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0,15930369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0,16052582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0,11515265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0,14864027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0,20321531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0,10628294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0,13300072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0,24135088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0,189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hay evidencia estadística que para todos los años se acepta la</w:t>
      </w:r>
      <w:r>
        <w:rPr>
          <w:rFonts w:ascii="Arial" w:hAnsi="Arial"/>
          <w:sz w:val="24"/>
        </w:rPr>
        <w:t xml:space="preserve">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tulo1"/>
        <w:spacing w:line="480" w:lineRule="auto"/>
        <w:ind w:left="708"/>
        <w:jc w:val="both"/>
      </w:pPr>
      <w:r>
        <w:t xml:space="preserve">Variable: Extrapulmonar </w:t>
      </w:r>
    </w:p>
    <w:p w:rsidR="00000000" w:rsidRDefault="000C2B38">
      <w:pPr>
        <w:pStyle w:val="Ttulo1"/>
        <w:spacing w:line="480" w:lineRule="auto"/>
        <w:ind w:left="708"/>
      </w:pPr>
      <w:r>
        <w:t>Tabla XV</w:t>
      </w:r>
    </w:p>
    <w:p w:rsidR="00000000" w:rsidRDefault="000C2B38">
      <w:pPr>
        <w:pStyle w:val="Ttulo5"/>
      </w:pPr>
      <w:r>
        <w:t>Prueba de K-S de la Variable ExtraPulmonar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0,12624858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0,26872805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0,22140252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0,30763996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0,37796937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0,13521871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0,13054368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0,1421176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extoindependiente"/>
        <w:ind w:left="708"/>
        <w:jc w:val="both"/>
      </w:pPr>
      <w:r>
        <w:t>Como podemos observar en la Tabla,  hay evidencia estadística que para los años 1994, 1995, 1996 y 1997 se acepta la hipótesis alter</w:t>
      </w:r>
      <w:r>
        <w:t>nativa:  Los datos no provienen de una distribución normal; mientras tanto, para los demás años se 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tulo1"/>
        <w:spacing w:line="480" w:lineRule="auto"/>
        <w:ind w:left="708"/>
        <w:jc w:val="both"/>
      </w:pPr>
      <w:r>
        <w:t xml:space="preserve">Variable: Total de Enfermos </w:t>
      </w:r>
    </w:p>
    <w:p w:rsidR="00000000" w:rsidRDefault="000C2B38">
      <w:pPr>
        <w:pStyle w:val="Ttulo1"/>
        <w:spacing w:line="480" w:lineRule="auto"/>
        <w:ind w:left="708"/>
      </w:pPr>
      <w:r>
        <w:t>Tabla XVI</w:t>
      </w:r>
    </w:p>
    <w:p w:rsidR="00000000" w:rsidRDefault="000C2B38">
      <w:pPr>
        <w:pStyle w:val="Ttulo1"/>
        <w:spacing w:line="480" w:lineRule="auto"/>
        <w:ind w:left="708"/>
      </w:pPr>
      <w:r>
        <w:rPr>
          <w:snapToGrid w:val="0"/>
        </w:rPr>
        <w:t>Prueba de K-S</w:t>
      </w:r>
      <w:r>
        <w:t xml:space="preserve"> de la Variable Total de En</w:t>
      </w:r>
      <w:r>
        <w:t>fermos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0,1682886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0,17931158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0,13370072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0,17499715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0,16645918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0,11437833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0,13231398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0,21677060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</w:t>
      </w:r>
      <w:r>
        <w:rPr>
          <w:rFonts w:ascii="Arial" w:hAnsi="Arial"/>
          <w:sz w:val="24"/>
        </w:rPr>
        <w:t>rvar en la Tabla, hay evidencia estadística que para todos los años se acepta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Total Cultivos</w:t>
      </w:r>
    </w:p>
    <w:p w:rsidR="00000000" w:rsidRDefault="000C2B38">
      <w:pPr>
        <w:pStyle w:val="Ttulo1"/>
        <w:spacing w:line="480" w:lineRule="auto"/>
        <w:ind w:left="708"/>
      </w:pPr>
      <w:r>
        <w:t>Tabla XVII</w:t>
      </w:r>
    </w:p>
    <w:p w:rsidR="00000000" w:rsidRDefault="000C2B38">
      <w:pPr>
        <w:pStyle w:val="Ttulo1"/>
        <w:spacing w:line="480" w:lineRule="auto"/>
        <w:ind w:left="708"/>
      </w:pPr>
      <w:r>
        <w:rPr>
          <w:snapToGrid w:val="0"/>
        </w:rPr>
        <w:t>Prueba de K-S</w:t>
      </w:r>
      <w:r>
        <w:t xml:space="preserve"> de la Variable Total de Cultivos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Sig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0,24983977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0,22730511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0,18372914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0,22537386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0,17720934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0,2014539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0,14515637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0,22648357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extoindependiente"/>
        <w:ind w:left="708"/>
        <w:jc w:val="both"/>
      </w:pPr>
      <w:r>
        <w:t>Como podemos observar en la Tabla,  hay eviden</w:t>
      </w:r>
      <w:r>
        <w:t>cia estadística que para los años 1993, 1994 y 1996 se acepta la hipótesis alternativa:  Los datos no provienen de una distribución normal; mientras tanto, para los demás años se 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Pruebas de sensibilidad</w:t>
      </w:r>
    </w:p>
    <w:p w:rsidR="00000000" w:rsidRDefault="000C2B38">
      <w:pPr>
        <w:pStyle w:val="Ttulo1"/>
        <w:spacing w:line="480" w:lineRule="auto"/>
        <w:ind w:left="708"/>
      </w:pPr>
      <w:r>
        <w:t>Tabla XVIII</w:t>
      </w:r>
    </w:p>
    <w:p w:rsidR="00000000" w:rsidRDefault="000C2B38">
      <w:pPr>
        <w:pStyle w:val="Ttulo1"/>
        <w:spacing w:line="480" w:lineRule="auto"/>
        <w:ind w:left="708"/>
      </w:pPr>
      <w:r>
        <w:rPr>
          <w:snapToGrid w:val="0"/>
        </w:rPr>
        <w:t>Prueba de K-S</w:t>
      </w:r>
      <w:r>
        <w:t xml:space="preserve"> de la Variable Pruebas de sensibilidad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0,16383473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0,18121217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0,13424481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0,1212639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0,18560439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0,16894223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0,17424869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0,24971625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0,151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extoindependiente"/>
        <w:ind w:left="708"/>
        <w:jc w:val="both"/>
      </w:pPr>
      <w:r>
        <w:t xml:space="preserve">Como podemos observar en la Tabla,  hay evidencia estadística que para el año 2000 se acepta la hipótesis alternativa:  Los datos no provienen de una distribución normal; mientras </w:t>
      </w:r>
      <w:r>
        <w:t>tanto, para los demás años se 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Isoniacida</w:t>
      </w:r>
    </w:p>
    <w:p w:rsidR="00000000" w:rsidRDefault="000C2B38">
      <w:pPr>
        <w:pStyle w:val="Ttulo1"/>
        <w:spacing w:line="480" w:lineRule="auto"/>
        <w:ind w:left="708"/>
      </w:pPr>
      <w:r>
        <w:t>Tabla XIX</w:t>
      </w:r>
    </w:p>
    <w:p w:rsidR="00000000" w:rsidRDefault="000C2B38">
      <w:pPr>
        <w:pStyle w:val="Ttulo1"/>
        <w:spacing w:line="480" w:lineRule="auto"/>
        <w:ind w:left="708"/>
      </w:pPr>
      <w:r>
        <w:rPr>
          <w:snapToGrid w:val="0"/>
        </w:rPr>
        <w:t>Prueba de K-S</w:t>
      </w:r>
      <w:r>
        <w:t xml:space="preserve"> de la Variable Isoniacida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0,13504129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0,1321121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0,10173188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0,08940052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0,18647971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0,12534148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0,1818172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0,19977575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hay evidencia estadística que para todos los años se acepta la hipó</w:t>
      </w:r>
      <w:r>
        <w:rPr>
          <w:rFonts w:ascii="Arial" w:hAnsi="Arial"/>
          <w:sz w:val="24"/>
        </w:rPr>
        <w:t>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Estreptomicina</w:t>
      </w:r>
    </w:p>
    <w:p w:rsidR="00000000" w:rsidRDefault="000C2B38">
      <w:pPr>
        <w:pStyle w:val="Ttulo1"/>
        <w:spacing w:line="480" w:lineRule="auto"/>
        <w:ind w:left="708"/>
      </w:pPr>
      <w:r>
        <w:t>Tabla XX</w:t>
      </w: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>Prueba de K-S</w:t>
      </w:r>
      <w:r>
        <w:rPr>
          <w:rFonts w:ascii="Arial" w:hAnsi="Arial"/>
          <w:sz w:val="24"/>
        </w:rPr>
        <w:t xml:space="preserve"> de la Variable Estreptomicina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3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0,14878515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0,37292866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0,17857752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810294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0,209859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0,18268705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0,12771105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0,26956915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extoindependiente"/>
        <w:ind w:left="708"/>
        <w:jc w:val="both"/>
      </w:pPr>
      <w:r>
        <w:t>Como podemos observar en la Tabla,  hay evidencia estadística que para los años 1994, 1996, 1997 y 2000 se acepta la hipótesis alternativ</w:t>
      </w:r>
      <w:r>
        <w:t>a:  Los datos no provienen de una distribución normal; mientras tanto, para los demás años se 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Etambutol</w:t>
      </w:r>
    </w:p>
    <w:p w:rsidR="00000000" w:rsidRDefault="000C2B38">
      <w:pPr>
        <w:pStyle w:val="Ttulo1"/>
        <w:spacing w:line="480" w:lineRule="auto"/>
        <w:ind w:left="708"/>
      </w:pPr>
      <w:r>
        <w:t>Tabla XXI</w:t>
      </w: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>Prueba de K-S</w:t>
      </w:r>
      <w:r>
        <w:rPr>
          <w:rFonts w:ascii="Arial" w:hAnsi="Arial"/>
          <w:sz w:val="24"/>
        </w:rPr>
        <w:t xml:space="preserve"> de la Variable Etambutol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0,21641712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0,4564534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0,27437688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0,41935124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0,28305219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0,32351547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0,18992651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0,26040101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0,118</w:t>
            </w:r>
          </w:p>
        </w:tc>
      </w:tr>
    </w:tbl>
    <w:p w:rsidR="00000000" w:rsidRDefault="000C2B38">
      <w:pPr>
        <w:pStyle w:val="Ttulo1"/>
        <w:spacing w:line="480" w:lineRule="auto"/>
        <w:ind w:left="708"/>
        <w:jc w:val="both"/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 hay</w:t>
      </w:r>
      <w:r>
        <w:rPr>
          <w:rFonts w:ascii="Arial" w:hAnsi="Arial"/>
          <w:sz w:val="24"/>
        </w:rPr>
        <w:t xml:space="preserve"> evidencia estadística que para el año 2000  se acepta la hipótesis nula: los datos provienen de una distribución normal mientras tanto, para los demás años se cumple la hipótesis alternativa:  Los datos no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Varia</w:t>
      </w:r>
      <w:r>
        <w:rPr>
          <w:rFonts w:ascii="Arial" w:hAnsi="Arial"/>
          <w:sz w:val="24"/>
        </w:rPr>
        <w:t>ble: Rifampicina</w:t>
      </w:r>
    </w:p>
    <w:p w:rsidR="00000000" w:rsidRDefault="000C2B38">
      <w:pPr>
        <w:pStyle w:val="Ttulo1"/>
        <w:spacing w:line="480" w:lineRule="auto"/>
        <w:ind w:left="708"/>
      </w:pPr>
      <w:r>
        <w:t>Tabla XXII</w:t>
      </w: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>Prueba de K-S</w:t>
      </w:r>
      <w:r>
        <w:rPr>
          <w:rFonts w:ascii="Arial" w:hAnsi="Arial"/>
          <w:sz w:val="24"/>
        </w:rPr>
        <w:t xml:space="preserve"> de la Variable Rifampicina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0,12161148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0,13281101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0,14474704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0,16027994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0,20190512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0,12131452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,13118318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0,25354004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0,139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pStyle w:val="Textoindependiente"/>
        <w:ind w:left="708"/>
        <w:jc w:val="both"/>
      </w:pPr>
      <w:r>
        <w:t xml:space="preserve">Como podemos observar en la Tabla,  hay evidencia estadística que para el año 2000 se acepta la hipótesis alternativa:  Los datos no provienen de una distribución normal; mientras tanto, para los demás años se </w:t>
      </w:r>
      <w:r>
        <w:t>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Pirazinamida</w:t>
      </w:r>
    </w:p>
    <w:p w:rsidR="00000000" w:rsidRDefault="000C2B38">
      <w:pPr>
        <w:pStyle w:val="Ttulo1"/>
        <w:spacing w:line="480" w:lineRule="auto"/>
        <w:ind w:left="708"/>
      </w:pPr>
      <w:r>
        <w:t>Tabla XXIII</w:t>
      </w: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>Prueba de K-S</w:t>
      </w:r>
      <w:r>
        <w:rPr>
          <w:rFonts w:ascii="Arial" w:hAnsi="Arial"/>
          <w:sz w:val="24"/>
        </w:rPr>
        <w:t xml:space="preserve"> de la Variable Pirazinamida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0,29599276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0,3194667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0,10270802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0,27353154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0,22124774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0,31850094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0,18442442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0,19810428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pStyle w:val="Ttulo1"/>
        <w:spacing w:line="480" w:lineRule="auto"/>
        <w:ind w:left="708"/>
        <w:jc w:val="both"/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Como podemos observar en la Tabla,  hay evidencia estadística que para los años 1993, 1994, 1996, 1997  y 1998  se acepta la</w:t>
      </w:r>
      <w:r>
        <w:rPr>
          <w:rFonts w:ascii="Arial" w:hAnsi="Arial"/>
          <w:sz w:val="24"/>
        </w:rPr>
        <w:t xml:space="preserve"> hipótesis alternativa:  Los datos no provienen de una distribución normal; mientras tanto, para los demás años se cumple 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Variable: Resistencia a dos o más medicamentos</w:t>
      </w: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  <w:r>
        <w:t>Tabla XXIV</w:t>
      </w: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>Prueb</w:t>
      </w:r>
      <w:r>
        <w:rPr>
          <w:rFonts w:ascii="Arial" w:hAnsi="Arial"/>
          <w:snapToGrid w:val="0"/>
          <w:sz w:val="24"/>
        </w:rPr>
        <w:t>a de K-S</w:t>
      </w:r>
      <w:r>
        <w:rPr>
          <w:rFonts w:ascii="Arial" w:hAnsi="Arial"/>
          <w:sz w:val="24"/>
        </w:rPr>
        <w:t xml:space="preserve"> de la Variable Resistencia a dos o más medicamentos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1560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0,14778557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1994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0,19883787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1995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0,17102722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1996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0,17339187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1997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0,21097247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1998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0,16442848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1999</w:t>
            </w:r>
          </w:p>
        </w:tc>
        <w:tc>
          <w:tcPr>
            <w:tcW w:w="156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0,1978784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850" w:type="dxa"/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0,19278580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0,200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Como podemos observar en la Tabla,  hay evidencia estadística que para el año 1997  se acepta la hipótesis alternativa:  Los datos no provienen de una distribución normal; mientras tanto, para los demás años se cumple </w:t>
      </w:r>
      <w:r>
        <w:rPr>
          <w:rFonts w:ascii="Arial" w:hAnsi="Arial"/>
          <w:sz w:val="24"/>
        </w:rPr>
        <w:t>la hipótesis nula: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Ahora procederemos a analizar toda la información de manera global, por lo tanto realizaremos la prueba de bondad de ajuste de Kolmogorov-Smirnov, dadas las siguientes hipóteis: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0</w:t>
      </w:r>
      <w:r>
        <w:rPr>
          <w:rFonts w:ascii="Arial" w:hAnsi="Arial"/>
          <w:sz w:val="24"/>
        </w:rPr>
        <w:t xml:space="preserve">:  Los </w:t>
      </w:r>
      <w:r>
        <w:rPr>
          <w:rFonts w:ascii="Arial" w:hAnsi="Arial"/>
          <w:sz w:val="24"/>
        </w:rPr>
        <w:t>datos provienen de una distribución normal.</w:t>
      </w:r>
    </w:p>
    <w:p w:rsidR="00000000" w:rsidRDefault="000C2B38">
      <w:pPr>
        <w:spacing w:line="480" w:lineRule="auto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a</w:t>
      </w:r>
      <w:r>
        <w:rPr>
          <w:rFonts w:ascii="Arial" w:hAnsi="Arial"/>
          <w:sz w:val="24"/>
        </w:rPr>
        <w:t>:  Los datos no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región de aceptación es:  Sig.</w:t>
      </w:r>
      <w:r>
        <w:rPr>
          <w:rFonts w:ascii="Arial" w:hAnsi="Arial"/>
          <w:position w:val="-4"/>
          <w:sz w:val="24"/>
        </w:rPr>
        <w:object w:dxaOrig="200" w:dyaOrig="240">
          <v:shape id="_x0000_i1034" type="#_x0000_t75" style="width:9.75pt;height:12pt" o:ole="" fillcolor="window">
            <v:imagedata r:id="rId34" o:title=""/>
          </v:shape>
          <o:OLEObject Type="Embed" ProgID="Equation.3" ShapeID="_x0000_i1034" DrawAspect="Content" ObjectID="_1308031129" r:id="rId35"/>
        </w:object>
      </w:r>
      <w:r>
        <w:rPr>
          <w:rFonts w:ascii="Arial" w:hAnsi="Arial"/>
          <w:sz w:val="24"/>
        </w:rPr>
        <w:t>0.170</w:t>
      </w: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pStyle w:val="Ttulo1"/>
        <w:spacing w:line="480" w:lineRule="auto"/>
        <w:ind w:left="708"/>
      </w:pP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napToGrid w:val="0"/>
          <w:sz w:val="24"/>
        </w:rPr>
      </w:pP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Tabla XXV</w:t>
      </w: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>Parte I.  Prueba de K-S</w:t>
      </w:r>
      <w:r>
        <w:rPr>
          <w:rFonts w:ascii="Arial" w:hAnsi="Arial"/>
          <w:sz w:val="24"/>
        </w:rPr>
        <w:t xml:space="preserve"> de todas las variables</w:t>
      </w:r>
    </w:p>
    <w:tbl>
      <w:tblPr>
        <w:tblW w:w="0" w:type="auto"/>
        <w:tblInd w:w="7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1417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Centro de Salud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Hospital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Particular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Total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Cuidad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Afuera de la Ciudad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de Esputo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de Orina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de Hisopados Laringeo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s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Varios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Pulmonar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Extrapulmonar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Total de Enfermos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Total Cultivos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Pruebas de sensibilidad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Isoniacida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</w:tr>
    </w:tbl>
    <w:p w:rsidR="00000000" w:rsidRDefault="000C2B38"/>
    <w:p w:rsidR="00000000" w:rsidRDefault="000C2B38"/>
    <w:p w:rsidR="00000000" w:rsidRDefault="000C2B38"/>
    <w:p w:rsidR="00000000" w:rsidRDefault="000C2B38"/>
    <w:p w:rsidR="00000000" w:rsidRDefault="000C2B38"/>
    <w:p w:rsidR="00000000" w:rsidRDefault="000C2B38"/>
    <w:p w:rsidR="00000000" w:rsidRDefault="000C2B38"/>
    <w:p w:rsidR="00000000" w:rsidRDefault="000C2B38">
      <w:pPr>
        <w:spacing w:line="480" w:lineRule="auto"/>
        <w:ind w:left="708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Tabla XXVI</w:t>
      </w:r>
    </w:p>
    <w:p w:rsidR="00000000" w:rsidRDefault="000C2B38">
      <w:pPr>
        <w:spacing w:line="480" w:lineRule="auto"/>
        <w:ind w:left="708"/>
        <w:jc w:val="center"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 xml:space="preserve">Parte II.  Prueba </w:t>
      </w:r>
      <w:r>
        <w:rPr>
          <w:rFonts w:ascii="Arial" w:hAnsi="Arial"/>
          <w:snapToGrid w:val="0"/>
          <w:sz w:val="24"/>
        </w:rPr>
        <w:t>de K-S</w:t>
      </w:r>
      <w:r>
        <w:rPr>
          <w:rFonts w:ascii="Arial" w:hAnsi="Arial"/>
          <w:sz w:val="24"/>
        </w:rPr>
        <w:t xml:space="preserve"> de todas las variables</w:t>
      </w:r>
    </w:p>
    <w:p w:rsidR="00000000" w:rsidRDefault="000C2B38"/>
    <w:tbl>
      <w:tblPr>
        <w:tblW w:w="0" w:type="auto"/>
        <w:tblInd w:w="7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1417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Estreptomicina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Etambutol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Rifampicina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Pirazinamida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0,20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Resistencia a dos o más medicamentos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</w:t>
            </w:r>
          </w:p>
        </w:tc>
      </w:tr>
    </w:tbl>
    <w:p w:rsidR="00000000" w:rsidRDefault="000C2B38">
      <w:pPr>
        <w:pStyle w:val="Ttulo1"/>
        <w:spacing w:line="480" w:lineRule="auto"/>
        <w:ind w:left="708"/>
        <w:jc w:val="both"/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En las dos Tablas, observamos que ha</w:t>
      </w:r>
      <w:r>
        <w:rPr>
          <w:rFonts w:ascii="Arial" w:hAnsi="Arial"/>
          <w:snapToGrid w:val="0"/>
          <w:color w:val="000000"/>
          <w:sz w:val="24"/>
        </w:rPr>
        <w:t>y evidencia estadística para las siguientes variables:  Total, Muestras de esputo, Muestras de Hisopados Laringeos, Muestras Varios, Pulmonar, Extrapulmonar, Total de Cultivos, Pruebas de Sensibilidad, Estreptomicina, Etambutol, Rifampicina y Pirazinamida,</w:t>
      </w:r>
      <w:r>
        <w:rPr>
          <w:rFonts w:ascii="Arial" w:hAnsi="Arial"/>
          <w:snapToGrid w:val="0"/>
          <w:color w:val="000000"/>
          <w:sz w:val="24"/>
        </w:rPr>
        <w:t xml:space="preserve"> de aceptar la hipótesis alternativa:  los datos no provienen de una distribución normal; mientras que para las demás variables se acepta la hipótesis nula:  los datos provienen de una distribución normal.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4.3     Prueba de homogeneidad de la varianza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Nuestra hipótesis es: 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0</w:t>
      </w:r>
      <w:r>
        <w:rPr>
          <w:rFonts w:ascii="Arial" w:hAnsi="Arial"/>
          <w:sz w:val="24"/>
        </w:rPr>
        <w:t>:  La varianza de cada año son iguales.</w:t>
      </w:r>
    </w:p>
    <w:p w:rsidR="00000000" w:rsidRDefault="000C2B38">
      <w:pPr>
        <w:spacing w:line="480" w:lineRule="auto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a</w:t>
      </w:r>
      <w:r>
        <w:rPr>
          <w:rFonts w:ascii="Arial" w:hAnsi="Arial"/>
          <w:sz w:val="24"/>
        </w:rPr>
        <w:t>:  La varianza de cada año no son iguales.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región de aceptación es:  Sig.</w:t>
      </w:r>
      <w:r>
        <w:rPr>
          <w:rFonts w:ascii="Arial" w:hAnsi="Arial"/>
          <w:position w:val="-4"/>
          <w:sz w:val="24"/>
        </w:rPr>
        <w:object w:dxaOrig="200" w:dyaOrig="240">
          <v:shape id="_x0000_i1035" type="#_x0000_t75" style="width:9.75pt;height:12pt" o:ole="" fillcolor="window">
            <v:imagedata r:id="rId34" o:title=""/>
          </v:shape>
          <o:OLEObject Type="Embed" ProgID="Equation.3" ShapeID="_x0000_i1035" DrawAspect="Content" ObjectID="_1308031130" r:id="rId36"/>
        </w:object>
      </w:r>
      <w:r>
        <w:rPr>
          <w:rFonts w:ascii="Arial" w:hAnsi="Arial"/>
          <w:sz w:val="24"/>
        </w:rPr>
        <w:t>0.170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Estadístico de Levene</w:t>
      </w:r>
    </w:p>
    <w:p w:rsidR="00000000" w:rsidRDefault="000C2B38">
      <w:pPr>
        <w:pStyle w:val="Ttulo5"/>
      </w:pPr>
      <w:r>
        <w:t>Tabla XXVII</w:t>
      </w:r>
    </w:p>
    <w:p w:rsidR="00000000" w:rsidRDefault="000C2B38">
      <w:pPr>
        <w:pStyle w:val="Ttulo5"/>
      </w:pPr>
      <w:r>
        <w:t>Parte I.  Prueba de Levene</w:t>
      </w:r>
    </w:p>
    <w:tbl>
      <w:tblPr>
        <w:tblW w:w="0" w:type="auto"/>
        <w:tblInd w:w="7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1559"/>
        <w:gridCol w:w="851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pStyle w:val="Ttulo2"/>
              <w:spacing w:line="480" w:lineRule="auto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stico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Centro de Salud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0,93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Hospital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0,59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Particular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2,22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Total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0,72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Cuidad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0,76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Afuera de la Ciudad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1,54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de Esputo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0,85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de Orina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0,98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0,45</w:t>
            </w:r>
          </w:p>
        </w:tc>
      </w:tr>
    </w:tbl>
    <w:p w:rsidR="00000000" w:rsidRDefault="000C2B38"/>
    <w:p w:rsidR="00000000" w:rsidRDefault="000C2B38"/>
    <w:p w:rsidR="00000000" w:rsidRDefault="000C2B38"/>
    <w:p w:rsidR="00000000" w:rsidRDefault="000C2B38">
      <w:pPr>
        <w:pStyle w:val="Ttulo5"/>
      </w:pPr>
      <w:r>
        <w:t>T</w:t>
      </w:r>
      <w:r>
        <w:t>abla XXVIII</w:t>
      </w:r>
    </w:p>
    <w:p w:rsidR="00000000" w:rsidRDefault="000C2B38">
      <w:pPr>
        <w:pStyle w:val="Ttulo5"/>
      </w:pPr>
      <w:r>
        <w:t>Parte II.  Prueba de Levene</w:t>
      </w:r>
    </w:p>
    <w:tbl>
      <w:tblPr>
        <w:tblW w:w="0" w:type="auto"/>
        <w:tblInd w:w="7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1559"/>
        <w:gridCol w:w="851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pStyle w:val="Ttulo2"/>
              <w:spacing w:line="480" w:lineRule="auto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Estadístico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gl2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de H. L.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2,30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Muestra Varios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1,59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Pulmonar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2,24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Extrapulmonar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0,78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Total de Enfermos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2,36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Total Cultivos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2,47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Pruebas de S.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1,92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Isoniacida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0,72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Estreptomicina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1,47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Etambutol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2,49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Rifampicina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0,60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Pirazinamida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2,39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R. a dos o más Med.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1,53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C2B38">
            <w:pPr>
              <w:spacing w:line="480" w:lineRule="auto"/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0,17</w:t>
            </w:r>
          </w:p>
        </w:tc>
      </w:tr>
    </w:tbl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En las dos Tablas, observamos que hay eviden</w:t>
      </w:r>
      <w:r>
        <w:rPr>
          <w:rFonts w:ascii="Arial" w:hAnsi="Arial"/>
          <w:snapToGrid w:val="0"/>
          <w:color w:val="000000"/>
          <w:sz w:val="24"/>
        </w:rPr>
        <w:t xml:space="preserve">cia estadística para las siguientes variables:  Particular, Muestras de Hisopados Laringeos, Muestras Varios, Pulmonar, Total de Cultivos, Pruebas de Sensibilidad, Etambutol, y Pirazinamida, de aceptar la hipótesis alternativa:  la varianza de cada año no </w:t>
      </w:r>
      <w:r>
        <w:rPr>
          <w:rFonts w:ascii="Arial" w:hAnsi="Arial"/>
          <w:snapToGrid w:val="0"/>
          <w:color w:val="000000"/>
          <w:sz w:val="24"/>
        </w:rPr>
        <w:t>son iguales; mientras que para las demás variables se acepta la hipótesis nula:  la varianza de cada año son iguales.</w:t>
      </w:r>
    </w:p>
    <w:p w:rsidR="00000000" w:rsidRDefault="000C2B38">
      <w:pPr>
        <w:spacing w:line="480" w:lineRule="auto"/>
        <w:ind w:left="708"/>
        <w:jc w:val="both"/>
        <w:rPr>
          <w:rFonts w:ascii="Arial" w:hAnsi="Arial"/>
          <w:snapToGrid w:val="0"/>
          <w:color w:val="000000"/>
          <w:sz w:val="24"/>
        </w:rPr>
      </w:pPr>
    </w:p>
    <w:p w:rsidR="000C2B38" w:rsidRDefault="000C2B38">
      <w:pPr>
        <w:pStyle w:val="Sangra2detindependiente"/>
      </w:pPr>
      <w:r>
        <w:t>En conclusión general:   Hay evidencia estadística de no poder construir un modelo de regresión múltiple, para poder realizar el pronósti</w:t>
      </w:r>
      <w:r>
        <w:t>co, por lo cual debemos utilizar otra técnica matemática.  Debemos hacer hincapié que las variables artificiales construidas no se las puede utilizar conjuntamente con las variables que fueron construidas.</w:t>
      </w:r>
    </w:p>
    <w:sectPr w:rsidR="000C2B38">
      <w:headerReference w:type="default" r:id="rId37"/>
      <w:footerReference w:type="even" r:id="rId38"/>
      <w:footerReference w:type="default" r:id="rId39"/>
      <w:pgSz w:w="11906" w:h="16838"/>
      <w:pgMar w:top="2268" w:right="1361" w:bottom="2268" w:left="2268" w:header="1531" w:footer="1531" w:gutter="0"/>
      <w:pgNumType w:start="19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38" w:rsidRDefault="000C2B38">
      <w:r>
        <w:separator/>
      </w:r>
    </w:p>
  </w:endnote>
  <w:endnote w:type="continuationSeparator" w:id="1">
    <w:p w:rsidR="000C2B38" w:rsidRDefault="000C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B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C2B3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B3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38" w:rsidRDefault="000C2B38">
      <w:r>
        <w:separator/>
      </w:r>
    </w:p>
  </w:footnote>
  <w:footnote w:type="continuationSeparator" w:id="1">
    <w:p w:rsidR="000C2B38" w:rsidRDefault="000C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B38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872918">
      <w:rPr>
        <w:rStyle w:val="Nmerodepgina"/>
        <w:noProof/>
      </w:rPr>
      <w:t>191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CA0296"/>
    <w:multiLevelType w:val="singleLevel"/>
    <w:tmpl w:val="CD5242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2">
    <w:nsid w:val="23D84CC8"/>
    <w:multiLevelType w:val="singleLevel"/>
    <w:tmpl w:val="969C5B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3">
    <w:nsid w:val="6EC84A5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918"/>
    <w:rsid w:val="000C2B38"/>
    <w:rsid w:val="0087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708"/>
      <w:jc w:val="center"/>
      <w:outlineLvl w:val="4"/>
    </w:pPr>
    <w:rPr>
      <w:rFonts w:ascii="Arial" w:hAnsi="Arial"/>
      <w:snapToGrid w:val="0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rFonts w:ascii="Arial" w:hAnsi="Arial"/>
      <w:b/>
      <w:snapToGrid w:val="0"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pgrafe">
    <w:name w:val="caption"/>
    <w:basedOn w:val="Normal"/>
    <w:next w:val="Normal"/>
    <w:qFormat/>
    <w:pPr>
      <w:spacing w:line="360" w:lineRule="auto"/>
      <w:jc w:val="center"/>
    </w:pPr>
    <w:rPr>
      <w:rFonts w:ascii="Arial" w:hAnsi="Arial"/>
      <w:sz w:val="24"/>
    </w:r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sz w:val="24"/>
      <w:lang w:val="es-ES_tradnl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styleId="Textoindependiente">
    <w:name w:val="Body Text"/>
    <w:basedOn w:val="Normal"/>
    <w:semiHidden/>
    <w:pPr>
      <w:spacing w:line="480" w:lineRule="auto"/>
    </w:pPr>
    <w:rPr>
      <w:rFonts w:ascii="Arial" w:hAnsi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line="480" w:lineRule="auto"/>
      <w:ind w:left="708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pPr>
      <w:spacing w:line="480" w:lineRule="auto"/>
      <w:ind w:left="709"/>
      <w:jc w:val="both"/>
    </w:pPr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Bondad de Ajuste de Kolmogoron-Smirmov</vt:lpstr>
    </vt:vector>
  </TitlesOfParts>
  <Company>Baquero</Company>
  <LinksUpToDate>false</LinksUpToDate>
  <CharactersWithSpaces>20346</CharactersWithSpaces>
  <SharedDoc>false</SharedDoc>
  <HLinks>
    <vt:vector size="54" baseType="variant">
      <vt:variant>
        <vt:i4>6750242</vt:i4>
      </vt:variant>
      <vt:variant>
        <vt:i4>4383</vt:i4>
      </vt:variant>
      <vt:variant>
        <vt:i4>1025</vt:i4>
      </vt:variant>
      <vt:variant>
        <vt:i4>1</vt:i4>
      </vt:variant>
      <vt:variant>
        <vt:lpwstr>C:\My Documents\levene_archivos\difabs.gif</vt:lpwstr>
      </vt:variant>
      <vt:variant>
        <vt:lpwstr/>
      </vt:variant>
      <vt:variant>
        <vt:i4>5636106</vt:i4>
      </vt:variant>
      <vt:variant>
        <vt:i4>4468</vt:i4>
      </vt:variant>
      <vt:variant>
        <vt:i4>1026</vt:i4>
      </vt:variant>
      <vt:variant>
        <vt:i4>1</vt:i4>
      </vt:variant>
      <vt:variant>
        <vt:lpwstr>C:\My Documents\levene_archivos\media.gif</vt:lpwstr>
      </vt:variant>
      <vt:variant>
        <vt:lpwstr/>
      </vt:variant>
      <vt:variant>
        <vt:i4>5636109</vt:i4>
      </vt:variant>
      <vt:variant>
        <vt:i4>4563</vt:i4>
      </vt:variant>
      <vt:variant>
        <vt:i4>1027</vt:i4>
      </vt:variant>
      <vt:variant>
        <vt:i4>1</vt:i4>
      </vt:variant>
      <vt:variant>
        <vt:lpwstr>C:\My Documents\levene_archivos\medif.gif</vt:lpwstr>
      </vt:variant>
      <vt:variant>
        <vt:lpwstr/>
      </vt:variant>
      <vt:variant>
        <vt:i4>524380</vt:i4>
      </vt:variant>
      <vt:variant>
        <vt:i4>4576</vt:i4>
      </vt:variant>
      <vt:variant>
        <vt:i4>1028</vt:i4>
      </vt:variant>
      <vt:variant>
        <vt:i4>1</vt:i4>
      </vt:variant>
      <vt:variant>
        <vt:lpwstr>C:\My Documents\levene_archivos\suma.gif</vt:lpwstr>
      </vt:variant>
      <vt:variant>
        <vt:lpwstr/>
      </vt:variant>
      <vt:variant>
        <vt:i4>2228269</vt:i4>
      </vt:variant>
      <vt:variant>
        <vt:i4>4729</vt:i4>
      </vt:variant>
      <vt:variant>
        <vt:i4>1029</vt:i4>
      </vt:variant>
      <vt:variant>
        <vt:i4>1</vt:i4>
      </vt:variant>
      <vt:variant>
        <vt:lpwstr>C:\My Documents\levene_archivos\medif2.gif</vt:lpwstr>
      </vt:variant>
      <vt:variant>
        <vt:lpwstr/>
      </vt:variant>
      <vt:variant>
        <vt:i4>5111886</vt:i4>
      </vt:variant>
      <vt:variant>
        <vt:i4>4752</vt:i4>
      </vt:variant>
      <vt:variant>
        <vt:i4>1030</vt:i4>
      </vt:variant>
      <vt:variant>
        <vt:i4>1</vt:i4>
      </vt:variant>
      <vt:variant>
        <vt:lpwstr>C:\My Documents\levene_archivos\suma2.gif</vt:lpwstr>
      </vt:variant>
      <vt:variant>
        <vt:lpwstr/>
      </vt:variant>
      <vt:variant>
        <vt:i4>3735584</vt:i4>
      </vt:variant>
      <vt:variant>
        <vt:i4>4916</vt:i4>
      </vt:variant>
      <vt:variant>
        <vt:i4>1031</vt:i4>
      </vt:variant>
      <vt:variant>
        <vt:i4>1</vt:i4>
      </vt:variant>
      <vt:variant>
        <vt:lpwstr>C:\My Documents\levene_archivos\sc1.gif</vt:lpwstr>
      </vt:variant>
      <vt:variant>
        <vt:lpwstr/>
      </vt:variant>
      <vt:variant>
        <vt:i4>3735587</vt:i4>
      </vt:variant>
      <vt:variant>
        <vt:i4>4984</vt:i4>
      </vt:variant>
      <vt:variant>
        <vt:i4>1032</vt:i4>
      </vt:variant>
      <vt:variant>
        <vt:i4>1</vt:i4>
      </vt:variant>
      <vt:variant>
        <vt:lpwstr>C:\My Documents\levene_archivos\sc2.gif</vt:lpwstr>
      </vt:variant>
      <vt:variant>
        <vt:lpwstr/>
      </vt:variant>
      <vt:variant>
        <vt:i4>7340069</vt:i4>
      </vt:variant>
      <vt:variant>
        <vt:i4>5099</vt:i4>
      </vt:variant>
      <vt:variant>
        <vt:i4>1033</vt:i4>
      </vt:variant>
      <vt:variant>
        <vt:i4>1</vt:i4>
      </vt:variant>
      <vt:variant>
        <vt:lpwstr>C:\My Documents\levene_archivos\gl.gif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Bondad de Ajuste de Kolmogoron-Smirmov</dc:title>
  <dc:subject/>
  <dc:creator>Eduardo</dc:creator>
  <cp:keywords/>
  <cp:lastModifiedBy>Ayudante</cp:lastModifiedBy>
  <cp:revision>2</cp:revision>
  <cp:lastPrinted>2001-04-30T08:58:00Z</cp:lastPrinted>
  <dcterms:created xsi:type="dcterms:W3CDTF">2009-07-02T14:12:00Z</dcterms:created>
  <dcterms:modified xsi:type="dcterms:W3CDTF">2009-07-02T14:12:00Z</dcterms:modified>
</cp:coreProperties>
</file>