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155">
      <w:pPr>
        <w:rPr>
          <w:rFonts w:ascii="Times New Roman" w:hAnsi="Times New Roman"/>
          <w:vertAlign w:val="baseline"/>
          <w:lang w:val="es-EC"/>
        </w:rPr>
      </w:pPr>
      <w:r>
        <w:rPr>
          <w:rFonts w:ascii="Times New Roman" w:hAnsi="Times New Roman"/>
          <w:vertAlign w:val="baseline"/>
          <w:lang w:val="es-EC"/>
        </w:rPr>
        <w:t>6.3.1 Observaciones:</w:t>
      </w:r>
    </w:p>
    <w:p w:rsidR="00000000" w:rsidRDefault="003D2155">
      <w:pPr>
        <w:rPr>
          <w:rFonts w:ascii="Times New Roman" w:hAnsi="Times New Roman"/>
          <w:vertAlign w:val="baseline"/>
          <w:lang w:val="es-EC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  <w:sectPr w:rsidR="00000000"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  <w:r>
        <w:rPr>
          <w:rFonts w:ascii="Times New Roman" w:hAnsi="Times New Roman"/>
          <w:vertAlign w:val="baseline"/>
          <w:lang w:val="es-EC"/>
        </w:rPr>
        <w:lastRenderedPageBreak/>
        <w:t>A partir de la matriz de correlación podemos decir las siguientes conclusiones: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  <w:r>
        <w:rPr>
          <w:rFonts w:ascii="Times New Roman" w:hAnsi="Times New Roman"/>
          <w:vertAlign w:val="baseline"/>
          <w:lang w:val="es-EC"/>
        </w:rPr>
        <w:t xml:space="preserve">La variable centro de salud está correlacionada positivamente con las variables muestra de esputo, muestra de hisopados </w:t>
      </w:r>
      <w:proofErr w:type="spellStart"/>
      <w:r>
        <w:rPr>
          <w:rFonts w:ascii="Times New Roman" w:hAnsi="Times New Roman"/>
          <w:vertAlign w:val="baseline"/>
          <w:lang w:val="es-EC"/>
        </w:rPr>
        <w:t>laringeos</w:t>
      </w:r>
      <w:proofErr w:type="spellEnd"/>
      <w:r>
        <w:rPr>
          <w:rFonts w:ascii="Times New Roman" w:hAnsi="Times New Roman"/>
          <w:vertAlign w:val="baseline"/>
          <w:lang w:val="es-EC"/>
        </w:rPr>
        <w:t>.  Esta relación nos in</w:t>
      </w:r>
      <w:r>
        <w:rPr>
          <w:rFonts w:ascii="Times New Roman" w:hAnsi="Times New Roman"/>
          <w:vertAlign w:val="baseline"/>
          <w:lang w:val="es-EC"/>
        </w:rPr>
        <w:t xml:space="preserve">dica si crece la variable centro de salud también crecerá la variable muestra de esputo, la misma relación sucede con la variable muestra de hisopados </w:t>
      </w:r>
      <w:proofErr w:type="spellStart"/>
      <w:r>
        <w:rPr>
          <w:rFonts w:ascii="Times New Roman" w:hAnsi="Times New Roman"/>
          <w:vertAlign w:val="baseline"/>
          <w:lang w:val="es-EC"/>
        </w:rPr>
        <w:t>laringeos</w:t>
      </w:r>
      <w:proofErr w:type="spellEnd"/>
      <w:r>
        <w:rPr>
          <w:rFonts w:ascii="Times New Roman" w:hAnsi="Times New Roman"/>
          <w:vertAlign w:val="baseline"/>
          <w:lang w:val="es-EC"/>
        </w:rPr>
        <w:t xml:space="preserve">.  Hay evidencia estadística que los centros de salud piden a los pacientes que se realicen más </w:t>
      </w:r>
      <w:r>
        <w:rPr>
          <w:rFonts w:ascii="Times New Roman" w:hAnsi="Times New Roman"/>
          <w:vertAlign w:val="baseline"/>
          <w:lang w:val="es-EC"/>
        </w:rPr>
        <w:t>estos tipos de muestras.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  <w:r>
        <w:rPr>
          <w:rFonts w:ascii="Times New Roman" w:hAnsi="Times New Roman"/>
          <w:vertAlign w:val="baseline"/>
          <w:lang w:val="es-EC"/>
        </w:rPr>
        <w:t>La variable hospital está correlacionada positivamente con las variables ciudad, muestra de esputo y muestra de orina.  Esta relación de crecimiento entre la variable hospital y las variables de muestra de esputo y muestra de orin</w:t>
      </w:r>
      <w:r>
        <w:rPr>
          <w:rFonts w:ascii="Times New Roman" w:hAnsi="Times New Roman"/>
          <w:vertAlign w:val="baseline"/>
          <w:lang w:val="es-EC"/>
        </w:rPr>
        <w:t>a se debe a la realización de los exámenes que se debe realizar un paciente.  La relación entre la variable hospital y ciudad hay evidencia de creer que se debe que el origen de los pacientes pertenecen a la ciudad.  Además hay evidencia estadística de sup</w:t>
      </w:r>
      <w:r>
        <w:rPr>
          <w:rFonts w:ascii="Times New Roman" w:hAnsi="Times New Roman"/>
          <w:vertAlign w:val="baseline"/>
          <w:lang w:val="es-EC"/>
        </w:rPr>
        <w:t>oner que los hospitales piden a los pacientes que se realicen más estos tipos de muestras.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  <w:r>
        <w:rPr>
          <w:rFonts w:ascii="Times New Roman" w:hAnsi="Times New Roman"/>
          <w:vertAlign w:val="baseline"/>
          <w:lang w:val="es-EC"/>
        </w:rPr>
        <w:t xml:space="preserve">La variable particular está correlacionada positivamente con las variables ciudad, muestra de esputo, muestra de orina y muestra de hisopados </w:t>
      </w:r>
      <w:proofErr w:type="spellStart"/>
      <w:r>
        <w:rPr>
          <w:rFonts w:ascii="Times New Roman" w:hAnsi="Times New Roman"/>
          <w:vertAlign w:val="baseline"/>
          <w:lang w:val="es-EC"/>
        </w:rPr>
        <w:t>laringeos</w:t>
      </w:r>
      <w:proofErr w:type="spellEnd"/>
      <w:r>
        <w:rPr>
          <w:rFonts w:ascii="Times New Roman" w:hAnsi="Times New Roman"/>
          <w:vertAlign w:val="baseline"/>
          <w:lang w:val="es-EC"/>
        </w:rPr>
        <w:t>.   Está rela</w:t>
      </w:r>
      <w:r>
        <w:rPr>
          <w:rFonts w:ascii="Times New Roman" w:hAnsi="Times New Roman"/>
          <w:vertAlign w:val="baseline"/>
          <w:lang w:val="es-EC"/>
        </w:rPr>
        <w:t>ción nos indica que la mayoría de los pacientes de los centros particulares viven en la ciudad y piden que se realicen más estos tipos de muestras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  <w:r>
        <w:rPr>
          <w:rFonts w:ascii="Times New Roman" w:hAnsi="Times New Roman"/>
          <w:vertAlign w:val="baseline"/>
          <w:lang w:val="es-EC"/>
        </w:rPr>
        <w:t>La variable Ciudad está correlacionada positivamente con las variables muestra de esputo, muestra de orina y</w:t>
      </w:r>
      <w:r>
        <w:rPr>
          <w:rFonts w:ascii="Times New Roman" w:hAnsi="Times New Roman"/>
          <w:vertAlign w:val="baseline"/>
          <w:lang w:val="es-EC"/>
        </w:rPr>
        <w:t xml:space="preserve"> muestra de hisopados </w:t>
      </w:r>
      <w:proofErr w:type="spellStart"/>
      <w:r>
        <w:rPr>
          <w:rFonts w:ascii="Times New Roman" w:hAnsi="Times New Roman"/>
          <w:vertAlign w:val="baseline"/>
          <w:lang w:val="es-EC"/>
        </w:rPr>
        <w:t>laringeos</w:t>
      </w:r>
      <w:proofErr w:type="spellEnd"/>
      <w:r>
        <w:rPr>
          <w:rFonts w:ascii="Times New Roman" w:hAnsi="Times New Roman"/>
          <w:vertAlign w:val="baseline"/>
          <w:lang w:val="es-EC"/>
        </w:rPr>
        <w:t xml:space="preserve">.  Está relación nos indica que la mayoría de los </w:t>
      </w:r>
      <w:r>
        <w:rPr>
          <w:rFonts w:ascii="Times New Roman" w:hAnsi="Times New Roman"/>
          <w:vertAlign w:val="baseline"/>
          <w:lang w:val="es-EC"/>
        </w:rPr>
        <w:lastRenderedPageBreak/>
        <w:t>pacientes que viven en la ciudad se realizan estos tipos de exámenes.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  <w:r>
        <w:rPr>
          <w:rFonts w:ascii="Times New Roman" w:hAnsi="Times New Roman"/>
          <w:vertAlign w:val="baseline"/>
          <w:lang w:val="es-EC"/>
        </w:rPr>
        <w:t xml:space="preserve">La variable afuera de la ciudad está correlacionada positivamente con la variable muestra varios.  Esta </w:t>
      </w:r>
      <w:r>
        <w:rPr>
          <w:rFonts w:ascii="Times New Roman" w:hAnsi="Times New Roman"/>
          <w:vertAlign w:val="baseline"/>
          <w:lang w:val="es-EC"/>
        </w:rPr>
        <w:t>relación nos indica que a los pacientes se les realizan otros tipos de muestras.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EC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  <w:r>
        <w:rPr>
          <w:rFonts w:ascii="Times New Roman" w:hAnsi="Times New Roman"/>
          <w:vertAlign w:val="baseline"/>
          <w:lang w:val="es-MX"/>
        </w:rPr>
        <w:t xml:space="preserve">La variable prueba de sensibilidad está correlacionada positivamente con las variables </w:t>
      </w:r>
      <w:proofErr w:type="spellStart"/>
      <w:r>
        <w:rPr>
          <w:rFonts w:ascii="Times New Roman" w:hAnsi="Times New Roman"/>
          <w:vertAlign w:val="baseline"/>
          <w:lang w:val="es-MX"/>
        </w:rPr>
        <w:t>isoniacida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, </w:t>
      </w:r>
      <w:proofErr w:type="spellStart"/>
      <w:r>
        <w:rPr>
          <w:rFonts w:ascii="Times New Roman" w:hAnsi="Times New Roman"/>
          <w:vertAlign w:val="baseline"/>
          <w:lang w:val="es-MX"/>
        </w:rPr>
        <w:t>rifampicina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 y resistencia a dos o más medicamentos.  Está relación nos indi</w:t>
      </w:r>
      <w:r>
        <w:rPr>
          <w:rFonts w:ascii="Times New Roman" w:hAnsi="Times New Roman"/>
          <w:vertAlign w:val="baseline"/>
          <w:lang w:val="es-MX"/>
        </w:rPr>
        <w:t xml:space="preserve">ca que la mayoría de los pacientes están adquiriendo resistencia a estos medicamentos utilizados en el esquema de tratamiento, mucho más rápido de lo normal. 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  <w:r>
        <w:rPr>
          <w:rFonts w:ascii="Times New Roman" w:hAnsi="Times New Roman"/>
          <w:vertAlign w:val="baseline"/>
          <w:lang w:val="es-MX"/>
        </w:rPr>
        <w:t xml:space="preserve">La variable </w:t>
      </w:r>
      <w:proofErr w:type="spellStart"/>
      <w:r>
        <w:rPr>
          <w:rFonts w:ascii="Times New Roman" w:hAnsi="Times New Roman"/>
          <w:vertAlign w:val="baseline"/>
          <w:lang w:val="es-MX"/>
        </w:rPr>
        <w:t>isoniacida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 está correlacionada positivamente con las variables estreptomicina, </w:t>
      </w:r>
      <w:proofErr w:type="spellStart"/>
      <w:r>
        <w:rPr>
          <w:rFonts w:ascii="Times New Roman" w:hAnsi="Times New Roman"/>
          <w:vertAlign w:val="baseline"/>
          <w:lang w:val="es-MX"/>
        </w:rPr>
        <w:t>rifam</w:t>
      </w:r>
      <w:r>
        <w:rPr>
          <w:rFonts w:ascii="Times New Roman" w:hAnsi="Times New Roman"/>
          <w:vertAlign w:val="baseline"/>
          <w:lang w:val="es-MX"/>
        </w:rPr>
        <w:t>picina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 y resistencia a dos o más medicamentos.  Está relación se debe a que el medicamento es administrado conjuntamente con otros medicamentos en diferentes dosis, provocando una resistencia a uno de ellos.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  <w:r>
        <w:rPr>
          <w:rFonts w:ascii="Times New Roman" w:hAnsi="Times New Roman"/>
          <w:vertAlign w:val="baseline"/>
          <w:lang w:val="es-MX"/>
        </w:rPr>
        <w:t xml:space="preserve">La variable estreptomicina está correlacionada </w:t>
      </w:r>
      <w:r>
        <w:rPr>
          <w:rFonts w:ascii="Times New Roman" w:hAnsi="Times New Roman"/>
          <w:vertAlign w:val="baseline"/>
          <w:lang w:val="es-MX"/>
        </w:rPr>
        <w:t xml:space="preserve">positivamente con las variables </w:t>
      </w:r>
      <w:proofErr w:type="spellStart"/>
      <w:r>
        <w:rPr>
          <w:rFonts w:ascii="Times New Roman" w:hAnsi="Times New Roman"/>
          <w:vertAlign w:val="baseline"/>
          <w:lang w:val="es-MX"/>
        </w:rPr>
        <w:t>etambutol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, </w:t>
      </w:r>
      <w:proofErr w:type="spellStart"/>
      <w:r>
        <w:rPr>
          <w:rFonts w:ascii="Times New Roman" w:hAnsi="Times New Roman"/>
          <w:vertAlign w:val="baseline"/>
          <w:lang w:val="es-MX"/>
        </w:rPr>
        <w:t>rifampicina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 y </w:t>
      </w:r>
      <w:proofErr w:type="spellStart"/>
      <w:r>
        <w:rPr>
          <w:rFonts w:ascii="Times New Roman" w:hAnsi="Times New Roman"/>
          <w:vertAlign w:val="baseline"/>
          <w:lang w:val="es-MX"/>
        </w:rPr>
        <w:t>pirazinamida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.  Está relación nos indica que si el paciente tiene resistencia a este medicamento hay evidencia estadística de que también será resistente a los otros medicamentos.  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  <w:r>
        <w:rPr>
          <w:rFonts w:ascii="Times New Roman" w:hAnsi="Times New Roman"/>
          <w:vertAlign w:val="baseline"/>
          <w:lang w:val="es-MX"/>
        </w:rPr>
        <w:t xml:space="preserve">La variable </w:t>
      </w:r>
      <w:proofErr w:type="spellStart"/>
      <w:r>
        <w:rPr>
          <w:rFonts w:ascii="Times New Roman" w:hAnsi="Times New Roman"/>
          <w:vertAlign w:val="baseline"/>
          <w:lang w:val="es-MX"/>
        </w:rPr>
        <w:t>etamb</w:t>
      </w:r>
      <w:r>
        <w:rPr>
          <w:rFonts w:ascii="Times New Roman" w:hAnsi="Times New Roman"/>
          <w:vertAlign w:val="baseline"/>
          <w:lang w:val="es-MX"/>
        </w:rPr>
        <w:t>utol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 está correlacionada positivamente con la variable </w:t>
      </w:r>
      <w:proofErr w:type="spellStart"/>
      <w:r>
        <w:rPr>
          <w:rFonts w:ascii="Times New Roman" w:hAnsi="Times New Roman"/>
          <w:vertAlign w:val="baseline"/>
          <w:lang w:val="es-MX"/>
        </w:rPr>
        <w:t>pirazinamida</w:t>
      </w:r>
      <w:proofErr w:type="spellEnd"/>
      <w:r>
        <w:rPr>
          <w:rFonts w:ascii="Times New Roman" w:hAnsi="Times New Roman"/>
          <w:vertAlign w:val="baseline"/>
          <w:lang w:val="es-MX"/>
        </w:rPr>
        <w:t xml:space="preserve">.  Está relación nos indica que si el paciente tiene resistencia a este medicamento hay evidencia estadística de que también será resistente al medicamento </w:t>
      </w:r>
      <w:proofErr w:type="spellStart"/>
      <w:r>
        <w:rPr>
          <w:rFonts w:ascii="Times New Roman" w:hAnsi="Times New Roman"/>
          <w:vertAlign w:val="baseline"/>
          <w:lang w:val="es-MX"/>
        </w:rPr>
        <w:t>pirazinamida</w:t>
      </w:r>
      <w:proofErr w:type="spellEnd"/>
      <w:r>
        <w:rPr>
          <w:rFonts w:ascii="Times New Roman" w:hAnsi="Times New Roman"/>
          <w:vertAlign w:val="baseline"/>
          <w:lang w:val="es-MX"/>
        </w:rPr>
        <w:t>.</w:t>
      </w:r>
    </w:p>
    <w:p w:rsidR="00000000" w:rsidRDefault="003D2155">
      <w:pPr>
        <w:jc w:val="both"/>
        <w:rPr>
          <w:rFonts w:ascii="Times New Roman" w:hAnsi="Times New Roman"/>
          <w:vertAlign w:val="baseline"/>
          <w:lang w:val="es-MX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La variable </w:t>
      </w:r>
      <w:proofErr w:type="spellStart"/>
      <w:r>
        <w:rPr>
          <w:rFonts w:ascii="Times New Roman" w:hAnsi="Times New Roman"/>
          <w:vertAlign w:val="baseline"/>
        </w:rPr>
        <w:t>rifamp</w:t>
      </w:r>
      <w:r>
        <w:rPr>
          <w:rFonts w:ascii="Times New Roman" w:hAnsi="Times New Roman"/>
          <w:vertAlign w:val="baseline"/>
        </w:rPr>
        <w:t>icina</w:t>
      </w:r>
      <w:proofErr w:type="spellEnd"/>
      <w:r>
        <w:rPr>
          <w:rFonts w:ascii="Times New Roman" w:hAnsi="Times New Roman"/>
          <w:vertAlign w:val="baseline"/>
        </w:rPr>
        <w:t xml:space="preserve"> está correlacionada positivamente con la </w:t>
      </w:r>
      <w:r>
        <w:rPr>
          <w:rFonts w:ascii="Times New Roman" w:hAnsi="Times New Roman"/>
          <w:vertAlign w:val="baseline"/>
        </w:rPr>
        <w:lastRenderedPageBreak/>
        <w:t>variable</w:t>
      </w:r>
      <w:r>
        <w:rPr>
          <w:vertAlign w:val="baseline"/>
          <w:lang w:val="es-MX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pirazinamida</w:t>
      </w:r>
      <w:proofErr w:type="spellEnd"/>
      <w:r>
        <w:rPr>
          <w:rFonts w:ascii="Times New Roman" w:hAnsi="Times New Roman"/>
          <w:vertAlign w:val="baseline"/>
        </w:rPr>
        <w:t xml:space="preserve"> y resistencia a dos o más medicamentos.  Está relación nos indica que si el paciente tiene resistencia a este medicamento hay </w:t>
      </w:r>
      <w:r>
        <w:rPr>
          <w:rFonts w:ascii="Times New Roman" w:hAnsi="Times New Roman"/>
          <w:vertAlign w:val="baseline"/>
        </w:rPr>
        <w:lastRenderedPageBreak/>
        <w:t>evidencia estadística de que también será resistente al medic</w:t>
      </w:r>
      <w:r>
        <w:rPr>
          <w:rFonts w:ascii="Times New Roman" w:hAnsi="Times New Roman"/>
          <w:vertAlign w:val="baseline"/>
        </w:rPr>
        <w:t xml:space="preserve">amento </w:t>
      </w:r>
      <w:proofErr w:type="spellStart"/>
      <w:r>
        <w:rPr>
          <w:rFonts w:ascii="Times New Roman" w:hAnsi="Times New Roman"/>
          <w:vertAlign w:val="baseline"/>
        </w:rPr>
        <w:t>pirazinamida</w:t>
      </w:r>
      <w:proofErr w:type="spellEnd"/>
      <w:r>
        <w:rPr>
          <w:rFonts w:ascii="Times New Roman" w:hAnsi="Times New Roman"/>
          <w:vertAlign w:val="baseline"/>
        </w:rPr>
        <w:t xml:space="preserve"> y a otros medicamentos.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7 Análisis para pronostico de Series de Tiempo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lastRenderedPageBreak/>
        <w:t xml:space="preserve">7.1 Introducción 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Est</w:t>
      </w:r>
      <w:r>
        <w:rPr>
          <w:rFonts w:ascii="Times New Roman" w:hAnsi="Times New Roman"/>
          <w:vertAlign w:val="baseline"/>
        </w:rPr>
        <w:t>a</w:t>
      </w:r>
      <w:r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vertAlign w:val="baseline"/>
        </w:rPr>
        <w:t>secci</w:t>
      </w:r>
      <w:r>
        <w:rPr>
          <w:rFonts w:ascii="Times New Roman" w:hAnsi="Times New Roman"/>
          <w:vertAlign w:val="baseline"/>
        </w:rPr>
        <w:t>ón</w:t>
      </w:r>
      <w:r>
        <w:rPr>
          <w:rFonts w:ascii="Times New Roman" w:hAnsi="Times New Roman"/>
          <w:vertAlign w:val="baseline"/>
        </w:rPr>
        <w:t xml:space="preserve"> esta constituido </w:t>
      </w:r>
      <w:r>
        <w:rPr>
          <w:rFonts w:ascii="Times New Roman" w:hAnsi="Times New Roman"/>
          <w:vertAlign w:val="baseline"/>
        </w:rPr>
        <w:t>en</w:t>
      </w:r>
      <w:r>
        <w:rPr>
          <w:rFonts w:ascii="Times New Roman" w:hAnsi="Times New Roman"/>
          <w:vertAlign w:val="baseline"/>
        </w:rPr>
        <w:t xml:space="preserve"> dos </w:t>
      </w:r>
      <w:r>
        <w:rPr>
          <w:rFonts w:ascii="Times New Roman" w:hAnsi="Times New Roman"/>
          <w:vertAlign w:val="baseline"/>
        </w:rPr>
        <w:t>puntos</w:t>
      </w:r>
      <w:r>
        <w:rPr>
          <w:rFonts w:ascii="Times New Roman" w:hAnsi="Times New Roman"/>
          <w:vertAlign w:val="baseline"/>
        </w:rPr>
        <w:t xml:space="preserve">:  </w:t>
      </w:r>
      <w:r>
        <w:rPr>
          <w:rFonts w:ascii="Times New Roman" w:hAnsi="Times New Roman"/>
          <w:vertAlign w:val="baseline"/>
        </w:rPr>
        <w:t>El</w:t>
      </w:r>
      <w:r>
        <w:rPr>
          <w:rFonts w:ascii="Times New Roman" w:hAnsi="Times New Roman"/>
          <w:vertAlign w:val="baseline"/>
        </w:rPr>
        <w:t xml:space="preserve"> primer</w:t>
      </w:r>
      <w:r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vertAlign w:val="baseline"/>
        </w:rPr>
        <w:t>punto</w:t>
      </w:r>
      <w:r>
        <w:rPr>
          <w:rFonts w:ascii="Times New Roman" w:hAnsi="Times New Roman"/>
          <w:vertAlign w:val="baseline"/>
        </w:rPr>
        <w:t xml:space="preserve"> da una breve explicación de las herramientas matemática utilizadas.  </w:t>
      </w:r>
      <w:r>
        <w:rPr>
          <w:rFonts w:ascii="Times New Roman" w:hAnsi="Times New Roman"/>
          <w:vertAlign w:val="baseline"/>
        </w:rPr>
        <w:t>El</w:t>
      </w:r>
      <w:r>
        <w:rPr>
          <w:rFonts w:ascii="Times New Roman" w:hAnsi="Times New Roman"/>
          <w:vertAlign w:val="baseline"/>
        </w:rPr>
        <w:t xml:space="preserve"> s</w:t>
      </w:r>
      <w:r>
        <w:rPr>
          <w:rFonts w:ascii="Times New Roman" w:hAnsi="Times New Roman"/>
          <w:vertAlign w:val="baseline"/>
        </w:rPr>
        <w:t>egundo</w:t>
      </w:r>
      <w:r>
        <w:rPr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  <w:vertAlign w:val="baseline"/>
        </w:rPr>
        <w:t>punto</w:t>
      </w:r>
      <w:r>
        <w:rPr>
          <w:rFonts w:ascii="Times New Roman" w:hAnsi="Times New Roman"/>
          <w:vertAlign w:val="baseline"/>
        </w:rPr>
        <w:t xml:space="preserve"> contiene los resultados del pronóstico.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7.2 Explicación de las herramientas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Una Serie de Tiempo es una secuencia de observaciones de una variable aleatoria indexada en el tiempo.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Generalmente la variable independiente es el tiempo y en es</w:t>
      </w:r>
      <w:r>
        <w:rPr>
          <w:rFonts w:ascii="Times New Roman" w:hAnsi="Times New Roman"/>
          <w:vertAlign w:val="baseline"/>
        </w:rPr>
        <w:t>te caso, el análisis consiste en identificar el patrón de comportamiento de la variable dependiente, en el pasado y proyectarlo al futuro.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Típicamente, para analizar una serie de tiempo, esta puede ser considerado como la superposición de 4 componentes: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Tendencia (</w:t>
      </w:r>
      <w:proofErr w:type="spellStart"/>
      <w:r>
        <w:rPr>
          <w:rFonts w:ascii="Times New Roman" w:hAnsi="Times New Roman"/>
          <w:vertAlign w:val="baseline"/>
        </w:rPr>
        <w:t>Zn</w:t>
      </w:r>
      <w:proofErr w:type="spellEnd"/>
      <w:r>
        <w:rPr>
          <w:rFonts w:ascii="Times New Roman" w:hAnsi="Times New Roman"/>
          <w:vertAlign w:val="baseline"/>
        </w:rPr>
        <w:t xml:space="preserve"> (t)).-  Debido al comportamiento promedio a largo plazo.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Componente cíclicas (</w:t>
      </w:r>
      <w:proofErr w:type="spellStart"/>
      <w:r>
        <w:rPr>
          <w:rFonts w:ascii="Times New Roman" w:hAnsi="Times New Roman"/>
          <w:vertAlign w:val="baseline"/>
        </w:rPr>
        <w:t>Zn</w:t>
      </w:r>
      <w:proofErr w:type="spellEnd"/>
      <w:r>
        <w:rPr>
          <w:rFonts w:ascii="Times New Roman" w:hAnsi="Times New Roman"/>
          <w:vertAlign w:val="baseline"/>
        </w:rPr>
        <w:t xml:space="preserve"> (c)).-  Debido a movimientos periódicos. 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Componente oscilatorio (</w:t>
      </w:r>
      <w:proofErr w:type="spellStart"/>
      <w:r>
        <w:rPr>
          <w:rFonts w:ascii="Times New Roman" w:hAnsi="Times New Roman"/>
          <w:vertAlign w:val="baseline"/>
        </w:rPr>
        <w:t>Zn</w:t>
      </w:r>
      <w:proofErr w:type="spellEnd"/>
      <w:r>
        <w:rPr>
          <w:rFonts w:ascii="Times New Roman" w:hAnsi="Times New Roman"/>
          <w:vertAlign w:val="baseline"/>
        </w:rPr>
        <w:t xml:space="preserve"> (o)).-  Debido a movimientos irregulares periódicos.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Componente aleatorio (</w:t>
      </w:r>
      <w:proofErr w:type="spellStart"/>
      <w:r>
        <w:rPr>
          <w:rFonts w:ascii="Times New Roman" w:hAnsi="Times New Roman"/>
          <w:vertAlign w:val="baseline"/>
        </w:rPr>
        <w:t>Yn</w:t>
      </w:r>
      <w:proofErr w:type="spellEnd"/>
      <w:r>
        <w:rPr>
          <w:rFonts w:ascii="Times New Roman" w:hAnsi="Times New Roman"/>
          <w:vertAlign w:val="baseline"/>
        </w:rPr>
        <w:t xml:space="preserve">).-  Debido </w:t>
      </w:r>
      <w:r>
        <w:rPr>
          <w:rFonts w:ascii="Times New Roman" w:hAnsi="Times New Roman"/>
          <w:vertAlign w:val="baseline"/>
        </w:rPr>
        <w:t>a efectos aleatorios.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proofErr w:type="spellStart"/>
      <w:r>
        <w:rPr>
          <w:rFonts w:ascii="Times New Roman" w:hAnsi="Times New Roman"/>
          <w:vertAlign w:val="baseline"/>
        </w:rPr>
        <w:t>Xn=Zn</w:t>
      </w:r>
      <w:proofErr w:type="spellEnd"/>
      <w:r>
        <w:rPr>
          <w:rFonts w:ascii="Times New Roman" w:hAnsi="Times New Roman"/>
          <w:vertAlign w:val="baseline"/>
        </w:rPr>
        <w:t xml:space="preserve"> (t)+ </w:t>
      </w:r>
      <w:proofErr w:type="spellStart"/>
      <w:r>
        <w:rPr>
          <w:rFonts w:ascii="Times New Roman" w:hAnsi="Times New Roman"/>
          <w:vertAlign w:val="baseline"/>
        </w:rPr>
        <w:t>Zn</w:t>
      </w:r>
      <w:proofErr w:type="spellEnd"/>
      <w:r>
        <w:rPr>
          <w:rFonts w:ascii="Times New Roman" w:hAnsi="Times New Roman"/>
          <w:vertAlign w:val="baseline"/>
        </w:rPr>
        <w:t xml:space="preserve"> (c)+ </w:t>
      </w:r>
      <w:proofErr w:type="spellStart"/>
      <w:r>
        <w:rPr>
          <w:rFonts w:ascii="Times New Roman" w:hAnsi="Times New Roman"/>
          <w:vertAlign w:val="baseline"/>
        </w:rPr>
        <w:t>Zn</w:t>
      </w:r>
      <w:proofErr w:type="spellEnd"/>
      <w:r>
        <w:rPr>
          <w:rFonts w:ascii="Times New Roman" w:hAnsi="Times New Roman"/>
          <w:vertAlign w:val="baseline"/>
        </w:rPr>
        <w:t xml:space="preserve"> (o)+ </w:t>
      </w:r>
      <w:proofErr w:type="spellStart"/>
      <w:r>
        <w:rPr>
          <w:rFonts w:ascii="Times New Roman" w:hAnsi="Times New Roman"/>
          <w:vertAlign w:val="baseline"/>
        </w:rPr>
        <w:t>Yn</w:t>
      </w:r>
      <w:proofErr w:type="spellEnd"/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lastRenderedPageBreak/>
        <w:t>La componente tendencia se la separa haciendo un ajuste generalmente lineal, luego la componente cíclica se la separa haciendo un filtrado del espectro de frecuencias; y por último la componente oscilat</w:t>
      </w:r>
      <w:r>
        <w:rPr>
          <w:rFonts w:ascii="Times New Roman" w:hAnsi="Times New Roman"/>
          <w:vertAlign w:val="baseline"/>
        </w:rPr>
        <w:t>oria se separa de la componente aleatoria haciendo mediante un filtrado en bloque de las frecuencias.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Debido a esta descomposición, solamente a la componente aleatoria se le aplica los modelos ARIMA y SARIMA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Los valores aberrantes de los datos originales</w:t>
      </w:r>
      <w:r>
        <w:rPr>
          <w:rFonts w:ascii="Times New Roman" w:hAnsi="Times New Roman"/>
          <w:vertAlign w:val="baseline"/>
        </w:rPr>
        <w:t xml:space="preserve">, se eliminan considerando un </w:t>
      </w:r>
      <w:proofErr w:type="spellStart"/>
      <w:r>
        <w:rPr>
          <w:rFonts w:ascii="Times New Roman" w:hAnsi="Times New Roman"/>
          <w:vertAlign w:val="baseline"/>
        </w:rPr>
        <w:t>preajuste</w:t>
      </w:r>
      <w:proofErr w:type="spellEnd"/>
      <w:r>
        <w:rPr>
          <w:rFonts w:ascii="Times New Roman" w:hAnsi="Times New Roman"/>
          <w:vertAlign w:val="baseline"/>
        </w:rPr>
        <w:t xml:space="preserve"> por regresión simple, de la componente tendencia.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Para pronosticar  tendremos que sumar la tendencia, la componente Cíclica tiene período igual al número de datos entonces se la repite.  La componente oscilatoria se</w:t>
      </w:r>
      <w:r>
        <w:rPr>
          <w:rFonts w:ascii="Times New Roman" w:hAnsi="Times New Roman"/>
          <w:vertAlign w:val="baseline"/>
        </w:rPr>
        <w:t xml:space="preserve"> pone los valores calculados al momento de hacer el filtrado.  El error absoluto se puede pronosticar mediante un modelo ARIMA.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Para aceptar si un modelo es aceptado o rechazado, se considerará que el promedio de los errores de las variables a predecir,  </w:t>
      </w:r>
      <w:r>
        <w:rPr>
          <w:rFonts w:ascii="Times New Roman" w:hAnsi="Times New Roman"/>
          <w:vertAlign w:val="baseline"/>
        </w:rPr>
        <w:t>deberá estar comprendido en un intervalo entre –6% a 6%.  Debemos recordar que ningún modelo matemático se ajusta al 100% a la realidad.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7.3 Pronóstico 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lastRenderedPageBreak/>
        <w:t xml:space="preserve">La tabla siguiente contiene los valores pronosticados con sus respectivas </w:t>
      </w:r>
      <w:r>
        <w:rPr>
          <w:rFonts w:ascii="Times New Roman" w:hAnsi="Times New Roman"/>
          <w:vertAlign w:val="baseline"/>
        </w:rPr>
        <w:lastRenderedPageBreak/>
        <w:t>variables:</w:t>
      </w: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000000" w:rsidRDefault="003D2155">
      <w:pPr>
        <w:rPr>
          <w:rFonts w:ascii="Times New Roman" w:hAnsi="Times New Roman"/>
          <w:vertAlign w:val="baselin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1195"/>
        <w:gridCol w:w="647"/>
        <w:gridCol w:w="770"/>
        <w:gridCol w:w="1215"/>
        <w:gridCol w:w="1053"/>
        <w:gridCol w:w="11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Año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Mes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Tota</w:t>
            </w: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l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Ciudad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Afuera de la Ciudad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Total de Enfermos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Total de Cultivos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2000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Octubre</w:t>
            </w: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659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495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198</w:t>
            </w:r>
          </w:p>
        </w:tc>
        <w:tc>
          <w:tcPr>
            <w:tcW w:w="1053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122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2000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Noviembre</w:t>
            </w: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593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450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154</w:t>
            </w:r>
          </w:p>
        </w:tc>
        <w:tc>
          <w:tcPr>
            <w:tcW w:w="1053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134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2000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Diciembre</w:t>
            </w: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593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444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162</w:t>
            </w:r>
          </w:p>
        </w:tc>
        <w:tc>
          <w:tcPr>
            <w:tcW w:w="1053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118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2001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Enero</w:t>
            </w: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595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387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195</w:t>
            </w:r>
          </w:p>
        </w:tc>
        <w:tc>
          <w:tcPr>
            <w:tcW w:w="1053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139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2001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Febrero</w:t>
            </w: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606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416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164</w:t>
            </w:r>
          </w:p>
        </w:tc>
        <w:tc>
          <w:tcPr>
            <w:tcW w:w="1053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118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2001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Marzo</w:t>
            </w: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593</w:t>
            </w:r>
          </w:p>
        </w:tc>
        <w:tc>
          <w:tcPr>
            <w:tcW w:w="770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410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155</w:t>
            </w:r>
          </w:p>
        </w:tc>
        <w:tc>
          <w:tcPr>
            <w:tcW w:w="1053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96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2001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vertAlign w:val="baseline"/>
              </w:rPr>
            </w:pPr>
            <w:r>
              <w:rPr>
                <w:rFonts w:ascii="Times New Roman" w:hAnsi="Times New Roman"/>
                <w:snapToGrid w:val="0"/>
                <w:vertAlign w:val="baseline"/>
              </w:rPr>
              <w:t>Abril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653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481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166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153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662</w:t>
            </w:r>
          </w:p>
        </w:tc>
      </w:tr>
    </w:tbl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000000" w:rsidRDefault="003D2155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lastRenderedPageBreak/>
        <w:t>Observaciones:</w:t>
      </w: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A partir del cuadro de predicción elaborado se puede inducir que:</w:t>
      </w: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Los promedios de errores relativos son aceptables, que se puede observar en la siguiente tabla:</w:t>
      </w:r>
    </w:p>
    <w:p w:rsidR="00000000" w:rsidRDefault="003D2155">
      <w:p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jc w:val="center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Promedio del Error Relativo</w:t>
      </w:r>
    </w:p>
    <w:p w:rsidR="00000000" w:rsidRDefault="003D2155">
      <w:pPr>
        <w:rPr>
          <w:rFonts w:ascii="Times New Roman" w:hAnsi="Times New Roman"/>
          <w:vertAlign w:val="baselin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352"/>
        <w:gridCol w:w="22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Promedio del Error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2" w:type="dxa"/>
            <w:tcBorders>
              <w:lef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</w:p>
        </w:tc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Relativo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Total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-0,53%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Ciudad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3,31%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Afuera de la Ciudad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-4,46%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Total de Enfermos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5,35%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Total de Cultivos</w:t>
            </w:r>
          </w:p>
        </w:tc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155">
            <w:pPr>
              <w:rPr>
                <w:rFonts w:ascii="Times New Roman" w:hAnsi="Times New Roman"/>
                <w:snapToGrid w:val="0"/>
                <w:color w:val="000000"/>
                <w:vertAlign w:val="baseline"/>
              </w:rPr>
            </w:pPr>
            <w:r>
              <w:rPr>
                <w:rFonts w:ascii="Times New Roman" w:hAnsi="Times New Roman"/>
                <w:snapToGrid w:val="0"/>
                <w:color w:val="000000"/>
                <w:vertAlign w:val="baseline"/>
              </w:rPr>
              <w:t>2,24%</w:t>
            </w:r>
          </w:p>
        </w:tc>
      </w:tr>
    </w:tbl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000000" w:rsidRDefault="003D2155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lastRenderedPageBreak/>
        <w:t>En conclusión podríamos decir que si la enfermedad de la TB, se encuentra en un buen nivel de control, la</w:t>
      </w:r>
      <w:r>
        <w:rPr>
          <w:rFonts w:ascii="Times New Roman" w:hAnsi="Times New Roman"/>
          <w:vertAlign w:val="baseline"/>
        </w:rPr>
        <w:t xml:space="preserve">s predicciones hechas podrán ayudar al </w:t>
      </w:r>
      <w:r>
        <w:rPr>
          <w:rFonts w:ascii="Times New Roman" w:hAnsi="Times New Roman"/>
          <w:vertAlign w:val="baseline"/>
        </w:rPr>
        <w:lastRenderedPageBreak/>
        <w:t>personal que labora en el programa de control de la TB; caso contrario estas predicciones fallarán.</w:t>
      </w:r>
    </w:p>
    <w:p w:rsidR="00000000" w:rsidRDefault="003D2155">
      <w:p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br w:type="page"/>
      </w:r>
      <w:r>
        <w:rPr>
          <w:rFonts w:ascii="Times New Roman" w:hAnsi="Times New Roman"/>
          <w:vertAlign w:val="baseline"/>
        </w:rPr>
        <w:lastRenderedPageBreak/>
        <w:t>CONCLUSIONES</w:t>
      </w: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La eficiencia del programa de control de la enfermedad de tuberculosis en la provincia del Guayas, </w:t>
      </w:r>
      <w:r>
        <w:rPr>
          <w:rFonts w:ascii="Times New Roman" w:hAnsi="Times New Roman"/>
          <w:vertAlign w:val="baseline"/>
        </w:rPr>
        <w:t>entre los años 1993 al 2000 (solo hasta el mes de septiembre), hay evidencia estadística de concluir que ha sido regular.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Con el transcurso del tiempo, la participación de los centros de salud ha ido aumentando, mientras que la participación de particular</w:t>
      </w:r>
      <w:r>
        <w:rPr>
          <w:rFonts w:ascii="Times New Roman" w:hAnsi="Times New Roman"/>
          <w:vertAlign w:val="baseline"/>
        </w:rPr>
        <w:t>es y hospitales ha ido disminuyendo,  podemos alegar que se debe a la mejor participación de los centros de salud, en hacer conscientizar a sus pacientes la importancia de seguir un tratamiento de salud.  También, podemos suponer a la mejor preparación del</w:t>
      </w:r>
      <w:r>
        <w:rPr>
          <w:rFonts w:ascii="Times New Roman" w:hAnsi="Times New Roman"/>
          <w:vertAlign w:val="baseline"/>
        </w:rPr>
        <w:t xml:space="preserve"> personal del centro de salud en brindar los servicios requeridos, según los procedimientos del programa.    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El porcentaje de pacientes a ser analizados de la variable afuera de la ciudad, ha ido creciendo con el transcurso del tiempo.  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La variable Tot</w:t>
      </w:r>
      <w:r>
        <w:rPr>
          <w:rFonts w:ascii="Times New Roman" w:hAnsi="Times New Roman"/>
          <w:vertAlign w:val="baseline"/>
        </w:rPr>
        <w:t>al de pacientes analizados tiene una tendencia descendente gradual, a pesar de existir fluctuaciones de repunte.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La variable Ciudad tiene una tendencia descendente, con fluctuaciones de repunte.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La variable Afuera de la Ciudad tiene una tendencia de crec</w:t>
      </w:r>
      <w:r>
        <w:rPr>
          <w:rFonts w:ascii="Times New Roman" w:hAnsi="Times New Roman"/>
          <w:vertAlign w:val="baseline"/>
        </w:rPr>
        <w:t>imiento lineal, a pesar que todo comportamiento de vida humana, tiene un crecimiento exponencial.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La variable Total de Enfermos tiene una tendencia de crecimiento, dando evidencia del repunte de está enfermedad.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2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El pronóstico para  los siguiente meses p</w:t>
      </w:r>
      <w:r>
        <w:rPr>
          <w:rFonts w:ascii="Times New Roman" w:hAnsi="Times New Roman"/>
          <w:vertAlign w:val="baseline"/>
        </w:rPr>
        <w:t>ara las variables:  Total, Ciudad, Afuera de la Ciudad, Total de Enfermos y Total de Cultivos lo podemos observar en el apéndice D.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>BIBLIOGRAFÍA</w:t>
      </w:r>
    </w:p>
    <w:p w:rsidR="00000000" w:rsidRDefault="003D2155">
      <w:pPr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1"/>
        </w:numPr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000000" w:rsidRDefault="003D2155">
      <w:pPr>
        <w:numPr>
          <w:ilvl w:val="0"/>
          <w:numId w:val="1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De </w:t>
      </w:r>
      <w:proofErr w:type="spellStart"/>
      <w:r>
        <w:rPr>
          <w:rFonts w:ascii="Times New Roman" w:hAnsi="Times New Roman"/>
          <w:vertAlign w:val="baseline"/>
        </w:rPr>
        <w:t>March</w:t>
      </w:r>
      <w:proofErr w:type="spellEnd"/>
      <w:r>
        <w:rPr>
          <w:rFonts w:ascii="Times New Roman" w:hAnsi="Times New Roman"/>
          <w:vertAlign w:val="baseline"/>
        </w:rPr>
        <w:t xml:space="preserve"> P. En busca de la oportunidad perdida: prioridades en el control de la tuberculosis. </w:t>
      </w:r>
      <w:proofErr w:type="spellStart"/>
      <w:r>
        <w:rPr>
          <w:rFonts w:ascii="Times New Roman" w:hAnsi="Times New Roman"/>
          <w:vertAlign w:val="baseline"/>
        </w:rPr>
        <w:t>Med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Clin</w:t>
      </w:r>
      <w:proofErr w:type="spellEnd"/>
      <w:r>
        <w:rPr>
          <w:rFonts w:ascii="Times New Roman" w:hAnsi="Times New Roman"/>
          <w:vertAlign w:val="baseline"/>
        </w:rPr>
        <w:t xml:space="preserve"> (</w:t>
      </w:r>
      <w:proofErr w:type="spellStart"/>
      <w:r>
        <w:rPr>
          <w:rFonts w:ascii="Times New Roman" w:hAnsi="Times New Roman"/>
          <w:vertAlign w:val="baseline"/>
        </w:rPr>
        <w:t>Bar</w:t>
      </w:r>
      <w:r>
        <w:rPr>
          <w:rFonts w:ascii="Times New Roman" w:hAnsi="Times New Roman"/>
          <w:vertAlign w:val="baseline"/>
        </w:rPr>
        <w:t>c</w:t>
      </w:r>
      <w:proofErr w:type="spellEnd"/>
      <w:r>
        <w:rPr>
          <w:rFonts w:ascii="Times New Roman" w:hAnsi="Times New Roman"/>
          <w:vertAlign w:val="baseline"/>
        </w:rPr>
        <w:t>) 1997; 109: 55-57.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1"/>
        </w:numPr>
        <w:jc w:val="both"/>
        <w:rPr>
          <w:rFonts w:ascii="Times New Roman" w:hAnsi="Times New Roman"/>
          <w:vertAlign w:val="baseline"/>
        </w:rPr>
      </w:pPr>
      <w:proofErr w:type="spellStart"/>
      <w:r>
        <w:rPr>
          <w:rFonts w:ascii="Times New Roman" w:hAnsi="Times New Roman"/>
          <w:vertAlign w:val="baseline"/>
        </w:rPr>
        <w:t>Groups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at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Risk</w:t>
      </w:r>
      <w:proofErr w:type="spellEnd"/>
      <w:r>
        <w:rPr>
          <w:rFonts w:ascii="Times New Roman" w:hAnsi="Times New Roman"/>
          <w:vertAlign w:val="baseline"/>
        </w:rPr>
        <w:t xml:space="preserve">. Global tuberculosis </w:t>
      </w:r>
      <w:proofErr w:type="spellStart"/>
      <w:r>
        <w:rPr>
          <w:rFonts w:ascii="Times New Roman" w:hAnsi="Times New Roman"/>
          <w:vertAlign w:val="baseline"/>
        </w:rPr>
        <w:t>programme</w:t>
      </w:r>
      <w:proofErr w:type="spellEnd"/>
      <w:r>
        <w:rPr>
          <w:rFonts w:ascii="Times New Roman" w:hAnsi="Times New Roman"/>
          <w:vertAlign w:val="baseline"/>
        </w:rPr>
        <w:t xml:space="preserve">. WHO </w:t>
      </w:r>
      <w:proofErr w:type="spellStart"/>
      <w:r>
        <w:rPr>
          <w:rFonts w:ascii="Times New Roman" w:hAnsi="Times New Roman"/>
          <w:vertAlign w:val="baseline"/>
        </w:rPr>
        <w:t>Report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on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the</w:t>
      </w:r>
      <w:proofErr w:type="spellEnd"/>
      <w:r>
        <w:rPr>
          <w:rFonts w:ascii="Times New Roman" w:hAnsi="Times New Roman"/>
          <w:vertAlign w:val="baseline"/>
        </w:rPr>
        <w:t xml:space="preserve"> tuberculosis </w:t>
      </w:r>
      <w:proofErr w:type="spellStart"/>
      <w:r>
        <w:rPr>
          <w:rFonts w:ascii="Times New Roman" w:hAnsi="Times New Roman"/>
          <w:vertAlign w:val="baseline"/>
        </w:rPr>
        <w:t>epidemic</w:t>
      </w:r>
      <w:proofErr w:type="spellEnd"/>
      <w:r>
        <w:rPr>
          <w:rFonts w:ascii="Times New Roman" w:hAnsi="Times New Roman"/>
          <w:vertAlign w:val="baseline"/>
        </w:rPr>
        <w:t>. Ginebra: WHO, 1996.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1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Vázquez E, Blanco </w:t>
      </w:r>
      <w:proofErr w:type="spellStart"/>
      <w:r>
        <w:rPr>
          <w:rFonts w:ascii="Times New Roman" w:hAnsi="Times New Roman"/>
          <w:vertAlign w:val="baseline"/>
        </w:rPr>
        <w:t>Aparicio</w:t>
      </w:r>
      <w:proofErr w:type="spellEnd"/>
      <w:r>
        <w:rPr>
          <w:rFonts w:ascii="Times New Roman" w:hAnsi="Times New Roman"/>
          <w:vertAlign w:val="baseline"/>
        </w:rPr>
        <w:t xml:space="preserve"> M, Fernández E, </w:t>
      </w:r>
      <w:proofErr w:type="spellStart"/>
      <w:r>
        <w:rPr>
          <w:rFonts w:ascii="Times New Roman" w:hAnsi="Times New Roman"/>
          <w:vertAlign w:val="baseline"/>
        </w:rPr>
        <w:t>Anibarro</w:t>
      </w:r>
      <w:proofErr w:type="spellEnd"/>
      <w:r>
        <w:rPr>
          <w:rFonts w:ascii="Times New Roman" w:hAnsi="Times New Roman"/>
          <w:vertAlign w:val="baseline"/>
        </w:rPr>
        <w:t xml:space="preserve"> L, Lema R, Penas A </w:t>
      </w:r>
      <w:proofErr w:type="spellStart"/>
      <w:r>
        <w:rPr>
          <w:rFonts w:ascii="Times New Roman" w:hAnsi="Times New Roman"/>
          <w:vertAlign w:val="baseline"/>
        </w:rPr>
        <w:t>et</w:t>
      </w:r>
      <w:proofErr w:type="spellEnd"/>
      <w:r>
        <w:rPr>
          <w:rFonts w:ascii="Times New Roman" w:hAnsi="Times New Roman"/>
          <w:vertAlign w:val="baseline"/>
        </w:rPr>
        <w:t xml:space="preserve"> al. </w:t>
      </w:r>
      <w:proofErr w:type="spellStart"/>
      <w:r>
        <w:rPr>
          <w:rFonts w:ascii="Times New Roman" w:hAnsi="Times New Roman"/>
          <w:vertAlign w:val="baseline"/>
        </w:rPr>
        <w:t>Study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of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contacts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of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persons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with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newly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diagnos</w:t>
      </w:r>
      <w:r>
        <w:rPr>
          <w:rFonts w:ascii="Times New Roman" w:hAnsi="Times New Roman"/>
          <w:vertAlign w:val="baseline"/>
        </w:rPr>
        <w:t>ed</w:t>
      </w:r>
      <w:proofErr w:type="spellEnd"/>
      <w:r>
        <w:rPr>
          <w:rFonts w:ascii="Times New Roman" w:hAnsi="Times New Roman"/>
          <w:vertAlign w:val="baseline"/>
        </w:rPr>
        <w:t xml:space="preserve"> tuberculosis in Galicia, </w:t>
      </w:r>
      <w:proofErr w:type="spellStart"/>
      <w:r>
        <w:rPr>
          <w:rFonts w:ascii="Times New Roman" w:hAnsi="Times New Roman"/>
          <w:vertAlign w:val="baseline"/>
        </w:rPr>
        <w:t>Spain</w:t>
      </w:r>
      <w:proofErr w:type="spellEnd"/>
      <w:r>
        <w:rPr>
          <w:rFonts w:ascii="Times New Roman" w:hAnsi="Times New Roman"/>
          <w:vertAlign w:val="baseline"/>
        </w:rPr>
        <w:t xml:space="preserve">, in 1995 </w:t>
      </w:r>
      <w:proofErr w:type="spellStart"/>
      <w:r>
        <w:rPr>
          <w:rFonts w:ascii="Times New Roman" w:hAnsi="Times New Roman"/>
          <w:vertAlign w:val="baseline"/>
        </w:rPr>
        <w:t>and</w:t>
      </w:r>
      <w:proofErr w:type="spellEnd"/>
      <w:r>
        <w:rPr>
          <w:rFonts w:ascii="Times New Roman" w:hAnsi="Times New Roman"/>
          <w:vertAlign w:val="baseline"/>
        </w:rPr>
        <w:t xml:space="preserve"> 1996. </w:t>
      </w:r>
      <w:proofErr w:type="spellStart"/>
      <w:r>
        <w:rPr>
          <w:rFonts w:ascii="Times New Roman" w:hAnsi="Times New Roman"/>
          <w:vertAlign w:val="baseline"/>
        </w:rPr>
        <w:t>Int</w:t>
      </w:r>
      <w:proofErr w:type="spellEnd"/>
      <w:r>
        <w:rPr>
          <w:rFonts w:ascii="Times New Roman" w:hAnsi="Times New Roman"/>
          <w:vertAlign w:val="baseline"/>
        </w:rPr>
        <w:t xml:space="preserve"> J </w:t>
      </w:r>
      <w:proofErr w:type="spellStart"/>
      <w:r>
        <w:rPr>
          <w:rFonts w:ascii="Times New Roman" w:hAnsi="Times New Roman"/>
          <w:vertAlign w:val="baseline"/>
        </w:rPr>
        <w:t>Tuberc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Lung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Dis</w:t>
      </w:r>
      <w:proofErr w:type="spellEnd"/>
      <w:r>
        <w:rPr>
          <w:rFonts w:ascii="Times New Roman" w:hAnsi="Times New Roman"/>
          <w:vertAlign w:val="baseline"/>
        </w:rPr>
        <w:t xml:space="preserve"> 1997; 1 (</w:t>
      </w:r>
      <w:proofErr w:type="spellStart"/>
      <w:r>
        <w:rPr>
          <w:rFonts w:ascii="Times New Roman" w:hAnsi="Times New Roman"/>
          <w:vertAlign w:val="baseline"/>
        </w:rPr>
        <w:t>Supl</w:t>
      </w:r>
      <w:proofErr w:type="spellEnd"/>
      <w:r>
        <w:rPr>
          <w:rFonts w:ascii="Times New Roman" w:hAnsi="Times New Roman"/>
          <w:vertAlign w:val="baseline"/>
        </w:rPr>
        <w:t>): 101.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1"/>
        </w:numPr>
        <w:jc w:val="both"/>
        <w:rPr>
          <w:rFonts w:ascii="Times New Roman" w:hAnsi="Times New Roman"/>
          <w:vertAlign w:val="baseline"/>
        </w:rPr>
      </w:pPr>
      <w:proofErr w:type="spellStart"/>
      <w:r>
        <w:rPr>
          <w:rFonts w:ascii="Times New Roman" w:hAnsi="Times New Roman"/>
          <w:vertAlign w:val="baseline"/>
        </w:rPr>
        <w:t>John</w:t>
      </w:r>
      <w:proofErr w:type="spellEnd"/>
      <w:r>
        <w:rPr>
          <w:rFonts w:ascii="Times New Roman" w:hAnsi="Times New Roman"/>
          <w:vertAlign w:val="baseline"/>
        </w:rPr>
        <w:t xml:space="preserve"> E. </w:t>
      </w:r>
      <w:proofErr w:type="spellStart"/>
      <w:r>
        <w:rPr>
          <w:rFonts w:ascii="Times New Roman" w:hAnsi="Times New Roman"/>
          <w:vertAlign w:val="baseline"/>
        </w:rPr>
        <w:t>Freund</w:t>
      </w:r>
      <w:proofErr w:type="spellEnd"/>
      <w:r>
        <w:rPr>
          <w:rFonts w:ascii="Times New Roman" w:hAnsi="Times New Roman"/>
          <w:vertAlign w:val="baseline"/>
        </w:rPr>
        <w:t xml:space="preserve">.  Estadística Matemática con Aplicaciones.  Editorial </w:t>
      </w:r>
      <w:proofErr w:type="spellStart"/>
      <w:r>
        <w:rPr>
          <w:rFonts w:ascii="Times New Roman" w:hAnsi="Times New Roman"/>
          <w:vertAlign w:val="baseline"/>
        </w:rPr>
        <w:t>Prentice-Hall</w:t>
      </w:r>
      <w:proofErr w:type="spellEnd"/>
      <w:r>
        <w:rPr>
          <w:rFonts w:ascii="Times New Roman" w:hAnsi="Times New Roman"/>
          <w:vertAlign w:val="baseline"/>
        </w:rPr>
        <w:t xml:space="preserve"> Hispanoamericana, Cuarta Edición, 1990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1"/>
        </w:numPr>
        <w:jc w:val="both"/>
        <w:rPr>
          <w:rFonts w:ascii="Times New Roman" w:hAnsi="Times New Roman"/>
          <w:vertAlign w:val="baseline"/>
        </w:rPr>
      </w:pPr>
      <w:proofErr w:type="spellStart"/>
      <w:r>
        <w:rPr>
          <w:rFonts w:ascii="Times New Roman" w:hAnsi="Times New Roman"/>
          <w:vertAlign w:val="baseline"/>
        </w:rPr>
        <w:t>Hair</w:t>
      </w:r>
      <w:proofErr w:type="spellEnd"/>
      <w:r>
        <w:rPr>
          <w:rFonts w:ascii="Times New Roman" w:hAnsi="Times New Roman"/>
          <w:vertAlign w:val="baseline"/>
        </w:rPr>
        <w:t xml:space="preserve">, </w:t>
      </w:r>
      <w:proofErr w:type="spellStart"/>
      <w:r>
        <w:rPr>
          <w:rFonts w:ascii="Times New Roman" w:hAnsi="Times New Roman"/>
          <w:vertAlign w:val="baseline"/>
        </w:rPr>
        <w:t>Anderson</w:t>
      </w:r>
      <w:proofErr w:type="spellEnd"/>
      <w:r>
        <w:rPr>
          <w:rFonts w:ascii="Times New Roman" w:hAnsi="Times New Roman"/>
          <w:vertAlign w:val="baseline"/>
        </w:rPr>
        <w:t xml:space="preserve">, </w:t>
      </w:r>
      <w:proofErr w:type="spellStart"/>
      <w:r>
        <w:rPr>
          <w:rFonts w:ascii="Times New Roman" w:hAnsi="Times New Roman"/>
          <w:vertAlign w:val="baseline"/>
        </w:rPr>
        <w:t>Tatham</w:t>
      </w:r>
      <w:proofErr w:type="spellEnd"/>
      <w:r>
        <w:rPr>
          <w:rFonts w:ascii="Times New Roman" w:hAnsi="Times New Roman"/>
          <w:vertAlign w:val="baseline"/>
        </w:rPr>
        <w:t xml:space="preserve">, </w:t>
      </w:r>
      <w:proofErr w:type="spellStart"/>
      <w:r>
        <w:rPr>
          <w:rFonts w:ascii="Times New Roman" w:hAnsi="Times New Roman"/>
          <w:vertAlign w:val="baseline"/>
        </w:rPr>
        <w:t>Black</w:t>
      </w:r>
      <w:proofErr w:type="spellEnd"/>
      <w:r>
        <w:rPr>
          <w:rFonts w:ascii="Times New Roman" w:hAnsi="Times New Roman"/>
          <w:vertAlign w:val="baseline"/>
        </w:rPr>
        <w:t xml:space="preserve">.  </w:t>
      </w:r>
      <w:proofErr w:type="spellStart"/>
      <w:r>
        <w:rPr>
          <w:rFonts w:ascii="Times New Roman" w:hAnsi="Times New Roman"/>
          <w:vertAlign w:val="baseline"/>
        </w:rPr>
        <w:t>Mult</w:t>
      </w:r>
      <w:r>
        <w:rPr>
          <w:rFonts w:ascii="Times New Roman" w:hAnsi="Times New Roman"/>
          <w:vertAlign w:val="baseline"/>
        </w:rPr>
        <w:t>ivariate</w:t>
      </w:r>
      <w:proofErr w:type="spellEnd"/>
      <w:r>
        <w:rPr>
          <w:rFonts w:ascii="Times New Roman" w:hAnsi="Times New Roman"/>
          <w:vertAlign w:val="baseline"/>
        </w:rPr>
        <w:t xml:space="preserve"> Data </w:t>
      </w:r>
      <w:proofErr w:type="spellStart"/>
      <w:r>
        <w:rPr>
          <w:rFonts w:ascii="Times New Roman" w:hAnsi="Times New Roman"/>
          <w:vertAlign w:val="baseline"/>
        </w:rPr>
        <w:t>Analysis</w:t>
      </w:r>
      <w:proofErr w:type="spellEnd"/>
      <w:r>
        <w:rPr>
          <w:rFonts w:ascii="Times New Roman" w:hAnsi="Times New Roman"/>
          <w:vertAlign w:val="baseline"/>
        </w:rPr>
        <w:t xml:space="preserve">  Editorial </w:t>
      </w:r>
      <w:proofErr w:type="spellStart"/>
      <w:r>
        <w:rPr>
          <w:rFonts w:ascii="Times New Roman" w:hAnsi="Times New Roman"/>
          <w:vertAlign w:val="baseline"/>
        </w:rPr>
        <w:t>Prentice-Hall</w:t>
      </w:r>
      <w:proofErr w:type="spellEnd"/>
      <w:r>
        <w:rPr>
          <w:rFonts w:ascii="Times New Roman" w:hAnsi="Times New Roman"/>
          <w:vertAlign w:val="baseline"/>
        </w:rPr>
        <w:t>, Quinta Edición, 1998.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</w:pPr>
    </w:p>
    <w:p w:rsidR="00000000" w:rsidRDefault="003D2155">
      <w:pPr>
        <w:numPr>
          <w:ilvl w:val="0"/>
          <w:numId w:val="1"/>
        </w:numPr>
        <w:jc w:val="both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t xml:space="preserve">U. </w:t>
      </w:r>
      <w:proofErr w:type="spellStart"/>
      <w:r>
        <w:rPr>
          <w:rFonts w:ascii="Times New Roman" w:hAnsi="Times New Roman"/>
          <w:vertAlign w:val="baseline"/>
        </w:rPr>
        <w:t>Narayan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Bhat</w:t>
      </w:r>
      <w:proofErr w:type="spellEnd"/>
      <w:r>
        <w:rPr>
          <w:rFonts w:ascii="Times New Roman" w:hAnsi="Times New Roman"/>
          <w:vertAlign w:val="baseline"/>
        </w:rPr>
        <w:t xml:space="preserve">.  </w:t>
      </w:r>
      <w:proofErr w:type="spellStart"/>
      <w:r>
        <w:rPr>
          <w:rFonts w:ascii="Times New Roman" w:hAnsi="Times New Roman"/>
          <w:vertAlign w:val="baseline"/>
        </w:rPr>
        <w:t>Elements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of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applied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stochastic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processes</w:t>
      </w:r>
      <w:proofErr w:type="spellEnd"/>
      <w:r>
        <w:rPr>
          <w:rFonts w:ascii="Times New Roman" w:hAnsi="Times New Roman"/>
          <w:vertAlign w:val="baseline"/>
        </w:rPr>
        <w:t xml:space="preserve">. Editorial </w:t>
      </w:r>
      <w:proofErr w:type="spellStart"/>
      <w:r>
        <w:rPr>
          <w:rFonts w:ascii="Times New Roman" w:hAnsi="Times New Roman"/>
          <w:vertAlign w:val="baseline"/>
        </w:rPr>
        <w:t>John</w:t>
      </w:r>
      <w:proofErr w:type="spellEnd"/>
      <w:r>
        <w:rPr>
          <w:rFonts w:ascii="Times New Roman" w:hAnsi="Times New Roman"/>
          <w:vertAlign w:val="baseline"/>
        </w:rPr>
        <w:t xml:space="preserve"> </w:t>
      </w:r>
      <w:proofErr w:type="spellStart"/>
      <w:r>
        <w:rPr>
          <w:rFonts w:ascii="Times New Roman" w:hAnsi="Times New Roman"/>
          <w:vertAlign w:val="baseline"/>
        </w:rPr>
        <w:t>Wiley&amp;Sons</w:t>
      </w:r>
      <w:proofErr w:type="spellEnd"/>
      <w:r>
        <w:rPr>
          <w:rFonts w:ascii="Times New Roman" w:hAnsi="Times New Roman"/>
          <w:vertAlign w:val="baseline"/>
        </w:rPr>
        <w:t xml:space="preserve">.  Primera </w:t>
      </w:r>
      <w:proofErr w:type="spellStart"/>
      <w:r>
        <w:rPr>
          <w:rFonts w:ascii="Times New Roman" w:hAnsi="Times New Roman"/>
          <w:vertAlign w:val="baseline"/>
        </w:rPr>
        <w:t>Edicción</w:t>
      </w:r>
      <w:proofErr w:type="spellEnd"/>
      <w:r>
        <w:rPr>
          <w:rFonts w:ascii="Times New Roman" w:hAnsi="Times New Roman"/>
          <w:vertAlign w:val="baseline"/>
        </w:rPr>
        <w:t>, 1976.</w:t>
      </w:r>
    </w:p>
    <w:p w:rsidR="00000000" w:rsidRDefault="003D2155">
      <w:pPr>
        <w:jc w:val="both"/>
        <w:rPr>
          <w:rFonts w:ascii="Times New Roman" w:hAnsi="Times New Roman"/>
          <w:vertAlign w:val="baseline"/>
        </w:rPr>
        <w:sectPr w:rsidR="00000000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:rsidR="003D2155" w:rsidRDefault="003D2155"/>
    <w:sectPr w:rsidR="003D215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55" w:rsidRDefault="003D2155">
      <w:r>
        <w:separator/>
      </w:r>
    </w:p>
  </w:endnote>
  <w:endnote w:type="continuationSeparator" w:id="1">
    <w:p w:rsidR="003D2155" w:rsidRDefault="003D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55" w:rsidRDefault="003D2155">
      <w:r>
        <w:separator/>
      </w:r>
    </w:p>
  </w:footnote>
  <w:footnote w:type="continuationSeparator" w:id="1">
    <w:p w:rsidR="003D2155" w:rsidRDefault="003D2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F7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DE5152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8CC"/>
    <w:rsid w:val="003D2155"/>
    <w:rsid w:val="0042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vertAlign w:val="subscript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</vt:lpstr>
    </vt:vector>
  </TitlesOfParts>
  <Company>Baquero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Eduardo</dc:creator>
  <cp:keywords/>
  <cp:lastModifiedBy>Ayudante</cp:lastModifiedBy>
  <cp:revision>2</cp:revision>
  <dcterms:created xsi:type="dcterms:W3CDTF">2009-07-02T14:27:00Z</dcterms:created>
  <dcterms:modified xsi:type="dcterms:W3CDTF">2009-07-02T14:27:00Z</dcterms:modified>
</cp:coreProperties>
</file>