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787C">
      <w:pPr>
        <w:spacing w:line="360" w:lineRule="auto"/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3.5 Ojivas de algunas variables</w:t>
      </w:r>
    </w:p>
    <w:p w:rsidR="00000000" w:rsidRDefault="00E7787C">
      <w:pPr>
        <w:spacing w:line="360" w:lineRule="auto"/>
        <w:jc w:val="both"/>
        <w:rPr>
          <w:rFonts w:ascii="Arial" w:hAnsi="Arial" w:cs="Arial"/>
          <w:b/>
          <w:bCs/>
          <w:spacing w:val="30"/>
          <w:sz w:val="22"/>
        </w:rPr>
      </w:pPr>
    </w:p>
    <w:p w:rsidR="00000000" w:rsidRDefault="00E7787C">
      <w:pPr>
        <w:pStyle w:val="Textoindependiente"/>
        <w:tabs>
          <w:tab w:val="left" w:pos="900"/>
        </w:tabs>
        <w:spacing w:line="480" w:lineRule="auto"/>
        <w:ind w:left="900"/>
        <w:rPr>
          <w:spacing w:val="0"/>
          <w:sz w:val="24"/>
        </w:rPr>
      </w:pPr>
      <w:r>
        <w:rPr>
          <w:spacing w:val="0"/>
          <w:sz w:val="24"/>
        </w:rPr>
        <w:t>En el Gráfico 3.80, se tiene que el 50% de los profesores dedican menos 50% de su tiempo a la investigación, preparación de la clase y corrección de exámenes, el Gráfico muestra que la mayoría de profesores no dedican mucho</w:t>
      </w:r>
      <w:r>
        <w:rPr>
          <w:spacing w:val="0"/>
          <w:sz w:val="24"/>
        </w:rPr>
        <w:t xml:space="preserve"> tiempo a estas tres actividades.</w:t>
      </w:r>
    </w:p>
    <w:p w:rsidR="00000000" w:rsidRDefault="00E7787C">
      <w:pPr>
        <w:spacing w:line="360" w:lineRule="auto"/>
        <w:jc w:val="center"/>
        <w:rPr>
          <w:rFonts w:ascii="Arial" w:hAnsi="Arial" w:cs="Arial"/>
        </w:rPr>
      </w:pPr>
    </w:p>
    <w:p w:rsidR="00000000" w:rsidRDefault="00E7787C">
      <w:pPr>
        <w:pStyle w:val="Ttulo1"/>
        <w:jc w:val="center"/>
      </w:pPr>
      <w:r>
        <w:rPr>
          <w:noProof/>
          <w:spacing w:val="0"/>
          <w:sz w:val="20"/>
        </w:rPr>
        <w:pict>
          <v:rect id="_x0000_s1031" style="position:absolute;left:0;text-align:left;margin-left:45pt;margin-top:19pt;width:369pt;height:396pt;z-index:-251658240"/>
        </w:pict>
      </w:r>
      <w:r>
        <w:rPr>
          <w:spacing w:val="0"/>
          <w:sz w:val="24"/>
        </w:rPr>
        <w:t>GRAFICO 3.80</w:t>
      </w:r>
    </w:p>
    <w:p w:rsidR="00000000" w:rsidRDefault="00E7787C">
      <w:r>
        <w:t xml:space="preserve">               </w:t>
      </w:r>
      <w:r w:rsidR="00997D0D">
        <w:rPr>
          <w:noProof/>
        </w:rPr>
        <w:drawing>
          <wp:inline distT="0" distB="0" distL="0" distR="0">
            <wp:extent cx="4676775" cy="4562475"/>
            <wp:effectExtent l="0" t="0" r="0" b="0"/>
            <wp:docPr id="1" name="Obje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0000" w:rsidRDefault="00E7787C">
      <w:pPr>
        <w:spacing w:line="360" w:lineRule="auto"/>
        <w:ind w:firstLine="708"/>
        <w:jc w:val="both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1.95pt;width:351pt;height:24.05pt;z-index:251654144">
            <v:textbox style="mso-next-textbox:#_x0000_s1026">
              <w:txbxContent>
                <w:p w:rsidR="00000000" w:rsidRDefault="00E7787C">
                  <w:pPr>
                    <w:pStyle w:val="Encabezad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Fuente y elaboración de la autora</w:t>
                  </w:r>
                </w:p>
              </w:txbxContent>
            </v:textbox>
          </v:shape>
        </w:pict>
      </w:r>
    </w:p>
    <w:p w:rsidR="00000000" w:rsidRDefault="00E7787C">
      <w:pPr>
        <w:spacing w:line="360" w:lineRule="auto"/>
        <w:jc w:val="both"/>
      </w:pPr>
    </w:p>
    <w:p w:rsidR="00000000" w:rsidRDefault="00E7787C">
      <w:pPr>
        <w:spacing w:line="480" w:lineRule="auto"/>
        <w:jc w:val="both"/>
        <w:rPr>
          <w:rFonts w:ascii="Arial" w:hAnsi="Arial" w:cs="Arial"/>
          <w:b/>
          <w:bCs/>
          <w:spacing w:val="30"/>
          <w:sz w:val="22"/>
        </w:rPr>
      </w:pPr>
    </w:p>
    <w:p w:rsidR="00000000" w:rsidRDefault="00E7787C">
      <w:pPr>
        <w:pStyle w:val="Textoindependiente"/>
        <w:tabs>
          <w:tab w:val="left" w:pos="900"/>
        </w:tabs>
        <w:spacing w:line="480" w:lineRule="auto"/>
        <w:ind w:left="900"/>
        <w:rPr>
          <w:spacing w:val="0"/>
          <w:sz w:val="24"/>
        </w:rPr>
      </w:pPr>
      <w:r>
        <w:rPr>
          <w:spacing w:val="0"/>
          <w:sz w:val="24"/>
        </w:rPr>
        <w:lastRenderedPageBreak/>
        <w:t>Según el Gráfico 3.81 se observa que el 50% de los profesores consideran importante la didáctica a nivel superior, facilitar el material de estudio al alumno y</w:t>
      </w:r>
      <w:r>
        <w:rPr>
          <w:spacing w:val="0"/>
          <w:sz w:val="24"/>
        </w:rPr>
        <w:t xml:space="preserve"> también consideran muy importante la asignación de actividades que requieran de algún nivel de investigación a los estudiantes. Los profesores asignan valores altos a esta variables considerándolas de importantes.</w:t>
      </w:r>
    </w:p>
    <w:p w:rsidR="00000000" w:rsidRDefault="00E7787C">
      <w:pPr>
        <w:spacing w:line="480" w:lineRule="auto"/>
        <w:jc w:val="both"/>
      </w:pPr>
    </w:p>
    <w:p w:rsidR="00000000" w:rsidRDefault="00E7787C">
      <w:pPr>
        <w:spacing w:line="360" w:lineRule="auto"/>
        <w:jc w:val="both"/>
        <w:rPr>
          <w:rFonts w:ascii="Arial" w:hAnsi="Arial" w:cs="Arial"/>
          <w:b/>
          <w:bCs/>
          <w:spacing w:val="30"/>
        </w:rPr>
      </w:pPr>
      <w:r>
        <w:rPr>
          <w:b/>
          <w:bCs/>
          <w:noProof/>
          <w:sz w:val="20"/>
        </w:rPr>
        <w:pict>
          <v:rect id="_x0000_s1032" style="position:absolute;left:0;text-align:left;margin-left:45pt;margin-top:13.8pt;width:369pt;height:414pt;z-index:-251657216"/>
        </w:pic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>GRAFICO 3.81</w:t>
      </w:r>
    </w:p>
    <w:p w:rsidR="00000000" w:rsidRDefault="00E7787C">
      <w:pPr>
        <w:spacing w:line="360" w:lineRule="auto"/>
        <w:ind w:firstLine="708"/>
        <w:jc w:val="both"/>
        <w:rPr>
          <w:rFonts w:ascii="Arial" w:hAnsi="Arial" w:cs="Arial"/>
          <w:b/>
          <w:bCs/>
          <w:spacing w:val="30"/>
        </w:rPr>
      </w:pPr>
      <w:r>
        <w:rPr>
          <w:noProof/>
          <w:sz w:val="20"/>
        </w:rPr>
        <w:pict>
          <v:shape id="_x0000_s1030" type="#_x0000_t202" style="position:absolute;left:0;text-align:left;margin-left:54pt;margin-top:378.9pt;width:351pt;height:19.2pt;z-index:251657216">
            <v:textbox style="mso-next-textbox:#_x0000_s1030">
              <w:txbxContent>
                <w:p w:rsidR="00000000" w:rsidRDefault="00E7787C">
                  <w:pPr>
                    <w:pStyle w:val="Encabezad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Fuente y elaboración de la autora</w:t>
                  </w:r>
                </w:p>
              </w:txbxContent>
            </v:textbox>
          </v:shape>
        </w:pict>
      </w:r>
      <w:r>
        <w:t xml:space="preserve">    </w:t>
      </w:r>
      <w:r w:rsidR="00997D0D">
        <w:rPr>
          <w:noProof/>
        </w:rPr>
        <w:drawing>
          <wp:inline distT="0" distB="0" distL="0" distR="0">
            <wp:extent cx="4629150" cy="4829175"/>
            <wp:effectExtent l="0" t="0" r="0" b="0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0000" w:rsidRDefault="00E7787C">
      <w:pPr>
        <w:spacing w:line="360" w:lineRule="auto"/>
        <w:ind w:firstLine="708"/>
        <w:jc w:val="both"/>
      </w:pPr>
    </w:p>
    <w:p w:rsidR="00000000" w:rsidRDefault="00E7787C">
      <w:pPr>
        <w:tabs>
          <w:tab w:val="left" w:pos="900"/>
        </w:tabs>
        <w:spacing w:line="480" w:lineRule="auto"/>
        <w:ind w:left="900"/>
        <w:jc w:val="both"/>
      </w:pPr>
      <w:r>
        <w:rPr>
          <w:rFonts w:ascii="Arial" w:hAnsi="Arial" w:cs="Arial"/>
        </w:rPr>
        <w:lastRenderedPageBreak/>
        <w:t>Para la variable X</w:t>
      </w:r>
      <w:r>
        <w:rPr>
          <w:rFonts w:ascii="Arial" w:hAnsi="Arial" w:cs="Arial"/>
          <w:vertAlign w:val="subscript"/>
        </w:rPr>
        <w:t>46</w:t>
      </w:r>
      <w:r>
        <w:rPr>
          <w:rFonts w:ascii="Arial" w:hAnsi="Arial" w:cs="Arial"/>
        </w:rPr>
        <w:t xml:space="preserve">: Realización de investigaciones científicas, se tiene que el 50% de los profesores están </w:t>
      </w:r>
      <w:r>
        <w:rPr>
          <w:rFonts w:ascii="Arial" w:hAnsi="Arial" w:cs="Arial"/>
          <w:b/>
          <w:bCs/>
        </w:rPr>
        <w:t>totalmente de acuerdo</w:t>
      </w:r>
      <w:r>
        <w:rPr>
          <w:rFonts w:ascii="Arial" w:hAnsi="Arial" w:cs="Arial"/>
        </w:rPr>
        <w:t xml:space="preserve"> con que el profesor realice este tipo de investigación,  en el resto de variables el 50% por lo menos está </w:t>
      </w:r>
      <w:r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>acuerdo</w:t>
      </w:r>
      <w:r>
        <w:rPr>
          <w:rFonts w:ascii="Arial" w:hAnsi="Arial" w:cs="Arial"/>
        </w:rPr>
        <w:t xml:space="preserve"> en considerar a la docencia una profesión, en asignar actividades de autoaprendizaje a los estudiantes y en que todo profesor debe de tener experiencia laboral antes de dictar alguna materia (X</w:t>
      </w:r>
      <w:r>
        <w:rPr>
          <w:rFonts w:ascii="Arial" w:hAnsi="Arial" w:cs="Arial"/>
          <w:vertAlign w:val="subscript"/>
        </w:rPr>
        <w:t>47</w:t>
      </w:r>
      <w:r>
        <w:rPr>
          <w:rFonts w:ascii="Arial" w:hAnsi="Arial" w:cs="Arial"/>
        </w:rPr>
        <w:t>, X</w:t>
      </w:r>
      <w:r>
        <w:rPr>
          <w:rFonts w:ascii="Arial" w:hAnsi="Arial" w:cs="Arial"/>
          <w:vertAlign w:val="subscript"/>
        </w:rPr>
        <w:t>49</w:t>
      </w:r>
      <w:r>
        <w:rPr>
          <w:rFonts w:ascii="Arial" w:hAnsi="Arial" w:cs="Arial"/>
        </w:rPr>
        <w:t>, X</w:t>
      </w:r>
      <w:r>
        <w:rPr>
          <w:rFonts w:ascii="Arial" w:hAnsi="Arial" w:cs="Arial"/>
          <w:vertAlign w:val="subscript"/>
        </w:rPr>
        <w:t xml:space="preserve">51 </w:t>
      </w:r>
      <w:r>
        <w:rPr>
          <w:rFonts w:ascii="Arial" w:hAnsi="Arial" w:cs="Arial"/>
        </w:rPr>
        <w:t>respectivamente).</w:t>
      </w:r>
    </w:p>
    <w:p w:rsidR="00000000" w:rsidRDefault="00E7787C">
      <w:pPr>
        <w:pStyle w:val="Ttulo2"/>
      </w:pPr>
      <w:r>
        <w:rPr>
          <w:noProof/>
          <w:sz w:val="20"/>
        </w:rPr>
        <w:pict>
          <v:rect id="_x0000_s1033" style="position:absolute;left:0;text-align:left;margin-left:45pt;margin-top:13.2pt;width:369pt;height:378pt;z-index:-251656192"/>
        </w:pict>
      </w:r>
      <w:r>
        <w:tab/>
      </w:r>
      <w:r>
        <w:tab/>
      </w:r>
      <w:r>
        <w:tab/>
      </w:r>
      <w:r>
        <w:tab/>
      </w:r>
      <w:r>
        <w:tab/>
        <w:t>GRAFICO 3.82</w:t>
      </w:r>
    </w:p>
    <w:p w:rsidR="00000000" w:rsidRDefault="00E7787C">
      <w:r>
        <w:t xml:space="preserve">     </w:t>
      </w:r>
      <w:r>
        <w:t xml:space="preserve">            </w:t>
      </w:r>
      <w:r w:rsidR="00997D0D">
        <w:rPr>
          <w:noProof/>
        </w:rPr>
        <w:drawing>
          <wp:inline distT="0" distB="0" distL="0" distR="0">
            <wp:extent cx="4581525" cy="4400550"/>
            <wp:effectExtent l="0" t="0" r="0" b="0"/>
            <wp:docPr id="3" name="Objet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0000" w:rsidRDefault="00E7787C">
      <w:pPr>
        <w:ind w:firstLine="708"/>
      </w:pPr>
      <w:r>
        <w:rPr>
          <w:noProof/>
          <w:sz w:val="20"/>
        </w:rPr>
        <w:pict>
          <v:shape id="_x0000_s1027" type="#_x0000_t202" style="position:absolute;left:0;text-align:left;margin-left:1in;margin-top:5.95pt;width:315pt;height:14.95pt;z-index:251655168">
            <v:textbox style="mso-next-textbox:#_x0000_s1027">
              <w:txbxContent>
                <w:p w:rsidR="00000000" w:rsidRDefault="00E7787C">
                  <w:pPr>
                    <w:pStyle w:val="Encabezad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Fuente y elaboración de la autora</w:t>
                  </w:r>
                </w:p>
              </w:txbxContent>
            </v:textbox>
          </v:shape>
        </w:pict>
      </w:r>
    </w:p>
    <w:p w:rsidR="00000000" w:rsidRDefault="00E7787C">
      <w:pPr>
        <w:tabs>
          <w:tab w:val="left" w:pos="900"/>
        </w:tabs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Gráfico 3.83 indica que el 50% de los profesores considera e</w:t>
      </w:r>
      <w:r>
        <w:rPr>
          <w:rFonts w:ascii="Arial" w:hAnsi="Arial" w:cs="Arial"/>
          <w:b/>
          <w:bCs/>
        </w:rPr>
        <w:t>xtremadamente importante</w:t>
      </w:r>
      <w:r>
        <w:rPr>
          <w:rFonts w:ascii="Arial" w:hAnsi="Arial" w:cs="Arial"/>
        </w:rPr>
        <w:t xml:space="preserve"> la puntualidad (variable X</w:t>
      </w:r>
      <w:r>
        <w:rPr>
          <w:rFonts w:ascii="Arial" w:hAnsi="Arial" w:cs="Arial"/>
          <w:vertAlign w:val="subscript"/>
        </w:rPr>
        <w:t>54</w:t>
      </w:r>
      <w:r>
        <w:rPr>
          <w:rFonts w:ascii="Arial" w:hAnsi="Arial" w:cs="Arial"/>
        </w:rPr>
        <w:t>); en las variables buena relación alumno-profesor e Importancia de la remuneración (X</w:t>
      </w:r>
      <w:r>
        <w:rPr>
          <w:rFonts w:ascii="Arial" w:hAnsi="Arial" w:cs="Arial"/>
          <w:vertAlign w:val="subscript"/>
        </w:rPr>
        <w:t>52</w:t>
      </w:r>
      <w:r>
        <w:rPr>
          <w:rFonts w:ascii="Arial" w:hAnsi="Arial" w:cs="Arial"/>
        </w:rPr>
        <w:t>, X</w:t>
      </w:r>
      <w:r>
        <w:rPr>
          <w:rFonts w:ascii="Arial" w:hAnsi="Arial" w:cs="Arial"/>
          <w:vertAlign w:val="subscript"/>
        </w:rPr>
        <w:t>53</w:t>
      </w:r>
      <w:r>
        <w:rPr>
          <w:rFonts w:ascii="Arial" w:hAnsi="Arial" w:cs="Arial"/>
        </w:rPr>
        <w:t>, re</w:t>
      </w:r>
      <w:r>
        <w:rPr>
          <w:rFonts w:ascii="Arial" w:hAnsi="Arial" w:cs="Arial"/>
        </w:rPr>
        <w:t>spectivamente), se tiene que el 50% de los profesores las consideran importante y extremadamente importante.</w:t>
      </w:r>
    </w:p>
    <w:p w:rsidR="00000000" w:rsidRDefault="00E7787C">
      <w:pPr>
        <w:pStyle w:val="Ttulo2"/>
        <w:ind w:left="1416" w:firstLine="708"/>
        <w:rPr>
          <w:sz w:val="22"/>
        </w:rPr>
      </w:pPr>
      <w:r>
        <w:rPr>
          <w:noProof/>
          <w:sz w:val="20"/>
        </w:rPr>
        <w:pict>
          <v:rect id="_x0000_s1034" style="position:absolute;left:0;text-align:left;margin-left:36pt;margin-top:15pt;width:378pt;height:450pt;z-index:-251655168"/>
        </w:pict>
      </w:r>
      <w:r>
        <w:rPr>
          <w:sz w:val="22"/>
        </w:rPr>
        <w:tab/>
      </w:r>
      <w:r>
        <w:rPr>
          <w:sz w:val="22"/>
        </w:rPr>
        <w:tab/>
        <w:t>GRAFICO 3.83</w:t>
      </w:r>
    </w:p>
    <w:p w:rsidR="00000000" w:rsidRDefault="00E7787C">
      <w:r>
        <w:t xml:space="preserve">             </w:t>
      </w:r>
      <w:r w:rsidR="00997D0D">
        <w:rPr>
          <w:noProof/>
        </w:rPr>
        <w:drawing>
          <wp:inline distT="0" distB="0" distL="0" distR="0">
            <wp:extent cx="4752975" cy="5324475"/>
            <wp:effectExtent l="0" t="0" r="0" b="0"/>
            <wp:docPr id="4" name="Objet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0000" w:rsidRDefault="00E7787C">
      <w:pPr>
        <w:spacing w:line="360" w:lineRule="auto"/>
        <w:jc w:val="both"/>
      </w:pPr>
      <w:r>
        <w:rPr>
          <w:noProof/>
          <w:sz w:val="20"/>
        </w:rPr>
        <w:pict>
          <v:shape id="_x0000_s1028" type="#_x0000_t202" style="position:absolute;left:0;text-align:left;margin-left:63pt;margin-top:-.2pt;width:333pt;height:24.05pt;z-index:251656192">
            <v:textbox style="mso-next-textbox:#_x0000_s1028">
              <w:txbxContent>
                <w:p w:rsidR="00000000" w:rsidRDefault="00E7787C">
                  <w:pPr>
                    <w:pStyle w:val="Encabezad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Fuente y elaboración de la autora</w:t>
                  </w:r>
                </w:p>
              </w:txbxContent>
            </v:textbox>
          </v:shape>
        </w:pict>
      </w:r>
      <w:r>
        <w:t xml:space="preserve">  </w:t>
      </w:r>
      <w:r>
        <w:tab/>
        <w:t xml:space="preserve"> </w:t>
      </w:r>
    </w:p>
    <w:p w:rsidR="00000000" w:rsidRDefault="00E7787C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00000" w:rsidRDefault="00E7787C">
      <w:pPr>
        <w:tabs>
          <w:tab w:val="left" w:pos="900"/>
        </w:tabs>
        <w:spacing w:line="360" w:lineRule="auto"/>
        <w:ind w:firstLine="360"/>
        <w:jc w:val="both"/>
      </w:pPr>
      <w:r>
        <w:rPr>
          <w:rFonts w:ascii="Arial" w:hAnsi="Arial" w:cs="Arial"/>
          <w:b/>
          <w:bCs/>
        </w:rPr>
        <w:lastRenderedPageBreak/>
        <w:t>3.6   Análisis del coeficiente de variación</w:t>
      </w:r>
      <w:r>
        <w:rPr>
          <w:rFonts w:ascii="Arial" w:hAnsi="Arial" w:cs="Arial"/>
          <w:b/>
          <w:bCs/>
          <w:szCs w:val="20"/>
        </w:rPr>
        <w:t xml:space="preserve"> de algunas variables</w:t>
      </w:r>
    </w:p>
    <w:p w:rsidR="00000000" w:rsidRDefault="00E7787C">
      <w:pPr>
        <w:pStyle w:val="Ttulo3"/>
      </w:pPr>
    </w:p>
    <w:p w:rsidR="00000000" w:rsidRDefault="00E7787C">
      <w:pPr>
        <w:pStyle w:val="Ttulo3"/>
      </w:pPr>
      <w:r>
        <w:t xml:space="preserve">   </w:t>
      </w:r>
      <w:r>
        <w:tab/>
      </w:r>
      <w:r>
        <w:tab/>
      </w:r>
      <w:r>
        <w:tab/>
      </w:r>
      <w:r>
        <w:tab/>
        <w:t xml:space="preserve"> TABLA 13</w:t>
      </w:r>
      <w:r>
        <w:t>1</w:t>
      </w:r>
    </w:p>
    <w:tbl>
      <w:tblPr>
        <w:tblW w:w="7160" w:type="dxa"/>
        <w:tblInd w:w="1178" w:type="dxa"/>
        <w:tblCellMar>
          <w:left w:w="0" w:type="dxa"/>
          <w:right w:w="0" w:type="dxa"/>
        </w:tblCellMar>
        <w:tblLook w:val="0000"/>
      </w:tblPr>
      <w:tblGrid>
        <w:gridCol w:w="3620"/>
        <w:gridCol w:w="980"/>
        <w:gridCol w:w="1240"/>
        <w:gridCol w:w="1320"/>
      </w:tblGrid>
      <w:tr w:rsidR="00000000">
        <w:trPr>
          <w:trHeight w:val="25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Desviación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Coeficiente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estándar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variación</w:t>
            </w:r>
          </w:p>
        </w:tc>
      </w:tr>
      <w:tr w:rsidR="000000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 xml:space="preserve">: Porcentaje de tiempo que asigna </w:t>
            </w:r>
          </w:p>
          <w:p w:rsidR="00000000" w:rsidRDefault="00E778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profesor a la corrección de exámenes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0.531</w:t>
            </w:r>
          </w:p>
        </w:tc>
      </w:tr>
      <w:tr w:rsidR="000000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: Porcentaje de tiempo que asigna</w:t>
            </w:r>
          </w:p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profesor a la investigación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0.473</w:t>
            </w:r>
          </w:p>
        </w:tc>
      </w:tr>
      <w:tr w:rsidR="000000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: Porcentaje de tiempo que asigna</w:t>
            </w:r>
          </w:p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profesor a la preparación de la clase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0.401</w:t>
            </w:r>
          </w:p>
        </w:tc>
      </w:tr>
      <w:tr w:rsidR="000000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: Profesores que consideran a la</w:t>
            </w:r>
          </w:p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docencia como una profesión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0.291</w:t>
            </w:r>
          </w:p>
        </w:tc>
      </w:tr>
      <w:tr w:rsidR="000000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>: Experiencia laboral antes de ser</w:t>
            </w:r>
          </w:p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0.238</w:t>
            </w:r>
          </w:p>
        </w:tc>
      </w:tr>
      <w:tr w:rsidR="000000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>: Profesor</w:t>
            </w:r>
            <w:r>
              <w:rPr>
                <w:rFonts w:ascii="Arial" w:hAnsi="Arial" w:cs="Arial"/>
                <w:sz w:val="20"/>
                <w:szCs w:val="20"/>
              </w:rPr>
              <w:t>es de acuerdo a la</w:t>
            </w:r>
          </w:p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realización de investigación científica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0.211</w:t>
            </w:r>
          </w:p>
        </w:tc>
      </w:tr>
      <w:tr w:rsidR="000000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>: Importancia de la remuneración</w:t>
            </w:r>
          </w:p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salarial como profesor de la ESPOL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0.199</w:t>
            </w:r>
          </w:p>
        </w:tc>
      </w:tr>
      <w:tr w:rsidR="000000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>: Asignación de actividades de</w:t>
            </w:r>
          </w:p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autoaprendizaje a los alumnos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0.184</w:t>
            </w:r>
          </w:p>
        </w:tc>
      </w:tr>
      <w:tr w:rsidR="000000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Importancia de la didáctica a</w:t>
            </w:r>
          </w:p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0.170</w:t>
            </w:r>
          </w:p>
        </w:tc>
      </w:tr>
      <w:tr w:rsidR="000000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: Importancia de facilitar el material</w:t>
            </w:r>
          </w:p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estudio a los estudiantes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0.145</w:t>
            </w:r>
          </w:p>
        </w:tc>
      </w:tr>
      <w:tr w:rsidR="000000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: Importancia de asignar actividades</w:t>
            </w:r>
          </w:p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investigación a los estudiantes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0.130</w:t>
            </w:r>
          </w:p>
        </w:tc>
      </w:tr>
      <w:tr w:rsidR="000000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>: Imp</w:t>
            </w:r>
            <w:r>
              <w:rPr>
                <w:rFonts w:ascii="Arial" w:hAnsi="Arial" w:cs="Arial"/>
                <w:sz w:val="20"/>
                <w:szCs w:val="20"/>
              </w:rPr>
              <w:t>ortancia de la puntualidad del</w:t>
            </w:r>
          </w:p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0.126</w:t>
            </w:r>
          </w:p>
        </w:tc>
      </w:tr>
      <w:tr w:rsidR="000000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>: Importancia de la buena relación</w:t>
            </w:r>
          </w:p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alumno-profesor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E7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0.118</w:t>
            </w:r>
          </w:p>
        </w:tc>
      </w:tr>
    </w:tbl>
    <w:p w:rsidR="00000000" w:rsidRDefault="00E7787C">
      <w:pPr>
        <w:spacing w:line="360" w:lineRule="auto"/>
        <w:jc w:val="both"/>
      </w:pPr>
    </w:p>
    <w:p w:rsidR="00000000" w:rsidRDefault="00E7787C">
      <w:pPr>
        <w:spacing w:line="480" w:lineRule="auto"/>
        <w:jc w:val="both"/>
        <w:rPr>
          <w:rFonts w:ascii="Arial" w:hAnsi="Arial" w:cs="Arial"/>
        </w:rPr>
      </w:pPr>
    </w:p>
    <w:p w:rsidR="00000000" w:rsidRDefault="00E7787C">
      <w:pPr>
        <w:pStyle w:val="Sangradetextonormal"/>
      </w:pPr>
      <w:r>
        <w:t>El coeficiente de variación permite comparar la dispersión de los datos respecto a la media, cuando se tiene dos o más gru</w:t>
      </w:r>
      <w:r>
        <w:t>pos de variables y dichas  variables se encuentran en diferente escala.</w:t>
      </w:r>
    </w:p>
    <w:p w:rsidR="00000000" w:rsidRDefault="00E7787C">
      <w:pPr>
        <w:tabs>
          <w:tab w:val="left" w:pos="900"/>
        </w:tabs>
        <w:spacing w:line="480" w:lineRule="auto"/>
        <w:ind w:left="900"/>
        <w:jc w:val="both"/>
        <w:rPr>
          <w:rFonts w:ascii="Arial" w:hAnsi="Arial" w:cs="Arial"/>
        </w:rPr>
      </w:pPr>
    </w:p>
    <w:p w:rsidR="00000000" w:rsidRDefault="00E7787C">
      <w:pPr>
        <w:tabs>
          <w:tab w:val="left" w:pos="900"/>
        </w:tabs>
        <w:spacing w:line="480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Se aprecia en la Tabla 131 que la variable X</w:t>
      </w:r>
      <w:r>
        <w:rPr>
          <w:rFonts w:ascii="Arial" w:hAnsi="Arial" w:cs="Arial"/>
          <w:vertAlign w:val="subscript"/>
        </w:rPr>
        <w:t>32</w:t>
      </w:r>
      <w:r>
        <w:rPr>
          <w:rFonts w:ascii="Arial" w:hAnsi="Arial" w:cs="Arial"/>
        </w:rPr>
        <w:t xml:space="preserve">: Porcentaje de tiempo que asigna el profesor  a la corrección de exámenes, tiene el mayor </w:t>
      </w:r>
      <w:r>
        <w:rPr>
          <w:rFonts w:ascii="Arial" w:hAnsi="Arial" w:cs="Arial"/>
        </w:rPr>
        <w:lastRenderedPageBreak/>
        <w:t>coeficiente de variación, valor obtenido del c</w:t>
      </w:r>
      <w:r>
        <w:rPr>
          <w:rFonts w:ascii="Arial" w:hAnsi="Arial" w:cs="Arial"/>
        </w:rPr>
        <w:t>ociente entre la media y la desviación estándar y es de 0.531, indicando que los datos se encuentran dispersos de la media que es de 1.023 , es decir a pesar que en promedio el profesor dedica menos del 30% a la corrección de exámenes así también existen p</w:t>
      </w:r>
      <w:r>
        <w:rPr>
          <w:rFonts w:ascii="Arial" w:hAnsi="Arial" w:cs="Arial"/>
        </w:rPr>
        <w:t>rofesores que dedican más del 70% de su tiempo a esta actividad; y la variable X</w:t>
      </w:r>
      <w:r>
        <w:rPr>
          <w:rFonts w:ascii="Arial" w:hAnsi="Arial" w:cs="Arial"/>
          <w:vertAlign w:val="subscript"/>
        </w:rPr>
        <w:t>52</w:t>
      </w:r>
      <w:r>
        <w:rPr>
          <w:rFonts w:ascii="Arial" w:hAnsi="Arial" w:cs="Arial"/>
        </w:rPr>
        <w:t>: Importancia de  buena relación profesor-estudiante tiene el menor coeficiente de variación que es 0.118, esto muestra que los datos no se encuentran tan dispersos de la med</w:t>
      </w:r>
      <w:r>
        <w:rPr>
          <w:rFonts w:ascii="Arial" w:hAnsi="Arial" w:cs="Arial"/>
        </w:rPr>
        <w:t>ia que es 4.472, lo que nos dice que una gran mayoría de profesores considera a la buena relación alumno-profesor como algo importante.</w:t>
      </w:r>
    </w:p>
    <w:p w:rsidR="00E7787C" w:rsidRDefault="00E7787C">
      <w:pPr>
        <w:spacing w:line="360" w:lineRule="auto"/>
        <w:jc w:val="both"/>
        <w:rPr>
          <w:rFonts w:ascii="Arial" w:hAnsi="Arial" w:cs="Arial"/>
          <w:b/>
          <w:bCs/>
          <w:spacing w:val="30"/>
          <w:sz w:val="22"/>
        </w:rPr>
      </w:pPr>
      <w:r>
        <w:tab/>
      </w:r>
    </w:p>
    <w:sectPr w:rsidR="00E7787C">
      <w:headerReference w:type="default" r:id="rId10"/>
      <w:pgSz w:w="11906" w:h="16838"/>
      <w:pgMar w:top="2268" w:right="1361" w:bottom="2268" w:left="2268" w:header="851" w:footer="709" w:gutter="0"/>
      <w:pgNumType w:start="2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87C" w:rsidRDefault="00E7787C">
      <w:r>
        <w:separator/>
      </w:r>
    </w:p>
  </w:endnote>
  <w:endnote w:type="continuationSeparator" w:id="1">
    <w:p w:rsidR="00E7787C" w:rsidRDefault="00E77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87C" w:rsidRDefault="00E7787C">
      <w:r>
        <w:separator/>
      </w:r>
    </w:p>
  </w:footnote>
  <w:footnote w:type="continuationSeparator" w:id="1">
    <w:p w:rsidR="00E7787C" w:rsidRDefault="00E77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787C">
    <w:pPr>
      <w:pStyle w:val="Encabezado"/>
      <w:jc w:val="right"/>
      <w:rPr>
        <w:rFonts w:ascii="Arial" w:hAnsi="Arial" w:cs="Arial"/>
        <w:sz w:val="24"/>
      </w:rPr>
    </w:pPr>
    <w:r>
      <w:rPr>
        <w:rStyle w:val="Nmerodepgina"/>
        <w:rFonts w:ascii="Arial" w:hAnsi="Arial" w:cs="Arial"/>
        <w:sz w:val="24"/>
      </w:rPr>
      <w:fldChar w:fldCharType="begin"/>
    </w:r>
    <w:r>
      <w:rPr>
        <w:rStyle w:val="Nmerodepgina"/>
        <w:rFonts w:ascii="Arial" w:hAnsi="Arial" w:cs="Arial"/>
        <w:sz w:val="24"/>
      </w:rPr>
      <w:instrText xml:space="preserve"> PAGE </w:instrText>
    </w:r>
    <w:r>
      <w:rPr>
        <w:rStyle w:val="Nmerodepgina"/>
        <w:rFonts w:ascii="Arial" w:hAnsi="Arial" w:cs="Arial"/>
        <w:sz w:val="24"/>
      </w:rPr>
      <w:fldChar w:fldCharType="separate"/>
    </w:r>
    <w:r w:rsidR="00997D0D">
      <w:rPr>
        <w:rStyle w:val="Nmerodepgina"/>
        <w:rFonts w:ascii="Arial" w:hAnsi="Arial" w:cs="Arial"/>
        <w:noProof/>
        <w:sz w:val="24"/>
      </w:rPr>
      <w:t>213</w:t>
    </w:r>
    <w:r>
      <w:rPr>
        <w:rStyle w:val="Nmerodepgina"/>
        <w:rFonts w:ascii="Arial" w:hAnsi="Arial" w:cs="Arial"/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D0D"/>
    <w:rsid w:val="00997D0D"/>
    <w:rsid w:val="00E7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 w:cs="Arial"/>
      <w:b/>
      <w:bCs/>
      <w:spacing w:val="30"/>
      <w:sz w:val="2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708" w:firstLine="708"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rFonts w:ascii="Arial" w:hAnsi="Arial" w:cs="Arial"/>
      <w:spacing w:val="30"/>
      <w:sz w:val="22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2"/>
      <w:szCs w:val="20"/>
      <w:lang w:val="es-EC" w:eastAsia="en-US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Sangradetextonormal">
    <w:name w:val="Body Text Indent"/>
    <w:basedOn w:val="Normal"/>
    <w:semiHidden/>
    <w:pPr>
      <w:tabs>
        <w:tab w:val="left" w:pos="900"/>
      </w:tabs>
      <w:spacing w:line="480" w:lineRule="auto"/>
      <w:ind w:left="90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Hoja_de_c_lculo_de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OJIVAS DE VARIABLES: PORCENTAJES DE TIEMPO QUE EL PROFESOR DEDICA A LA INVESTIGACION, A PREPARAR LA CLASE Y A LA CORRECION DE EXAMENES</a:t>
            </a:r>
          </a:p>
        </c:rich>
      </c:tx>
      <c:layout>
        <c:manualLayout>
          <c:xMode val="edge"/>
          <c:yMode val="edge"/>
          <c:x val="0.125"/>
          <c:y val="2.0588235294117647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0.12222222222222229"/>
          <c:y val="0.29705882352941193"/>
          <c:w val="0.45555555555555555"/>
          <c:h val="0.61176470588235277"/>
        </c:manualLayout>
      </c:layout>
      <c:scatterChart>
        <c:scatterStyle val="smoothMarker"/>
        <c:ser>
          <c:idx val="0"/>
          <c:order val="0"/>
          <c:tx>
            <c:v>Porcentaje de tiempo dedicado a la investigación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CC99FF"/>
              </a:solidFill>
              <a:ln>
                <a:solidFill>
                  <a:srgbClr val="003300"/>
                </a:solidFill>
                <a:prstDash val="solid"/>
              </a:ln>
            </c:spPr>
          </c:marker>
          <c:xVal>
            <c:numRef>
              <c:f>Hoja1!$E$6:$E$10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Hoja1!$F$6:$F$10</c:f>
              <c:numCache>
                <c:formatCode>General</c:formatCode>
                <c:ptCount val="5"/>
                <c:pt idx="0">
                  <c:v>0</c:v>
                </c:pt>
                <c:pt idx="1">
                  <c:v>0.39000000000000012</c:v>
                </c:pt>
                <c:pt idx="2">
                  <c:v>0.78</c:v>
                </c:pt>
                <c:pt idx="3">
                  <c:v>0.93</c:v>
                </c:pt>
                <c:pt idx="4">
                  <c:v>1</c:v>
                </c:pt>
              </c:numCache>
            </c:numRef>
          </c:yVal>
          <c:smooth val="1"/>
        </c:ser>
        <c:ser>
          <c:idx val="1"/>
          <c:order val="1"/>
          <c:tx>
            <c:v>Porcentaje de tiempo dedicado a la preparación de clase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80808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2"/>
            <c:marker>
              <c:symbol val="square"/>
              <c:size val="4"/>
            </c:marker>
          </c:dPt>
          <c:xVal>
            <c:numRef>
              <c:f>Hoja1!$E$6:$E$10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Hoja1!$G$6:$G$10</c:f>
              <c:numCache>
                <c:formatCode>General</c:formatCode>
                <c:ptCount val="5"/>
                <c:pt idx="0">
                  <c:v>0</c:v>
                </c:pt>
                <c:pt idx="1">
                  <c:v>0.24100000000000005</c:v>
                </c:pt>
                <c:pt idx="2">
                  <c:v>0.76200000000000023</c:v>
                </c:pt>
                <c:pt idx="3">
                  <c:v>0.92900000000000005</c:v>
                </c:pt>
                <c:pt idx="4">
                  <c:v>1</c:v>
                </c:pt>
              </c:numCache>
            </c:numRef>
          </c:yVal>
          <c:smooth val="1"/>
        </c:ser>
        <c:ser>
          <c:idx val="2"/>
          <c:order val="2"/>
          <c:tx>
            <c:v>Porcentaje de tiempo asignado a la corrección de exámenes</c:v>
          </c:tx>
          <c:spPr>
            <a:ln w="12700">
              <a:solidFill>
                <a:srgbClr val="993366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CC00"/>
              </a:solidFill>
              <a:ln>
                <a:solidFill>
                  <a:srgbClr val="333300"/>
                </a:solidFill>
                <a:prstDash val="solid"/>
              </a:ln>
            </c:spPr>
          </c:marker>
          <c:xVal>
            <c:numRef>
              <c:f>Hoja1!$E$6:$E$10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Hoja1!$H$6:$H$10</c:f>
              <c:numCache>
                <c:formatCode>General</c:formatCode>
                <c:ptCount val="5"/>
                <c:pt idx="0">
                  <c:v>0</c:v>
                </c:pt>
                <c:pt idx="1">
                  <c:v>0.43700000000000011</c:v>
                </c:pt>
                <c:pt idx="2">
                  <c:v>0.76200000000000023</c:v>
                </c:pt>
                <c:pt idx="3">
                  <c:v>0.87600000000000022</c:v>
                </c:pt>
                <c:pt idx="4">
                  <c:v>1</c:v>
                </c:pt>
              </c:numCache>
            </c:numRef>
          </c:yVal>
          <c:smooth val="1"/>
        </c:ser>
        <c:axId val="115925760"/>
        <c:axId val="115927680"/>
      </c:scatterChart>
      <c:valAx>
        <c:axId val="115925760"/>
        <c:scaling>
          <c:orientation val="minMax"/>
          <c:max val="4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15927680"/>
        <c:crosses val="autoZero"/>
        <c:crossBetween val="midCat"/>
      </c:valAx>
      <c:valAx>
        <c:axId val="115927680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15925760"/>
        <c:crosses val="autoZero"/>
        <c:crossBetween val="midCat"/>
        <c:majorUnit val="0.2"/>
      </c:valAx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0277777777777775"/>
          <c:y val="0.3000000000000001"/>
          <c:w val="0.39722222222222237"/>
          <c:h val="0.5764705882352940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OJIVA DE LAS VARIABLES: IMPORTANCIA DE LA DIDACTICA A NIVEL SUPERIOR, IMPORTANCIA DE FACILITAR EL MATERIAL DE ESTUDIOS , IMPORTANCIA DE ASIGNAR INVESTIGACIONES AL ESTUDIANTE</a:t>
            </a:r>
          </a:p>
        </c:rich>
      </c:tx>
      <c:layout>
        <c:manualLayout>
          <c:xMode val="edge"/>
          <c:yMode val="edge"/>
          <c:x val="0.12761506276150628"/>
          <c:y val="0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807531380753141"/>
          <c:y val="0.23360655737704919"/>
          <c:w val="0.61087866108786615"/>
          <c:h val="0.70081967213114782"/>
        </c:manualLayout>
      </c:layout>
      <c:scatterChart>
        <c:scatterStyle val="smoothMarker"/>
        <c:ser>
          <c:idx val="0"/>
          <c:order val="0"/>
          <c:tx>
            <c:v>Importancia de la didáctica a nivel superior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993366"/>
              </a:solidFill>
              <a:ln>
                <a:solidFill>
                  <a:srgbClr val="003300"/>
                </a:solidFill>
                <a:prstDash val="solid"/>
              </a:ln>
            </c:spPr>
          </c:marker>
          <c:xVal>
            <c:numRef>
              <c:f>Hoja1!$F$34:$F$39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Hoja1!$G$34:$G$39</c:f>
              <c:numCache>
                <c:formatCode>General</c:formatCode>
                <c:ptCount val="6"/>
                <c:pt idx="0">
                  <c:v>0</c:v>
                </c:pt>
                <c:pt idx="1">
                  <c:v>2.0000000000000009E-3</c:v>
                </c:pt>
                <c:pt idx="2">
                  <c:v>1.2999999999999998E-2</c:v>
                </c:pt>
                <c:pt idx="3">
                  <c:v>0.128</c:v>
                </c:pt>
                <c:pt idx="4">
                  <c:v>0.59099999999999997</c:v>
                </c:pt>
                <c:pt idx="5">
                  <c:v>1</c:v>
                </c:pt>
              </c:numCache>
            </c:numRef>
          </c:yVal>
          <c:smooth val="1"/>
        </c:ser>
        <c:ser>
          <c:idx val="1"/>
          <c:order val="1"/>
          <c:tx>
            <c:v>Importancia de facilitar el material de estudios a los estudiantes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333300"/>
                </a:solidFill>
                <a:prstDash val="solid"/>
              </a:ln>
            </c:spPr>
          </c:marker>
          <c:xVal>
            <c:numRef>
              <c:f>Hoja1!$F$34:$F$39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Hoja1!$H$34:$H$39</c:f>
              <c:numCache>
                <c:formatCode>General</c:formatCode>
                <c:ptCount val="6"/>
                <c:pt idx="0">
                  <c:v>0</c:v>
                </c:pt>
                <c:pt idx="1">
                  <c:v>4.0000000000000018E-3</c:v>
                </c:pt>
                <c:pt idx="2">
                  <c:v>1.2999999999999998E-2</c:v>
                </c:pt>
                <c:pt idx="3">
                  <c:v>5.5000000000000014E-2</c:v>
                </c:pt>
                <c:pt idx="4">
                  <c:v>0.67200000000000026</c:v>
                </c:pt>
                <c:pt idx="5">
                  <c:v>1</c:v>
                </c:pt>
              </c:numCache>
            </c:numRef>
          </c:yVal>
          <c:smooth val="1"/>
        </c:ser>
        <c:ser>
          <c:idx val="2"/>
          <c:order val="2"/>
          <c:tx>
            <c:v>Importancia de asignar investigaciones a los estudiantes</c:v>
          </c:tx>
          <c:spPr>
            <a:ln w="12700">
              <a:solidFill>
                <a:srgbClr val="3399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8000"/>
              </a:solidFill>
              <a:ln>
                <a:solidFill>
                  <a:srgbClr val="003300"/>
                </a:solidFill>
                <a:prstDash val="solid"/>
              </a:ln>
            </c:spPr>
          </c:marker>
          <c:xVal>
            <c:numRef>
              <c:f>Hoja1!$F$34:$F$39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Hoja1!$I$34:$I$39</c:f>
              <c:numCache>
                <c:formatCode>General</c:formatCode>
                <c:ptCount val="6"/>
                <c:pt idx="0">
                  <c:v>0</c:v>
                </c:pt>
                <c:pt idx="1">
                  <c:v>2.0000000000000009E-3</c:v>
                </c:pt>
                <c:pt idx="2">
                  <c:v>4.0000000000000018E-3</c:v>
                </c:pt>
                <c:pt idx="3">
                  <c:v>3.100000000000001E-2</c:v>
                </c:pt>
                <c:pt idx="4">
                  <c:v>0.61900000000000022</c:v>
                </c:pt>
                <c:pt idx="5">
                  <c:v>1</c:v>
                </c:pt>
              </c:numCache>
            </c:numRef>
          </c:yVal>
          <c:smooth val="1"/>
        </c:ser>
        <c:axId val="120758272"/>
        <c:axId val="120760192"/>
      </c:scatterChart>
      <c:valAx>
        <c:axId val="120758272"/>
        <c:scaling>
          <c:orientation val="minMax"/>
          <c:max val="5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0760192"/>
        <c:crosses val="autoZero"/>
        <c:crossBetween val="midCat"/>
      </c:valAx>
      <c:valAx>
        <c:axId val="120760192"/>
        <c:scaling>
          <c:orientation val="minMax"/>
          <c:max val="1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0758272"/>
        <c:crosses val="autoZero"/>
        <c:crossBetween val="midCat"/>
        <c:majorUnit val="0.2"/>
      </c:valAx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523012552301261"/>
          <c:y val="0.31352459016393452"/>
          <c:w val="0.2447698744769875"/>
          <c:h val="0.4631147540983606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ESPOL 2001: OJIVA DE LAS VARIABLES: PROFESORES DE ACUERDO A LA REALIZACIÓN DE INVESTIGACION CIENTIFICA, LA DOCENCIA CONSIDERADA COMO UNA PROFESION,ASIGNACION DE ACTIVIDADES DE AUTOAPRENDIZAJE, EXPERIENCIA LABORAL ANTES DE SER PROFESOR DE LA ESPOL</a:t>
            </a:r>
          </a:p>
        </c:rich>
      </c:tx>
      <c:layout>
        <c:manualLayout>
          <c:xMode val="edge"/>
          <c:yMode val="edge"/>
          <c:x val="0.10481586402266288"/>
          <c:y val="2.1341463414634158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0.11898016997167143"/>
          <c:y val="0.44512195121951231"/>
          <c:w val="0.6373937677053827"/>
          <c:h val="0.4725609756097563"/>
        </c:manualLayout>
      </c:layout>
      <c:scatterChart>
        <c:scatterStyle val="smoothMarker"/>
        <c:ser>
          <c:idx val="0"/>
          <c:order val="0"/>
          <c:tx>
            <c:v>Profesores de acuerdo a la realziación de investigación científica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Hoja1!$F$82:$F$87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Hoja1!$G$82:$G$87</c:f>
              <c:numCache>
                <c:formatCode>General</c:formatCode>
                <c:ptCount val="6"/>
                <c:pt idx="0">
                  <c:v>0</c:v>
                </c:pt>
                <c:pt idx="1">
                  <c:v>3.4000000000000002E-2</c:v>
                </c:pt>
                <c:pt idx="2">
                  <c:v>4.1000000000000002E-2</c:v>
                </c:pt>
                <c:pt idx="3">
                  <c:v>0.128</c:v>
                </c:pt>
                <c:pt idx="4">
                  <c:v>0.43800000000000011</c:v>
                </c:pt>
                <c:pt idx="5">
                  <c:v>1</c:v>
                </c:pt>
              </c:numCache>
            </c:numRef>
          </c:yVal>
          <c:smooth val="1"/>
        </c:ser>
        <c:ser>
          <c:idx val="1"/>
          <c:order val="1"/>
          <c:tx>
            <c:v>La docencia considerada como una profesión</c:v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8000"/>
              </a:solidFill>
              <a:ln>
                <a:solidFill>
                  <a:srgbClr val="003366"/>
                </a:solidFill>
                <a:prstDash val="solid"/>
              </a:ln>
            </c:spPr>
          </c:marker>
          <c:xVal>
            <c:numRef>
              <c:f>Hoja1!$F$82:$F$87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Hoja1!$H$82:$H$87</c:f>
              <c:numCache>
                <c:formatCode>General</c:formatCode>
                <c:ptCount val="6"/>
                <c:pt idx="0">
                  <c:v>0</c:v>
                </c:pt>
                <c:pt idx="1">
                  <c:v>6.0000000000000019E-2</c:v>
                </c:pt>
                <c:pt idx="2">
                  <c:v>0.11</c:v>
                </c:pt>
                <c:pt idx="3">
                  <c:v>0.32000000000000012</c:v>
                </c:pt>
                <c:pt idx="4">
                  <c:v>0.62000000000000022</c:v>
                </c:pt>
                <c:pt idx="5">
                  <c:v>1</c:v>
                </c:pt>
              </c:numCache>
            </c:numRef>
          </c:yVal>
          <c:smooth val="1"/>
        </c:ser>
        <c:ser>
          <c:idx val="2"/>
          <c:order val="2"/>
          <c:tx>
            <c:v>Asignación de actividades de autoaprendizaje a los estudiantes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00FF"/>
              </a:solidFill>
              <a:ln>
                <a:solidFill>
                  <a:srgbClr val="003300"/>
                </a:solidFill>
                <a:prstDash val="solid"/>
              </a:ln>
            </c:spPr>
          </c:marker>
          <c:xVal>
            <c:numRef>
              <c:f>Hoja1!$F$82:$F$87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Hoja1!$I$82:$I$87</c:f>
              <c:numCache>
                <c:formatCode>General</c:formatCode>
                <c:ptCount val="6"/>
                <c:pt idx="0">
                  <c:v>0</c:v>
                </c:pt>
                <c:pt idx="1">
                  <c:v>1.2999999999999998E-2</c:v>
                </c:pt>
                <c:pt idx="2">
                  <c:v>2.4E-2</c:v>
                </c:pt>
                <c:pt idx="3">
                  <c:v>0.12000000000000002</c:v>
                </c:pt>
                <c:pt idx="4">
                  <c:v>0.57700000000000018</c:v>
                </c:pt>
                <c:pt idx="5">
                  <c:v>1</c:v>
                </c:pt>
              </c:numCache>
            </c:numRef>
          </c:yVal>
          <c:smooth val="1"/>
        </c:ser>
        <c:ser>
          <c:idx val="3"/>
          <c:order val="3"/>
          <c:tx>
            <c:v>Experiencia laboral antes de ser profesor de la ESPOL</c:v>
          </c:tx>
          <c:spPr>
            <a:ln w="12700">
              <a:solidFill>
                <a:srgbClr val="666699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969696"/>
              </a:solidFill>
              <a:ln>
                <a:solidFill>
                  <a:srgbClr val="969696"/>
                </a:solidFill>
                <a:prstDash val="solid"/>
              </a:ln>
            </c:spPr>
          </c:marker>
          <c:xVal>
            <c:numRef>
              <c:f>Hoja1!$F$82:$F$87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Hoja1!$J$82:$J$87</c:f>
              <c:numCache>
                <c:formatCode>General</c:formatCode>
                <c:ptCount val="6"/>
                <c:pt idx="0">
                  <c:v>0</c:v>
                </c:pt>
                <c:pt idx="1">
                  <c:v>2.0000000000000007E-2</c:v>
                </c:pt>
                <c:pt idx="2">
                  <c:v>6.0000000000000019E-2</c:v>
                </c:pt>
                <c:pt idx="3">
                  <c:v>0.25</c:v>
                </c:pt>
                <c:pt idx="4">
                  <c:v>0.54</c:v>
                </c:pt>
                <c:pt idx="5">
                  <c:v>1</c:v>
                </c:pt>
              </c:numCache>
            </c:numRef>
          </c:yVal>
          <c:smooth val="1"/>
        </c:ser>
        <c:axId val="121135488"/>
        <c:axId val="121137024"/>
      </c:scatterChart>
      <c:valAx>
        <c:axId val="121135488"/>
        <c:scaling>
          <c:orientation val="minMax"/>
          <c:max val="5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1137024"/>
        <c:crosses val="autoZero"/>
        <c:crossBetween val="midCat"/>
      </c:valAx>
      <c:valAx>
        <c:axId val="121137024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1135488"/>
        <c:crosses val="autoZero"/>
        <c:crossBetween val="midCat"/>
        <c:majorUnit val="0.2"/>
      </c:valAx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555240793201111"/>
          <c:y val="0.21951219512195133"/>
          <c:w val="0.31444759206798878"/>
          <c:h val="0.7835365853658533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OJIVA DE LAS VARIABLES: IMPORTANCIA DE BUENA RELACION ALUMNO-PROFESOR, IMPORTANCIA QUE SE LE DA A LA REMUNERACION SALARIAL, IMPORTANCIA A LA PUNTUALIDAD </a:t>
            </a:r>
          </a:p>
        </c:rich>
      </c:tx>
      <c:layout>
        <c:manualLayout>
          <c:xMode val="edge"/>
          <c:yMode val="edge"/>
          <c:x val="0.10382513661202186"/>
          <c:y val="2.0000000000000007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0.1174863387978142"/>
          <c:y val="0.26"/>
          <c:w val="0.66120218579234935"/>
          <c:h val="0.6625000000000002"/>
        </c:manualLayout>
      </c:layout>
      <c:scatterChart>
        <c:scatterStyle val="smoothMarker"/>
        <c:ser>
          <c:idx val="0"/>
          <c:order val="0"/>
          <c:tx>
            <c:v>Importancia de una buena relación alumno-profesor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dPt>
            <c:idx val="5"/>
            <c:marker>
              <c:symbol val="diamond"/>
              <c:size val="4"/>
              <c:spPr>
                <a:solidFill>
                  <a:srgbClr val="0000FF"/>
                </a:solidFill>
                <a:ln>
                  <a:solidFill>
                    <a:srgbClr val="003300"/>
                  </a:solidFill>
                  <a:prstDash val="solid"/>
                </a:ln>
              </c:spPr>
            </c:marker>
            <c:spPr>
              <a:ln w="12700">
                <a:solidFill>
                  <a:srgbClr val="0000FF"/>
                </a:solidFill>
                <a:prstDash val="solid"/>
              </a:ln>
            </c:spPr>
          </c:dPt>
          <c:xVal>
            <c:numRef>
              <c:f>Hoja1!$F$134:$F$139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Hoja1!$G$134:$G$139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1.2999999999999998E-2</c:v>
                </c:pt>
                <c:pt idx="4">
                  <c:v>0.51400000000000001</c:v>
                </c:pt>
                <c:pt idx="5">
                  <c:v>1</c:v>
                </c:pt>
              </c:numCache>
            </c:numRef>
          </c:yVal>
          <c:smooth val="1"/>
        </c:ser>
        <c:ser>
          <c:idx val="1"/>
          <c:order val="1"/>
          <c:tx>
            <c:v>Importancia de la remuneración salarial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triangle"/>
            <c:size val="2"/>
            <c:spPr>
              <a:solidFill>
                <a:srgbClr val="FF00FF"/>
              </a:solidFill>
              <a:ln>
                <a:solidFill>
                  <a:srgbClr val="003300"/>
                </a:solidFill>
                <a:prstDash val="solid"/>
              </a:ln>
            </c:spPr>
          </c:marker>
          <c:xVal>
            <c:numRef>
              <c:f>Hoja1!$F$134:$F$139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Hoja1!$H$134:$H$139</c:f>
              <c:numCache>
                <c:formatCode>General</c:formatCode>
                <c:ptCount val="6"/>
                <c:pt idx="0">
                  <c:v>0</c:v>
                </c:pt>
                <c:pt idx="1">
                  <c:v>1.6000000000000007E-2</c:v>
                </c:pt>
                <c:pt idx="2">
                  <c:v>4.0000000000000015E-2</c:v>
                </c:pt>
                <c:pt idx="3">
                  <c:v>0.18300000000000005</c:v>
                </c:pt>
                <c:pt idx="4">
                  <c:v>0.74400000000000022</c:v>
                </c:pt>
                <c:pt idx="5">
                  <c:v>1</c:v>
                </c:pt>
              </c:numCache>
            </c:numRef>
          </c:yVal>
          <c:smooth val="1"/>
        </c:ser>
        <c:ser>
          <c:idx val="2"/>
          <c:order val="2"/>
          <c:tx>
            <c:v>Importancia de la puntualidad</c:v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8000"/>
              </a:solidFill>
              <a:ln>
                <a:solidFill>
                  <a:srgbClr val="003300"/>
                </a:solidFill>
                <a:prstDash val="solid"/>
              </a:ln>
            </c:spPr>
          </c:marker>
          <c:xVal>
            <c:numRef>
              <c:f>Hoja1!$F$134:$F$139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Hoja1!$I$134:$I$139</c:f>
              <c:numCache>
                <c:formatCode>General</c:formatCode>
                <c:ptCount val="6"/>
                <c:pt idx="0">
                  <c:v>0</c:v>
                </c:pt>
                <c:pt idx="1">
                  <c:v>2.0000000000000009E-3</c:v>
                </c:pt>
                <c:pt idx="2">
                  <c:v>6.0000000000000027E-3</c:v>
                </c:pt>
                <c:pt idx="3">
                  <c:v>1.9000000000000006E-2</c:v>
                </c:pt>
                <c:pt idx="4">
                  <c:v>0.42100000000000015</c:v>
                </c:pt>
                <c:pt idx="5">
                  <c:v>1</c:v>
                </c:pt>
              </c:numCache>
            </c:numRef>
          </c:yVal>
          <c:smooth val="1"/>
        </c:ser>
        <c:axId val="120949760"/>
        <c:axId val="120951936"/>
      </c:scatterChart>
      <c:valAx>
        <c:axId val="120949760"/>
        <c:scaling>
          <c:orientation val="minMax"/>
          <c:max val="5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0951936"/>
        <c:crosses val="autoZero"/>
        <c:crossBetween val="midCat"/>
      </c:valAx>
      <c:valAx>
        <c:axId val="120951936"/>
        <c:scaling>
          <c:orientation val="minMax"/>
          <c:max val="1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0949760"/>
        <c:crosses val="autoZero"/>
        <c:crossBetween val="midCat"/>
        <c:majorUnit val="0.2"/>
      </c:valAx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584699453551937"/>
          <c:y val="0.28750000000000009"/>
          <c:w val="0.28415300546448086"/>
          <c:h val="0.600000000000000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0.01025</cdr:x>
      <cdr:y>0.33425</cdr:y>
    </cdr:from>
    <cdr:to>
      <cdr:x>0.06975</cdr:x>
      <cdr:y>0.79925</cdr:y>
    </cdr:to>
    <cdr:sp macro="" textlink="">
      <cdr:nvSpPr>
        <cdr:cNvPr id="3379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147" y="1082469"/>
          <a:ext cx="204026" cy="15059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vert="vert270" wrap="square" lIns="27432" tIns="22860" rIns="0" bIns="0" anchor="t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es-ES" sz="800" b="1" i="0" strike="noStrike">
              <a:solidFill>
                <a:srgbClr val="000000"/>
              </a:solidFill>
              <a:latin typeface="Arial"/>
              <a:cs typeface="Arial"/>
            </a:rPr>
            <a:t>Frecuencias relativas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0.23325</cdr:y>
    </cdr:from>
    <cdr:to>
      <cdr:x>0.0535</cdr:x>
      <cdr:y>0.8105</cdr:y>
    </cdr:to>
    <cdr:sp macro="" textlink="">
      <cdr:nvSpPr>
        <cdr:cNvPr id="3481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1084193"/>
          <a:ext cx="243583" cy="26831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vert="vert270" wrap="square" lIns="27432" tIns="22860" rIns="0" bIns="0" anchor="t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es-ES" sz="1025" b="1" i="0" strike="noStrike">
              <a:solidFill>
                <a:srgbClr val="000000"/>
              </a:solidFill>
              <a:latin typeface="Arial"/>
              <a:cs typeface="Arial"/>
            </a:rPr>
            <a:t>Frecuencias relativas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0.43725</cdr:y>
    </cdr:from>
    <cdr:to>
      <cdr:x>0.05875</cdr:x>
      <cdr:y>0.88225</cdr:y>
    </cdr:to>
    <cdr:sp macro="" textlink="">
      <cdr:nvSpPr>
        <cdr:cNvPr id="3584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1366056"/>
          <a:ext cx="197537" cy="13902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vert="vert270" wrap="square" lIns="27432" tIns="22860" rIns="0" bIns="0" anchor="t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es-ES" sz="825" b="1" i="0" strike="noStrike">
              <a:solidFill>
                <a:srgbClr val="000000"/>
              </a:solidFill>
              <a:latin typeface="Arial"/>
              <a:cs typeface="Arial"/>
            </a:rPr>
            <a:t>Frecuencias relativas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0.34025</cdr:y>
    </cdr:from>
    <cdr:to>
      <cdr:x>0.057</cdr:x>
      <cdr:y>0.946</cdr:y>
    </cdr:to>
    <cdr:sp macro="" textlink="">
      <cdr:nvSpPr>
        <cdr:cNvPr id="3686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1296353"/>
          <a:ext cx="198711" cy="23079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vert="vert270" wrap="square" lIns="27432" tIns="22860" rIns="0" bIns="0" anchor="t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es-ES" sz="825" b="1" i="0" strike="noStrike">
              <a:solidFill>
                <a:srgbClr val="000000"/>
              </a:solidFill>
              <a:latin typeface="Arial"/>
              <a:cs typeface="Arial"/>
            </a:rPr>
            <a:t>Frecuencias relativas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OJIVAS DE LAS SIGUIENTES VARIABLES:</vt:lpstr>
    </vt:vector>
  </TitlesOfParts>
  <Company>Carzu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OJIVAS DE LAS SIGUIENTES VARIABLES:</dc:title>
  <dc:subject/>
  <dc:creator>Carlos Zuñiga</dc:creator>
  <cp:keywords/>
  <dc:description/>
  <cp:lastModifiedBy>Ayudante</cp:lastModifiedBy>
  <cp:revision>2</cp:revision>
  <cp:lastPrinted>2002-05-26T12:26:00Z</cp:lastPrinted>
  <dcterms:created xsi:type="dcterms:W3CDTF">2009-07-02T18:15:00Z</dcterms:created>
  <dcterms:modified xsi:type="dcterms:W3CDTF">2009-07-02T18:15:00Z</dcterms:modified>
</cp:coreProperties>
</file>