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012593">
      <w:pPr>
        <w:pStyle w:val="Textoindependiente"/>
        <w:rPr>
          <w:rFonts w:ascii="Arial" w:hAnsi="Arial" w:cs="Arial"/>
          <w:sz w:val="32"/>
        </w:rPr>
      </w:pPr>
    </w:p>
    <w:p w:rsidR="00000000" w:rsidRDefault="00012593">
      <w:pPr>
        <w:pStyle w:val="Textoindependiente"/>
        <w:rPr>
          <w:rFonts w:ascii="Arial" w:hAnsi="Arial" w:cs="Arial"/>
          <w:sz w:val="32"/>
        </w:rPr>
      </w:pPr>
      <w:r>
        <w:rPr>
          <w:rFonts w:ascii="Arial" w:hAnsi="Arial" w:cs="Arial"/>
          <w:sz w:val="32"/>
        </w:rPr>
        <w:t>“Análisis estadístico del grado de satisfacción del estudiante politécnico frente a los servicios que la ESPOL le ofrece: El caso de las carreras tradicionales”</w:t>
      </w:r>
    </w:p>
    <w:p w:rsidR="00000000" w:rsidRDefault="00012593">
      <w:pPr>
        <w:jc w:val="both"/>
        <w:rPr>
          <w:rFonts w:ascii="Arial" w:hAnsi="Arial" w:cs="Arial"/>
        </w:rPr>
      </w:pPr>
    </w:p>
    <w:p w:rsidR="00000000" w:rsidRDefault="00012593">
      <w:pPr>
        <w:jc w:val="both"/>
        <w:rPr>
          <w:rFonts w:ascii="Arial" w:hAnsi="Arial" w:cs="Arial"/>
        </w:rPr>
      </w:pPr>
    </w:p>
    <w:p w:rsidR="00000000" w:rsidRDefault="00012593">
      <w:pPr>
        <w:jc w:val="both"/>
        <w:rPr>
          <w:rFonts w:ascii="Arial" w:hAnsi="Arial" w:cs="Arial"/>
        </w:rPr>
      </w:pPr>
    </w:p>
    <w:p w:rsidR="00000000" w:rsidRDefault="00012593">
      <w:pPr>
        <w:jc w:val="both"/>
        <w:rPr>
          <w:rFonts w:ascii="Arial" w:hAnsi="Arial" w:cs="Arial"/>
        </w:rPr>
      </w:pPr>
    </w:p>
    <w:p w:rsidR="00000000" w:rsidRDefault="00012593">
      <w:pPr>
        <w:pStyle w:val="Ttulo1"/>
        <w:jc w:val="center"/>
      </w:pPr>
      <w:r>
        <w:t>RESUMEN</w:t>
      </w:r>
    </w:p>
    <w:p w:rsidR="00000000" w:rsidRDefault="00012593">
      <w:pPr>
        <w:rPr>
          <w:rFonts w:ascii="Arial" w:hAnsi="Arial" w:cs="Arial"/>
        </w:rPr>
      </w:pPr>
    </w:p>
    <w:p w:rsidR="00000000" w:rsidRDefault="00012593">
      <w:pPr>
        <w:pStyle w:val="Textoindependiente"/>
        <w:jc w:val="both"/>
        <w:rPr>
          <w:rFonts w:ascii="Arial" w:hAnsi="Arial"/>
          <w:b w:val="0"/>
        </w:rPr>
      </w:pPr>
      <w:r>
        <w:rPr>
          <w:rFonts w:ascii="Arial" w:hAnsi="Arial"/>
          <w:b w:val="0"/>
        </w:rPr>
        <w:t>El siguiente es un trabajo estadístico que mide el grado de satisfacción del estu</w:t>
      </w:r>
      <w:r>
        <w:rPr>
          <w:rFonts w:ascii="Arial" w:hAnsi="Arial"/>
          <w:b w:val="0"/>
        </w:rPr>
        <w:t>diante politécnico que  pertenece a las 16 carreras tradicionales y que cursa el II término del año 2001, ante los servicios que la ESPOL le ofrece.</w:t>
      </w:r>
    </w:p>
    <w:p w:rsidR="00000000" w:rsidRDefault="00012593">
      <w:pPr>
        <w:jc w:val="both"/>
        <w:rPr>
          <w:rFonts w:ascii="Arial" w:hAnsi="Arial" w:cs="Arial"/>
        </w:rPr>
      </w:pPr>
    </w:p>
    <w:p w:rsidR="00000000" w:rsidRDefault="00012593">
      <w:pPr>
        <w:pStyle w:val="Textoindependiente"/>
        <w:jc w:val="both"/>
        <w:rPr>
          <w:rFonts w:ascii="Arial" w:hAnsi="Arial"/>
          <w:b w:val="0"/>
        </w:rPr>
      </w:pPr>
      <w:r>
        <w:rPr>
          <w:rFonts w:ascii="Arial" w:hAnsi="Arial"/>
          <w:b w:val="0"/>
        </w:rPr>
        <w:t xml:space="preserve">En el primer capítulo se realiza un enfoque de la calidad de los servicios en el área educativa superior, </w:t>
      </w:r>
      <w:r>
        <w:rPr>
          <w:rFonts w:ascii="Arial" w:hAnsi="Arial"/>
          <w:b w:val="0"/>
        </w:rPr>
        <w:t>junto con una reseña histórica e información general de los servicios que la ESPOL ofrece a los estudiantes como clientes de la misma, para de esta manera elaborar un cuestionario que es utilizado como instrumento de trabajo con finalidad de obtener inform</w:t>
      </w:r>
      <w:r>
        <w:rPr>
          <w:rFonts w:ascii="Arial" w:hAnsi="Arial"/>
          <w:b w:val="0"/>
        </w:rPr>
        <w:t>ación de un grupo seleccionado de estudiantes a través de técnicas de muestreo, las cuales son descritas en el segundo capítulo.</w:t>
      </w:r>
    </w:p>
    <w:p w:rsidR="00000000" w:rsidRDefault="00012593">
      <w:pPr>
        <w:pStyle w:val="Textoindependiente"/>
        <w:jc w:val="both"/>
        <w:rPr>
          <w:rFonts w:ascii="Arial" w:hAnsi="Arial"/>
          <w:b w:val="0"/>
        </w:rPr>
      </w:pPr>
    </w:p>
    <w:p w:rsidR="00000000" w:rsidRDefault="00012593">
      <w:pPr>
        <w:jc w:val="both"/>
        <w:rPr>
          <w:rFonts w:ascii="Arial" w:hAnsi="Arial"/>
        </w:rPr>
      </w:pPr>
      <w:r>
        <w:rPr>
          <w:rFonts w:ascii="Arial" w:hAnsi="Arial"/>
        </w:rPr>
        <w:t>Luego de haber establecido las características medibles que se analizan en el estudio, en el tercer capítulo se realiza el aná</w:t>
      </w:r>
      <w:r>
        <w:rPr>
          <w:rFonts w:ascii="Arial" w:hAnsi="Arial"/>
        </w:rPr>
        <w:t>lisis univariado de cada una de estas características para poder realizar a continuación, en el capítulo cuarto, un análisis multivariado que nos permita obtener conclusiones y de esta manera encontrar soluciones posibles para el caso establecido.</w:t>
      </w:r>
    </w:p>
    <w:p w:rsidR="00000000" w:rsidRDefault="00012593">
      <w:pPr>
        <w:jc w:val="both"/>
        <w:rPr>
          <w:rFonts w:ascii="Arial" w:hAnsi="Arial"/>
        </w:rPr>
      </w:pPr>
    </w:p>
    <w:p w:rsidR="00000000" w:rsidRDefault="00012593">
      <w:pPr>
        <w:pStyle w:val="Ttulo2"/>
      </w:pPr>
    </w:p>
    <w:p w:rsidR="00000000" w:rsidRDefault="00012593">
      <w:pPr>
        <w:pStyle w:val="Ttulo2"/>
        <w:jc w:val="center"/>
      </w:pPr>
      <w:r>
        <w:t>INTROD</w:t>
      </w:r>
      <w:r>
        <w:t>UCCIÓN</w:t>
      </w:r>
    </w:p>
    <w:p w:rsidR="00000000" w:rsidRDefault="00012593">
      <w:pPr>
        <w:jc w:val="both"/>
        <w:rPr>
          <w:rFonts w:ascii="Arial" w:hAnsi="Arial"/>
        </w:rPr>
      </w:pPr>
    </w:p>
    <w:p w:rsidR="00000000" w:rsidRDefault="00012593">
      <w:pPr>
        <w:pStyle w:val="Textoindependiente"/>
        <w:jc w:val="both"/>
        <w:rPr>
          <w:rFonts w:ascii="Arial" w:hAnsi="Arial" w:cs="Arial"/>
          <w:b w:val="0"/>
          <w:bCs w:val="0"/>
        </w:rPr>
      </w:pPr>
      <w:r>
        <w:rPr>
          <w:rFonts w:ascii="Arial" w:hAnsi="Arial" w:cs="Arial"/>
          <w:b w:val="0"/>
          <w:bCs w:val="0"/>
        </w:rPr>
        <w:t>A través de la investigación a desarrollarse, se persigue determinar el grado de satisfacción que poseen los estudiantes politécnicos de las carreras tradicionales  frente a los servicios que la ESPOL les ofrece, para lo cual se ha realizado un dis</w:t>
      </w:r>
      <w:r>
        <w:rPr>
          <w:rFonts w:ascii="Arial" w:hAnsi="Arial" w:cs="Arial"/>
          <w:b w:val="0"/>
          <w:bCs w:val="0"/>
        </w:rPr>
        <w:t>eño muestral, con el fin de seleccionar de la población objetivo, una muestra que nos permita obtener información confiable y así conocer que problemas tiene o ha dejado de tener la ESPOL, hasta el II término del año 2001.</w:t>
      </w:r>
    </w:p>
    <w:p w:rsidR="00000000" w:rsidRDefault="00012593">
      <w:pPr>
        <w:pStyle w:val="Textoindependiente"/>
      </w:pPr>
    </w:p>
    <w:p w:rsidR="00000000" w:rsidRDefault="00012593">
      <w:pPr>
        <w:pStyle w:val="Textoindependiente2"/>
      </w:pPr>
      <w:r>
        <w:t>Con esta investigación se preten</w:t>
      </w:r>
      <w:r>
        <w:t>de saber además que influencia tienen los servicios entre sí en el criterio de los estudiantes, para de esta manera aportar a la ESPOL como empresa, opiniones de clientes que pueden ayudar a la superación continua de la misma, es por eso que en el primer c</w:t>
      </w:r>
      <w:r>
        <w:t>apítulo se define la calidad de los servicios, como concepto importante para las empresas en la actualidad, y además con la reseña histórica de la ESPOL, se conoce la evolución de la institución a lo largo de los 42 años de vida que posee.</w:t>
      </w:r>
    </w:p>
    <w:p w:rsidR="00000000" w:rsidRDefault="00012593">
      <w:pPr>
        <w:pStyle w:val="Textoindependiente2"/>
      </w:pPr>
    </w:p>
    <w:p w:rsidR="00000000" w:rsidRDefault="00012593">
      <w:pPr>
        <w:pStyle w:val="Textoindependiente2"/>
        <w:rPr>
          <w:b/>
          <w:bCs/>
        </w:rPr>
      </w:pPr>
    </w:p>
    <w:p w:rsidR="00000000" w:rsidRDefault="00012593">
      <w:pPr>
        <w:pStyle w:val="Textoindependiente2"/>
        <w:jc w:val="center"/>
        <w:rPr>
          <w:b/>
          <w:bCs/>
        </w:rPr>
      </w:pPr>
      <w:r>
        <w:rPr>
          <w:b/>
          <w:bCs/>
        </w:rPr>
        <w:t>CONTENIDO</w:t>
      </w:r>
    </w:p>
    <w:p w:rsidR="00000000" w:rsidRDefault="00012593">
      <w:pPr>
        <w:pStyle w:val="Textoindependiente2"/>
      </w:pPr>
    </w:p>
    <w:p w:rsidR="00000000" w:rsidRDefault="00012593">
      <w:pPr>
        <w:pStyle w:val="Textoindependiente2"/>
      </w:pPr>
      <w:r>
        <w:t xml:space="preserve">La </w:t>
      </w:r>
      <w:r>
        <w:t>investigación parte de la población objetivo que son los estudiantes de carreras tradicionales de la ESPOL, de la cual a través del muestreo aleatorio simple, estratificado y por conglomerado se obtiene la muestra de la que se obtiene información, por medi</w:t>
      </w:r>
      <w:r>
        <w:t>o de un cuestionario elaborado de tal manera que abarque todos los servicios que se pretende investigar, que ofrece la ESPOL.</w:t>
      </w:r>
    </w:p>
    <w:p w:rsidR="00000000" w:rsidRDefault="00012593">
      <w:pPr>
        <w:pStyle w:val="Textoindependiente2"/>
      </w:pPr>
    </w:p>
    <w:p w:rsidR="00000000" w:rsidRDefault="00012593">
      <w:pPr>
        <w:pStyle w:val="Textoindependiente2"/>
      </w:pPr>
      <w:r>
        <w:t>Una vez realizadas las entrevistas a los 464 estudiantes politécnicos, se establecen las características de los servicios y datos</w:t>
      </w:r>
      <w:r>
        <w:t xml:space="preserve"> personales como 78 variables, para poder darles un tratamiento estadístico univariado, es decir, una sola variable a la vez, y también un análisis multivariado, lo que se describe como el estudio de dos o más variables a la vez.</w:t>
      </w:r>
    </w:p>
    <w:p w:rsidR="00000000" w:rsidRDefault="00012593">
      <w:pPr>
        <w:pStyle w:val="Textoindependiente2"/>
      </w:pPr>
    </w:p>
    <w:p w:rsidR="00000000" w:rsidRDefault="00012593">
      <w:pPr>
        <w:pStyle w:val="Textoindependiente2"/>
      </w:pPr>
      <w:r>
        <w:t>El análisis univariado co</w:t>
      </w:r>
      <w:r>
        <w:t>nsiste en la descripción de las variables una por una, es decir, sus estimadores, histogramas de frecuencias relativas y tabulación de frecuencias relativas, lo que nos permite conocer el comportamiento de la variable en base a las opiniones de los estudia</w:t>
      </w:r>
      <w:r>
        <w:t>ntes. Son 73 servicios que se han reunido en el cuestionario y que se pretende analizar, identificados en tres grupos que son, los servicios de biblioteca, del área de dependencias administrativas y del área académica, de las cuales se presenta a continuac</w:t>
      </w:r>
      <w:r>
        <w:t>ión, la descripción de un servicio de cada una de las área que sirve como modelo del análisis que se hizo en el trabajo.</w:t>
      </w:r>
    </w:p>
    <w:p w:rsidR="00000000" w:rsidRDefault="00012593">
      <w:pPr>
        <w:pStyle w:val="Textoindependiente2"/>
      </w:pPr>
    </w:p>
    <w:p w:rsidR="00000000" w:rsidRDefault="00012593">
      <w:pPr>
        <w:pStyle w:val="Textoindependiente2"/>
      </w:pPr>
      <w:r>
        <w:t xml:space="preserve">De los </w:t>
      </w:r>
      <w:r>
        <w:rPr>
          <w:i/>
          <w:iCs/>
        </w:rPr>
        <w:t>servicios de</w:t>
      </w:r>
      <w:r>
        <w:t xml:space="preserve"> </w:t>
      </w:r>
      <w:r>
        <w:rPr>
          <w:i/>
          <w:iCs/>
        </w:rPr>
        <w:t>Biblioteca</w:t>
      </w:r>
      <w:r>
        <w:t>: se describe la calidad del material bibliográfico que en proporciones, el 2% de los estudiantes que co</w:t>
      </w:r>
      <w:r>
        <w:t>nstituyen la muestra, no usan el servicio, el 7% lo consideran malo y el 8% lo considera excelente, y los valores de los estimadores se encuentran expresando lo siguiente, para la mayoría de estudiantes opinan que se encuentran satisfechos, lo que nos indi</w:t>
      </w:r>
      <w:r>
        <w:t>ca que los estudiantes consideran al servicio que mide la calidad del material bibliográfico como bueno.</w:t>
      </w:r>
    </w:p>
    <w:p w:rsidR="00000000" w:rsidRDefault="00012593">
      <w:pPr>
        <w:rPr>
          <w:lang w:val="es-MX"/>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820"/>
      </w:tblGrid>
      <w:tr w:rsidR="00000000">
        <w:tblPrEx>
          <w:tblCellMar>
            <w:top w:w="0" w:type="dxa"/>
            <w:bottom w:w="0" w:type="dxa"/>
          </w:tblCellMar>
        </w:tblPrEx>
        <w:tc>
          <w:tcPr>
            <w:tcW w:w="8820" w:type="dxa"/>
          </w:tcPr>
          <w:p w:rsidR="00000000" w:rsidRDefault="00012593">
            <w:pPr>
              <w:jc w:val="center"/>
              <w:rPr>
                <w:rFonts w:ascii="Arial" w:hAnsi="Arial" w:cs="Arial"/>
                <w:b/>
                <w:bCs/>
              </w:rPr>
            </w:pPr>
            <w:r>
              <w:rPr>
                <w:rFonts w:ascii="Arial" w:hAnsi="Arial" w:cs="Arial"/>
                <w:b/>
                <w:bCs/>
              </w:rPr>
              <w:t>TABLA I</w:t>
            </w:r>
          </w:p>
          <w:p w:rsidR="00000000" w:rsidRDefault="00012593">
            <w:pPr>
              <w:jc w:val="center"/>
              <w:rPr>
                <w:rFonts w:ascii="Arial" w:hAnsi="Arial" w:cs="Arial"/>
                <w:b/>
                <w:bCs/>
              </w:rPr>
            </w:pPr>
            <w:r>
              <w:rPr>
                <w:rFonts w:ascii="Arial" w:hAnsi="Arial" w:cs="Arial"/>
                <w:b/>
                <w:bCs/>
              </w:rPr>
              <w:t>CARRERAS TRADICIONALES</w:t>
            </w:r>
          </w:p>
          <w:p w:rsidR="00000000" w:rsidRDefault="00012593">
            <w:pPr>
              <w:pStyle w:val="Ttulo4"/>
              <w:rPr>
                <w:rFonts w:ascii="Arial" w:hAnsi="Arial" w:cs="Arial"/>
              </w:rPr>
            </w:pPr>
            <w:r>
              <w:rPr>
                <w:rFonts w:ascii="Arial" w:hAnsi="Arial" w:cs="Arial"/>
              </w:rPr>
              <w:t>TABULACIÓN DE FRECUENCIAS RELATIVAS</w:t>
            </w:r>
          </w:p>
          <w:p w:rsidR="00000000" w:rsidRDefault="00012593">
            <w:pPr>
              <w:pStyle w:val="Ttulo4"/>
              <w:rPr>
                <w:rFonts w:ascii="Arial" w:hAnsi="Arial" w:cs="Arial"/>
              </w:rPr>
            </w:pPr>
            <w:r>
              <w:rPr>
                <w:rFonts w:ascii="Arial" w:hAnsi="Arial" w:cs="Arial"/>
                <w:i/>
                <w:iCs/>
              </w:rPr>
              <w:t>CALIDAD DE MATERIAL BIBLIOGRÁFICO</w:t>
            </w:r>
            <w:r>
              <w:rPr>
                <w:rFonts w:ascii="Arial" w:hAnsi="Arial" w:cs="Arial"/>
              </w:rPr>
              <w:t>: ESPOL 2001</w:t>
            </w:r>
          </w:p>
          <w:tbl>
            <w:tblPr>
              <w:tblW w:w="4129" w:type="dxa"/>
              <w:jc w:val="center"/>
              <w:tblInd w:w="2535" w:type="dxa"/>
              <w:tblCellMar>
                <w:left w:w="0" w:type="dxa"/>
                <w:right w:w="0" w:type="dxa"/>
              </w:tblCellMar>
              <w:tblLook w:val="0000"/>
            </w:tblPr>
            <w:tblGrid>
              <w:gridCol w:w="2787"/>
              <w:gridCol w:w="1342"/>
            </w:tblGrid>
            <w:tr w:rsidR="00000000">
              <w:trPr>
                <w:trHeight w:val="264"/>
                <w:jc w:val="center"/>
              </w:trPr>
              <w:tc>
                <w:tcPr>
                  <w:tcW w:w="2787" w:type="dxa"/>
                  <w:tcBorders>
                    <w:top w:val="single" w:sz="12" w:space="0" w:color="auto"/>
                    <w:left w:val="single" w:sz="12" w:space="0" w:color="auto"/>
                    <w:bottom w:val="single" w:sz="12" w:space="0" w:color="auto"/>
                    <w:right w:val="single" w:sz="12" w:space="0" w:color="auto"/>
                  </w:tcBorders>
                  <w:noWrap/>
                  <w:vAlign w:val="bottom"/>
                </w:tcPr>
                <w:p w:rsidR="00000000" w:rsidRDefault="00012593">
                  <w:pPr>
                    <w:jc w:val="center"/>
                    <w:rPr>
                      <w:rFonts w:ascii="Arial" w:eastAsia="Arial Unicode MS" w:hAnsi="Arial" w:cs="Arial"/>
                      <w:b/>
                      <w:bCs/>
                      <w:sz w:val="20"/>
                      <w:szCs w:val="20"/>
                    </w:rPr>
                  </w:pPr>
                  <w:r>
                    <w:rPr>
                      <w:rFonts w:ascii="Arial" w:eastAsia="Arial Unicode MS" w:hAnsi="Arial" w:cs="Arial"/>
                      <w:b/>
                      <w:bCs/>
                      <w:sz w:val="20"/>
                      <w:szCs w:val="20"/>
                    </w:rPr>
                    <w:t>GRADOS DE SATISFACCIÓN</w:t>
                  </w:r>
                </w:p>
              </w:tc>
              <w:tc>
                <w:tcPr>
                  <w:tcW w:w="1342" w:type="dxa"/>
                  <w:tcBorders>
                    <w:top w:val="single" w:sz="12" w:space="0" w:color="auto"/>
                    <w:left w:val="single" w:sz="12" w:space="0" w:color="auto"/>
                    <w:bottom w:val="single" w:sz="12" w:space="0" w:color="auto"/>
                    <w:right w:val="single" w:sz="12" w:space="0" w:color="auto"/>
                  </w:tcBorders>
                  <w:noWrap/>
                  <w:vAlign w:val="bottom"/>
                </w:tcPr>
                <w:p w:rsidR="00000000" w:rsidRDefault="00012593">
                  <w:pPr>
                    <w:jc w:val="center"/>
                    <w:rPr>
                      <w:rFonts w:ascii="Arial" w:eastAsia="Arial Unicode MS" w:hAnsi="Arial" w:cs="Arial"/>
                      <w:b/>
                      <w:bCs/>
                      <w:sz w:val="20"/>
                      <w:szCs w:val="20"/>
                    </w:rPr>
                  </w:pPr>
                  <w:r>
                    <w:rPr>
                      <w:rFonts w:ascii="Arial" w:eastAsia="Arial Unicode MS" w:hAnsi="Arial" w:cs="Arial"/>
                      <w:b/>
                      <w:bCs/>
                      <w:sz w:val="20"/>
                      <w:szCs w:val="20"/>
                    </w:rPr>
                    <w:t>FRECUENCIA REL</w:t>
                  </w:r>
                  <w:r>
                    <w:rPr>
                      <w:rFonts w:ascii="Arial" w:eastAsia="Arial Unicode MS" w:hAnsi="Arial" w:cs="Arial"/>
                      <w:b/>
                      <w:bCs/>
                      <w:sz w:val="20"/>
                      <w:szCs w:val="20"/>
                    </w:rPr>
                    <w:t>ATIVA</w:t>
                  </w:r>
                </w:p>
              </w:tc>
            </w:tr>
            <w:tr w:rsidR="00000000">
              <w:trPr>
                <w:trHeight w:val="264"/>
                <w:jc w:val="center"/>
              </w:trPr>
              <w:tc>
                <w:tcPr>
                  <w:tcW w:w="0" w:type="auto"/>
                  <w:tcBorders>
                    <w:top w:val="single" w:sz="12" w:space="0" w:color="auto"/>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0: NO HA REQUERIDO DE ÉL</w:t>
                  </w:r>
                </w:p>
              </w:tc>
              <w:tc>
                <w:tcPr>
                  <w:tcW w:w="0" w:type="auto"/>
                  <w:tcBorders>
                    <w:top w:val="single" w:sz="12" w:space="0" w:color="auto"/>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0,02</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1: MUY BAJO</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0,06</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2: BAJO</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0,23</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3: INDIFERENTE</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0,28</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4: ALTO</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0,33</w:t>
                  </w:r>
                </w:p>
              </w:tc>
            </w:tr>
            <w:tr w:rsidR="00000000">
              <w:trPr>
                <w:trHeight w:val="264"/>
                <w:jc w:val="center"/>
              </w:trPr>
              <w:tc>
                <w:tcPr>
                  <w:tcW w:w="0" w:type="auto"/>
                  <w:tcBorders>
                    <w:top w:val="nil"/>
                    <w:left w:val="single" w:sz="12" w:space="0" w:color="auto"/>
                    <w:bottom w:val="single" w:sz="12" w:space="0" w:color="auto"/>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5: EXCELENTE</w:t>
                  </w:r>
                </w:p>
              </w:tc>
              <w:tc>
                <w:tcPr>
                  <w:tcW w:w="0" w:type="auto"/>
                  <w:tcBorders>
                    <w:top w:val="nil"/>
                    <w:left w:val="single" w:sz="12" w:space="0" w:color="auto"/>
                    <w:bottom w:val="single" w:sz="12" w:space="0" w:color="auto"/>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0,08</w:t>
                  </w:r>
                </w:p>
              </w:tc>
            </w:tr>
          </w:tbl>
          <w:p w:rsidR="00000000" w:rsidRDefault="00012593">
            <w:pPr>
              <w:pStyle w:val="Textoindependiente"/>
              <w:rPr>
                <w:rFonts w:ascii="Arial" w:hAnsi="Arial" w:cs="Arial"/>
                <w:b w:val="0"/>
                <w:bCs w:val="0"/>
                <w:i/>
                <w:iCs/>
              </w:rPr>
            </w:pPr>
            <w:r>
              <w:rPr>
                <w:rFonts w:ascii="Arial" w:hAnsi="Arial" w:cs="Arial"/>
                <w:i/>
                <w:iCs/>
              </w:rPr>
              <w:t xml:space="preserve">  </w:t>
            </w:r>
            <w:r>
              <w:rPr>
                <w:rFonts w:ascii="Arial" w:hAnsi="Arial" w:cs="Arial"/>
                <w:b w:val="0"/>
                <w:bCs w:val="0"/>
                <w:i/>
                <w:iCs/>
              </w:rPr>
              <w:t>Fuente y elaboración: Yajaira Vásquez</w:t>
            </w:r>
          </w:p>
        </w:tc>
      </w:tr>
    </w:tbl>
    <w:p w:rsidR="00000000" w:rsidRDefault="00012593">
      <w:pPr>
        <w:pStyle w:val="Textoindependiente"/>
        <w:ind w:left="1080"/>
        <w:rPr>
          <w:rFonts w:ascii="Arial" w:hAnsi="Arial" w:cs="Arial"/>
          <w:b w:val="0"/>
          <w:bCs w:val="0"/>
          <w:i/>
          <w:iCs/>
        </w:rPr>
      </w:pPr>
    </w:p>
    <w:p w:rsidR="00000000" w:rsidRDefault="00012593">
      <w:pPr>
        <w:pStyle w:val="Textoindependiente"/>
        <w:ind w:left="1080"/>
        <w:rPr>
          <w:rFonts w:ascii="Arial" w:hAnsi="Arial" w:cs="Arial"/>
          <w:b w:val="0"/>
          <w:bCs w:val="0"/>
          <w:i/>
          <w:iCs/>
        </w:rPr>
      </w:pPr>
    </w:p>
    <w:p w:rsidR="00000000" w:rsidRDefault="00012593">
      <w:pPr>
        <w:pStyle w:val="Textoindependiente"/>
        <w:rPr>
          <w:rFonts w:ascii="Arial" w:hAnsi="Arial" w:cs="Arial"/>
          <w:b w:val="0"/>
          <w:bCs w:val="0"/>
          <w:i/>
          <w:iCs/>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820"/>
      </w:tblGrid>
      <w:tr w:rsidR="00000000">
        <w:tblPrEx>
          <w:tblCellMar>
            <w:top w:w="0" w:type="dxa"/>
            <w:bottom w:w="0" w:type="dxa"/>
          </w:tblCellMar>
        </w:tblPrEx>
        <w:tc>
          <w:tcPr>
            <w:tcW w:w="8820" w:type="dxa"/>
          </w:tcPr>
          <w:p w:rsidR="00000000" w:rsidRDefault="00012593">
            <w:pPr>
              <w:pStyle w:val="Textoindependiente"/>
              <w:ind w:left="110"/>
              <w:rPr>
                <w:rFonts w:ascii="Arial" w:hAnsi="Arial" w:cs="Arial"/>
              </w:rPr>
            </w:pPr>
            <w:r>
              <w:rPr>
                <w:rFonts w:ascii="Arial" w:hAnsi="Arial" w:cs="Arial"/>
              </w:rPr>
              <w:t>GRÁFICO 1</w:t>
            </w:r>
          </w:p>
          <w:p w:rsidR="00000000" w:rsidRDefault="00012593">
            <w:pPr>
              <w:pStyle w:val="Textoindependiente"/>
              <w:ind w:left="110"/>
              <w:rPr>
                <w:rFonts w:ascii="Arial" w:hAnsi="Arial" w:cs="Arial"/>
              </w:rPr>
            </w:pPr>
            <w:r>
              <w:rPr>
                <w:rFonts w:ascii="Arial" w:hAnsi="Arial" w:cs="Arial"/>
              </w:rPr>
              <w:t xml:space="preserve">ESPOL 2001: HISTOGRAMA DE FRECUENCIAS RELATIVAS PARA LA VARIABLE </w:t>
            </w:r>
            <w:r>
              <w:rPr>
                <w:rFonts w:ascii="Arial" w:hAnsi="Arial" w:cs="Arial"/>
                <w:i/>
                <w:iCs/>
              </w:rPr>
              <w:t>CALIDAD DE MA</w:t>
            </w:r>
            <w:r>
              <w:rPr>
                <w:rFonts w:ascii="Arial" w:hAnsi="Arial" w:cs="Arial"/>
                <w:i/>
                <w:iCs/>
              </w:rPr>
              <w:t xml:space="preserve">TERIAL BIBLIOGRÁFICO </w:t>
            </w:r>
          </w:p>
          <w:p w:rsidR="00000000" w:rsidRDefault="00B54F9C">
            <w:pPr>
              <w:pStyle w:val="Textoindependiente"/>
              <w:rPr>
                <w:rFonts w:ascii="Arial" w:hAnsi="Arial" w:cs="Arial"/>
              </w:rPr>
            </w:pPr>
            <w:r>
              <w:rPr>
                <w:rFonts w:ascii="Arial" w:hAnsi="Arial" w:cs="Arial"/>
                <w:noProof/>
                <w:sz w:val="20"/>
              </w:rPr>
              <w:drawing>
                <wp:anchor distT="0" distB="0" distL="114300" distR="114300" simplePos="0" relativeHeight="251656192" behindDoc="0" locked="0" layoutInCell="1" allowOverlap="1">
                  <wp:simplePos x="0" y="0"/>
                  <wp:positionH relativeFrom="column">
                    <wp:posOffset>823595</wp:posOffset>
                  </wp:positionH>
                  <wp:positionV relativeFrom="paragraph">
                    <wp:posOffset>50165</wp:posOffset>
                  </wp:positionV>
                  <wp:extent cx="3703955" cy="231648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3703955" cy="2316480"/>
                          </a:xfrm>
                          <a:prstGeom prst="rect">
                            <a:avLst/>
                          </a:prstGeom>
                          <a:noFill/>
                        </pic:spPr>
                      </pic:pic>
                    </a:graphicData>
                  </a:graphic>
                </wp:anchor>
              </w:drawing>
            </w:r>
          </w:p>
          <w:p w:rsidR="00000000" w:rsidRDefault="00012593">
            <w:pPr>
              <w:pStyle w:val="Textoindependiente"/>
              <w:rPr>
                <w:rFonts w:ascii="Arial" w:hAnsi="Arial" w:cs="Arial"/>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b w:val="0"/>
                <w:bCs w:val="0"/>
              </w:rPr>
            </w:pPr>
          </w:p>
          <w:p w:rsidR="00000000" w:rsidRDefault="00012593">
            <w:pPr>
              <w:pStyle w:val="Textoindependiente"/>
              <w:rPr>
                <w:rFonts w:ascii="Arial" w:hAnsi="Arial" w:cs="Arial"/>
                <w:i/>
                <w:iCs/>
              </w:rPr>
            </w:pPr>
          </w:p>
          <w:p w:rsidR="00000000" w:rsidRDefault="00012593">
            <w:pPr>
              <w:pStyle w:val="Textoindependiente"/>
              <w:rPr>
                <w:rFonts w:ascii="Arial" w:hAnsi="Arial" w:cs="Arial"/>
                <w:b w:val="0"/>
                <w:bCs w:val="0"/>
              </w:rPr>
            </w:pPr>
            <w:r>
              <w:rPr>
                <w:rFonts w:ascii="Arial" w:hAnsi="Arial" w:cs="Arial"/>
                <w:b w:val="0"/>
                <w:bCs w:val="0"/>
                <w:i/>
                <w:iCs/>
              </w:rPr>
              <w:t>Fuente y elaboración: Yajaira Vásquez</w:t>
            </w:r>
          </w:p>
        </w:tc>
      </w:tr>
    </w:tbl>
    <w:p w:rsidR="00000000" w:rsidRDefault="00012593">
      <w:pPr>
        <w:pStyle w:val="Textoindependiente"/>
        <w:rPr>
          <w:rFonts w:ascii="Arial" w:hAnsi="Arial" w:cs="Arial"/>
          <w:i/>
          <w:iCs/>
        </w:rPr>
      </w:pPr>
    </w:p>
    <w:p w:rsidR="00000000" w:rsidRDefault="00012593">
      <w:pPr>
        <w:pStyle w:val="Textoindependiente"/>
        <w:rPr>
          <w:rFonts w:ascii="Arial" w:hAnsi="Arial" w:cs="Arial"/>
          <w:i/>
          <w:iCs/>
        </w:rPr>
      </w:pPr>
    </w:p>
    <w:p w:rsidR="00000000" w:rsidRDefault="00012593">
      <w:pPr>
        <w:pStyle w:val="Textoindependiente"/>
        <w:rPr>
          <w:rFonts w:ascii="Arial" w:hAnsi="Arial" w:cs="Arial"/>
          <w:i/>
          <w:iCs/>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820"/>
      </w:tblGrid>
      <w:tr w:rsidR="00000000">
        <w:tblPrEx>
          <w:tblCellMar>
            <w:top w:w="0" w:type="dxa"/>
            <w:bottom w:w="0" w:type="dxa"/>
          </w:tblCellMar>
        </w:tblPrEx>
        <w:tc>
          <w:tcPr>
            <w:tcW w:w="8820" w:type="dxa"/>
          </w:tcPr>
          <w:p w:rsidR="00000000" w:rsidRDefault="00012593">
            <w:pPr>
              <w:jc w:val="center"/>
              <w:rPr>
                <w:rFonts w:ascii="Arial" w:hAnsi="Arial" w:cs="Arial"/>
                <w:b/>
                <w:bCs/>
              </w:rPr>
            </w:pPr>
            <w:r>
              <w:rPr>
                <w:rFonts w:ascii="Arial" w:hAnsi="Arial" w:cs="Arial"/>
                <w:b/>
                <w:bCs/>
              </w:rPr>
              <w:t>TABLA II</w:t>
            </w:r>
          </w:p>
          <w:p w:rsidR="00000000" w:rsidRDefault="00012593">
            <w:pPr>
              <w:jc w:val="center"/>
              <w:rPr>
                <w:rFonts w:ascii="Arial" w:hAnsi="Arial" w:cs="Arial"/>
                <w:b/>
                <w:bCs/>
                <w:i/>
                <w:iCs/>
              </w:rPr>
            </w:pPr>
            <w:r>
              <w:rPr>
                <w:rFonts w:ascii="Arial" w:hAnsi="Arial" w:cs="Arial"/>
                <w:b/>
                <w:bCs/>
              </w:rPr>
              <w:t xml:space="preserve">ESTIMADORES PARA LA VARIABLE </w:t>
            </w:r>
            <w:r>
              <w:rPr>
                <w:rFonts w:ascii="Arial" w:hAnsi="Arial" w:cs="Arial"/>
                <w:b/>
                <w:bCs/>
                <w:i/>
                <w:iCs/>
              </w:rPr>
              <w:t xml:space="preserve">CALIDAD DE MATERIAL BIBLIOGRÁFICO </w:t>
            </w:r>
          </w:p>
          <w:tbl>
            <w:tblPr>
              <w:tblW w:w="0" w:type="auto"/>
              <w:jc w:val="center"/>
              <w:tblInd w:w="19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16"/>
              <w:gridCol w:w="816"/>
              <w:gridCol w:w="816"/>
              <w:gridCol w:w="816"/>
              <w:gridCol w:w="816"/>
              <w:gridCol w:w="816"/>
              <w:gridCol w:w="951"/>
            </w:tblGrid>
            <w:tr w:rsidR="00000000">
              <w:tblPrEx>
                <w:tblCellMar>
                  <w:top w:w="0" w:type="dxa"/>
                  <w:bottom w:w="0" w:type="dxa"/>
                </w:tblCellMar>
              </w:tblPrEx>
              <w:trPr>
                <w:jc w:val="center"/>
              </w:trPr>
              <w:tc>
                <w:tcPr>
                  <w:tcW w:w="816" w:type="dxa"/>
                </w:tcPr>
                <w:p w:rsidR="00000000" w:rsidRDefault="00012593">
                  <w:pPr>
                    <w:jc w:val="center"/>
                    <w:rPr>
                      <w:rFonts w:ascii="Arial" w:hAnsi="Arial" w:cs="Arial"/>
                      <w:b/>
                      <w:bCs/>
                    </w:rPr>
                  </w:pPr>
                  <w:r>
                    <w:rPr>
                      <w:rFonts w:ascii="Arial" w:hAnsi="Arial" w:cs="Arial"/>
                      <w:b/>
                      <w:bCs/>
                      <w:position w:val="-10"/>
                    </w:rPr>
                    <w:object w:dxaOrig="240" w:dyaOrig="3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5.45pt" o:ole="">
                        <v:imagedata r:id="rId6" o:title=""/>
                      </v:shape>
                      <o:OLEObject Type="Embed" ProgID="Equation.3" ShapeID="_x0000_i1025" DrawAspect="Content" ObjectID="_1308047146" r:id="rId7"/>
                    </w:object>
                  </w:r>
                </w:p>
              </w:tc>
              <w:tc>
                <w:tcPr>
                  <w:tcW w:w="816" w:type="dxa"/>
                </w:tcPr>
                <w:p w:rsidR="00000000" w:rsidRDefault="00012593">
                  <w:pPr>
                    <w:jc w:val="center"/>
                    <w:rPr>
                      <w:rFonts w:ascii="Arial" w:hAnsi="Arial" w:cs="Arial"/>
                      <w:b/>
                      <w:bCs/>
                    </w:rPr>
                  </w:pPr>
                  <w:r>
                    <w:rPr>
                      <w:rFonts w:ascii="Arial" w:hAnsi="Arial" w:cs="Arial"/>
                      <w:b/>
                      <w:bCs/>
                      <w:position w:val="-10"/>
                    </w:rPr>
                    <w:object w:dxaOrig="240" w:dyaOrig="320">
                      <v:shape id="_x0000_i1026" type="#_x0000_t75" style="width:12pt;height:16.3pt" o:ole="">
                        <v:imagedata r:id="rId8" o:title=""/>
                      </v:shape>
                      <o:OLEObject Type="Embed" ProgID="Equation.3" ShapeID="_x0000_i1026" DrawAspect="Content" ObjectID="_1308047147" r:id="rId9"/>
                    </w:object>
                  </w:r>
                </w:p>
              </w:tc>
              <w:tc>
                <w:tcPr>
                  <w:tcW w:w="816" w:type="dxa"/>
                </w:tcPr>
                <w:p w:rsidR="00000000" w:rsidRDefault="00012593">
                  <w:pPr>
                    <w:pStyle w:val="Ttulo2"/>
                    <w:jc w:val="center"/>
                    <w:rPr>
                      <w:rFonts w:cs="Arial"/>
                      <w:b w:val="0"/>
                      <w:bCs w:val="0"/>
                      <w:lang w:val="en-US"/>
                    </w:rPr>
                  </w:pPr>
                  <w:r>
                    <w:rPr>
                      <w:rFonts w:cs="Arial"/>
                      <w:b w:val="0"/>
                      <w:bCs w:val="0"/>
                      <w:lang w:val="en-US"/>
                    </w:rPr>
                    <w:t>Mo</w:t>
                  </w:r>
                </w:p>
              </w:tc>
              <w:tc>
                <w:tcPr>
                  <w:tcW w:w="816" w:type="dxa"/>
                </w:tcPr>
                <w:p w:rsidR="00000000" w:rsidRDefault="00012593">
                  <w:pPr>
                    <w:jc w:val="center"/>
                    <w:rPr>
                      <w:rFonts w:ascii="Arial" w:hAnsi="Arial" w:cs="Arial"/>
                      <w:b/>
                      <w:bCs/>
                      <w:i/>
                      <w:iCs/>
                      <w:lang w:val="en-US"/>
                    </w:rPr>
                  </w:pPr>
                  <w:r>
                    <w:rPr>
                      <w:rFonts w:ascii="Arial" w:hAnsi="Arial" w:cs="Arial"/>
                      <w:b/>
                      <w:bCs/>
                      <w:i/>
                      <w:iCs/>
                      <w:position w:val="-10"/>
                    </w:rPr>
                    <w:object w:dxaOrig="180" w:dyaOrig="340">
                      <v:shape id="_x0000_i1027" type="#_x0000_t75" style="width:9.45pt;height:17.15pt" o:ole="">
                        <v:imagedata r:id="rId10" o:title=""/>
                      </v:shape>
                      <o:OLEObject Type="Embed" ProgID="Equation.3" ShapeID="_x0000_i1027" DrawAspect="Content" ObjectID="_1308047148" r:id="rId11"/>
                    </w:object>
                  </w:r>
                  <w:r>
                    <w:rPr>
                      <w:rFonts w:ascii="Arial" w:hAnsi="Arial" w:cs="Arial"/>
                      <w:b/>
                      <w:bCs/>
                      <w:i/>
                      <w:iCs/>
                      <w:lang w:val="en-US"/>
                    </w:rPr>
                    <w:t>s</w:t>
                  </w:r>
                </w:p>
              </w:tc>
              <w:tc>
                <w:tcPr>
                  <w:tcW w:w="816" w:type="dxa"/>
                </w:tcPr>
                <w:p w:rsidR="00000000" w:rsidRDefault="00012593">
                  <w:pPr>
                    <w:jc w:val="center"/>
                    <w:rPr>
                      <w:rFonts w:ascii="Arial" w:hAnsi="Arial" w:cs="Arial"/>
                      <w:b/>
                      <w:bCs/>
                      <w:i/>
                      <w:iCs/>
                      <w:lang w:val="en-US"/>
                    </w:rPr>
                  </w:pPr>
                  <w:r>
                    <w:rPr>
                      <w:rFonts w:ascii="Arial" w:hAnsi="Arial" w:cs="Arial"/>
                      <w:b/>
                      <w:bCs/>
                      <w:i/>
                      <w:iCs/>
                      <w:lang w:val="en-US"/>
                    </w:rPr>
                    <w:t>s</w:t>
                  </w:r>
                  <w:r>
                    <w:rPr>
                      <w:rFonts w:ascii="Arial" w:hAnsi="Arial" w:cs="Arial"/>
                      <w:b/>
                      <w:bCs/>
                      <w:i/>
                      <w:iCs/>
                      <w:vertAlign w:val="superscript"/>
                      <w:lang w:val="en-US"/>
                    </w:rPr>
                    <w:t>2</w:t>
                  </w:r>
                </w:p>
              </w:tc>
              <w:tc>
                <w:tcPr>
                  <w:tcW w:w="816" w:type="dxa"/>
                </w:tcPr>
                <w:p w:rsidR="00000000" w:rsidRDefault="00012593">
                  <w:pPr>
                    <w:jc w:val="center"/>
                    <w:rPr>
                      <w:rFonts w:ascii="Arial" w:hAnsi="Arial" w:cs="Arial"/>
                      <w:b/>
                      <w:bCs/>
                    </w:rPr>
                  </w:pPr>
                  <w:r>
                    <w:rPr>
                      <w:rFonts w:ascii="Arial" w:hAnsi="Arial" w:cs="Arial"/>
                      <w:b/>
                      <w:bCs/>
                      <w:position w:val="-12"/>
                    </w:rPr>
                    <w:object w:dxaOrig="300" w:dyaOrig="360">
                      <v:shape id="_x0000_i1028" type="#_x0000_t75" style="width:15.45pt;height:18pt" o:ole="">
                        <v:imagedata r:id="rId12" o:title=""/>
                      </v:shape>
                      <o:OLEObject Type="Embed" ProgID="Equation.3" ShapeID="_x0000_i1028" DrawAspect="Content" ObjectID="_1308047149" r:id="rId13"/>
                    </w:object>
                  </w:r>
                </w:p>
              </w:tc>
              <w:tc>
                <w:tcPr>
                  <w:tcW w:w="951" w:type="dxa"/>
                </w:tcPr>
                <w:p w:rsidR="00000000" w:rsidRDefault="00012593">
                  <w:pPr>
                    <w:jc w:val="center"/>
                    <w:rPr>
                      <w:rFonts w:ascii="Arial" w:hAnsi="Arial" w:cs="Arial"/>
                      <w:b/>
                      <w:bCs/>
                    </w:rPr>
                  </w:pPr>
                  <w:r>
                    <w:rPr>
                      <w:rFonts w:ascii="Arial" w:hAnsi="Arial" w:cs="Arial"/>
                      <w:b/>
                      <w:bCs/>
                      <w:position w:val="-10"/>
                    </w:rPr>
                    <w:object w:dxaOrig="300" w:dyaOrig="340">
                      <v:shape id="_x0000_i1029" type="#_x0000_t75" style="width:15.45pt;height:17.15pt" o:ole="">
                        <v:imagedata r:id="rId14" o:title=""/>
                      </v:shape>
                      <o:OLEObject Type="Embed" ProgID="Equation.3" ShapeID="_x0000_i1029" DrawAspect="Content" ObjectID="_1308047150" r:id="rId15"/>
                    </w:object>
                  </w:r>
                </w:p>
              </w:tc>
            </w:tr>
            <w:tr w:rsidR="00000000">
              <w:tblPrEx>
                <w:tblCellMar>
                  <w:top w:w="0" w:type="dxa"/>
                  <w:bottom w:w="0" w:type="dxa"/>
                </w:tblCellMar>
              </w:tblPrEx>
              <w:trPr>
                <w:jc w:val="center"/>
              </w:trPr>
              <w:tc>
                <w:tcPr>
                  <w:tcW w:w="816" w:type="dxa"/>
                </w:tcPr>
                <w:p w:rsidR="00000000" w:rsidRDefault="00012593">
                  <w:pPr>
                    <w:jc w:val="center"/>
                    <w:rPr>
                      <w:rFonts w:ascii="Arial" w:hAnsi="Arial" w:cs="Arial"/>
                    </w:rPr>
                  </w:pPr>
                  <w:r>
                    <w:rPr>
                      <w:rFonts w:ascii="Arial" w:hAnsi="Arial" w:cs="Arial"/>
                    </w:rPr>
                    <w:t>3.170</w:t>
                  </w:r>
                </w:p>
              </w:tc>
              <w:tc>
                <w:tcPr>
                  <w:tcW w:w="816" w:type="dxa"/>
                </w:tcPr>
                <w:p w:rsidR="00000000" w:rsidRDefault="00012593">
                  <w:pPr>
                    <w:jc w:val="center"/>
                    <w:rPr>
                      <w:rFonts w:ascii="Arial" w:hAnsi="Arial" w:cs="Arial"/>
                    </w:rPr>
                  </w:pPr>
                  <w:r>
                    <w:rPr>
                      <w:rFonts w:ascii="Arial" w:hAnsi="Arial" w:cs="Arial"/>
                    </w:rPr>
                    <w:t>3</w:t>
                  </w:r>
                </w:p>
              </w:tc>
              <w:tc>
                <w:tcPr>
                  <w:tcW w:w="816" w:type="dxa"/>
                </w:tcPr>
                <w:p w:rsidR="00000000" w:rsidRDefault="00012593">
                  <w:pPr>
                    <w:jc w:val="center"/>
                    <w:rPr>
                      <w:rFonts w:ascii="Arial" w:hAnsi="Arial" w:cs="Arial"/>
                    </w:rPr>
                  </w:pPr>
                  <w:r>
                    <w:rPr>
                      <w:rFonts w:ascii="Arial" w:hAnsi="Arial" w:cs="Arial"/>
                    </w:rPr>
                    <w:t>4</w:t>
                  </w:r>
                </w:p>
              </w:tc>
              <w:tc>
                <w:tcPr>
                  <w:tcW w:w="816" w:type="dxa"/>
                </w:tcPr>
                <w:p w:rsidR="00000000" w:rsidRDefault="00012593">
                  <w:pPr>
                    <w:jc w:val="center"/>
                    <w:rPr>
                      <w:rFonts w:ascii="Arial" w:hAnsi="Arial" w:cs="Arial"/>
                    </w:rPr>
                  </w:pPr>
                  <w:r>
                    <w:rPr>
                      <w:rFonts w:ascii="Arial" w:hAnsi="Arial" w:cs="Arial"/>
                    </w:rPr>
                    <w:t>1.138</w:t>
                  </w:r>
                </w:p>
              </w:tc>
              <w:tc>
                <w:tcPr>
                  <w:tcW w:w="816" w:type="dxa"/>
                </w:tcPr>
                <w:p w:rsidR="00000000" w:rsidRDefault="00012593">
                  <w:pPr>
                    <w:jc w:val="center"/>
                    <w:rPr>
                      <w:rFonts w:ascii="Arial" w:hAnsi="Arial" w:cs="Arial"/>
                    </w:rPr>
                  </w:pPr>
                  <w:r>
                    <w:rPr>
                      <w:rFonts w:ascii="Arial" w:hAnsi="Arial" w:cs="Arial"/>
                    </w:rPr>
                    <w:t>1.295</w:t>
                  </w:r>
                </w:p>
              </w:tc>
              <w:tc>
                <w:tcPr>
                  <w:tcW w:w="816" w:type="dxa"/>
                </w:tcPr>
                <w:p w:rsidR="00000000" w:rsidRDefault="00012593">
                  <w:pPr>
                    <w:jc w:val="center"/>
                    <w:rPr>
                      <w:rFonts w:ascii="Arial" w:hAnsi="Arial" w:cs="Arial"/>
                    </w:rPr>
                  </w:pPr>
                  <w:r>
                    <w:rPr>
                      <w:rFonts w:ascii="Arial" w:hAnsi="Arial" w:cs="Arial"/>
                    </w:rPr>
                    <w:t>0.007</w:t>
                  </w:r>
                </w:p>
              </w:tc>
              <w:tc>
                <w:tcPr>
                  <w:tcW w:w="951" w:type="dxa"/>
                </w:tcPr>
                <w:p w:rsidR="00000000" w:rsidRDefault="00012593">
                  <w:pPr>
                    <w:jc w:val="center"/>
                    <w:rPr>
                      <w:rFonts w:ascii="Arial" w:hAnsi="Arial" w:cs="Arial"/>
                    </w:rPr>
                  </w:pPr>
                  <w:r>
                    <w:rPr>
                      <w:rFonts w:ascii="Arial" w:hAnsi="Arial" w:cs="Arial"/>
                    </w:rPr>
                    <w:t>-0.434</w:t>
                  </w:r>
                </w:p>
              </w:tc>
            </w:tr>
          </w:tbl>
          <w:p w:rsidR="00000000" w:rsidRDefault="00012593">
            <w:pPr>
              <w:pStyle w:val="Textoindependiente"/>
              <w:rPr>
                <w:rFonts w:ascii="Arial" w:hAnsi="Arial" w:cs="Arial"/>
                <w:i/>
                <w:iCs/>
              </w:rPr>
            </w:pPr>
          </w:p>
          <w:p w:rsidR="00000000" w:rsidRDefault="00012593">
            <w:pPr>
              <w:pStyle w:val="Textoindependiente"/>
              <w:rPr>
                <w:rFonts w:ascii="Arial" w:hAnsi="Arial" w:cs="Arial"/>
                <w:b w:val="0"/>
                <w:bCs w:val="0"/>
              </w:rPr>
            </w:pPr>
            <w:r>
              <w:rPr>
                <w:rFonts w:ascii="Arial" w:hAnsi="Arial" w:cs="Arial"/>
                <w:b w:val="0"/>
                <w:bCs w:val="0"/>
                <w:i/>
                <w:iCs/>
              </w:rPr>
              <w:t>Fuente y elaboración: Yajaira Vásquez</w:t>
            </w:r>
          </w:p>
        </w:tc>
      </w:tr>
    </w:tbl>
    <w:p w:rsidR="00000000" w:rsidRDefault="00012593">
      <w:pPr>
        <w:pStyle w:val="Textoindependiente2"/>
      </w:pPr>
      <w:r>
        <w:t xml:space="preserve">  </w:t>
      </w:r>
    </w:p>
    <w:p w:rsidR="00000000" w:rsidRDefault="00012593">
      <w:pPr>
        <w:pStyle w:val="Textoindependiente2"/>
      </w:pPr>
    </w:p>
    <w:p w:rsidR="00000000" w:rsidRDefault="00012593">
      <w:pPr>
        <w:pStyle w:val="Sangra2detindependiente"/>
        <w:spacing w:line="240" w:lineRule="auto"/>
        <w:ind w:left="0"/>
        <w:jc w:val="both"/>
      </w:pPr>
      <w:r>
        <w:t xml:space="preserve">Del </w:t>
      </w:r>
      <w:r>
        <w:rPr>
          <w:i/>
          <w:iCs/>
        </w:rPr>
        <w:t>área de dependencias administrativas</w:t>
      </w:r>
      <w:r>
        <w:t>: se presenta el detalle del servicio que ofrece la TESORERÍA que es la atención que brinda al estudiante como c</w:t>
      </w:r>
      <w:r>
        <w:t xml:space="preserve">liente de la ESPOL; para este servicio tenemos que el 15% de los estudiantes que constituyen la muestra, no han hecho uso de este, el 15% los considera malo y el 10% lo cree excelente, de acuerdo a las proporciones tabuladas, y según los estimadores de la </w:t>
      </w:r>
      <w:r>
        <w:t>variable, podemos decir que el 50% de los datos los contiene el grado de satisfacción indiferente, y la mayor opción seleccionada es el grado de satisfacción indiferente, así se puede apreciar en el histograma de frecuencias relativas.</w:t>
      </w:r>
    </w:p>
    <w:p w:rsidR="00000000" w:rsidRDefault="00012593">
      <w:pPr>
        <w:pStyle w:val="Sangra2detindependiente"/>
        <w:spacing w:line="240" w:lineRule="auto"/>
        <w:ind w:left="0"/>
        <w:jc w:val="both"/>
      </w:pPr>
    </w:p>
    <w:p w:rsidR="00000000" w:rsidRDefault="00012593">
      <w:pPr>
        <w:pStyle w:val="Sangra2detindependiente"/>
        <w:spacing w:line="240" w:lineRule="auto"/>
        <w:ind w:left="0"/>
        <w:jc w:val="both"/>
      </w:pPr>
    </w:p>
    <w:p w:rsidR="00000000" w:rsidRDefault="00012593">
      <w:pPr>
        <w:pStyle w:val="Sangra2detindependiente"/>
        <w:spacing w:line="240" w:lineRule="auto"/>
        <w:ind w:left="0"/>
        <w:jc w:val="both"/>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820"/>
      </w:tblGrid>
      <w:tr w:rsidR="00000000">
        <w:tblPrEx>
          <w:tblCellMar>
            <w:top w:w="0" w:type="dxa"/>
            <w:bottom w:w="0" w:type="dxa"/>
          </w:tblCellMar>
        </w:tblPrEx>
        <w:tc>
          <w:tcPr>
            <w:tcW w:w="8820" w:type="dxa"/>
          </w:tcPr>
          <w:p w:rsidR="00000000" w:rsidRDefault="00012593">
            <w:pPr>
              <w:jc w:val="center"/>
              <w:rPr>
                <w:rFonts w:ascii="Arial" w:hAnsi="Arial" w:cs="Arial"/>
                <w:b/>
                <w:bCs/>
              </w:rPr>
            </w:pPr>
            <w:r>
              <w:rPr>
                <w:rFonts w:ascii="Arial" w:hAnsi="Arial" w:cs="Arial"/>
                <w:b/>
                <w:bCs/>
              </w:rPr>
              <w:lastRenderedPageBreak/>
              <w:t>TABLA III</w:t>
            </w:r>
          </w:p>
          <w:p w:rsidR="00000000" w:rsidRDefault="00012593">
            <w:pPr>
              <w:jc w:val="center"/>
              <w:rPr>
                <w:rFonts w:ascii="Arial" w:hAnsi="Arial" w:cs="Arial"/>
                <w:b/>
                <w:bCs/>
              </w:rPr>
            </w:pPr>
            <w:r>
              <w:rPr>
                <w:rFonts w:ascii="Arial" w:hAnsi="Arial" w:cs="Arial"/>
                <w:b/>
                <w:bCs/>
              </w:rPr>
              <w:t>TABULAC</w:t>
            </w:r>
            <w:r>
              <w:rPr>
                <w:rFonts w:ascii="Arial" w:hAnsi="Arial" w:cs="Arial"/>
                <w:b/>
                <w:bCs/>
              </w:rPr>
              <w:t>IÓN DE FRECUENCIAS RELATIVAS</w:t>
            </w:r>
          </w:p>
          <w:p w:rsidR="00000000" w:rsidRDefault="00012593">
            <w:pPr>
              <w:pStyle w:val="Ttulo3"/>
              <w:jc w:val="center"/>
              <w:rPr>
                <w:rFonts w:ascii="Arial" w:hAnsi="Arial" w:cs="Arial"/>
                <w:u w:val="none"/>
              </w:rPr>
            </w:pPr>
            <w:r>
              <w:rPr>
                <w:rFonts w:ascii="Arial" w:hAnsi="Arial" w:cs="Arial"/>
                <w:i/>
                <w:iCs/>
                <w:u w:val="none"/>
              </w:rPr>
              <w:t>ATENCIÓN EN LA TESORERÍA</w:t>
            </w:r>
            <w:r>
              <w:rPr>
                <w:rFonts w:ascii="Arial" w:hAnsi="Arial" w:cs="Arial"/>
                <w:u w:val="none"/>
              </w:rPr>
              <w:t>: ESPOL 2001</w:t>
            </w:r>
          </w:p>
          <w:tbl>
            <w:tblPr>
              <w:tblW w:w="4129" w:type="dxa"/>
              <w:jc w:val="center"/>
              <w:tblInd w:w="2535" w:type="dxa"/>
              <w:tblCellMar>
                <w:left w:w="0" w:type="dxa"/>
                <w:right w:w="0" w:type="dxa"/>
              </w:tblCellMar>
              <w:tblLook w:val="0000"/>
            </w:tblPr>
            <w:tblGrid>
              <w:gridCol w:w="2787"/>
              <w:gridCol w:w="1342"/>
            </w:tblGrid>
            <w:tr w:rsidR="00000000">
              <w:trPr>
                <w:trHeight w:val="264"/>
                <w:jc w:val="center"/>
              </w:trPr>
              <w:tc>
                <w:tcPr>
                  <w:tcW w:w="2787" w:type="dxa"/>
                  <w:tcBorders>
                    <w:top w:val="single" w:sz="12" w:space="0" w:color="auto"/>
                    <w:left w:val="single" w:sz="12" w:space="0" w:color="auto"/>
                    <w:bottom w:val="single" w:sz="12" w:space="0" w:color="auto"/>
                    <w:right w:val="single" w:sz="12" w:space="0" w:color="auto"/>
                  </w:tcBorders>
                  <w:noWrap/>
                  <w:vAlign w:val="bottom"/>
                </w:tcPr>
                <w:p w:rsidR="00000000" w:rsidRDefault="00012593">
                  <w:pPr>
                    <w:jc w:val="center"/>
                    <w:rPr>
                      <w:rFonts w:ascii="Arial" w:eastAsia="Arial Unicode MS" w:hAnsi="Arial" w:cs="Arial"/>
                      <w:b/>
                      <w:bCs/>
                      <w:sz w:val="20"/>
                      <w:szCs w:val="20"/>
                    </w:rPr>
                  </w:pPr>
                  <w:r>
                    <w:rPr>
                      <w:rFonts w:ascii="Arial" w:eastAsia="Arial Unicode MS" w:hAnsi="Arial" w:cs="Arial"/>
                      <w:b/>
                      <w:bCs/>
                      <w:sz w:val="20"/>
                      <w:szCs w:val="20"/>
                    </w:rPr>
                    <w:t>GRADOS DE SATISFACCIÓN</w:t>
                  </w:r>
                </w:p>
              </w:tc>
              <w:tc>
                <w:tcPr>
                  <w:tcW w:w="1342" w:type="dxa"/>
                  <w:tcBorders>
                    <w:top w:val="single" w:sz="12" w:space="0" w:color="auto"/>
                    <w:left w:val="single" w:sz="12" w:space="0" w:color="auto"/>
                    <w:bottom w:val="single" w:sz="12" w:space="0" w:color="auto"/>
                    <w:right w:val="single" w:sz="12" w:space="0" w:color="auto"/>
                  </w:tcBorders>
                  <w:noWrap/>
                  <w:vAlign w:val="bottom"/>
                </w:tcPr>
                <w:p w:rsidR="00000000" w:rsidRDefault="00012593">
                  <w:pPr>
                    <w:jc w:val="center"/>
                    <w:rPr>
                      <w:rFonts w:ascii="Arial" w:eastAsia="Arial Unicode MS" w:hAnsi="Arial" w:cs="Arial"/>
                      <w:b/>
                      <w:bCs/>
                      <w:sz w:val="20"/>
                      <w:szCs w:val="20"/>
                    </w:rPr>
                  </w:pPr>
                  <w:r>
                    <w:rPr>
                      <w:rFonts w:ascii="Arial" w:eastAsia="Arial Unicode MS" w:hAnsi="Arial" w:cs="Arial"/>
                      <w:b/>
                      <w:bCs/>
                      <w:sz w:val="20"/>
                      <w:szCs w:val="20"/>
                    </w:rPr>
                    <w:t>FRECUENCIA RELATIVA</w:t>
                  </w:r>
                </w:p>
              </w:tc>
            </w:tr>
            <w:tr w:rsidR="00000000">
              <w:trPr>
                <w:trHeight w:val="264"/>
                <w:jc w:val="center"/>
              </w:trPr>
              <w:tc>
                <w:tcPr>
                  <w:tcW w:w="0" w:type="auto"/>
                  <w:tcBorders>
                    <w:top w:val="single" w:sz="12" w:space="0" w:color="auto"/>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0: NO HA REQUERIDO DE ÉL</w:t>
                  </w:r>
                </w:p>
              </w:tc>
              <w:tc>
                <w:tcPr>
                  <w:tcW w:w="0" w:type="auto"/>
                  <w:tcBorders>
                    <w:top w:val="single" w:sz="12" w:space="0" w:color="auto"/>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0,15</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1: MUY BAJO</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0,15</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2: BAJO</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0,19</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3: INDIFERENTE</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0,21</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4: ALTO</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0,20</w:t>
                  </w:r>
                </w:p>
              </w:tc>
            </w:tr>
            <w:tr w:rsidR="00000000">
              <w:trPr>
                <w:trHeight w:val="264"/>
                <w:jc w:val="center"/>
              </w:trPr>
              <w:tc>
                <w:tcPr>
                  <w:tcW w:w="0" w:type="auto"/>
                  <w:tcBorders>
                    <w:top w:val="nil"/>
                    <w:left w:val="single" w:sz="12" w:space="0" w:color="auto"/>
                    <w:bottom w:val="single" w:sz="12" w:space="0" w:color="auto"/>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5: EXCELENTE</w:t>
                  </w:r>
                </w:p>
              </w:tc>
              <w:tc>
                <w:tcPr>
                  <w:tcW w:w="0" w:type="auto"/>
                  <w:tcBorders>
                    <w:top w:val="nil"/>
                    <w:left w:val="single" w:sz="12" w:space="0" w:color="auto"/>
                    <w:bottom w:val="single" w:sz="12" w:space="0" w:color="auto"/>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0,10</w:t>
                  </w:r>
                </w:p>
              </w:tc>
            </w:tr>
          </w:tbl>
          <w:p w:rsidR="00000000" w:rsidRDefault="00012593">
            <w:pPr>
              <w:pStyle w:val="Sangra2detindependiente"/>
              <w:spacing w:line="240" w:lineRule="auto"/>
              <w:ind w:left="0"/>
              <w:jc w:val="center"/>
            </w:pPr>
            <w:r>
              <w:rPr>
                <w:i/>
                <w:iCs/>
              </w:rPr>
              <w:t>Fuente y elaboración: Yajaira</w:t>
            </w:r>
            <w:r>
              <w:rPr>
                <w:i/>
                <w:iCs/>
              </w:rPr>
              <w:t xml:space="preserve"> Vásquez</w:t>
            </w:r>
          </w:p>
        </w:tc>
      </w:tr>
    </w:tbl>
    <w:p w:rsidR="00000000" w:rsidRDefault="00012593">
      <w:pPr>
        <w:tabs>
          <w:tab w:val="left" w:pos="2866"/>
        </w:tabs>
        <w:jc w:val="both"/>
        <w:rPr>
          <w:rFonts w:ascii="Arial" w:hAnsi="Arial" w:cs="Arial"/>
          <w:b/>
          <w:bCs/>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820"/>
      </w:tblGrid>
      <w:tr w:rsidR="00000000">
        <w:tblPrEx>
          <w:tblCellMar>
            <w:top w:w="0" w:type="dxa"/>
            <w:bottom w:w="0" w:type="dxa"/>
          </w:tblCellMar>
        </w:tblPrEx>
        <w:tc>
          <w:tcPr>
            <w:tcW w:w="8820" w:type="dxa"/>
          </w:tcPr>
          <w:p w:rsidR="00000000" w:rsidRDefault="00012593">
            <w:pPr>
              <w:ind w:left="110"/>
              <w:jc w:val="center"/>
              <w:rPr>
                <w:rFonts w:ascii="Arial" w:hAnsi="Arial" w:cs="Arial"/>
                <w:b/>
                <w:bCs/>
              </w:rPr>
            </w:pPr>
            <w:r>
              <w:rPr>
                <w:rFonts w:ascii="Arial" w:hAnsi="Arial" w:cs="Arial"/>
                <w:b/>
                <w:bCs/>
              </w:rPr>
              <w:t>GRÁFICO 2</w:t>
            </w:r>
          </w:p>
          <w:p w:rsidR="00000000" w:rsidRDefault="00012593">
            <w:pPr>
              <w:ind w:left="110"/>
              <w:jc w:val="center"/>
              <w:rPr>
                <w:rFonts w:ascii="Arial" w:hAnsi="Arial" w:cs="Arial"/>
                <w:b/>
                <w:bCs/>
              </w:rPr>
            </w:pPr>
            <w:r>
              <w:rPr>
                <w:rFonts w:ascii="Arial" w:hAnsi="Arial" w:cs="Arial"/>
                <w:b/>
                <w:bCs/>
              </w:rPr>
              <w:t xml:space="preserve">ESPOL 2001: HISTOGRAMA DE FRECUENCIAS RELATIVAS PARA LA VARIABLE </w:t>
            </w:r>
            <w:r>
              <w:rPr>
                <w:rFonts w:ascii="Arial" w:hAnsi="Arial" w:cs="Arial"/>
                <w:b/>
                <w:bCs/>
                <w:i/>
                <w:iCs/>
              </w:rPr>
              <w:t xml:space="preserve">ATENCIÓN EN LA TESORERÍA </w:t>
            </w:r>
          </w:p>
          <w:p w:rsidR="00000000" w:rsidRDefault="00B54F9C">
            <w:pPr>
              <w:ind w:left="110"/>
              <w:jc w:val="both"/>
              <w:rPr>
                <w:rFonts w:ascii="Arial" w:hAnsi="Arial" w:cs="Arial"/>
                <w:b/>
                <w:bCs/>
              </w:rPr>
            </w:pPr>
            <w:r>
              <w:rPr>
                <w:rFonts w:ascii="Arial" w:hAnsi="Arial" w:cs="Arial"/>
                <w:b/>
                <w:bCs/>
                <w:noProof/>
                <w:sz w:val="20"/>
              </w:rPr>
              <w:drawing>
                <wp:anchor distT="0" distB="0" distL="114300" distR="114300" simplePos="0" relativeHeight="251657216" behindDoc="0" locked="0" layoutInCell="1" allowOverlap="1">
                  <wp:simplePos x="0" y="0"/>
                  <wp:positionH relativeFrom="column">
                    <wp:posOffset>1006475</wp:posOffset>
                  </wp:positionH>
                  <wp:positionV relativeFrom="paragraph">
                    <wp:posOffset>12700</wp:posOffset>
                  </wp:positionV>
                  <wp:extent cx="3521075" cy="227838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521075" cy="2278380"/>
                          </a:xfrm>
                          <a:prstGeom prst="rect">
                            <a:avLst/>
                          </a:prstGeom>
                          <a:noFill/>
                        </pic:spPr>
                      </pic:pic>
                    </a:graphicData>
                  </a:graphic>
                </wp:anchor>
              </w:drawing>
            </w:r>
          </w:p>
          <w:p w:rsidR="00000000" w:rsidRDefault="00012593">
            <w:pPr>
              <w:jc w:val="both"/>
              <w:rPr>
                <w:rFonts w:ascii="Arial" w:hAnsi="Arial" w:cs="Arial"/>
                <w:b/>
                <w:bCs/>
              </w:rPr>
            </w:pPr>
          </w:p>
          <w:p w:rsidR="00000000" w:rsidRDefault="00012593">
            <w:pPr>
              <w:jc w:val="both"/>
              <w:rPr>
                <w:rFonts w:ascii="Arial" w:hAnsi="Arial" w:cs="Arial"/>
                <w:b/>
                <w:bCs/>
              </w:rPr>
            </w:pPr>
          </w:p>
          <w:p w:rsidR="00000000" w:rsidRDefault="00012593">
            <w:pPr>
              <w:ind w:right="-612"/>
              <w:jc w:val="both"/>
              <w:rPr>
                <w:rFonts w:ascii="Arial" w:hAnsi="Arial" w:cs="Arial"/>
                <w:b/>
                <w:bCs/>
              </w:rPr>
            </w:pPr>
          </w:p>
          <w:p w:rsidR="00000000" w:rsidRDefault="00012593">
            <w:pPr>
              <w:tabs>
                <w:tab w:val="left" w:pos="2866"/>
              </w:tabs>
              <w:jc w:val="both"/>
              <w:rPr>
                <w:rFonts w:ascii="Arial" w:hAnsi="Arial" w:cs="Arial"/>
                <w:b/>
                <w:bCs/>
              </w:rPr>
            </w:pPr>
          </w:p>
          <w:p w:rsidR="00000000" w:rsidRDefault="00012593">
            <w:pPr>
              <w:tabs>
                <w:tab w:val="left" w:pos="2866"/>
              </w:tabs>
              <w:jc w:val="both"/>
              <w:rPr>
                <w:rFonts w:ascii="Arial" w:hAnsi="Arial" w:cs="Arial"/>
                <w:b/>
                <w:bCs/>
              </w:rPr>
            </w:pPr>
          </w:p>
          <w:p w:rsidR="00000000" w:rsidRDefault="00012593">
            <w:pPr>
              <w:tabs>
                <w:tab w:val="left" w:pos="2866"/>
              </w:tabs>
              <w:jc w:val="both"/>
              <w:rPr>
                <w:rFonts w:ascii="Arial" w:hAnsi="Arial" w:cs="Arial"/>
                <w:b/>
                <w:bCs/>
              </w:rPr>
            </w:pPr>
          </w:p>
          <w:p w:rsidR="00000000" w:rsidRDefault="00012593">
            <w:pPr>
              <w:tabs>
                <w:tab w:val="left" w:pos="2866"/>
              </w:tabs>
              <w:jc w:val="both"/>
              <w:rPr>
                <w:rFonts w:ascii="Arial" w:hAnsi="Arial" w:cs="Arial"/>
                <w:b/>
                <w:bCs/>
              </w:rPr>
            </w:pPr>
          </w:p>
          <w:p w:rsidR="00000000" w:rsidRDefault="00012593">
            <w:pPr>
              <w:tabs>
                <w:tab w:val="left" w:pos="2866"/>
              </w:tabs>
              <w:jc w:val="both"/>
              <w:rPr>
                <w:rFonts w:ascii="Arial" w:hAnsi="Arial" w:cs="Arial"/>
                <w:b/>
                <w:bCs/>
              </w:rPr>
            </w:pPr>
          </w:p>
          <w:p w:rsidR="00000000" w:rsidRDefault="00012593">
            <w:pPr>
              <w:tabs>
                <w:tab w:val="left" w:pos="2866"/>
              </w:tabs>
              <w:jc w:val="both"/>
              <w:rPr>
                <w:rFonts w:ascii="Arial" w:hAnsi="Arial" w:cs="Arial"/>
                <w:b/>
                <w:bCs/>
              </w:rPr>
            </w:pPr>
          </w:p>
          <w:p w:rsidR="00000000" w:rsidRDefault="00012593">
            <w:pPr>
              <w:tabs>
                <w:tab w:val="left" w:pos="2866"/>
              </w:tabs>
              <w:jc w:val="both"/>
              <w:rPr>
                <w:rFonts w:ascii="Arial" w:hAnsi="Arial" w:cs="Arial"/>
                <w:b/>
                <w:bCs/>
              </w:rPr>
            </w:pPr>
          </w:p>
          <w:p w:rsidR="00000000" w:rsidRDefault="00012593">
            <w:pPr>
              <w:tabs>
                <w:tab w:val="left" w:pos="2866"/>
              </w:tabs>
              <w:jc w:val="both"/>
              <w:rPr>
                <w:rFonts w:ascii="Arial" w:hAnsi="Arial" w:cs="Arial"/>
                <w:b/>
                <w:bCs/>
              </w:rPr>
            </w:pPr>
          </w:p>
          <w:p w:rsidR="00000000" w:rsidRDefault="00012593">
            <w:pPr>
              <w:tabs>
                <w:tab w:val="left" w:pos="2866"/>
              </w:tabs>
              <w:jc w:val="both"/>
              <w:rPr>
                <w:rFonts w:ascii="Arial" w:hAnsi="Arial" w:cs="Arial"/>
                <w:b/>
                <w:bCs/>
              </w:rPr>
            </w:pPr>
          </w:p>
          <w:p w:rsidR="00000000" w:rsidRDefault="00012593">
            <w:pPr>
              <w:pStyle w:val="Ttulo5"/>
              <w:rPr>
                <w:b/>
                <w:bCs/>
              </w:rPr>
            </w:pPr>
            <w:r>
              <w:t>Fuente y elaboración: Yajaira Vásquez</w:t>
            </w:r>
          </w:p>
        </w:tc>
      </w:tr>
    </w:tbl>
    <w:p w:rsidR="00000000" w:rsidRDefault="00012593">
      <w:pPr>
        <w:tabs>
          <w:tab w:val="left" w:pos="1080"/>
        </w:tabs>
        <w:ind w:left="1080"/>
        <w:jc w:val="center"/>
        <w:rPr>
          <w:rFonts w:ascii="Arial" w:hAnsi="Arial" w:cs="Arial"/>
          <w:b/>
          <w:bCs/>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779"/>
      </w:tblGrid>
      <w:tr w:rsidR="00000000">
        <w:tblPrEx>
          <w:tblCellMar>
            <w:top w:w="0" w:type="dxa"/>
            <w:bottom w:w="0" w:type="dxa"/>
          </w:tblCellMar>
        </w:tblPrEx>
        <w:tc>
          <w:tcPr>
            <w:tcW w:w="8779" w:type="dxa"/>
          </w:tcPr>
          <w:p w:rsidR="00000000" w:rsidRDefault="00012593">
            <w:pPr>
              <w:tabs>
                <w:tab w:val="left" w:pos="360"/>
              </w:tabs>
              <w:ind w:left="180"/>
              <w:jc w:val="center"/>
              <w:rPr>
                <w:rFonts w:ascii="Arial" w:hAnsi="Arial" w:cs="Arial"/>
                <w:b/>
                <w:bCs/>
              </w:rPr>
            </w:pPr>
            <w:r>
              <w:rPr>
                <w:rFonts w:ascii="Arial" w:hAnsi="Arial" w:cs="Arial"/>
                <w:b/>
                <w:bCs/>
              </w:rPr>
              <w:t>TABLA IV</w:t>
            </w:r>
          </w:p>
          <w:p w:rsidR="00000000" w:rsidRDefault="00012593">
            <w:pPr>
              <w:tabs>
                <w:tab w:val="left" w:pos="360"/>
              </w:tabs>
              <w:ind w:left="180"/>
              <w:jc w:val="center"/>
              <w:rPr>
                <w:rFonts w:ascii="Arial" w:hAnsi="Arial" w:cs="Arial"/>
                <w:b/>
                <w:bCs/>
              </w:rPr>
            </w:pPr>
            <w:r>
              <w:rPr>
                <w:rFonts w:ascii="Arial" w:hAnsi="Arial" w:cs="Arial"/>
                <w:b/>
                <w:bCs/>
              </w:rPr>
              <w:t>ESPOL, CARRERAS TRADICIONALES</w:t>
            </w:r>
          </w:p>
          <w:p w:rsidR="00000000" w:rsidRDefault="00012593">
            <w:pPr>
              <w:tabs>
                <w:tab w:val="left" w:pos="360"/>
              </w:tabs>
              <w:ind w:left="180"/>
              <w:jc w:val="center"/>
              <w:rPr>
                <w:rFonts w:ascii="Arial" w:hAnsi="Arial" w:cs="Arial"/>
                <w:b/>
                <w:bCs/>
              </w:rPr>
            </w:pPr>
            <w:r>
              <w:rPr>
                <w:rFonts w:ascii="Arial" w:hAnsi="Arial" w:cs="Arial"/>
                <w:b/>
                <w:bCs/>
              </w:rPr>
              <w:t xml:space="preserve">ESTIMADORES PARA LA VARIABLE </w:t>
            </w:r>
            <w:r>
              <w:rPr>
                <w:rFonts w:ascii="Arial" w:hAnsi="Arial" w:cs="Arial"/>
                <w:b/>
                <w:bCs/>
                <w:i/>
                <w:iCs/>
              </w:rPr>
              <w:t>ATENCIÓN EN LA TESORER</w:t>
            </w:r>
            <w:r>
              <w:rPr>
                <w:rFonts w:ascii="Arial" w:hAnsi="Arial" w:cs="Arial"/>
                <w:b/>
                <w:bCs/>
                <w:i/>
                <w:iCs/>
              </w:rPr>
              <w:t xml:space="preserve">ÍA </w:t>
            </w:r>
          </w:p>
          <w:tbl>
            <w:tblPr>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16"/>
              <w:gridCol w:w="816"/>
              <w:gridCol w:w="816"/>
              <w:gridCol w:w="816"/>
              <w:gridCol w:w="816"/>
              <w:gridCol w:w="816"/>
              <w:gridCol w:w="969"/>
            </w:tblGrid>
            <w:tr w:rsidR="00000000">
              <w:tblPrEx>
                <w:tblCellMar>
                  <w:top w:w="0" w:type="dxa"/>
                  <w:bottom w:w="0" w:type="dxa"/>
                </w:tblCellMar>
              </w:tblPrEx>
              <w:trPr>
                <w:jc w:val="center"/>
              </w:trPr>
              <w:tc>
                <w:tcPr>
                  <w:tcW w:w="816" w:type="dxa"/>
                </w:tcPr>
                <w:p w:rsidR="00000000" w:rsidRDefault="00012593">
                  <w:pPr>
                    <w:jc w:val="center"/>
                    <w:rPr>
                      <w:rFonts w:ascii="Arial" w:hAnsi="Arial" w:cs="Arial"/>
                      <w:b/>
                      <w:bCs/>
                    </w:rPr>
                  </w:pPr>
                  <w:r>
                    <w:rPr>
                      <w:rFonts w:ascii="Arial" w:hAnsi="Arial" w:cs="Arial"/>
                      <w:b/>
                      <w:bCs/>
                      <w:position w:val="-10"/>
                    </w:rPr>
                    <w:object w:dxaOrig="240" w:dyaOrig="300">
                      <v:shape id="_x0000_i1030" type="#_x0000_t75" style="width:12pt;height:15.45pt" o:ole="">
                        <v:imagedata r:id="rId6" o:title=""/>
                      </v:shape>
                      <o:OLEObject Type="Embed" ProgID="Equation.3" ShapeID="_x0000_i1030" DrawAspect="Content" ObjectID="_1308047151" r:id="rId17"/>
                    </w:object>
                  </w:r>
                </w:p>
              </w:tc>
              <w:tc>
                <w:tcPr>
                  <w:tcW w:w="816" w:type="dxa"/>
                </w:tcPr>
                <w:p w:rsidR="00000000" w:rsidRDefault="00012593">
                  <w:pPr>
                    <w:jc w:val="center"/>
                    <w:rPr>
                      <w:rFonts w:ascii="Arial" w:hAnsi="Arial" w:cs="Arial"/>
                      <w:b/>
                      <w:bCs/>
                    </w:rPr>
                  </w:pPr>
                  <w:r>
                    <w:rPr>
                      <w:rFonts w:ascii="Arial" w:hAnsi="Arial" w:cs="Arial"/>
                      <w:b/>
                      <w:bCs/>
                      <w:position w:val="-10"/>
                    </w:rPr>
                    <w:object w:dxaOrig="240" w:dyaOrig="320">
                      <v:shape id="_x0000_i1031" type="#_x0000_t75" style="width:12pt;height:16.3pt" o:ole="">
                        <v:imagedata r:id="rId8" o:title=""/>
                      </v:shape>
                      <o:OLEObject Type="Embed" ProgID="Equation.3" ShapeID="_x0000_i1031" DrawAspect="Content" ObjectID="_1308047152" r:id="rId18"/>
                    </w:object>
                  </w:r>
                </w:p>
              </w:tc>
              <w:tc>
                <w:tcPr>
                  <w:tcW w:w="816" w:type="dxa"/>
                </w:tcPr>
                <w:p w:rsidR="00000000" w:rsidRDefault="00012593">
                  <w:pPr>
                    <w:pStyle w:val="Ttulo2"/>
                    <w:jc w:val="center"/>
                    <w:rPr>
                      <w:rFonts w:cs="Arial"/>
                      <w:b w:val="0"/>
                      <w:bCs w:val="0"/>
                      <w:lang w:val="en-US"/>
                    </w:rPr>
                  </w:pPr>
                  <w:r>
                    <w:rPr>
                      <w:rFonts w:cs="Arial"/>
                      <w:b w:val="0"/>
                      <w:bCs w:val="0"/>
                      <w:lang w:val="en-US"/>
                    </w:rPr>
                    <w:t>Mo</w:t>
                  </w:r>
                </w:p>
              </w:tc>
              <w:tc>
                <w:tcPr>
                  <w:tcW w:w="816" w:type="dxa"/>
                </w:tcPr>
                <w:p w:rsidR="00000000" w:rsidRDefault="00012593">
                  <w:pPr>
                    <w:jc w:val="center"/>
                    <w:rPr>
                      <w:rFonts w:ascii="Arial" w:hAnsi="Arial" w:cs="Arial"/>
                      <w:b/>
                      <w:bCs/>
                      <w:i/>
                      <w:iCs/>
                      <w:lang w:val="en-US"/>
                    </w:rPr>
                  </w:pPr>
                  <w:r>
                    <w:rPr>
                      <w:rFonts w:ascii="Arial" w:hAnsi="Arial" w:cs="Arial"/>
                      <w:b/>
                      <w:bCs/>
                      <w:i/>
                      <w:iCs/>
                      <w:lang w:val="en-US"/>
                    </w:rPr>
                    <w:t>s</w:t>
                  </w:r>
                </w:p>
              </w:tc>
              <w:tc>
                <w:tcPr>
                  <w:tcW w:w="816" w:type="dxa"/>
                </w:tcPr>
                <w:p w:rsidR="00000000" w:rsidRDefault="00012593">
                  <w:pPr>
                    <w:jc w:val="center"/>
                    <w:rPr>
                      <w:rFonts w:ascii="Arial" w:hAnsi="Arial" w:cs="Arial"/>
                      <w:b/>
                      <w:bCs/>
                      <w:lang w:val="en-US"/>
                    </w:rPr>
                  </w:pPr>
                  <w:r>
                    <w:rPr>
                      <w:rFonts w:ascii="Arial" w:hAnsi="Arial" w:cs="Arial"/>
                      <w:b/>
                      <w:bCs/>
                      <w:lang w:val="en-US"/>
                    </w:rPr>
                    <w:t>s</w:t>
                  </w:r>
                  <w:r>
                    <w:rPr>
                      <w:rFonts w:ascii="Arial" w:hAnsi="Arial" w:cs="Arial"/>
                      <w:b/>
                      <w:bCs/>
                      <w:vertAlign w:val="superscript"/>
                      <w:lang w:val="en-US"/>
                    </w:rPr>
                    <w:t>2</w:t>
                  </w:r>
                </w:p>
              </w:tc>
              <w:tc>
                <w:tcPr>
                  <w:tcW w:w="816" w:type="dxa"/>
                </w:tcPr>
                <w:p w:rsidR="00000000" w:rsidRDefault="00012593">
                  <w:pPr>
                    <w:jc w:val="center"/>
                    <w:rPr>
                      <w:rFonts w:ascii="Arial" w:hAnsi="Arial" w:cs="Arial"/>
                      <w:b/>
                      <w:bCs/>
                    </w:rPr>
                  </w:pPr>
                  <w:r>
                    <w:rPr>
                      <w:rFonts w:ascii="Arial" w:hAnsi="Arial" w:cs="Arial"/>
                      <w:b/>
                      <w:bCs/>
                      <w:position w:val="-12"/>
                    </w:rPr>
                    <w:object w:dxaOrig="300" w:dyaOrig="360">
                      <v:shape id="_x0000_i1032" type="#_x0000_t75" style="width:15.45pt;height:18pt" o:ole="">
                        <v:imagedata r:id="rId12" o:title=""/>
                      </v:shape>
                      <o:OLEObject Type="Embed" ProgID="Equation.3" ShapeID="_x0000_i1032" DrawAspect="Content" ObjectID="_1308047153" r:id="rId19"/>
                    </w:object>
                  </w:r>
                </w:p>
              </w:tc>
              <w:tc>
                <w:tcPr>
                  <w:tcW w:w="969" w:type="dxa"/>
                </w:tcPr>
                <w:p w:rsidR="00000000" w:rsidRDefault="00012593">
                  <w:pPr>
                    <w:jc w:val="center"/>
                    <w:rPr>
                      <w:rFonts w:ascii="Arial" w:hAnsi="Arial" w:cs="Arial"/>
                      <w:b/>
                      <w:bCs/>
                    </w:rPr>
                  </w:pPr>
                  <w:r>
                    <w:rPr>
                      <w:rFonts w:ascii="Arial" w:hAnsi="Arial" w:cs="Arial"/>
                      <w:b/>
                      <w:bCs/>
                      <w:position w:val="-10"/>
                    </w:rPr>
                    <w:object w:dxaOrig="300" w:dyaOrig="340">
                      <v:shape id="_x0000_i1033" type="#_x0000_t75" style="width:15.45pt;height:17.15pt" o:ole="">
                        <v:imagedata r:id="rId14" o:title=""/>
                      </v:shape>
                      <o:OLEObject Type="Embed" ProgID="Equation.3" ShapeID="_x0000_i1033" DrawAspect="Content" ObjectID="_1308047154" r:id="rId20"/>
                    </w:object>
                  </w:r>
                </w:p>
              </w:tc>
            </w:tr>
            <w:tr w:rsidR="00000000">
              <w:tblPrEx>
                <w:tblCellMar>
                  <w:top w:w="0" w:type="dxa"/>
                  <w:bottom w:w="0" w:type="dxa"/>
                </w:tblCellMar>
              </w:tblPrEx>
              <w:trPr>
                <w:jc w:val="center"/>
              </w:trPr>
              <w:tc>
                <w:tcPr>
                  <w:tcW w:w="816" w:type="dxa"/>
                </w:tcPr>
                <w:p w:rsidR="00000000" w:rsidRDefault="00012593">
                  <w:pPr>
                    <w:jc w:val="center"/>
                    <w:rPr>
                      <w:rFonts w:ascii="Arial" w:hAnsi="Arial" w:cs="Arial"/>
                    </w:rPr>
                  </w:pPr>
                  <w:r>
                    <w:rPr>
                      <w:rFonts w:ascii="Arial" w:hAnsi="Arial" w:cs="Arial"/>
                    </w:rPr>
                    <w:t>2.470</w:t>
                  </w:r>
                </w:p>
              </w:tc>
              <w:tc>
                <w:tcPr>
                  <w:tcW w:w="816" w:type="dxa"/>
                </w:tcPr>
                <w:p w:rsidR="00000000" w:rsidRDefault="00012593">
                  <w:pPr>
                    <w:jc w:val="center"/>
                    <w:rPr>
                      <w:rFonts w:ascii="Arial" w:hAnsi="Arial" w:cs="Arial"/>
                    </w:rPr>
                  </w:pPr>
                  <w:r>
                    <w:rPr>
                      <w:rFonts w:ascii="Arial" w:hAnsi="Arial" w:cs="Arial"/>
                    </w:rPr>
                    <w:t>3</w:t>
                  </w:r>
                </w:p>
              </w:tc>
              <w:tc>
                <w:tcPr>
                  <w:tcW w:w="816" w:type="dxa"/>
                </w:tcPr>
                <w:p w:rsidR="00000000" w:rsidRDefault="00012593">
                  <w:pPr>
                    <w:jc w:val="center"/>
                    <w:rPr>
                      <w:rFonts w:ascii="Arial" w:hAnsi="Arial" w:cs="Arial"/>
                    </w:rPr>
                  </w:pPr>
                  <w:r>
                    <w:rPr>
                      <w:rFonts w:ascii="Arial" w:hAnsi="Arial" w:cs="Arial"/>
                    </w:rPr>
                    <w:t>3</w:t>
                  </w:r>
                </w:p>
              </w:tc>
              <w:tc>
                <w:tcPr>
                  <w:tcW w:w="816" w:type="dxa"/>
                </w:tcPr>
                <w:p w:rsidR="00000000" w:rsidRDefault="00012593">
                  <w:pPr>
                    <w:jc w:val="center"/>
                    <w:rPr>
                      <w:rFonts w:ascii="Arial" w:hAnsi="Arial" w:cs="Arial"/>
                    </w:rPr>
                  </w:pPr>
                  <w:r>
                    <w:rPr>
                      <w:rFonts w:ascii="Arial" w:hAnsi="Arial" w:cs="Arial"/>
                    </w:rPr>
                    <w:t>1.572</w:t>
                  </w:r>
                </w:p>
              </w:tc>
              <w:tc>
                <w:tcPr>
                  <w:tcW w:w="816" w:type="dxa"/>
                </w:tcPr>
                <w:p w:rsidR="00000000" w:rsidRDefault="00012593">
                  <w:pPr>
                    <w:jc w:val="center"/>
                    <w:rPr>
                      <w:rFonts w:ascii="Arial" w:hAnsi="Arial" w:cs="Arial"/>
                    </w:rPr>
                  </w:pPr>
                  <w:r>
                    <w:rPr>
                      <w:rFonts w:ascii="Arial" w:hAnsi="Arial" w:cs="Arial"/>
                    </w:rPr>
                    <w:t>2.470</w:t>
                  </w:r>
                </w:p>
              </w:tc>
              <w:tc>
                <w:tcPr>
                  <w:tcW w:w="816" w:type="dxa"/>
                </w:tcPr>
                <w:p w:rsidR="00000000" w:rsidRDefault="00012593">
                  <w:pPr>
                    <w:jc w:val="center"/>
                    <w:rPr>
                      <w:rFonts w:ascii="Arial" w:hAnsi="Arial" w:cs="Arial"/>
                    </w:rPr>
                  </w:pPr>
                  <w:r>
                    <w:rPr>
                      <w:rFonts w:ascii="Arial" w:hAnsi="Arial" w:cs="Arial"/>
                    </w:rPr>
                    <w:t>-0.08</w:t>
                  </w:r>
                </w:p>
              </w:tc>
              <w:tc>
                <w:tcPr>
                  <w:tcW w:w="969" w:type="dxa"/>
                </w:tcPr>
                <w:p w:rsidR="00000000" w:rsidRDefault="00012593">
                  <w:pPr>
                    <w:jc w:val="center"/>
                    <w:rPr>
                      <w:rFonts w:ascii="Arial" w:hAnsi="Arial" w:cs="Arial"/>
                    </w:rPr>
                  </w:pPr>
                  <w:r>
                    <w:rPr>
                      <w:rFonts w:ascii="Arial" w:hAnsi="Arial" w:cs="Arial"/>
                    </w:rPr>
                    <w:t>-1.089</w:t>
                  </w:r>
                </w:p>
              </w:tc>
            </w:tr>
          </w:tbl>
          <w:p w:rsidR="00000000" w:rsidRDefault="00012593">
            <w:pPr>
              <w:pStyle w:val="Epgrafe"/>
              <w:ind w:left="110"/>
              <w:rPr>
                <w:rFonts w:ascii="Arial" w:hAnsi="Arial" w:cs="Arial"/>
                <w:b/>
                <w:bCs/>
              </w:rPr>
            </w:pPr>
            <w:r>
              <w:rPr>
                <w:rFonts w:ascii="Arial" w:hAnsi="Arial" w:cs="Arial"/>
              </w:rPr>
              <w:t xml:space="preserve">Fuente y elaboración: Yajaira Vásquez </w:t>
            </w:r>
          </w:p>
        </w:tc>
      </w:tr>
    </w:tbl>
    <w:p w:rsidR="00000000" w:rsidRDefault="00012593">
      <w:pPr>
        <w:pStyle w:val="Textoindependiente2"/>
      </w:pPr>
      <w:r>
        <w:t xml:space="preserve"> </w:t>
      </w:r>
    </w:p>
    <w:p w:rsidR="00000000" w:rsidRDefault="00012593">
      <w:pPr>
        <w:pStyle w:val="Textoindependiente2"/>
      </w:pPr>
    </w:p>
    <w:p w:rsidR="00000000" w:rsidRDefault="00012593">
      <w:pPr>
        <w:pStyle w:val="Textoindependiente2"/>
      </w:pPr>
      <w:r>
        <w:t xml:space="preserve">Del área de </w:t>
      </w:r>
      <w:r>
        <w:rPr>
          <w:i/>
          <w:iCs/>
        </w:rPr>
        <w:t>servicios académicos</w:t>
      </w:r>
      <w:r>
        <w:t xml:space="preserve">: para el servicio de enseñanza que </w:t>
      </w:r>
      <w:r>
        <w:t xml:space="preserve">otorgan las unidades académicas de la ESPOL a los estudiantes de las carreras tradicionales, tenemos que el 64% de los estudiantes declaran encontrarse satisfechos con esta, el 23% poseen un grado de satisfacción, es decir no es buena ni mala la enseñanza </w:t>
      </w:r>
      <w:r>
        <w:t xml:space="preserve">que recibe, y solo el 12% opinan que es insatisfactoria la enseñanza, estas proporciones junto con los estimadores, la moda de 4 y la mediana de 4, se puede confirmar que según los estudiantes la enseñanza que la ESPOL imparte a </w:t>
      </w:r>
      <w:r>
        <w:lastRenderedPageBreak/>
        <w:t xml:space="preserve">sus alumnos es muy buena y </w:t>
      </w:r>
      <w:r>
        <w:t xml:space="preserve">se ajusta a las expectativas profesionales de los mismos.  </w:t>
      </w:r>
    </w:p>
    <w:p w:rsidR="00000000" w:rsidRDefault="00012593">
      <w:pPr>
        <w:pStyle w:val="Textoindependiente2"/>
      </w:pPr>
    </w:p>
    <w:p w:rsidR="00000000" w:rsidRDefault="00012593">
      <w:pPr>
        <w:pStyle w:val="Textoindependiente2"/>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820"/>
      </w:tblGrid>
      <w:tr w:rsidR="00000000">
        <w:tblPrEx>
          <w:tblCellMar>
            <w:top w:w="0" w:type="dxa"/>
            <w:bottom w:w="0" w:type="dxa"/>
          </w:tblCellMar>
        </w:tblPrEx>
        <w:tc>
          <w:tcPr>
            <w:tcW w:w="8820" w:type="dxa"/>
          </w:tcPr>
          <w:p w:rsidR="00000000" w:rsidRDefault="00012593">
            <w:pPr>
              <w:jc w:val="center"/>
              <w:rPr>
                <w:rFonts w:ascii="Arial" w:hAnsi="Arial" w:cs="Arial"/>
                <w:b/>
                <w:bCs/>
              </w:rPr>
            </w:pPr>
            <w:r>
              <w:rPr>
                <w:rFonts w:ascii="Arial" w:hAnsi="Arial" w:cs="Arial"/>
                <w:b/>
                <w:bCs/>
              </w:rPr>
              <w:t>TABLA V</w:t>
            </w:r>
          </w:p>
          <w:p w:rsidR="00000000" w:rsidRDefault="00012593">
            <w:pPr>
              <w:jc w:val="center"/>
              <w:rPr>
                <w:rFonts w:ascii="Arial" w:hAnsi="Arial" w:cs="Arial"/>
                <w:b/>
                <w:bCs/>
              </w:rPr>
            </w:pPr>
            <w:r>
              <w:rPr>
                <w:rFonts w:ascii="Arial" w:hAnsi="Arial" w:cs="Arial"/>
                <w:b/>
                <w:bCs/>
              </w:rPr>
              <w:t>TABULACIÓN DE FRECUENCIAS RELATIVAS</w:t>
            </w:r>
          </w:p>
          <w:p w:rsidR="00000000" w:rsidRDefault="00012593">
            <w:pPr>
              <w:jc w:val="center"/>
              <w:rPr>
                <w:rFonts w:ascii="Arial" w:hAnsi="Arial" w:cs="Arial"/>
                <w:b/>
                <w:bCs/>
              </w:rPr>
            </w:pPr>
            <w:r>
              <w:rPr>
                <w:rFonts w:ascii="Arial" w:hAnsi="Arial" w:cs="Arial"/>
                <w:b/>
                <w:bCs/>
                <w:i/>
                <w:iCs/>
              </w:rPr>
              <w:t xml:space="preserve">ENSEÑANZA EN UNIDADES ACADÉMICAS </w:t>
            </w:r>
            <w:r>
              <w:rPr>
                <w:rFonts w:ascii="Arial" w:hAnsi="Arial" w:cs="Arial"/>
                <w:b/>
                <w:bCs/>
              </w:rPr>
              <w:t>: ESPOL 2001</w:t>
            </w:r>
          </w:p>
          <w:tbl>
            <w:tblPr>
              <w:tblW w:w="4129" w:type="dxa"/>
              <w:jc w:val="center"/>
              <w:tblInd w:w="2535" w:type="dxa"/>
              <w:tblCellMar>
                <w:left w:w="0" w:type="dxa"/>
                <w:right w:w="0" w:type="dxa"/>
              </w:tblCellMar>
              <w:tblLook w:val="0000"/>
            </w:tblPr>
            <w:tblGrid>
              <w:gridCol w:w="2787"/>
              <w:gridCol w:w="1342"/>
            </w:tblGrid>
            <w:tr w:rsidR="00000000">
              <w:trPr>
                <w:trHeight w:val="264"/>
                <w:jc w:val="center"/>
              </w:trPr>
              <w:tc>
                <w:tcPr>
                  <w:tcW w:w="2787" w:type="dxa"/>
                  <w:tcBorders>
                    <w:top w:val="single" w:sz="12" w:space="0" w:color="auto"/>
                    <w:left w:val="single" w:sz="12" w:space="0" w:color="auto"/>
                    <w:bottom w:val="single" w:sz="12" w:space="0" w:color="auto"/>
                    <w:right w:val="single" w:sz="12" w:space="0" w:color="auto"/>
                  </w:tcBorders>
                  <w:noWrap/>
                  <w:vAlign w:val="bottom"/>
                </w:tcPr>
                <w:p w:rsidR="00000000" w:rsidRDefault="00012593">
                  <w:pPr>
                    <w:jc w:val="center"/>
                    <w:rPr>
                      <w:rFonts w:ascii="Arial" w:eastAsia="Arial Unicode MS" w:hAnsi="Arial" w:cs="Arial"/>
                      <w:b/>
                      <w:bCs/>
                      <w:sz w:val="20"/>
                      <w:szCs w:val="20"/>
                    </w:rPr>
                  </w:pPr>
                  <w:r>
                    <w:rPr>
                      <w:rFonts w:ascii="Arial" w:eastAsia="Arial Unicode MS" w:hAnsi="Arial" w:cs="Arial"/>
                      <w:b/>
                      <w:bCs/>
                      <w:sz w:val="20"/>
                      <w:szCs w:val="20"/>
                    </w:rPr>
                    <w:t>GRADOS DE SATISFACCIÓN</w:t>
                  </w:r>
                </w:p>
              </w:tc>
              <w:tc>
                <w:tcPr>
                  <w:tcW w:w="1342" w:type="dxa"/>
                  <w:tcBorders>
                    <w:top w:val="single" w:sz="12" w:space="0" w:color="auto"/>
                    <w:left w:val="single" w:sz="12" w:space="0" w:color="auto"/>
                    <w:bottom w:val="single" w:sz="12" w:space="0" w:color="auto"/>
                    <w:right w:val="single" w:sz="12" w:space="0" w:color="auto"/>
                  </w:tcBorders>
                  <w:noWrap/>
                  <w:vAlign w:val="bottom"/>
                </w:tcPr>
                <w:p w:rsidR="00000000" w:rsidRDefault="00012593">
                  <w:pPr>
                    <w:jc w:val="center"/>
                    <w:rPr>
                      <w:rFonts w:ascii="Arial" w:eastAsia="Arial Unicode MS" w:hAnsi="Arial" w:cs="Arial"/>
                      <w:b/>
                      <w:bCs/>
                      <w:sz w:val="20"/>
                      <w:szCs w:val="20"/>
                    </w:rPr>
                  </w:pPr>
                  <w:r>
                    <w:rPr>
                      <w:rFonts w:ascii="Arial" w:eastAsia="Arial Unicode MS" w:hAnsi="Arial" w:cs="Arial"/>
                      <w:b/>
                      <w:bCs/>
                      <w:sz w:val="20"/>
                      <w:szCs w:val="20"/>
                    </w:rPr>
                    <w:t>FRECUENCIA RELATIVA</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1: MUY BAJO</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0,04</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2: BAJO</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0,08</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3: INDIFERENTE</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0,23</w:t>
                  </w:r>
                </w:p>
              </w:tc>
            </w:tr>
            <w:tr w:rsidR="00000000">
              <w:trPr>
                <w:trHeight w:val="264"/>
                <w:jc w:val="center"/>
              </w:trPr>
              <w:tc>
                <w:tcPr>
                  <w:tcW w:w="0" w:type="auto"/>
                  <w:tcBorders>
                    <w:top w:val="nil"/>
                    <w:left w:val="single" w:sz="12" w:space="0" w:color="auto"/>
                    <w:bottom w:val="nil"/>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4: ALTO</w:t>
                  </w:r>
                </w:p>
              </w:tc>
              <w:tc>
                <w:tcPr>
                  <w:tcW w:w="0" w:type="auto"/>
                  <w:tcBorders>
                    <w:top w:val="nil"/>
                    <w:left w:val="single" w:sz="12" w:space="0" w:color="auto"/>
                    <w:bottom w:val="nil"/>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0,39</w:t>
                  </w:r>
                </w:p>
              </w:tc>
            </w:tr>
            <w:tr w:rsidR="00000000">
              <w:trPr>
                <w:trHeight w:val="264"/>
                <w:jc w:val="center"/>
              </w:trPr>
              <w:tc>
                <w:tcPr>
                  <w:tcW w:w="0" w:type="auto"/>
                  <w:tcBorders>
                    <w:top w:val="nil"/>
                    <w:left w:val="single" w:sz="12" w:space="0" w:color="auto"/>
                    <w:bottom w:val="single" w:sz="12" w:space="0" w:color="auto"/>
                    <w:right w:val="single" w:sz="12" w:space="0" w:color="auto"/>
                  </w:tcBorders>
                  <w:noWrap/>
                  <w:vAlign w:val="bottom"/>
                </w:tcPr>
                <w:p w:rsidR="00000000" w:rsidRDefault="00012593">
                  <w:pPr>
                    <w:rPr>
                      <w:rFonts w:ascii="Arial" w:eastAsia="Arial Unicode MS" w:hAnsi="Arial" w:cs="Arial"/>
                      <w:sz w:val="20"/>
                      <w:szCs w:val="20"/>
                    </w:rPr>
                  </w:pPr>
                  <w:r>
                    <w:rPr>
                      <w:rFonts w:ascii="Arial" w:eastAsia="Arial Unicode MS" w:hAnsi="Arial" w:cs="Arial"/>
                      <w:sz w:val="20"/>
                      <w:szCs w:val="20"/>
                    </w:rPr>
                    <w:t>5: EXCELENTE</w:t>
                  </w:r>
                </w:p>
              </w:tc>
              <w:tc>
                <w:tcPr>
                  <w:tcW w:w="0" w:type="auto"/>
                  <w:tcBorders>
                    <w:top w:val="nil"/>
                    <w:left w:val="single" w:sz="12" w:space="0" w:color="auto"/>
                    <w:bottom w:val="single" w:sz="12" w:space="0" w:color="auto"/>
                    <w:right w:val="single" w:sz="12" w:space="0" w:color="auto"/>
                  </w:tcBorders>
                  <w:noWrap/>
                  <w:vAlign w:val="bottom"/>
                </w:tcPr>
                <w:p w:rsidR="00000000" w:rsidRDefault="00012593">
                  <w:pPr>
                    <w:jc w:val="center"/>
                    <w:rPr>
                      <w:rFonts w:ascii="Arial" w:eastAsia="Arial Unicode MS" w:hAnsi="Arial" w:cs="Arial"/>
                      <w:sz w:val="20"/>
                      <w:szCs w:val="20"/>
                    </w:rPr>
                  </w:pPr>
                  <w:r>
                    <w:rPr>
                      <w:rFonts w:ascii="Arial" w:hAnsi="Arial" w:cs="Arial"/>
                      <w:sz w:val="20"/>
                      <w:szCs w:val="20"/>
                    </w:rPr>
                    <w:t>0,25</w:t>
                  </w:r>
                </w:p>
              </w:tc>
            </w:tr>
          </w:tbl>
          <w:p w:rsidR="00000000" w:rsidRDefault="00012593">
            <w:pPr>
              <w:pStyle w:val="Ttulo5"/>
              <w:tabs>
                <w:tab w:val="clear" w:pos="2866"/>
              </w:tabs>
            </w:pPr>
            <w:r>
              <w:t>Fuente y elaboración: Yajaira Vásquez</w:t>
            </w:r>
          </w:p>
        </w:tc>
      </w:tr>
    </w:tbl>
    <w:p w:rsidR="00000000" w:rsidRDefault="00012593"/>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820"/>
      </w:tblGrid>
      <w:tr w:rsidR="00000000">
        <w:tblPrEx>
          <w:tblCellMar>
            <w:top w:w="0" w:type="dxa"/>
            <w:bottom w:w="0" w:type="dxa"/>
          </w:tblCellMar>
        </w:tblPrEx>
        <w:tc>
          <w:tcPr>
            <w:tcW w:w="8820" w:type="dxa"/>
          </w:tcPr>
          <w:p w:rsidR="00000000" w:rsidRDefault="00012593">
            <w:pPr>
              <w:jc w:val="center"/>
              <w:rPr>
                <w:rFonts w:ascii="Arial" w:hAnsi="Arial" w:cs="Arial"/>
                <w:b/>
                <w:bCs/>
              </w:rPr>
            </w:pPr>
            <w:r>
              <w:rPr>
                <w:rFonts w:ascii="Arial" w:hAnsi="Arial" w:cs="Arial"/>
                <w:b/>
                <w:bCs/>
              </w:rPr>
              <w:t>GRÁFICO 3</w:t>
            </w:r>
          </w:p>
          <w:p w:rsidR="00000000" w:rsidRDefault="00B54F9C">
            <w:pPr>
              <w:jc w:val="center"/>
              <w:rPr>
                <w:rFonts w:ascii="Arial" w:hAnsi="Arial" w:cs="Arial"/>
                <w:b/>
                <w:bCs/>
              </w:rPr>
            </w:pPr>
            <w:r>
              <w:rPr>
                <w:rFonts w:ascii="Arial" w:hAnsi="Arial" w:cs="Arial"/>
                <w:b/>
                <w:bCs/>
                <w:i/>
                <w:iCs/>
                <w:noProof/>
                <w:sz w:val="20"/>
              </w:rPr>
              <w:drawing>
                <wp:anchor distT="0" distB="0" distL="114300" distR="114300" simplePos="0" relativeHeight="251658240" behindDoc="0" locked="0" layoutInCell="1" allowOverlap="1">
                  <wp:simplePos x="0" y="0"/>
                  <wp:positionH relativeFrom="column">
                    <wp:posOffset>985520</wp:posOffset>
                  </wp:positionH>
                  <wp:positionV relativeFrom="paragraph">
                    <wp:posOffset>412750</wp:posOffset>
                  </wp:positionV>
                  <wp:extent cx="3542665" cy="2114550"/>
                  <wp:effectExtent l="0" t="0" r="0" b="0"/>
                  <wp:wrapTopAndBottom/>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srcRect/>
                          <a:stretch>
                            <a:fillRect/>
                          </a:stretch>
                        </pic:blipFill>
                        <pic:spPr bwMode="auto">
                          <a:xfrm>
                            <a:off x="0" y="0"/>
                            <a:ext cx="3542665" cy="2114550"/>
                          </a:xfrm>
                          <a:prstGeom prst="rect">
                            <a:avLst/>
                          </a:prstGeom>
                          <a:noFill/>
                        </pic:spPr>
                      </pic:pic>
                    </a:graphicData>
                  </a:graphic>
                </wp:anchor>
              </w:drawing>
            </w:r>
            <w:r w:rsidR="00012593">
              <w:rPr>
                <w:rFonts w:ascii="Arial" w:hAnsi="Arial" w:cs="Arial"/>
                <w:b/>
                <w:bCs/>
              </w:rPr>
              <w:t xml:space="preserve">ESPOL 2001: HISTOGRAMA DE FRECUENCIAS RELATIVAS PARA LA VARIABLE </w:t>
            </w:r>
            <w:r w:rsidR="00012593">
              <w:rPr>
                <w:rFonts w:ascii="Arial" w:hAnsi="Arial" w:cs="Arial"/>
                <w:b/>
                <w:bCs/>
                <w:i/>
                <w:iCs/>
              </w:rPr>
              <w:t>ENSEÑANZA EN UNIDADES ACADÉMICAS</w:t>
            </w:r>
            <w:r w:rsidR="00012593">
              <w:rPr>
                <w:rFonts w:ascii="Arial" w:hAnsi="Arial" w:cs="Arial"/>
                <w:b/>
                <w:bCs/>
              </w:rPr>
              <w:t xml:space="preserve"> </w:t>
            </w:r>
          </w:p>
          <w:p w:rsidR="00000000" w:rsidRDefault="00012593">
            <w:pPr>
              <w:jc w:val="center"/>
              <w:rPr>
                <w:rFonts w:ascii="Arial" w:hAnsi="Arial" w:cs="Arial"/>
                <w:b/>
                <w:bCs/>
                <w:i/>
                <w:iCs/>
              </w:rPr>
            </w:pPr>
            <w:r>
              <w:rPr>
                <w:rFonts w:ascii="Arial" w:hAnsi="Arial" w:cs="Arial"/>
                <w:i/>
                <w:iCs/>
              </w:rPr>
              <w:t xml:space="preserve">Fuente y elaboración: Yajaira Vásquez </w:t>
            </w:r>
          </w:p>
        </w:tc>
      </w:tr>
    </w:tbl>
    <w:p w:rsidR="00000000" w:rsidRDefault="00012593">
      <w:pPr>
        <w:ind w:left="1080"/>
        <w:jc w:val="both"/>
        <w:rPr>
          <w:rFonts w:ascii="Arial" w:hAnsi="Arial" w:cs="Arial"/>
          <w:b/>
          <w:bCs/>
        </w:rPr>
      </w:pPr>
    </w:p>
    <w:tbl>
      <w:tblPr>
        <w:tblW w:w="0" w:type="auto"/>
        <w:tblInd w:w="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820"/>
      </w:tblGrid>
      <w:tr w:rsidR="00000000">
        <w:tblPrEx>
          <w:tblCellMar>
            <w:top w:w="0" w:type="dxa"/>
            <w:bottom w:w="0" w:type="dxa"/>
          </w:tblCellMar>
        </w:tblPrEx>
        <w:tc>
          <w:tcPr>
            <w:tcW w:w="8820" w:type="dxa"/>
          </w:tcPr>
          <w:p w:rsidR="00000000" w:rsidRDefault="00012593">
            <w:pPr>
              <w:jc w:val="center"/>
              <w:rPr>
                <w:rFonts w:ascii="Arial" w:hAnsi="Arial" w:cs="Arial"/>
                <w:b/>
                <w:bCs/>
              </w:rPr>
            </w:pPr>
            <w:r>
              <w:rPr>
                <w:rFonts w:ascii="Arial" w:hAnsi="Arial" w:cs="Arial"/>
                <w:b/>
                <w:bCs/>
              </w:rPr>
              <w:t>TABLA VI</w:t>
            </w:r>
          </w:p>
          <w:p w:rsidR="00000000" w:rsidRDefault="00012593">
            <w:pPr>
              <w:jc w:val="center"/>
              <w:rPr>
                <w:rFonts w:ascii="Arial" w:hAnsi="Arial" w:cs="Arial"/>
                <w:b/>
                <w:bCs/>
              </w:rPr>
            </w:pPr>
            <w:r>
              <w:rPr>
                <w:rFonts w:ascii="Arial" w:hAnsi="Arial" w:cs="Arial"/>
                <w:b/>
                <w:bCs/>
              </w:rPr>
              <w:t>ESPOL, CARRERAS TRADICIONALES</w:t>
            </w:r>
          </w:p>
          <w:p w:rsidR="00000000" w:rsidRDefault="00012593">
            <w:pPr>
              <w:jc w:val="center"/>
              <w:rPr>
                <w:rFonts w:ascii="Arial" w:hAnsi="Arial" w:cs="Arial"/>
                <w:b/>
                <w:bCs/>
                <w:i/>
                <w:iCs/>
              </w:rPr>
            </w:pPr>
            <w:r>
              <w:rPr>
                <w:rFonts w:ascii="Arial" w:hAnsi="Arial" w:cs="Arial"/>
                <w:b/>
                <w:bCs/>
              </w:rPr>
              <w:t xml:space="preserve">ESTIMADORES PARA LA VARIABLE </w:t>
            </w:r>
            <w:r>
              <w:rPr>
                <w:rFonts w:ascii="Arial" w:hAnsi="Arial" w:cs="Arial"/>
                <w:b/>
                <w:bCs/>
                <w:i/>
                <w:iCs/>
              </w:rPr>
              <w:t>ENSEÑANZA</w:t>
            </w:r>
            <w:r>
              <w:rPr>
                <w:rFonts w:ascii="Arial" w:hAnsi="Arial" w:cs="Arial"/>
                <w:b/>
                <w:bCs/>
              </w:rPr>
              <w:t xml:space="preserve"> </w:t>
            </w:r>
            <w:r>
              <w:rPr>
                <w:rFonts w:ascii="Arial" w:hAnsi="Arial" w:cs="Arial"/>
                <w:b/>
                <w:bCs/>
                <w:i/>
                <w:iCs/>
              </w:rPr>
              <w:t>EN UNIDADES ACADÉMICAS</w:t>
            </w:r>
          </w:p>
          <w:tbl>
            <w:tblPr>
              <w:tblW w:w="0" w:type="auto"/>
              <w:jc w:val="center"/>
              <w:tblInd w:w="16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16"/>
              <w:gridCol w:w="816"/>
              <w:gridCol w:w="816"/>
              <w:gridCol w:w="816"/>
              <w:gridCol w:w="816"/>
              <w:gridCol w:w="954"/>
              <w:gridCol w:w="875"/>
            </w:tblGrid>
            <w:tr w:rsidR="00000000">
              <w:tblPrEx>
                <w:tblCellMar>
                  <w:top w:w="0" w:type="dxa"/>
                  <w:bottom w:w="0" w:type="dxa"/>
                </w:tblCellMar>
              </w:tblPrEx>
              <w:trPr>
                <w:jc w:val="center"/>
              </w:trPr>
              <w:tc>
                <w:tcPr>
                  <w:tcW w:w="816" w:type="dxa"/>
                </w:tcPr>
                <w:p w:rsidR="00000000" w:rsidRDefault="00012593">
                  <w:pPr>
                    <w:jc w:val="center"/>
                    <w:rPr>
                      <w:rFonts w:ascii="Arial" w:hAnsi="Arial" w:cs="Arial"/>
                      <w:b/>
                      <w:bCs/>
                    </w:rPr>
                  </w:pPr>
                  <w:r>
                    <w:rPr>
                      <w:rFonts w:ascii="Arial" w:hAnsi="Arial" w:cs="Arial"/>
                      <w:b/>
                      <w:bCs/>
                      <w:position w:val="-10"/>
                    </w:rPr>
                    <w:object w:dxaOrig="240" w:dyaOrig="300">
                      <v:shape id="_x0000_i1034" type="#_x0000_t75" style="width:12pt;height:15.45pt" o:ole="">
                        <v:imagedata r:id="rId6" o:title=""/>
                      </v:shape>
                      <o:OLEObject Type="Embed" ProgID="Equation.3" ShapeID="_x0000_i1034" DrawAspect="Content" ObjectID="_1308047155" r:id="rId22"/>
                    </w:object>
                  </w:r>
                </w:p>
              </w:tc>
              <w:tc>
                <w:tcPr>
                  <w:tcW w:w="816" w:type="dxa"/>
                </w:tcPr>
                <w:p w:rsidR="00000000" w:rsidRDefault="00012593">
                  <w:pPr>
                    <w:jc w:val="center"/>
                    <w:rPr>
                      <w:rFonts w:ascii="Arial" w:hAnsi="Arial" w:cs="Arial"/>
                      <w:b/>
                      <w:bCs/>
                    </w:rPr>
                  </w:pPr>
                  <w:r>
                    <w:rPr>
                      <w:rFonts w:ascii="Arial" w:hAnsi="Arial" w:cs="Arial"/>
                      <w:b/>
                      <w:bCs/>
                      <w:position w:val="-10"/>
                    </w:rPr>
                    <w:object w:dxaOrig="240" w:dyaOrig="320">
                      <v:shape id="_x0000_i1035" type="#_x0000_t75" style="width:12pt;height:16.3pt" o:ole="">
                        <v:imagedata r:id="rId8" o:title=""/>
                      </v:shape>
                      <o:OLEObject Type="Embed" ProgID="Equation.3" ShapeID="_x0000_i1035" DrawAspect="Content" ObjectID="_1308047156" r:id="rId23"/>
                    </w:object>
                  </w:r>
                </w:p>
              </w:tc>
              <w:tc>
                <w:tcPr>
                  <w:tcW w:w="816" w:type="dxa"/>
                </w:tcPr>
                <w:p w:rsidR="00000000" w:rsidRDefault="00012593">
                  <w:pPr>
                    <w:pStyle w:val="Ttulo2"/>
                    <w:jc w:val="center"/>
                    <w:rPr>
                      <w:rFonts w:cs="Arial"/>
                      <w:b w:val="0"/>
                      <w:bCs w:val="0"/>
                      <w:lang w:val="en-US"/>
                    </w:rPr>
                  </w:pPr>
                  <w:r>
                    <w:rPr>
                      <w:rFonts w:cs="Arial"/>
                      <w:b w:val="0"/>
                      <w:bCs w:val="0"/>
                      <w:lang w:val="en-US"/>
                    </w:rPr>
                    <w:t>Mo</w:t>
                  </w:r>
                </w:p>
              </w:tc>
              <w:tc>
                <w:tcPr>
                  <w:tcW w:w="816" w:type="dxa"/>
                </w:tcPr>
                <w:p w:rsidR="00000000" w:rsidRDefault="00012593">
                  <w:pPr>
                    <w:jc w:val="center"/>
                    <w:rPr>
                      <w:rFonts w:ascii="Arial" w:hAnsi="Arial" w:cs="Arial"/>
                      <w:b/>
                      <w:bCs/>
                      <w:i/>
                      <w:iCs/>
                      <w:lang w:val="en-US"/>
                    </w:rPr>
                  </w:pPr>
                  <w:r>
                    <w:rPr>
                      <w:rFonts w:ascii="Arial" w:hAnsi="Arial" w:cs="Arial"/>
                      <w:b/>
                      <w:bCs/>
                      <w:i/>
                      <w:iCs/>
                      <w:position w:val="-10"/>
                    </w:rPr>
                    <w:object w:dxaOrig="180" w:dyaOrig="340">
                      <v:shape id="_x0000_i1036" type="#_x0000_t75" style="width:9.45pt;height:17.15pt" o:ole="">
                        <v:imagedata r:id="rId10" o:title=""/>
                      </v:shape>
                      <o:OLEObject Type="Embed" ProgID="Equation.3" ShapeID="_x0000_i1036" DrawAspect="Content" ObjectID="_1308047157" r:id="rId24"/>
                    </w:object>
                  </w:r>
                  <w:r>
                    <w:rPr>
                      <w:rFonts w:ascii="Arial" w:hAnsi="Arial" w:cs="Arial"/>
                      <w:b/>
                      <w:bCs/>
                      <w:i/>
                      <w:iCs/>
                      <w:lang w:val="en-US"/>
                    </w:rPr>
                    <w:t>s</w:t>
                  </w:r>
                </w:p>
              </w:tc>
              <w:tc>
                <w:tcPr>
                  <w:tcW w:w="816" w:type="dxa"/>
                </w:tcPr>
                <w:p w:rsidR="00000000" w:rsidRDefault="00012593">
                  <w:pPr>
                    <w:jc w:val="center"/>
                    <w:rPr>
                      <w:rFonts w:ascii="Arial" w:hAnsi="Arial" w:cs="Arial"/>
                      <w:b/>
                      <w:bCs/>
                      <w:lang w:val="en-US"/>
                    </w:rPr>
                  </w:pPr>
                  <w:r>
                    <w:rPr>
                      <w:rFonts w:ascii="Arial" w:hAnsi="Arial" w:cs="Arial"/>
                      <w:b/>
                      <w:bCs/>
                      <w:lang w:val="en-US"/>
                    </w:rPr>
                    <w:t>s</w:t>
                  </w:r>
                  <w:r>
                    <w:rPr>
                      <w:rFonts w:ascii="Arial" w:hAnsi="Arial" w:cs="Arial"/>
                      <w:b/>
                      <w:bCs/>
                      <w:vertAlign w:val="superscript"/>
                      <w:lang w:val="en-US"/>
                    </w:rPr>
                    <w:t>2</w:t>
                  </w:r>
                </w:p>
              </w:tc>
              <w:tc>
                <w:tcPr>
                  <w:tcW w:w="954" w:type="dxa"/>
                </w:tcPr>
                <w:p w:rsidR="00000000" w:rsidRDefault="00012593">
                  <w:pPr>
                    <w:jc w:val="center"/>
                    <w:rPr>
                      <w:rFonts w:ascii="Arial" w:hAnsi="Arial" w:cs="Arial"/>
                      <w:b/>
                      <w:bCs/>
                    </w:rPr>
                  </w:pPr>
                  <w:r>
                    <w:rPr>
                      <w:rFonts w:ascii="Arial" w:hAnsi="Arial" w:cs="Arial"/>
                      <w:b/>
                      <w:bCs/>
                      <w:position w:val="-12"/>
                    </w:rPr>
                    <w:object w:dxaOrig="300" w:dyaOrig="360">
                      <v:shape id="_x0000_i1037" type="#_x0000_t75" style="width:15.45pt;height:18pt" o:ole="">
                        <v:imagedata r:id="rId12" o:title=""/>
                      </v:shape>
                      <o:OLEObject Type="Embed" ProgID="Equation.3" ShapeID="_x0000_i1037" DrawAspect="Content" ObjectID="_1308047158" r:id="rId25"/>
                    </w:object>
                  </w:r>
                </w:p>
              </w:tc>
              <w:tc>
                <w:tcPr>
                  <w:tcW w:w="875" w:type="dxa"/>
                </w:tcPr>
                <w:p w:rsidR="00000000" w:rsidRDefault="00012593">
                  <w:pPr>
                    <w:jc w:val="center"/>
                    <w:rPr>
                      <w:rFonts w:ascii="Arial" w:hAnsi="Arial" w:cs="Arial"/>
                      <w:b/>
                      <w:bCs/>
                    </w:rPr>
                  </w:pPr>
                  <w:r>
                    <w:rPr>
                      <w:rFonts w:ascii="Arial" w:hAnsi="Arial" w:cs="Arial"/>
                      <w:b/>
                      <w:bCs/>
                      <w:position w:val="-10"/>
                    </w:rPr>
                    <w:object w:dxaOrig="300" w:dyaOrig="340">
                      <v:shape id="_x0000_i1038" type="#_x0000_t75" style="width:15.45pt;height:17.15pt" o:ole="">
                        <v:imagedata r:id="rId14" o:title=""/>
                      </v:shape>
                      <o:OLEObject Type="Embed" ProgID="Equation.3" ShapeID="_x0000_i1038" DrawAspect="Content" ObjectID="_1308047159" r:id="rId26"/>
                    </w:object>
                  </w:r>
                </w:p>
              </w:tc>
            </w:tr>
            <w:tr w:rsidR="00000000">
              <w:tblPrEx>
                <w:tblCellMar>
                  <w:top w:w="0" w:type="dxa"/>
                  <w:bottom w:w="0" w:type="dxa"/>
                </w:tblCellMar>
              </w:tblPrEx>
              <w:trPr>
                <w:jc w:val="center"/>
              </w:trPr>
              <w:tc>
                <w:tcPr>
                  <w:tcW w:w="816" w:type="dxa"/>
                </w:tcPr>
                <w:p w:rsidR="00000000" w:rsidRDefault="00012593">
                  <w:pPr>
                    <w:jc w:val="center"/>
                    <w:rPr>
                      <w:rFonts w:ascii="Arial" w:hAnsi="Arial" w:cs="Arial"/>
                    </w:rPr>
                  </w:pPr>
                  <w:r>
                    <w:rPr>
                      <w:rFonts w:ascii="Arial" w:hAnsi="Arial" w:cs="Arial"/>
                    </w:rPr>
                    <w:t>3.722</w:t>
                  </w:r>
                </w:p>
              </w:tc>
              <w:tc>
                <w:tcPr>
                  <w:tcW w:w="816" w:type="dxa"/>
                </w:tcPr>
                <w:p w:rsidR="00000000" w:rsidRDefault="00012593">
                  <w:pPr>
                    <w:jc w:val="center"/>
                    <w:rPr>
                      <w:rFonts w:ascii="Arial" w:hAnsi="Arial" w:cs="Arial"/>
                    </w:rPr>
                  </w:pPr>
                  <w:r>
                    <w:rPr>
                      <w:rFonts w:ascii="Arial" w:hAnsi="Arial" w:cs="Arial"/>
                    </w:rPr>
                    <w:t>4</w:t>
                  </w:r>
                </w:p>
              </w:tc>
              <w:tc>
                <w:tcPr>
                  <w:tcW w:w="816" w:type="dxa"/>
                </w:tcPr>
                <w:p w:rsidR="00000000" w:rsidRDefault="00012593">
                  <w:pPr>
                    <w:jc w:val="center"/>
                    <w:rPr>
                      <w:rFonts w:ascii="Arial" w:hAnsi="Arial" w:cs="Arial"/>
                    </w:rPr>
                  </w:pPr>
                  <w:r>
                    <w:rPr>
                      <w:rFonts w:ascii="Arial" w:hAnsi="Arial" w:cs="Arial"/>
                    </w:rPr>
                    <w:t>4</w:t>
                  </w:r>
                </w:p>
              </w:tc>
              <w:tc>
                <w:tcPr>
                  <w:tcW w:w="816" w:type="dxa"/>
                </w:tcPr>
                <w:p w:rsidR="00000000" w:rsidRDefault="00012593">
                  <w:pPr>
                    <w:jc w:val="center"/>
                    <w:rPr>
                      <w:rFonts w:ascii="Arial" w:hAnsi="Arial" w:cs="Arial"/>
                    </w:rPr>
                  </w:pPr>
                  <w:r>
                    <w:rPr>
                      <w:rFonts w:ascii="Arial" w:hAnsi="Arial" w:cs="Arial"/>
                    </w:rPr>
                    <w:t>1.061</w:t>
                  </w:r>
                </w:p>
              </w:tc>
              <w:tc>
                <w:tcPr>
                  <w:tcW w:w="816" w:type="dxa"/>
                </w:tcPr>
                <w:p w:rsidR="00000000" w:rsidRDefault="00012593">
                  <w:pPr>
                    <w:jc w:val="center"/>
                    <w:rPr>
                      <w:rFonts w:ascii="Arial" w:hAnsi="Arial" w:cs="Arial"/>
                    </w:rPr>
                  </w:pPr>
                  <w:r>
                    <w:rPr>
                      <w:rFonts w:ascii="Arial" w:hAnsi="Arial" w:cs="Arial"/>
                    </w:rPr>
                    <w:t>1.126</w:t>
                  </w:r>
                </w:p>
              </w:tc>
              <w:tc>
                <w:tcPr>
                  <w:tcW w:w="954" w:type="dxa"/>
                </w:tcPr>
                <w:p w:rsidR="00000000" w:rsidRDefault="00012593">
                  <w:pPr>
                    <w:jc w:val="center"/>
                    <w:rPr>
                      <w:rFonts w:ascii="Arial" w:hAnsi="Arial" w:cs="Arial"/>
                    </w:rPr>
                  </w:pPr>
                  <w:r>
                    <w:rPr>
                      <w:rFonts w:ascii="Arial" w:hAnsi="Arial" w:cs="Arial"/>
                    </w:rPr>
                    <w:t>-0.713</w:t>
                  </w:r>
                </w:p>
              </w:tc>
              <w:tc>
                <w:tcPr>
                  <w:tcW w:w="875" w:type="dxa"/>
                </w:tcPr>
                <w:p w:rsidR="00000000" w:rsidRDefault="00012593">
                  <w:pPr>
                    <w:jc w:val="center"/>
                    <w:rPr>
                      <w:rFonts w:ascii="Arial" w:hAnsi="Arial" w:cs="Arial"/>
                    </w:rPr>
                  </w:pPr>
                  <w:r>
                    <w:rPr>
                      <w:rFonts w:ascii="Arial" w:hAnsi="Arial" w:cs="Arial"/>
                    </w:rPr>
                    <w:t>0.041</w:t>
                  </w:r>
                </w:p>
              </w:tc>
            </w:tr>
          </w:tbl>
          <w:p w:rsidR="00000000" w:rsidRDefault="00012593">
            <w:pPr>
              <w:jc w:val="center"/>
              <w:rPr>
                <w:rFonts w:ascii="Arial" w:hAnsi="Arial" w:cs="Arial"/>
                <w:b/>
                <w:bCs/>
                <w:i/>
                <w:iCs/>
              </w:rPr>
            </w:pPr>
            <w:r>
              <w:rPr>
                <w:rFonts w:ascii="Arial" w:hAnsi="Arial" w:cs="Arial"/>
                <w:i/>
                <w:iCs/>
              </w:rPr>
              <w:t xml:space="preserve">Fuente y elaboración: Yajaira </w:t>
            </w:r>
            <w:r>
              <w:rPr>
                <w:rFonts w:ascii="Arial" w:hAnsi="Arial" w:cs="Arial"/>
                <w:i/>
                <w:iCs/>
              </w:rPr>
              <w:t>Vásquez</w:t>
            </w:r>
          </w:p>
        </w:tc>
      </w:tr>
    </w:tbl>
    <w:p w:rsidR="00000000" w:rsidRDefault="00012593">
      <w:pPr>
        <w:ind w:left="1080"/>
        <w:jc w:val="both"/>
        <w:rPr>
          <w:rFonts w:ascii="Arial" w:hAnsi="Arial" w:cs="Arial"/>
          <w:b/>
          <w:bCs/>
        </w:rPr>
      </w:pPr>
    </w:p>
    <w:p w:rsidR="00000000" w:rsidRDefault="00012593">
      <w:pPr>
        <w:pStyle w:val="Textoindependiente2"/>
      </w:pPr>
    </w:p>
    <w:p w:rsidR="00000000" w:rsidRDefault="00012593">
      <w:pPr>
        <w:pStyle w:val="Textoindependiente2"/>
      </w:pPr>
      <w:r>
        <w:t>El análisis de las variables restantes puede ser consultado en la tesis de la cual se toma referencia para este contenido.</w:t>
      </w:r>
    </w:p>
    <w:p w:rsidR="00000000" w:rsidRDefault="00012593">
      <w:pPr>
        <w:pStyle w:val="Textoindependiente2"/>
      </w:pPr>
    </w:p>
    <w:p w:rsidR="00000000" w:rsidRDefault="00012593">
      <w:pPr>
        <w:pStyle w:val="Textoindependiente2"/>
      </w:pPr>
      <w:r>
        <w:lastRenderedPageBreak/>
        <w:t xml:space="preserve">Por considerar que las personas que no han requerido de los servicios, no pueden informar un grado de satisfacción hacia </w:t>
      </w:r>
      <w:r>
        <w:t>un servicio, se utiliza la ojivas para la comparación de servicios, las mismas que nos dan como resultado que en calificaciones del 1 al 100, los estudiantes han denominado como el mejor servicios, al uso de cancha de índor fútbol, y como el servicio menos</w:t>
      </w:r>
      <w:r>
        <w:t xml:space="preserve"> satisfactorio, lo han calificado al precio de los productos de almacenes politécnicos, comparaciones que se presenta a continuación:</w:t>
      </w:r>
    </w:p>
    <w:p w:rsidR="00000000" w:rsidRDefault="00012593">
      <w:pPr>
        <w:pStyle w:val="Textoindependiente2"/>
      </w:pPr>
    </w:p>
    <w:p w:rsidR="00000000" w:rsidRDefault="00012593">
      <w:pPr>
        <w:pStyle w:val="Textoindependiente2"/>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tblPr>
      <w:tblGrid>
        <w:gridCol w:w="8978"/>
      </w:tblGrid>
      <w:tr w:rsidR="00000000">
        <w:tblPrEx>
          <w:tblCellMar>
            <w:top w:w="0" w:type="dxa"/>
            <w:bottom w:w="0" w:type="dxa"/>
          </w:tblCellMar>
        </w:tblPrEx>
        <w:tc>
          <w:tcPr>
            <w:tcW w:w="8978" w:type="dxa"/>
          </w:tcPr>
          <w:p w:rsidR="00000000" w:rsidRDefault="00012593">
            <w:pPr>
              <w:pStyle w:val="Textoindependiente2"/>
              <w:jc w:val="center"/>
              <w:rPr>
                <w:b/>
                <w:bCs/>
              </w:rPr>
            </w:pPr>
            <w:r>
              <w:rPr>
                <w:b/>
                <w:bCs/>
              </w:rPr>
              <w:t>GRÁFICO 4</w:t>
            </w:r>
          </w:p>
          <w:p w:rsidR="00000000" w:rsidRDefault="00012593">
            <w:pPr>
              <w:pStyle w:val="Textoindependiente2"/>
              <w:jc w:val="center"/>
              <w:rPr>
                <w:b/>
                <w:bCs/>
              </w:rPr>
            </w:pPr>
            <w:r>
              <w:rPr>
                <w:b/>
                <w:bCs/>
              </w:rPr>
              <w:t>OJIVAS COMPARATIVAS ENTRE EL USO DEL CANCHA DE INDOR FÚTBOL Y EL PRECIO DE LOS PRODUCTOS EN LAS ALMACENES POLI</w:t>
            </w:r>
            <w:r>
              <w:rPr>
                <w:b/>
                <w:bCs/>
              </w:rPr>
              <w:t>TÉCNICAS</w:t>
            </w:r>
          </w:p>
          <w:p w:rsidR="00000000" w:rsidRDefault="00B54F9C">
            <w:pPr>
              <w:pStyle w:val="Textoindependiente2"/>
              <w:jc w:val="center"/>
              <w:rPr>
                <w:i/>
                <w:iCs/>
              </w:rPr>
            </w:pPr>
            <w:r>
              <w:rPr>
                <w:b/>
                <w:bCs/>
                <w:i/>
                <w:iCs/>
                <w:noProof/>
                <w:sz w:val="20"/>
              </w:rPr>
              <w:drawing>
                <wp:anchor distT="0" distB="0" distL="114300" distR="114300" simplePos="0" relativeHeight="251659264" behindDoc="0" locked="0" layoutInCell="1" allowOverlap="1">
                  <wp:simplePos x="0" y="0"/>
                  <wp:positionH relativeFrom="column">
                    <wp:posOffset>748665</wp:posOffset>
                  </wp:positionH>
                  <wp:positionV relativeFrom="paragraph">
                    <wp:posOffset>26670</wp:posOffset>
                  </wp:positionV>
                  <wp:extent cx="4114800" cy="2933700"/>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a:srcRect/>
                          <a:stretch>
                            <a:fillRect/>
                          </a:stretch>
                        </pic:blipFill>
                        <pic:spPr bwMode="auto">
                          <a:xfrm>
                            <a:off x="0" y="0"/>
                            <a:ext cx="4114800" cy="2933700"/>
                          </a:xfrm>
                          <a:prstGeom prst="rect">
                            <a:avLst/>
                          </a:prstGeom>
                          <a:noFill/>
                        </pic:spPr>
                      </pic:pic>
                    </a:graphicData>
                  </a:graphic>
                </wp:anchor>
              </w:drawing>
            </w:r>
            <w:r w:rsidR="00012593">
              <w:rPr>
                <w:i/>
                <w:iCs/>
              </w:rPr>
              <w:t>Fuente y elaboración: Yajaira Vásquez</w:t>
            </w:r>
          </w:p>
        </w:tc>
      </w:tr>
    </w:tbl>
    <w:p w:rsidR="00000000" w:rsidRDefault="00012593">
      <w:pPr>
        <w:pStyle w:val="Textoindependiente2"/>
      </w:pPr>
    </w:p>
    <w:p w:rsidR="00000000" w:rsidRDefault="00012593">
      <w:pPr>
        <w:pStyle w:val="Textoindependiente2"/>
      </w:pPr>
    </w:p>
    <w:p w:rsidR="00000000" w:rsidRDefault="00012593">
      <w:pPr>
        <w:pStyle w:val="Textoindependiente2"/>
      </w:pPr>
      <w:r>
        <w:t xml:space="preserve">En cuanto al análisis multivariado, se realizó el análisis de distribuciones conjuntas, que nos permite saber en proporciones las opiniones de los estudiantes frente a dos servicios, las mismas que pueden </w:t>
      </w:r>
      <w:r>
        <w:t>ser observadas en el texto de la tesis de referencia.</w:t>
      </w:r>
    </w:p>
    <w:p w:rsidR="00000000" w:rsidRDefault="00012593">
      <w:pPr>
        <w:pStyle w:val="Textoindependiente2"/>
      </w:pPr>
    </w:p>
    <w:p w:rsidR="00000000" w:rsidRDefault="00012593">
      <w:pPr>
        <w:pStyle w:val="Textoindependiente2"/>
        <w:rPr>
          <w:b/>
          <w:bCs/>
        </w:rPr>
      </w:pPr>
    </w:p>
    <w:p w:rsidR="00000000" w:rsidRDefault="00012593">
      <w:pPr>
        <w:pStyle w:val="Textoindependiente2"/>
        <w:jc w:val="center"/>
        <w:rPr>
          <w:b/>
          <w:bCs/>
        </w:rPr>
      </w:pPr>
      <w:r>
        <w:rPr>
          <w:b/>
          <w:bCs/>
        </w:rPr>
        <w:t>CONCLUSIONES</w:t>
      </w:r>
    </w:p>
    <w:p w:rsidR="00000000" w:rsidRDefault="00012593">
      <w:pPr>
        <w:pStyle w:val="Textoindependiente2"/>
      </w:pPr>
    </w:p>
    <w:p w:rsidR="00000000" w:rsidRDefault="00012593">
      <w:pPr>
        <w:jc w:val="both"/>
        <w:rPr>
          <w:rFonts w:ascii="Arial" w:hAnsi="Arial" w:cs="Arial"/>
        </w:rPr>
      </w:pPr>
      <w:r>
        <w:rPr>
          <w:rFonts w:ascii="Arial" w:hAnsi="Arial" w:cs="Arial"/>
        </w:rPr>
        <w:t xml:space="preserve">En cuanto al servicio de </w:t>
      </w:r>
      <w:r>
        <w:rPr>
          <w:rFonts w:ascii="Arial" w:hAnsi="Arial" w:cs="Arial"/>
          <w:i/>
          <w:iCs/>
        </w:rPr>
        <w:t>préstamo de libros</w:t>
      </w:r>
      <w:r>
        <w:rPr>
          <w:rFonts w:ascii="Arial" w:hAnsi="Arial" w:cs="Arial"/>
        </w:rPr>
        <w:t xml:space="preserve"> que ofrece la biblioteca, el 26% de los estudiantes de carreras tradicionales entrevistados, declaran tener un alto grado de satisfacción, el </w:t>
      </w:r>
      <w:r>
        <w:rPr>
          <w:rFonts w:ascii="Arial" w:hAnsi="Arial" w:cs="Arial"/>
        </w:rPr>
        <w:t>27% posee un grado de satisfacción indiferente, 26% de los estudiantes se encuentran insatisfechos, 15% excelentemente satisfechos, y son pocos los estudiantes que no usan el servicio, ya que solo representan el 6% de la muestra.</w:t>
      </w:r>
    </w:p>
    <w:p w:rsidR="00000000" w:rsidRDefault="00012593">
      <w:pPr>
        <w:jc w:val="both"/>
        <w:rPr>
          <w:rFonts w:ascii="Arial" w:hAnsi="Arial" w:cs="Arial"/>
        </w:rPr>
      </w:pPr>
    </w:p>
    <w:p w:rsidR="00000000" w:rsidRDefault="00012593">
      <w:pPr>
        <w:jc w:val="both"/>
        <w:rPr>
          <w:rFonts w:ascii="Arial" w:hAnsi="Arial" w:cs="Arial"/>
        </w:rPr>
      </w:pPr>
      <w:r>
        <w:rPr>
          <w:rFonts w:ascii="Arial" w:hAnsi="Arial" w:cs="Arial"/>
        </w:rPr>
        <w:lastRenderedPageBreak/>
        <w:t xml:space="preserve">Ante la </w:t>
      </w:r>
      <w:r>
        <w:rPr>
          <w:rFonts w:ascii="Arial" w:hAnsi="Arial" w:cs="Arial"/>
          <w:i/>
          <w:iCs/>
        </w:rPr>
        <w:t>variedad de libro</w:t>
      </w:r>
      <w:r>
        <w:rPr>
          <w:rFonts w:ascii="Arial" w:hAnsi="Arial" w:cs="Arial"/>
          <w:i/>
          <w:iCs/>
        </w:rPr>
        <w:t>s</w:t>
      </w:r>
      <w:r>
        <w:rPr>
          <w:rFonts w:ascii="Arial" w:hAnsi="Arial" w:cs="Arial"/>
        </w:rPr>
        <w:t xml:space="preserve"> con los que cuenta la biblioteca de la ESPOL, 29% de los estudiantes entrevistados declaran encontrarse altamente satisfechos, 27% se encentran con un grado de satisfacción indiferente,  29% posee grados de satisfacción bajos, 12% están con grado de sati</w:t>
      </w:r>
      <w:r>
        <w:rPr>
          <w:rFonts w:ascii="Arial" w:hAnsi="Arial" w:cs="Arial"/>
        </w:rPr>
        <w:t>sfacción excelente y solo el 2% de los estudiantes no se acercan a la biblioteca para hacer uso del material bibliográfico.</w:t>
      </w:r>
    </w:p>
    <w:p w:rsidR="00000000" w:rsidRDefault="00012593">
      <w:pPr>
        <w:jc w:val="both"/>
        <w:rPr>
          <w:rFonts w:ascii="Arial" w:hAnsi="Arial" w:cs="Arial"/>
        </w:rPr>
      </w:pPr>
    </w:p>
    <w:p w:rsidR="00000000" w:rsidRDefault="00012593">
      <w:pPr>
        <w:pStyle w:val="Textoindependiente2"/>
      </w:pPr>
      <w:r>
        <w:t xml:space="preserve">Frente a la </w:t>
      </w:r>
      <w:r>
        <w:rPr>
          <w:i/>
          <w:iCs/>
        </w:rPr>
        <w:t>calidad del material bibliográfico</w:t>
      </w:r>
      <w:r>
        <w:t xml:space="preserve"> con el que cuenta la biblioteca, de cada cien estudiantes entrevistados que pertenec</w:t>
      </w:r>
      <w:r>
        <w:t>en a las carreras tradicionales, se pudo conocer que 33 opinan encontrarse altamente satisfechos, 28 estudiantes declaran poseer un grado de satisfacción indiferente, 29 de ellos expresaron que no consideran de buena calidad el material bibliográfico, mien</w:t>
      </w:r>
      <w:r>
        <w:t>tras que 8 estudiantes poseen excelente grado de satisfacción, y solamente 2 de los estudiantes no tienen conocimiento de la calidad del material bibliográfico por no haber requerido de este.</w:t>
      </w:r>
    </w:p>
    <w:p w:rsidR="00000000" w:rsidRDefault="00012593">
      <w:pPr>
        <w:pStyle w:val="Textoindependiente2"/>
      </w:pPr>
    </w:p>
    <w:p w:rsidR="00000000" w:rsidRDefault="00012593">
      <w:pPr>
        <w:pStyle w:val="Textoindependiente2"/>
      </w:pPr>
      <w:r>
        <w:t>Los servicios que ofrece una de la dependencias administrativas</w:t>
      </w:r>
      <w:r>
        <w:t xml:space="preserve"> de la ESPOL que es el Centro de Registros, Calificaciones y Estadísticas (CRECE), reciben diferentes calificativos por los estudiantes de las carreras tradicionales, a excepción de aquellos que no han requerido los servicios, por cuanto en lo que se refie</w:t>
      </w:r>
      <w:r>
        <w:t xml:space="preserve">re a los </w:t>
      </w:r>
      <w:r>
        <w:rPr>
          <w:i/>
          <w:iCs/>
        </w:rPr>
        <w:t>cambios de paralelos</w:t>
      </w:r>
      <w:r>
        <w:t xml:space="preserve"> que realizan, el 23% de los estudiantes declaran no usar el servicio, el 32% de los estudiantes están insatisfechos,  el 22%  de los estudiantes expresó tener indiferente grado de satisfacción y el 23% de ellos se manifestó sa</w:t>
      </w:r>
      <w:r>
        <w:t xml:space="preserve">tisfecho en la investigación ante este servicio, otro de los servicios como los </w:t>
      </w:r>
      <w:r>
        <w:rPr>
          <w:i/>
          <w:iCs/>
        </w:rPr>
        <w:t>cambios de carreras</w:t>
      </w:r>
      <w:r>
        <w:t xml:space="preserve"> que realizan, el 43% de los estudiantes entrevistados no han realizado cambio de carrera alguno, el 23% lo consideran mal servicio, el 19% se manifestó indi</w:t>
      </w:r>
      <w:r>
        <w:t xml:space="preserve">ferente y el 15% de los estudiantes restante, ha declarado estar satisfecho; ante las </w:t>
      </w:r>
      <w:r>
        <w:rPr>
          <w:i/>
          <w:iCs/>
        </w:rPr>
        <w:t>convalidaciones de materias</w:t>
      </w:r>
      <w:r>
        <w:t>, el 48% de los estudiantes  no han necesitado de este trámite, el 22% de los estudiantes se expresó insatisfecho, el 17% posee un grado de sat</w:t>
      </w:r>
      <w:r>
        <w:t>isfacción indiferente y solo el 14% de los estudiantes entrevistados revelaron estar satisfechos con este servicio.</w:t>
      </w:r>
    </w:p>
    <w:p w:rsidR="00000000" w:rsidRDefault="00012593">
      <w:pPr>
        <w:pStyle w:val="Textoindependiente2"/>
      </w:pPr>
    </w:p>
    <w:p w:rsidR="00000000" w:rsidRDefault="00012593">
      <w:pPr>
        <w:pStyle w:val="Textoindependiente2"/>
      </w:pPr>
      <w:r>
        <w:t xml:space="preserve">El </w:t>
      </w:r>
      <w:r>
        <w:rPr>
          <w:i/>
          <w:iCs/>
        </w:rPr>
        <w:t>dispensario médico</w:t>
      </w:r>
      <w:r>
        <w:t xml:space="preserve"> que existe en el departamento de Bienestar y Asuntos Estudiantiles de la ESPOL, no ha sido requerido por el 34% de lo</w:t>
      </w:r>
      <w:r>
        <w:t>s estudiantes entrevistados, un 19% posee grado de satisfacción indiferente ante él, un 32% se encuentra altamente satisfecho con el servicio, y solo un 15%  de los estudiantes declara estar insatisfecho.</w:t>
      </w:r>
    </w:p>
    <w:p w:rsidR="00000000" w:rsidRDefault="00012593">
      <w:pPr>
        <w:pStyle w:val="Textoindependiente2"/>
      </w:pPr>
    </w:p>
    <w:p w:rsidR="00000000" w:rsidRDefault="00012593">
      <w:pPr>
        <w:pStyle w:val="Textoindependiente2"/>
      </w:pPr>
      <w:r>
        <w:t>Los servicios que el departamento de bienestar y a</w:t>
      </w:r>
      <w:r>
        <w:t xml:space="preserve">suntos estudiantiles a través del </w:t>
      </w:r>
      <w:r>
        <w:rPr>
          <w:i/>
          <w:iCs/>
        </w:rPr>
        <w:t>dispensario odontológico</w:t>
      </w:r>
      <w:r>
        <w:t xml:space="preserve">, </w:t>
      </w:r>
      <w:r>
        <w:rPr>
          <w:i/>
          <w:iCs/>
        </w:rPr>
        <w:t>seguro de vida</w:t>
      </w:r>
      <w:r>
        <w:t xml:space="preserve"> y </w:t>
      </w:r>
      <w:r>
        <w:rPr>
          <w:i/>
          <w:iCs/>
        </w:rPr>
        <w:t xml:space="preserve">crédito educativo (IECE), </w:t>
      </w:r>
      <w:r>
        <w:t>ofrece a los estudiantes de las carreras tradicionales, no son utilizados o conocidos por la mayoría de los estudiantes de las carreras tradicionales, ya</w:t>
      </w:r>
      <w:r>
        <w:t xml:space="preserve"> sea por no necesitar de ellos o por tener otras fuentes de donde ellos se sirven, ya que más del 52% de los estudiantes han declarado que no han requerido de estos servicios, y quienes sí han hecho uso de los servicios, un 15% se encuentran con un grado d</w:t>
      </w:r>
      <w:r>
        <w:t>e satisfacción indiferente, el 12% se encuentra insatisfecho y el 21% de los estudiantes restantes, se encuentran satisfechos con estos servicios.</w:t>
      </w:r>
    </w:p>
    <w:p w:rsidR="00000000" w:rsidRDefault="00012593">
      <w:pPr>
        <w:pStyle w:val="Textoindependiente2"/>
      </w:pPr>
    </w:p>
    <w:p w:rsidR="00000000" w:rsidRDefault="00012593">
      <w:pPr>
        <w:pStyle w:val="Textoindependiente2"/>
      </w:pPr>
      <w:r>
        <w:t xml:space="preserve">La </w:t>
      </w:r>
      <w:r>
        <w:rPr>
          <w:i/>
          <w:iCs/>
        </w:rPr>
        <w:t>atención</w:t>
      </w:r>
      <w:r>
        <w:t xml:space="preserve"> que existe en los bares y comedores </w:t>
      </w:r>
      <w:r>
        <w:rPr>
          <w:i/>
          <w:iCs/>
        </w:rPr>
        <w:t>hacia los estudiantes</w:t>
      </w:r>
      <w:r>
        <w:t xml:space="preserve"> es considerada como insatisfactoria po</w:t>
      </w:r>
      <w:r>
        <w:t>r el 41% de los mismos, el 27% se muestra con grado de satisfacción indiferente y el 28% opina que es satisfactoria para ellos, el porcentaje restante de estudiantes, no han requerido este servicio.</w:t>
      </w:r>
    </w:p>
    <w:p w:rsidR="00000000" w:rsidRDefault="00012593">
      <w:pPr>
        <w:pStyle w:val="Textoindependiente2"/>
      </w:pPr>
    </w:p>
    <w:p w:rsidR="00000000" w:rsidRDefault="00012593">
      <w:pPr>
        <w:pStyle w:val="Textoindependiente2"/>
      </w:pPr>
      <w:r>
        <w:t xml:space="preserve">El 48% de los estudiantes de las carreras tradicionales </w:t>
      </w:r>
      <w:r>
        <w:t xml:space="preserve">que fueron entrevistados expresaron que la </w:t>
      </w:r>
      <w:r>
        <w:rPr>
          <w:i/>
          <w:iCs/>
        </w:rPr>
        <w:t>variedad de alimentos</w:t>
      </w:r>
      <w:r>
        <w:t xml:space="preserve"> que poseen los bares y comedores de la ESPOL es insatisfactoria, el 17% consideran lo contrario, existiendo también un 23% de los estudiantes que se encuentran en la mitad, es decir no lo con</w:t>
      </w:r>
      <w:r>
        <w:t>sideran ni bueno ni malo al servicio y solo un 4% no conoce esta clase de servicio en los bares.</w:t>
      </w:r>
    </w:p>
    <w:p w:rsidR="00000000" w:rsidRDefault="00012593">
      <w:pPr>
        <w:pStyle w:val="Textoindependiente2"/>
      </w:pPr>
    </w:p>
    <w:p w:rsidR="00000000" w:rsidRDefault="00012593">
      <w:pPr>
        <w:pStyle w:val="Textoindependiente2"/>
      </w:pPr>
      <w:r>
        <w:t xml:space="preserve">El </w:t>
      </w:r>
      <w:r>
        <w:rPr>
          <w:i/>
          <w:iCs/>
        </w:rPr>
        <w:t>precio de los alimentos</w:t>
      </w:r>
      <w:r>
        <w:t xml:space="preserve"> es otro de los servicios que brindan los bares y comedores que los estudiantes de las carreras tradicionales como clientes, no lo c</w:t>
      </w:r>
      <w:r>
        <w:t>onsideran bueno, ya que el 48% se encuentra con bajos grados de satisfacción ante él, el 28% indiferente y solo el 21% lo califica como satisfactorio, el porcentaje restante de estudiantes, no acude a estos a lugares motivo por el cual declara no haber req</w:t>
      </w:r>
      <w:r>
        <w:t>uerido este servicio.</w:t>
      </w:r>
    </w:p>
    <w:p w:rsidR="00000000" w:rsidRDefault="00012593">
      <w:pPr>
        <w:pStyle w:val="Textoindependiente2"/>
      </w:pPr>
    </w:p>
    <w:p w:rsidR="00000000" w:rsidRDefault="00012593">
      <w:pPr>
        <w:pStyle w:val="Textoindependiente2"/>
      </w:pPr>
      <w:r>
        <w:t xml:space="preserve">Frente al servicio de </w:t>
      </w:r>
      <w:r>
        <w:rPr>
          <w:i/>
          <w:iCs/>
        </w:rPr>
        <w:t>transporte</w:t>
      </w:r>
      <w:r>
        <w:t xml:space="preserve"> que la ESPOL ofrece a los estudiantes de las carreras tradicionales, el 43% de los estudiantes entrevistados se encuentran insatisfechos, el 31% satisfechos, el 23% lo califican ni como bueno ni como </w:t>
      </w:r>
      <w:r>
        <w:t>malo y solo el 3% no ha requerido de él.</w:t>
      </w:r>
    </w:p>
    <w:p w:rsidR="00000000" w:rsidRDefault="00012593">
      <w:pPr>
        <w:pStyle w:val="Textoindependiente2"/>
      </w:pPr>
    </w:p>
    <w:p w:rsidR="00000000" w:rsidRDefault="00012593">
      <w:pPr>
        <w:pStyle w:val="Textoindependiente2"/>
      </w:pPr>
      <w:r>
        <w:t xml:space="preserve">El motivo por el que con más frecuencia se acercan los estudiantes de carreras tradicionales a comprar a los </w:t>
      </w:r>
      <w:r>
        <w:rPr>
          <w:i/>
          <w:iCs/>
        </w:rPr>
        <w:t>almacenes politécnicos</w:t>
      </w:r>
      <w:r>
        <w:t xml:space="preserve">, es por </w:t>
      </w:r>
      <w:r>
        <w:rPr>
          <w:i/>
          <w:iCs/>
        </w:rPr>
        <w:t>no existir</w:t>
      </w:r>
      <w:r>
        <w:t xml:space="preserve"> </w:t>
      </w:r>
      <w:r>
        <w:rPr>
          <w:i/>
          <w:iCs/>
        </w:rPr>
        <w:t>otro lugar  donde recurrir</w:t>
      </w:r>
      <w:r>
        <w:t>, debido a que el 47% de los estudian</w:t>
      </w:r>
      <w:r>
        <w:t xml:space="preserve">tes le han dado la mayor prioridad, y el </w:t>
      </w:r>
      <w:r>
        <w:rPr>
          <w:i/>
          <w:iCs/>
        </w:rPr>
        <w:t>precio</w:t>
      </w:r>
      <w:r>
        <w:t xml:space="preserve"> es el motivo por el que menos acuden, representado por el 39% de los estudiantes.</w:t>
      </w:r>
    </w:p>
    <w:p w:rsidR="00000000" w:rsidRDefault="00012593">
      <w:pPr>
        <w:pStyle w:val="Textoindependiente2"/>
      </w:pPr>
    </w:p>
    <w:p w:rsidR="00000000" w:rsidRDefault="00012593">
      <w:pPr>
        <w:pStyle w:val="Textoindependiente2"/>
      </w:pPr>
      <w:r>
        <w:t xml:space="preserve">En cuanto a la </w:t>
      </w:r>
      <w:r>
        <w:rPr>
          <w:i/>
          <w:iCs/>
        </w:rPr>
        <w:t>seguridad</w:t>
      </w:r>
      <w:r>
        <w:t xml:space="preserve"> hacia la integridad moral y física que brinda la ESPOL a través de guardias en las diferentes áreas </w:t>
      </w:r>
      <w:r>
        <w:t xml:space="preserve">como son: </w:t>
      </w:r>
      <w:r>
        <w:rPr>
          <w:i/>
          <w:iCs/>
        </w:rPr>
        <w:t>aulas, espacios verdes, instalaciones deportivas, estacionamientos y dependencias administrativas</w:t>
      </w:r>
      <w:r>
        <w:t>, los estudiantes entrevistados que pertenecen  a las carreras tradicionales declaran que es un buen servicio que la ESPOL les ofrece, ya que más del</w:t>
      </w:r>
      <w:r>
        <w:t xml:space="preserve"> 53% de ellos se encuentran satisfechos, menos de 14% opina lo contrario, es decir se encuentran poco y muy insatisfechos, y del 22% al 26% opinan tener un grado de satisfacción indiferente, con la excepción de  la seguridad en los estacionamientos, que el</w:t>
      </w:r>
      <w:r>
        <w:t xml:space="preserve"> 27% no la conoce y el 44% de los estudiantes se encuentran satisfechos con este servicio, a partir de esto se puede decir que los estudiantes se encuentran seguros dentro de la ESPOL.</w:t>
      </w:r>
    </w:p>
    <w:p w:rsidR="00000000" w:rsidRDefault="00012593">
      <w:pPr>
        <w:pStyle w:val="Textoindependiente2"/>
      </w:pPr>
    </w:p>
    <w:p w:rsidR="00000000" w:rsidRDefault="00012593">
      <w:pPr>
        <w:pStyle w:val="Textoindependiente2"/>
      </w:pPr>
    </w:p>
    <w:p w:rsidR="00000000" w:rsidRDefault="00012593">
      <w:pPr>
        <w:pStyle w:val="Textoindependiente2"/>
      </w:pPr>
      <w:r>
        <w:t>La mayoría de estudiantes entrevistados de las carreras tradicionales</w:t>
      </w:r>
      <w:r>
        <w:t xml:space="preserve"> se encuentran satisfechos por la </w:t>
      </w:r>
      <w:r>
        <w:rPr>
          <w:i/>
          <w:iCs/>
        </w:rPr>
        <w:t>atención que reciben en las facultades o institutos</w:t>
      </w:r>
      <w:r>
        <w:t xml:space="preserve"> de la ESPOL, debido a que el 58% declara tener grados de satisfacción altos, 26% </w:t>
      </w:r>
      <w:r>
        <w:lastRenderedPageBreak/>
        <w:t>de los estudiantes expresó tener un grado de satisfacción indiferente y es solo un 16% lo</w:t>
      </w:r>
      <w:r>
        <w:t>s estudiantes que se encuentran insatisfechos.</w:t>
      </w:r>
    </w:p>
    <w:p w:rsidR="00000000" w:rsidRDefault="00012593">
      <w:pPr>
        <w:pStyle w:val="Textoindependiente2"/>
      </w:pPr>
    </w:p>
    <w:p w:rsidR="00000000" w:rsidRDefault="00012593">
      <w:pPr>
        <w:jc w:val="both"/>
        <w:rPr>
          <w:rFonts w:ascii="Arial" w:hAnsi="Arial" w:cs="Arial"/>
        </w:rPr>
      </w:pPr>
      <w:r>
        <w:rPr>
          <w:rFonts w:ascii="Arial" w:hAnsi="Arial" w:cs="Arial"/>
        </w:rPr>
        <w:t xml:space="preserve">El </w:t>
      </w:r>
      <w:r>
        <w:rPr>
          <w:rFonts w:ascii="Arial" w:hAnsi="Arial" w:cs="Arial"/>
          <w:i/>
          <w:iCs/>
        </w:rPr>
        <w:t>valor en dólares</w:t>
      </w:r>
      <w:r>
        <w:rPr>
          <w:rFonts w:ascii="Arial" w:hAnsi="Arial" w:cs="Arial"/>
        </w:rPr>
        <w:t xml:space="preserve"> que paga el estudiante de las carreras tradicionales </w:t>
      </w:r>
      <w:r>
        <w:rPr>
          <w:rFonts w:ascii="Arial" w:hAnsi="Arial" w:cs="Arial"/>
          <w:i/>
          <w:iCs/>
        </w:rPr>
        <w:t>por un semestre académico</w:t>
      </w:r>
      <w:r>
        <w:rPr>
          <w:rFonts w:ascii="Arial" w:hAnsi="Arial" w:cs="Arial"/>
        </w:rPr>
        <w:t>, lo consideran cómodo, porque el 59% de los estudiantes se encuentra satisfecho con este valor,  el 23% posee</w:t>
      </w:r>
      <w:r>
        <w:rPr>
          <w:rFonts w:ascii="Arial" w:hAnsi="Arial" w:cs="Arial"/>
        </w:rPr>
        <w:t xml:space="preserve"> un grado de satisfacción indiferente y solo el 18% de los estudiantes lo considera elevado a este valor.</w:t>
      </w:r>
    </w:p>
    <w:p w:rsidR="00000000" w:rsidRDefault="00012593">
      <w:pPr>
        <w:pStyle w:val="Textoindependiente2"/>
      </w:pPr>
    </w:p>
    <w:p w:rsidR="00000000" w:rsidRDefault="00012593">
      <w:pPr>
        <w:pStyle w:val="Textoindependiente2"/>
      </w:pPr>
      <w:r>
        <w:t xml:space="preserve">El servicio que ofrecen los </w:t>
      </w:r>
      <w:r>
        <w:rPr>
          <w:i/>
          <w:iCs/>
        </w:rPr>
        <w:t>laboratorios de computación</w:t>
      </w:r>
      <w:r>
        <w:t xml:space="preserve"> con los que cuenta la ESPOL, se lo considera buen servicio, debido a que el 59% de los estudi</w:t>
      </w:r>
      <w:r>
        <w:t>antes entrevistados que pertenecen a las carreras tradicionales tienen grados de satisfacción altos, el 23% se encuentra en una posición indiferente, y solo el 18% lo cataloga como mal servicio.</w:t>
      </w:r>
    </w:p>
    <w:p w:rsidR="00000000" w:rsidRDefault="00012593">
      <w:pPr>
        <w:pStyle w:val="Textoindependiente2"/>
      </w:pPr>
    </w:p>
    <w:p w:rsidR="00000000" w:rsidRDefault="00012593">
      <w:pPr>
        <w:pStyle w:val="Textoindependiente2"/>
      </w:pPr>
      <w:r>
        <w:t xml:space="preserve">La </w:t>
      </w:r>
      <w:r>
        <w:rPr>
          <w:i/>
          <w:iCs/>
        </w:rPr>
        <w:t>enseñanza</w:t>
      </w:r>
      <w:r>
        <w:t xml:space="preserve"> que otorga el </w:t>
      </w:r>
      <w:r>
        <w:rPr>
          <w:i/>
          <w:iCs/>
        </w:rPr>
        <w:t>Centro de Enseñanza de Lenguas Ex</w:t>
      </w:r>
      <w:r>
        <w:rPr>
          <w:i/>
          <w:iCs/>
        </w:rPr>
        <w:t>tranjeras</w:t>
      </w:r>
      <w:r>
        <w:t xml:space="preserve"> a los estudiantes de las carreras tradicionales, no ha sido requerida por el 39% de los estudiantes entrevistados, el 24% se encuentra insatisfecho, el 15% con indiferente grado de satisfacción, y el 22% se encuentran satisfechos.</w:t>
      </w:r>
    </w:p>
    <w:p w:rsidR="00000000" w:rsidRDefault="00012593">
      <w:pPr>
        <w:pStyle w:val="Textoindependiente2"/>
      </w:pPr>
    </w:p>
    <w:p w:rsidR="00000000" w:rsidRDefault="00012593">
      <w:pPr>
        <w:jc w:val="both"/>
        <w:rPr>
          <w:rFonts w:ascii="Arial" w:hAnsi="Arial" w:cs="Arial"/>
        </w:rPr>
      </w:pPr>
      <w:r>
        <w:rPr>
          <w:rFonts w:ascii="Arial" w:hAnsi="Arial" w:cs="Arial"/>
        </w:rPr>
        <w:t>Son 64 estudia</w:t>
      </w:r>
      <w:r>
        <w:rPr>
          <w:rFonts w:ascii="Arial" w:hAnsi="Arial" w:cs="Arial"/>
        </w:rPr>
        <w:t xml:space="preserve">ntes entrevistados de cada cien que pertenecen a las carreras tradicionales los que catalogan la </w:t>
      </w:r>
      <w:r>
        <w:rPr>
          <w:rFonts w:ascii="Arial" w:hAnsi="Arial" w:cs="Arial"/>
          <w:i/>
          <w:iCs/>
        </w:rPr>
        <w:t>enseñanza</w:t>
      </w:r>
      <w:r>
        <w:rPr>
          <w:rFonts w:ascii="Arial" w:hAnsi="Arial" w:cs="Arial"/>
        </w:rPr>
        <w:t xml:space="preserve"> que reciben en las unidades académicas de la ESPOL como satisfactoria, 24 que se encuentra con grado de satisfacción indiferente ante este servicio, </w:t>
      </w:r>
      <w:r>
        <w:rPr>
          <w:rFonts w:ascii="Arial" w:hAnsi="Arial" w:cs="Arial"/>
        </w:rPr>
        <w:t>y solo 12 de cada cien estudiantes entrevistados la cataloga como una enseñanza que no se ajusta a sus requerimientos.</w:t>
      </w:r>
    </w:p>
    <w:p w:rsidR="00000000" w:rsidRDefault="00012593">
      <w:pPr>
        <w:jc w:val="both"/>
        <w:rPr>
          <w:rFonts w:ascii="Arial" w:hAnsi="Arial" w:cs="Arial"/>
        </w:rPr>
      </w:pPr>
    </w:p>
    <w:p w:rsidR="00000000" w:rsidRDefault="00012593">
      <w:pPr>
        <w:jc w:val="both"/>
        <w:rPr>
          <w:rFonts w:ascii="Arial" w:hAnsi="Arial" w:cs="Arial"/>
        </w:rPr>
      </w:pPr>
    </w:p>
    <w:p w:rsidR="00000000" w:rsidRDefault="00012593">
      <w:pPr>
        <w:jc w:val="both"/>
        <w:rPr>
          <w:rFonts w:ascii="Arial" w:hAnsi="Arial" w:cs="Arial"/>
        </w:rPr>
      </w:pPr>
    </w:p>
    <w:p w:rsidR="00000000" w:rsidRDefault="00012593">
      <w:pPr>
        <w:pStyle w:val="Ttulo2"/>
        <w:rPr>
          <w:rFonts w:cs="Arial"/>
        </w:rPr>
      </w:pPr>
      <w:r>
        <w:rPr>
          <w:rFonts w:cs="Arial"/>
        </w:rPr>
        <w:t>REFERENCIAS</w:t>
      </w:r>
    </w:p>
    <w:p w:rsidR="00000000" w:rsidRDefault="00012593">
      <w:pPr>
        <w:jc w:val="both"/>
        <w:rPr>
          <w:rFonts w:ascii="Arial" w:hAnsi="Arial" w:cs="Arial"/>
          <w:b/>
          <w:bCs/>
        </w:rPr>
      </w:pPr>
    </w:p>
    <w:p w:rsidR="00000000" w:rsidRDefault="00012593">
      <w:pPr>
        <w:pStyle w:val="Textoindependiente2"/>
        <w:numPr>
          <w:ilvl w:val="0"/>
          <w:numId w:val="4"/>
        </w:numPr>
      </w:pPr>
      <w:r>
        <w:t>Y. Vásquez, “Análisis estadístico del grado de satisfacción del estudiante politécnico frente a los servicios que la ESPO</w:t>
      </w:r>
      <w:r>
        <w:t>L le ofrece: El caso de las carreras tradicionales” (Tesis, Instituto de Ciencias Matemáticas, Escuela Superior Politécnica del Litoral, 2002).</w:t>
      </w:r>
    </w:p>
    <w:p w:rsidR="00000000" w:rsidRDefault="00012593">
      <w:pPr>
        <w:pStyle w:val="Textoindependiente2"/>
        <w:ind w:left="360"/>
      </w:pPr>
    </w:p>
    <w:p w:rsidR="00012593" w:rsidRDefault="00012593">
      <w:pPr>
        <w:pStyle w:val="Textoindependiente2"/>
      </w:pPr>
    </w:p>
    <w:sectPr w:rsidR="0001259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81984"/>
    <w:multiLevelType w:val="hybridMultilevel"/>
    <w:tmpl w:val="318AD8C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5E5F1FA7"/>
    <w:multiLevelType w:val="hybridMultilevel"/>
    <w:tmpl w:val="BFC2E56C"/>
    <w:lvl w:ilvl="0" w:tplc="DF2AC8F6">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7D7846A2"/>
    <w:multiLevelType w:val="hybridMultilevel"/>
    <w:tmpl w:val="D4AC7A44"/>
    <w:lvl w:ilvl="0" w:tplc="0C0A000F">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efaultTabStop w:val="708"/>
  <w:hyphenationZone w:val="425"/>
  <w:noPunctuationKerning/>
  <w:characterSpacingControl w:val="doNotCompress"/>
  <w:compat/>
  <w:rsids>
    <w:rsidRoot w:val="00B54F9C"/>
    <w:rsid w:val="00012593"/>
    <w:rsid w:val="00B54F9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outlineLvl w:val="0"/>
    </w:pPr>
    <w:rPr>
      <w:rFonts w:ascii="Arial" w:hAnsi="Arial" w:cs="Arial"/>
      <w:b/>
      <w:bCs/>
    </w:rPr>
  </w:style>
  <w:style w:type="paragraph" w:styleId="Ttulo2">
    <w:name w:val="heading 2"/>
    <w:basedOn w:val="Normal"/>
    <w:next w:val="Normal"/>
    <w:qFormat/>
    <w:pPr>
      <w:keepNext/>
      <w:jc w:val="both"/>
      <w:outlineLvl w:val="1"/>
    </w:pPr>
    <w:rPr>
      <w:rFonts w:ascii="Arial" w:hAnsi="Arial"/>
      <w:b/>
      <w:bCs/>
    </w:rPr>
  </w:style>
  <w:style w:type="paragraph" w:styleId="Ttulo3">
    <w:name w:val="heading 3"/>
    <w:basedOn w:val="Normal"/>
    <w:next w:val="Normal"/>
    <w:qFormat/>
    <w:pPr>
      <w:keepNext/>
      <w:jc w:val="both"/>
      <w:outlineLvl w:val="2"/>
    </w:pPr>
    <w:rPr>
      <w:b/>
      <w:snapToGrid w:val="0"/>
      <w:kern w:val="36"/>
      <w:u w:val="single"/>
      <w:lang w:val="es-MX"/>
    </w:rPr>
  </w:style>
  <w:style w:type="paragraph" w:styleId="Ttulo4">
    <w:name w:val="heading 4"/>
    <w:basedOn w:val="Normal"/>
    <w:next w:val="Normal"/>
    <w:qFormat/>
    <w:pPr>
      <w:keepNext/>
      <w:jc w:val="center"/>
      <w:outlineLvl w:val="3"/>
    </w:pPr>
    <w:rPr>
      <w:b/>
      <w:bCs/>
    </w:rPr>
  </w:style>
  <w:style w:type="paragraph" w:styleId="Ttulo5">
    <w:name w:val="heading 5"/>
    <w:basedOn w:val="Normal"/>
    <w:next w:val="Normal"/>
    <w:qFormat/>
    <w:pPr>
      <w:keepNext/>
      <w:tabs>
        <w:tab w:val="left" w:pos="2866"/>
      </w:tabs>
      <w:jc w:val="center"/>
      <w:outlineLvl w:val="4"/>
    </w:pPr>
    <w:rPr>
      <w:rFonts w:ascii="Arial" w:hAnsi="Arial" w:cs="Arial"/>
      <w:i/>
      <w:iCs/>
    </w:rPr>
  </w:style>
  <w:style w:type="paragraph" w:styleId="Ttulo6">
    <w:name w:val="heading 6"/>
    <w:basedOn w:val="Normal"/>
    <w:next w:val="Normal"/>
    <w:qFormat/>
    <w:pPr>
      <w:keepNext/>
      <w:spacing w:line="360" w:lineRule="auto"/>
      <w:outlineLvl w:val="5"/>
    </w:pPr>
    <w:rPr>
      <w:rFonts w:ascii="Arial" w:hAnsi="Arial" w:cs="Arial"/>
      <w:i/>
      <w:iCs/>
      <w:lang w:val="es-MX"/>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semiHidden/>
    <w:pPr>
      <w:jc w:val="center"/>
    </w:pPr>
    <w:rPr>
      <w:b/>
      <w:bCs/>
    </w:rPr>
  </w:style>
  <w:style w:type="paragraph" w:styleId="Textoindependiente2">
    <w:name w:val="Body Text 2"/>
    <w:basedOn w:val="Normal"/>
    <w:semiHidden/>
    <w:pPr>
      <w:jc w:val="both"/>
    </w:pPr>
    <w:rPr>
      <w:rFonts w:ascii="Arial" w:hAnsi="Arial" w:cs="Arial"/>
    </w:rPr>
  </w:style>
  <w:style w:type="paragraph" w:styleId="Epgrafe">
    <w:name w:val="caption"/>
    <w:basedOn w:val="Normal"/>
    <w:next w:val="Normal"/>
    <w:qFormat/>
    <w:pPr>
      <w:ind w:left="1080"/>
      <w:jc w:val="center"/>
    </w:pPr>
    <w:rPr>
      <w:i/>
      <w:iCs/>
    </w:rPr>
  </w:style>
  <w:style w:type="paragraph" w:styleId="Sangra2detindependiente">
    <w:name w:val="Body Text Indent 2"/>
    <w:basedOn w:val="Normal"/>
    <w:semiHidden/>
    <w:pPr>
      <w:spacing w:line="360" w:lineRule="auto"/>
      <w:ind w:left="1080"/>
    </w:pPr>
    <w:rPr>
      <w:rFonts w:ascii="Arial" w:hAnsi="Arial" w:cs="Arial"/>
      <w:lang w:val="es-MX"/>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4.bin"/><Relationship Id="rId18" Type="http://schemas.openxmlformats.org/officeDocument/2006/relationships/oleObject" Target="embeddings/oleObject7.bin"/><Relationship Id="rId26" Type="http://schemas.openxmlformats.org/officeDocument/2006/relationships/oleObject" Target="embeddings/oleObject14.bin"/><Relationship Id="rId3" Type="http://schemas.openxmlformats.org/officeDocument/2006/relationships/settings" Target="settings.xml"/><Relationship Id="rId21" Type="http://schemas.openxmlformats.org/officeDocument/2006/relationships/image" Target="media/image8.emf"/><Relationship Id="rId7" Type="http://schemas.openxmlformats.org/officeDocument/2006/relationships/oleObject" Target="embeddings/oleObject1.bin"/><Relationship Id="rId12" Type="http://schemas.openxmlformats.org/officeDocument/2006/relationships/image" Target="media/image5.wmf"/><Relationship Id="rId17" Type="http://schemas.openxmlformats.org/officeDocument/2006/relationships/oleObject" Target="embeddings/oleObject6.bin"/><Relationship Id="rId25" Type="http://schemas.openxmlformats.org/officeDocument/2006/relationships/oleObject" Target="embeddings/oleObject13.bin"/><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oleObject" Target="embeddings/oleObject9.bin"/><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oleObject" Target="embeddings/oleObject3.bin"/><Relationship Id="rId24" Type="http://schemas.openxmlformats.org/officeDocument/2006/relationships/oleObject" Target="embeddings/oleObject12.bin"/><Relationship Id="rId5" Type="http://schemas.openxmlformats.org/officeDocument/2006/relationships/image" Target="media/image1.emf"/><Relationship Id="rId15" Type="http://schemas.openxmlformats.org/officeDocument/2006/relationships/oleObject" Target="embeddings/oleObject5.bin"/><Relationship Id="rId23" Type="http://schemas.openxmlformats.org/officeDocument/2006/relationships/oleObject" Target="embeddings/oleObject11.bin"/><Relationship Id="rId28" Type="http://schemas.openxmlformats.org/officeDocument/2006/relationships/fontTable" Target="fontTable.xml"/><Relationship Id="rId10" Type="http://schemas.openxmlformats.org/officeDocument/2006/relationships/image" Target="media/image4.wmf"/><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6.wmf"/><Relationship Id="rId22" Type="http://schemas.openxmlformats.org/officeDocument/2006/relationships/oleObject" Target="embeddings/oleObject10.bin"/><Relationship Id="rId27" Type="http://schemas.openxmlformats.org/officeDocument/2006/relationships/image" Target="media/image9.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2621</Words>
  <Characters>14421</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“Análisis estadístico del grado de satisfacción del estudiante politécnico frente a los servicios que la ESPOL le ofrece: El c</vt:lpstr>
    </vt:vector>
  </TitlesOfParts>
  <Company>Microsoft Corp.</Company>
  <LinksUpToDate>false</LinksUpToDate>
  <CharactersWithSpaces>17008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“Análisis estadístico del grado de satisfacción del estudiante politécnico frente a los servicios que la ESPOL le ofrece: El c</dc:title>
  <dc:subject/>
  <dc:creator>Yajaira Vasquez Tenorio</dc:creator>
  <cp:keywords/>
  <dc:description/>
  <cp:lastModifiedBy>Ayudante</cp:lastModifiedBy>
  <cp:revision>2</cp:revision>
  <dcterms:created xsi:type="dcterms:W3CDTF">2009-07-02T18:39:00Z</dcterms:created>
  <dcterms:modified xsi:type="dcterms:W3CDTF">2009-07-02T18:39:00Z</dcterms:modified>
</cp:coreProperties>
</file>