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C2B15">
      <w:pPr>
        <w:pStyle w:val="Textoindependiente2"/>
        <w:spacing w:line="480" w:lineRule="auto"/>
        <w:jc w:val="center"/>
        <w:rPr>
          <w:rFonts w:ascii="Arial" w:hAnsi="Arial"/>
          <w:u w:val="none"/>
        </w:rPr>
      </w:pPr>
    </w:p>
    <w:p w:rsidR="00000000" w:rsidRDefault="00CC2B15">
      <w:pPr>
        <w:pStyle w:val="Textoindependiente2"/>
        <w:spacing w:line="480" w:lineRule="auto"/>
        <w:jc w:val="center"/>
        <w:rPr>
          <w:rFonts w:ascii="Arial" w:hAnsi="Arial"/>
          <w:u w:val="none"/>
        </w:rPr>
      </w:pPr>
    </w:p>
    <w:p w:rsidR="00000000" w:rsidRDefault="00CC2B15">
      <w:pPr>
        <w:pStyle w:val="Textoindependiente2"/>
        <w:spacing w:line="480" w:lineRule="auto"/>
        <w:jc w:val="center"/>
        <w:rPr>
          <w:rFonts w:ascii="Arial" w:hAnsi="Arial"/>
          <w:u w:val="none"/>
        </w:rPr>
      </w:pPr>
    </w:p>
    <w:p w:rsidR="00000000" w:rsidRDefault="00CC2B15">
      <w:pPr>
        <w:pStyle w:val="Textoindependiente2"/>
        <w:spacing w:line="480" w:lineRule="auto"/>
        <w:jc w:val="center"/>
        <w:rPr>
          <w:rFonts w:ascii="Arial" w:hAnsi="Arial"/>
          <w:sz w:val="52"/>
          <w:u w:val="none"/>
        </w:rPr>
      </w:pPr>
      <w:r>
        <w:rPr>
          <w:rFonts w:ascii="Arial" w:hAnsi="Arial"/>
          <w:sz w:val="52"/>
          <w:u w:val="none"/>
        </w:rPr>
        <w:t>CAPÍTULO 3</w:t>
      </w:r>
    </w:p>
    <w:p w:rsidR="00000000" w:rsidRDefault="00CC2B15">
      <w:pPr>
        <w:pStyle w:val="Textoindependiente2"/>
        <w:numPr>
          <w:ilvl w:val="0"/>
          <w:numId w:val="5"/>
        </w:numPr>
        <w:spacing w:line="480" w:lineRule="auto"/>
        <w:ind w:left="357" w:hanging="357"/>
        <w:rPr>
          <w:rFonts w:ascii="Arial" w:hAnsi="Arial"/>
          <w:sz w:val="32"/>
          <w:u w:val="none"/>
        </w:rPr>
      </w:pPr>
      <w:r>
        <w:rPr>
          <w:rFonts w:ascii="Arial" w:hAnsi="Arial"/>
          <w:sz w:val="32"/>
          <w:u w:val="none"/>
        </w:rPr>
        <w:t>DELIMITACIÓ</w:t>
      </w:r>
      <w:r>
        <w:rPr>
          <w:rFonts w:ascii="Arial" w:hAnsi="Arial"/>
          <w:sz w:val="32"/>
          <w:u w:val="none"/>
        </w:rPr>
        <w:t xml:space="preserve">N Y UBICACIÓN GEOGRÁFICA DE LA </w:t>
      </w:r>
      <w:r>
        <w:rPr>
          <w:rFonts w:ascii="Arial" w:hAnsi="Arial"/>
          <w:sz w:val="32"/>
          <w:u w:val="none"/>
        </w:rPr>
        <w:t>SUB</w:t>
      </w:r>
      <w:r>
        <w:rPr>
          <w:rFonts w:ascii="Arial" w:hAnsi="Arial"/>
          <w:sz w:val="32"/>
          <w:u w:val="none"/>
        </w:rPr>
        <w:t>P</w:t>
      </w:r>
      <w:r>
        <w:rPr>
          <w:rFonts w:ascii="Arial" w:hAnsi="Arial"/>
          <w:sz w:val="32"/>
          <w:u w:val="none"/>
        </w:rPr>
        <w:t xml:space="preserve">ARROQUIA </w:t>
      </w:r>
      <w:r>
        <w:rPr>
          <w:rFonts w:ascii="Arial" w:hAnsi="Arial"/>
          <w:sz w:val="32"/>
          <w:u w:val="none"/>
        </w:rPr>
        <w:t>TARQUI</w:t>
      </w:r>
      <w:r>
        <w:rPr>
          <w:rFonts w:ascii="Arial" w:hAnsi="Arial"/>
          <w:sz w:val="32"/>
          <w:u w:val="none"/>
        </w:rPr>
        <w:t xml:space="preserve"> ESTE</w:t>
      </w:r>
    </w:p>
    <w:p w:rsidR="00000000" w:rsidRDefault="00CC2B15">
      <w:pPr>
        <w:pStyle w:val="Textoindependiente2"/>
        <w:tabs>
          <w:tab w:val="num" w:pos="360"/>
        </w:tabs>
        <w:spacing w:line="480" w:lineRule="auto"/>
        <w:ind w:left="426"/>
        <w:rPr>
          <w:rFonts w:ascii="Arial" w:hAnsi="Arial"/>
          <w:b w:val="0"/>
          <w:u w:val="none"/>
        </w:rPr>
      </w:pPr>
    </w:p>
    <w:p w:rsidR="00000000" w:rsidRDefault="00CC2B15">
      <w:pPr>
        <w:pStyle w:val="Textoindependiente2"/>
        <w:tabs>
          <w:tab w:val="num" w:pos="360"/>
        </w:tabs>
        <w:spacing w:line="480" w:lineRule="auto"/>
        <w:ind w:left="425"/>
        <w:rPr>
          <w:rFonts w:ascii="Arial" w:hAnsi="Arial"/>
          <w:b w:val="0"/>
          <w:u w:val="none"/>
        </w:rPr>
      </w:pPr>
      <w:r>
        <w:rPr>
          <w:rFonts w:ascii="Arial" w:hAnsi="Arial"/>
          <w:b w:val="0"/>
          <w:u w:val="none"/>
        </w:rPr>
        <w:t>En este capítulo se mencionará sobre como la ciudad de Guayaquil ha crecido desde su fundación hasta la actualidad de manera alarmante. Lo cual ha obligado a las difer</w:t>
      </w:r>
      <w:r>
        <w:rPr>
          <w:rFonts w:ascii="Arial" w:hAnsi="Arial"/>
          <w:b w:val="0"/>
          <w:u w:val="none"/>
        </w:rPr>
        <w:t>entes administraciones municipales a dividir la ciudad una y otra vez. Por lo cual en la actualidad existen catorce parroquias en esta ciudad, cada cual con sus respectivos límites y dentro de las cuales se encuentra la parroquia Tarqui. Esta para el prese</w:t>
      </w:r>
      <w:r>
        <w:rPr>
          <w:rFonts w:ascii="Arial" w:hAnsi="Arial"/>
          <w:b w:val="0"/>
          <w:u w:val="none"/>
        </w:rPr>
        <w:t>nte estudio se subdividió en tres subparroquias, cabe recalcar que este término se lo utiliza para nombrar una de las tres subdivisiones que se hicieron en la parroquia Tarqui debido a lo extenso de la misma. De esta subdivisión nació la subparroquia Tarqu</w:t>
      </w:r>
      <w:r>
        <w:rPr>
          <w:rFonts w:ascii="Arial" w:hAnsi="Arial"/>
          <w:b w:val="0"/>
          <w:u w:val="none"/>
        </w:rPr>
        <w:t xml:space="preserve">i Este que esta conformada por 26 zonas. </w:t>
      </w:r>
    </w:p>
    <w:p w:rsidR="00000000" w:rsidRDefault="00CC2B15">
      <w:pPr>
        <w:pStyle w:val="Textoindependiente2"/>
        <w:tabs>
          <w:tab w:val="num" w:pos="360"/>
        </w:tabs>
        <w:spacing w:line="480" w:lineRule="auto"/>
        <w:ind w:left="426"/>
        <w:rPr>
          <w:rFonts w:ascii="Arial" w:hAnsi="Arial"/>
          <w:b w:val="0"/>
          <w:u w:val="none"/>
        </w:rPr>
      </w:pPr>
    </w:p>
    <w:p w:rsidR="00000000" w:rsidRDefault="00CC2B15">
      <w:pPr>
        <w:pStyle w:val="Textoindependiente2"/>
        <w:tabs>
          <w:tab w:val="num" w:pos="360"/>
        </w:tabs>
        <w:spacing w:line="480" w:lineRule="auto"/>
        <w:rPr>
          <w:rFonts w:ascii="Arial" w:hAnsi="Arial"/>
          <w:b w:val="0"/>
          <w:u w:val="none"/>
        </w:rPr>
      </w:pPr>
    </w:p>
    <w:p w:rsidR="00000000" w:rsidRDefault="00CC2B15">
      <w:pPr>
        <w:pStyle w:val="Sangradetextonormal"/>
        <w:rPr>
          <w:b/>
        </w:rPr>
      </w:pPr>
      <w:r>
        <w:rPr>
          <w:b/>
        </w:rPr>
        <w:lastRenderedPageBreak/>
        <w:t>3.1</w:t>
      </w:r>
      <w:r>
        <w:rPr>
          <w:b/>
        </w:rPr>
        <w:tab/>
      </w:r>
      <w:r>
        <w:rPr>
          <w:b/>
        </w:rPr>
        <w:t>Antecedentes de la ciudad de Guayaquil</w:t>
      </w:r>
    </w:p>
    <w:p w:rsidR="00000000" w:rsidRDefault="00CC2B15">
      <w:pPr>
        <w:pStyle w:val="Textoindependiente2"/>
        <w:tabs>
          <w:tab w:val="num" w:pos="360"/>
        </w:tabs>
        <w:spacing w:line="480" w:lineRule="auto"/>
        <w:ind w:left="851"/>
        <w:rPr>
          <w:rFonts w:ascii="Arial" w:hAnsi="Arial"/>
          <w:b w:val="0"/>
          <w:u w:val="none"/>
        </w:rPr>
      </w:pPr>
    </w:p>
    <w:p w:rsidR="00000000" w:rsidRDefault="00CC2B15">
      <w:pPr>
        <w:pStyle w:val="Textoindependiente2"/>
        <w:tabs>
          <w:tab w:val="num" w:pos="360"/>
        </w:tabs>
        <w:spacing w:line="480" w:lineRule="auto"/>
        <w:ind w:left="851"/>
        <w:rPr>
          <w:rFonts w:ascii="Arial" w:hAnsi="Arial"/>
          <w:b w:val="0"/>
          <w:u w:val="none"/>
        </w:rPr>
      </w:pPr>
      <w:r>
        <w:rPr>
          <w:rFonts w:ascii="Arial" w:hAnsi="Arial"/>
          <w:b w:val="0"/>
          <w:u w:val="none"/>
        </w:rPr>
        <w:t xml:space="preserve">Durante la época colonial el crecimiento de la ciudad se limitó por las epidemias, el clima, los numerosos incendios, los asaltos y pillaje de los piratas. Esto último </w:t>
      </w:r>
      <w:r>
        <w:rPr>
          <w:rFonts w:ascii="Arial" w:hAnsi="Arial"/>
          <w:b w:val="0"/>
          <w:u w:val="none"/>
        </w:rPr>
        <w:t>obligó a que los pobladores tuvieran que construir sus viviendas al pie del Cerro Santa Ana, como lugar de protección, que más tarde se denominó, “Ciudad Vieja”. Pero, como las casas eran construidas de madera, caña y hojas, resultaban presa fácil de los i</w:t>
      </w:r>
      <w:r>
        <w:rPr>
          <w:rFonts w:ascii="Arial" w:hAnsi="Arial"/>
          <w:b w:val="0"/>
          <w:u w:val="none"/>
        </w:rPr>
        <w:t>ncendios, por lo que en el año de 1.690, la mayor parte de los habitantes se desplazaron hasta el centro y se fueron extendiendo hacia el Sur, trazando calles más anchas. Estos terrenos eran separados por varios esteros, lo que provocaba inundaciones en ép</w:t>
      </w:r>
      <w:r>
        <w:rPr>
          <w:rFonts w:ascii="Arial" w:hAnsi="Arial"/>
          <w:b w:val="0"/>
          <w:u w:val="none"/>
        </w:rPr>
        <w:t>oca de invierno. Durante el año 1.730, las calles permanecían sin pavimentar y no poseían ninguna clase de desagüe. La formación de esta última ciudad se llamó “Ciudad Nueva”.</w:t>
      </w:r>
    </w:p>
    <w:p w:rsidR="00000000" w:rsidRDefault="00CC2B15">
      <w:pPr>
        <w:pStyle w:val="Textoindependiente2"/>
        <w:tabs>
          <w:tab w:val="num" w:pos="360"/>
        </w:tabs>
        <w:spacing w:line="480" w:lineRule="auto"/>
        <w:ind w:left="851"/>
        <w:rPr>
          <w:rFonts w:ascii="Arial" w:hAnsi="Arial"/>
          <w:b w:val="0"/>
          <w:u w:val="none"/>
        </w:rPr>
      </w:pPr>
    </w:p>
    <w:p w:rsidR="00000000" w:rsidRDefault="00CC2B15">
      <w:pPr>
        <w:pStyle w:val="Textoindependiente2"/>
        <w:tabs>
          <w:tab w:val="num" w:pos="360"/>
        </w:tabs>
        <w:spacing w:line="480" w:lineRule="auto"/>
        <w:ind w:left="851"/>
        <w:rPr>
          <w:rFonts w:ascii="Arial" w:hAnsi="Arial"/>
          <w:b w:val="0"/>
          <w:u w:val="none"/>
        </w:rPr>
      </w:pPr>
      <w:r>
        <w:rPr>
          <w:rFonts w:ascii="Arial" w:hAnsi="Arial"/>
          <w:b w:val="0"/>
          <w:u w:val="none"/>
        </w:rPr>
        <w:t>Las dos ciudades mencionadas anteriormente, se comunicaban por un puente de mad</w:t>
      </w:r>
      <w:r>
        <w:rPr>
          <w:rFonts w:ascii="Arial" w:hAnsi="Arial"/>
          <w:b w:val="0"/>
          <w:u w:val="none"/>
        </w:rPr>
        <w:t xml:space="preserve">era, donde a su alrededor se había formado el “Barrio del Puente”. </w:t>
      </w:r>
    </w:p>
    <w:p w:rsidR="00000000" w:rsidRDefault="00CC2B15">
      <w:pPr>
        <w:pStyle w:val="Textoindependiente2"/>
        <w:tabs>
          <w:tab w:val="num" w:pos="360"/>
        </w:tabs>
        <w:spacing w:line="480" w:lineRule="auto"/>
        <w:ind w:left="851"/>
        <w:rPr>
          <w:rFonts w:ascii="Arial" w:hAnsi="Arial"/>
          <w:b w:val="0"/>
          <w:u w:val="none"/>
        </w:rPr>
      </w:pPr>
    </w:p>
    <w:p w:rsidR="00000000" w:rsidRDefault="00CC2B15">
      <w:pPr>
        <w:pStyle w:val="Textoindependiente2"/>
        <w:tabs>
          <w:tab w:val="num" w:pos="360"/>
        </w:tabs>
        <w:spacing w:line="480" w:lineRule="auto"/>
        <w:ind w:left="851"/>
        <w:rPr>
          <w:rFonts w:ascii="Arial" w:hAnsi="Arial"/>
          <w:b w:val="0"/>
          <w:u w:val="none"/>
        </w:rPr>
      </w:pPr>
      <w:r>
        <w:rPr>
          <w:rFonts w:ascii="Arial" w:hAnsi="Arial"/>
          <w:b w:val="0"/>
          <w:u w:val="none"/>
        </w:rPr>
        <w:lastRenderedPageBreak/>
        <w:t xml:space="preserve">Con el transcurso de los años, se constituyeron otros barrios, teniendo Guayaquil, a fines del siglo XVIII, seis barrios: Ciudad Nueva, Ciudad Vieja, </w:t>
      </w:r>
      <w:r>
        <w:rPr>
          <w:rFonts w:ascii="Arial" w:hAnsi="Arial"/>
          <w:b w:val="0"/>
          <w:u w:val="none"/>
        </w:rPr>
        <w:t>B</w:t>
      </w:r>
      <w:r>
        <w:rPr>
          <w:rFonts w:ascii="Arial" w:hAnsi="Arial"/>
          <w:b w:val="0"/>
          <w:u w:val="none"/>
        </w:rPr>
        <w:t xml:space="preserve">arrio del Puente, </w:t>
      </w:r>
      <w:r>
        <w:rPr>
          <w:rFonts w:ascii="Arial" w:hAnsi="Arial"/>
          <w:b w:val="0"/>
          <w:u w:val="none"/>
        </w:rPr>
        <w:t>B</w:t>
      </w:r>
      <w:r>
        <w:rPr>
          <w:rFonts w:ascii="Arial" w:hAnsi="Arial"/>
          <w:b w:val="0"/>
          <w:u w:val="none"/>
        </w:rPr>
        <w:t>arrio del Bajo, B</w:t>
      </w:r>
      <w:r>
        <w:rPr>
          <w:rFonts w:ascii="Arial" w:hAnsi="Arial"/>
          <w:b w:val="0"/>
          <w:u w:val="none"/>
        </w:rPr>
        <w:t xml:space="preserve">arrio del Astillero y </w:t>
      </w:r>
      <w:r>
        <w:rPr>
          <w:rFonts w:ascii="Arial" w:hAnsi="Arial"/>
          <w:b w:val="0"/>
          <w:u w:val="none"/>
        </w:rPr>
        <w:t>B</w:t>
      </w:r>
      <w:r>
        <w:rPr>
          <w:rFonts w:ascii="Arial" w:hAnsi="Arial"/>
          <w:b w:val="0"/>
          <w:u w:val="none"/>
        </w:rPr>
        <w:t>arrio de Las Peñas.</w:t>
      </w:r>
    </w:p>
    <w:p w:rsidR="00000000" w:rsidRDefault="00CC2B15">
      <w:pPr>
        <w:pStyle w:val="Textoindependiente2"/>
        <w:tabs>
          <w:tab w:val="num" w:pos="360"/>
        </w:tabs>
        <w:spacing w:line="480" w:lineRule="auto"/>
        <w:ind w:left="851"/>
        <w:rPr>
          <w:rFonts w:ascii="Arial" w:hAnsi="Arial"/>
          <w:b w:val="0"/>
          <w:u w:val="none"/>
        </w:rPr>
      </w:pPr>
    </w:p>
    <w:p w:rsidR="00000000" w:rsidRDefault="00CC2B15">
      <w:pPr>
        <w:pStyle w:val="Textoindependiente2"/>
        <w:tabs>
          <w:tab w:val="num" w:pos="360"/>
        </w:tabs>
        <w:spacing w:line="480" w:lineRule="auto"/>
        <w:ind w:left="851"/>
        <w:rPr>
          <w:rFonts w:ascii="Arial" w:hAnsi="Arial"/>
          <w:b w:val="0"/>
          <w:u w:val="none"/>
        </w:rPr>
      </w:pPr>
      <w:r>
        <w:rPr>
          <w:rFonts w:ascii="Arial" w:hAnsi="Arial"/>
          <w:b w:val="0"/>
          <w:u w:val="none"/>
        </w:rPr>
        <w:t>En 1.820, Guayaquil contaba aproximadamente con 20.000 habitantes, que fueron en aumento por la incidencia del sostenimiento económico, causado por el desarrollo de la navegación y el comercio de la ciudad con ot</w:t>
      </w:r>
      <w:r>
        <w:rPr>
          <w:rFonts w:ascii="Arial" w:hAnsi="Arial"/>
          <w:b w:val="0"/>
          <w:u w:val="none"/>
        </w:rPr>
        <w:t>ros países.</w:t>
      </w:r>
    </w:p>
    <w:p w:rsidR="00000000" w:rsidRDefault="00CC2B15">
      <w:pPr>
        <w:pStyle w:val="Textoindependiente2"/>
        <w:tabs>
          <w:tab w:val="num" w:pos="360"/>
        </w:tabs>
        <w:spacing w:line="480" w:lineRule="auto"/>
        <w:ind w:left="851"/>
        <w:rPr>
          <w:rFonts w:ascii="Arial" w:hAnsi="Arial"/>
          <w:b w:val="0"/>
          <w:u w:val="none"/>
        </w:rPr>
      </w:pPr>
    </w:p>
    <w:p w:rsidR="00000000" w:rsidRDefault="00CC2B15">
      <w:pPr>
        <w:pStyle w:val="Textoindependiente2"/>
        <w:tabs>
          <w:tab w:val="num" w:pos="360"/>
        </w:tabs>
        <w:spacing w:line="480" w:lineRule="auto"/>
        <w:ind w:left="851"/>
        <w:rPr>
          <w:rFonts w:ascii="Arial" w:hAnsi="Arial"/>
          <w:b w:val="0"/>
          <w:u w:val="none"/>
        </w:rPr>
      </w:pPr>
      <w:r>
        <w:rPr>
          <w:rFonts w:ascii="Arial" w:hAnsi="Arial"/>
          <w:b w:val="0"/>
          <w:u w:val="none"/>
        </w:rPr>
        <w:t>A principios de 1.875, aparecieron las parroquias: El Sagrario, San Alejo y Concepción. Por lo que en 1.889, debido al crecimiento de la ciudad, el Consejo Cantonal, decidió dividir a Guayaquil en cinco parroquias urbanas llamadas, Concepción,</w:t>
      </w:r>
      <w:r>
        <w:rPr>
          <w:rFonts w:ascii="Arial" w:hAnsi="Arial"/>
          <w:b w:val="0"/>
          <w:u w:val="none"/>
        </w:rPr>
        <w:t xml:space="preserve"> Rocafuerte, Bolívar, San Alejo y Ayacucho.</w:t>
      </w:r>
    </w:p>
    <w:p w:rsidR="00000000" w:rsidRDefault="00CC2B15">
      <w:pPr>
        <w:pStyle w:val="Textoindependiente2"/>
        <w:tabs>
          <w:tab w:val="num" w:pos="360"/>
        </w:tabs>
        <w:spacing w:line="480" w:lineRule="auto"/>
        <w:ind w:left="851"/>
        <w:rPr>
          <w:rFonts w:ascii="Arial" w:hAnsi="Arial"/>
          <w:b w:val="0"/>
          <w:u w:val="none"/>
        </w:rPr>
      </w:pPr>
    </w:p>
    <w:p w:rsidR="00000000" w:rsidRDefault="00CC2B15">
      <w:pPr>
        <w:pStyle w:val="Textoindependiente2"/>
        <w:tabs>
          <w:tab w:val="num" w:pos="360"/>
        </w:tabs>
        <w:spacing w:line="480" w:lineRule="auto"/>
        <w:ind w:left="851"/>
        <w:rPr>
          <w:rFonts w:ascii="Arial" w:hAnsi="Arial"/>
          <w:b w:val="0"/>
          <w:u w:val="none"/>
        </w:rPr>
      </w:pPr>
      <w:r>
        <w:rPr>
          <w:rFonts w:ascii="Arial" w:hAnsi="Arial"/>
          <w:b w:val="0"/>
          <w:u w:val="none"/>
        </w:rPr>
        <w:t>Los límites para la parroquia Concepción eran, desde el caserío de Pascuales hasta la vereda norte de la calle Bolívar. La parroquia Rocafuerte, iniciaba desde el límite sur de la parroquia Concepción hasta la v</w:t>
      </w:r>
      <w:r>
        <w:rPr>
          <w:rFonts w:ascii="Arial" w:hAnsi="Arial"/>
          <w:b w:val="0"/>
          <w:u w:val="none"/>
        </w:rPr>
        <w:t xml:space="preserve">ereda Norte de la calle Aguirre. La parroquia Bolívar, </w:t>
      </w:r>
      <w:r>
        <w:rPr>
          <w:rFonts w:ascii="Arial" w:hAnsi="Arial"/>
          <w:b w:val="0"/>
          <w:u w:val="none"/>
        </w:rPr>
        <w:lastRenderedPageBreak/>
        <w:t>empezaba del límite sur de la parroquia Rocafuerte hasta la vereda norte de la calle Colón. En cambio, la parroquia San Alejo, desde el límite sur de la parroquia Bolívar hasta la vereda Norte de la ca</w:t>
      </w:r>
      <w:r>
        <w:rPr>
          <w:rFonts w:ascii="Arial" w:hAnsi="Arial"/>
          <w:b w:val="0"/>
          <w:u w:val="none"/>
        </w:rPr>
        <w:t>lle Ayacucho. Y por último, la parroquia Ayacucho, iniciaba del límite sur de la parroquia San Alejo hasta el extremo de los terrenos de la ciudad.</w:t>
      </w:r>
    </w:p>
    <w:p w:rsidR="00000000" w:rsidRDefault="00CC2B15">
      <w:pPr>
        <w:pStyle w:val="Textoindependiente2"/>
        <w:tabs>
          <w:tab w:val="num" w:pos="360"/>
        </w:tabs>
        <w:spacing w:line="480" w:lineRule="auto"/>
        <w:ind w:left="851"/>
        <w:rPr>
          <w:rFonts w:ascii="Arial" w:hAnsi="Arial"/>
          <w:b w:val="0"/>
          <w:u w:val="none"/>
        </w:rPr>
      </w:pPr>
    </w:p>
    <w:p w:rsidR="00000000" w:rsidRDefault="00CC2B15">
      <w:pPr>
        <w:pStyle w:val="Textoindependiente2"/>
        <w:tabs>
          <w:tab w:val="num" w:pos="360"/>
        </w:tabs>
        <w:spacing w:line="480" w:lineRule="auto"/>
        <w:ind w:left="851"/>
        <w:rPr>
          <w:rFonts w:ascii="Arial" w:hAnsi="Arial"/>
          <w:b w:val="0"/>
          <w:u w:val="none"/>
        </w:rPr>
      </w:pPr>
      <w:r>
        <w:rPr>
          <w:rFonts w:ascii="Arial" w:hAnsi="Arial"/>
          <w:b w:val="0"/>
          <w:u w:val="none"/>
        </w:rPr>
        <w:t>Para 1.911, según el Plano Municipal de División de Parroquias Urbanas aparecen cinco: Carbo, Rocafuerte, Bo</w:t>
      </w:r>
      <w:r>
        <w:rPr>
          <w:rFonts w:ascii="Arial" w:hAnsi="Arial"/>
          <w:b w:val="0"/>
          <w:u w:val="none"/>
        </w:rPr>
        <w:t>lívar, Olmedo (que antes era San Alejo) y Ayacucho.</w:t>
      </w:r>
    </w:p>
    <w:p w:rsidR="00000000" w:rsidRDefault="00CC2B15">
      <w:pPr>
        <w:pStyle w:val="Textoindependiente2"/>
        <w:tabs>
          <w:tab w:val="num" w:pos="360"/>
        </w:tabs>
        <w:spacing w:line="480" w:lineRule="auto"/>
        <w:ind w:left="851"/>
        <w:rPr>
          <w:rFonts w:ascii="Arial" w:hAnsi="Arial"/>
          <w:b w:val="0"/>
          <w:u w:val="none"/>
        </w:rPr>
      </w:pPr>
    </w:p>
    <w:p w:rsidR="00000000" w:rsidRDefault="00CC2B15">
      <w:pPr>
        <w:pStyle w:val="Textoindependiente2"/>
        <w:tabs>
          <w:tab w:val="num" w:pos="360"/>
        </w:tabs>
        <w:spacing w:line="480" w:lineRule="auto"/>
        <w:ind w:left="851"/>
        <w:rPr>
          <w:rFonts w:ascii="Arial" w:hAnsi="Arial"/>
          <w:b w:val="0"/>
          <w:u w:val="none"/>
        </w:rPr>
      </w:pPr>
      <w:r>
        <w:rPr>
          <w:rFonts w:ascii="Arial" w:hAnsi="Arial"/>
          <w:b w:val="0"/>
          <w:u w:val="none"/>
        </w:rPr>
        <w:t xml:space="preserve">A finales de 1.955, las parroquias existentes no eran correspondidas con el aumento poblacional de aquella época, por lo que el Consejo Cantonal de Guayaquil decide hacer una nueva división parroquial a </w:t>
      </w:r>
      <w:r>
        <w:rPr>
          <w:rFonts w:ascii="Arial" w:hAnsi="Arial"/>
          <w:b w:val="0"/>
          <w:u w:val="none"/>
        </w:rPr>
        <w:t>la ciudad, que se menciona en la siguiente Ordenanza.</w:t>
      </w:r>
    </w:p>
    <w:p w:rsidR="00000000" w:rsidRDefault="00CC2B15">
      <w:pPr>
        <w:pStyle w:val="Textoindependiente2"/>
        <w:tabs>
          <w:tab w:val="num" w:pos="360"/>
        </w:tabs>
        <w:spacing w:line="480" w:lineRule="auto"/>
        <w:ind w:left="851"/>
        <w:rPr>
          <w:rFonts w:ascii="Arial" w:hAnsi="Arial"/>
          <w:b w:val="0"/>
          <w:u w:val="none"/>
        </w:rPr>
      </w:pPr>
    </w:p>
    <w:p w:rsidR="00000000" w:rsidRDefault="00CC2B15">
      <w:pPr>
        <w:pStyle w:val="Sangradetextonormal"/>
        <w:rPr>
          <w:b/>
        </w:rPr>
      </w:pPr>
      <w:r>
        <w:rPr>
          <w:b/>
        </w:rPr>
        <w:t>3.2</w:t>
      </w:r>
      <w:r>
        <w:rPr>
          <w:b/>
        </w:rPr>
        <w:tab/>
      </w:r>
      <w:r>
        <w:rPr>
          <w:b/>
        </w:rPr>
        <w:t>Ordenanza de división de la ciudad de Guayaquil en catorce  parroquias urbanas</w:t>
      </w:r>
    </w:p>
    <w:p w:rsidR="00000000" w:rsidRDefault="00CC2B15">
      <w:pPr>
        <w:pStyle w:val="Textoindependiente"/>
        <w:tabs>
          <w:tab w:val="num" w:pos="851"/>
        </w:tabs>
        <w:spacing w:line="480" w:lineRule="auto"/>
        <w:ind w:left="851"/>
        <w:rPr>
          <w:rFonts w:ascii="Arial" w:hAnsi="Arial"/>
        </w:rPr>
      </w:pPr>
    </w:p>
    <w:p w:rsidR="00000000" w:rsidRDefault="00CC2B15">
      <w:pPr>
        <w:pStyle w:val="Textoindependiente"/>
        <w:tabs>
          <w:tab w:val="num" w:pos="851"/>
        </w:tabs>
        <w:spacing w:line="480" w:lineRule="auto"/>
        <w:ind w:left="851"/>
        <w:rPr>
          <w:rFonts w:ascii="Arial" w:hAnsi="Arial"/>
        </w:rPr>
      </w:pPr>
      <w:r>
        <w:rPr>
          <w:rFonts w:ascii="Arial" w:hAnsi="Arial"/>
        </w:rPr>
        <w:t>Según el Régimen Urbanístico Municipal del cantón Guayaquil, se dictó una ordenanza de división de la ciudad en catorc</w:t>
      </w:r>
      <w:r>
        <w:rPr>
          <w:rFonts w:ascii="Arial" w:hAnsi="Arial"/>
        </w:rPr>
        <w:t xml:space="preserve">e parroquias urbanas y </w:t>
      </w:r>
      <w:r>
        <w:rPr>
          <w:rFonts w:ascii="Arial" w:hAnsi="Arial"/>
        </w:rPr>
        <w:lastRenderedPageBreak/>
        <w:t>sus correspondientes nombres y linderaciones, debido al aumento de población que estaba experimentando la ciudad.</w:t>
      </w:r>
    </w:p>
    <w:p w:rsidR="00000000" w:rsidRDefault="00CC2B15">
      <w:pPr>
        <w:tabs>
          <w:tab w:val="num" w:pos="851"/>
        </w:tabs>
        <w:spacing w:line="480" w:lineRule="auto"/>
        <w:ind w:left="851"/>
        <w:jc w:val="both"/>
        <w:rPr>
          <w:rFonts w:ascii="Arial" w:hAnsi="Arial"/>
          <w:sz w:val="24"/>
          <w:lang w:val="es-ES_tradnl"/>
        </w:rPr>
      </w:pPr>
    </w:p>
    <w:p w:rsidR="00000000" w:rsidRDefault="00CC2B15">
      <w:pPr>
        <w:tabs>
          <w:tab w:val="num" w:pos="851"/>
        </w:tabs>
        <w:spacing w:line="480" w:lineRule="auto"/>
        <w:ind w:left="851"/>
        <w:jc w:val="both"/>
        <w:rPr>
          <w:rFonts w:ascii="Arial" w:hAnsi="Arial"/>
          <w:sz w:val="24"/>
          <w:lang w:val="es-ES_tradnl"/>
        </w:rPr>
      </w:pPr>
      <w:r>
        <w:rPr>
          <w:rFonts w:ascii="Arial" w:hAnsi="Arial"/>
          <w:sz w:val="24"/>
          <w:lang w:val="es-ES_tradnl"/>
        </w:rPr>
        <w:t>A continuación se citan los artículos más importantes de dicha ordenanza.</w:t>
      </w:r>
    </w:p>
    <w:p w:rsidR="00000000" w:rsidRDefault="00CC2B15">
      <w:pPr>
        <w:tabs>
          <w:tab w:val="num" w:pos="851"/>
        </w:tabs>
        <w:spacing w:line="480" w:lineRule="auto"/>
        <w:ind w:left="851"/>
        <w:jc w:val="both"/>
        <w:rPr>
          <w:rFonts w:ascii="Arial" w:hAnsi="Arial"/>
          <w:sz w:val="24"/>
          <w:lang w:val="es-ES_tradnl"/>
        </w:rPr>
      </w:pPr>
    </w:p>
    <w:p w:rsidR="00000000" w:rsidRDefault="00CC2B15">
      <w:pPr>
        <w:tabs>
          <w:tab w:val="num" w:pos="851"/>
        </w:tabs>
        <w:spacing w:line="480" w:lineRule="auto"/>
        <w:ind w:left="851"/>
        <w:jc w:val="both"/>
        <w:rPr>
          <w:rFonts w:ascii="Arial" w:hAnsi="Arial"/>
          <w:sz w:val="24"/>
          <w:lang w:val="es-ES_tradnl"/>
        </w:rPr>
      </w:pPr>
      <w:r>
        <w:rPr>
          <w:rFonts w:ascii="Arial" w:hAnsi="Arial"/>
          <w:b/>
          <w:sz w:val="24"/>
          <w:lang w:val="es-ES_tradnl"/>
        </w:rPr>
        <w:t xml:space="preserve">Art 1. </w:t>
      </w:r>
      <w:r>
        <w:rPr>
          <w:rFonts w:ascii="Arial" w:hAnsi="Arial"/>
          <w:sz w:val="24"/>
          <w:lang w:val="es-ES_tradnl"/>
        </w:rPr>
        <w:t>Divídese la ciudad de Guayaquil en ca</w:t>
      </w:r>
      <w:r>
        <w:rPr>
          <w:rFonts w:ascii="Arial" w:hAnsi="Arial"/>
          <w:sz w:val="24"/>
          <w:lang w:val="es-ES_tradnl"/>
        </w:rPr>
        <w:t>torce parroquias urbanas cuyos nombres serán los siguientes: Carbo, Rocafuerte, Bolívar, Olmedo, Ayacucho, Ximena, Roca, Tarqui, Nueve de Octubre, Sucre, Urdaneta, Febres Cordero, Letamendi y García Moreno.</w:t>
      </w:r>
    </w:p>
    <w:p w:rsidR="00000000" w:rsidRDefault="00CC2B15">
      <w:pPr>
        <w:tabs>
          <w:tab w:val="num" w:pos="851"/>
        </w:tabs>
        <w:spacing w:line="480" w:lineRule="auto"/>
        <w:ind w:left="851"/>
        <w:jc w:val="both"/>
        <w:rPr>
          <w:rFonts w:ascii="Arial" w:hAnsi="Arial"/>
          <w:sz w:val="24"/>
          <w:lang w:val="es-ES_tradnl"/>
        </w:rPr>
      </w:pPr>
    </w:p>
    <w:p w:rsidR="00000000" w:rsidRDefault="00CC2B15">
      <w:pPr>
        <w:tabs>
          <w:tab w:val="num" w:pos="851"/>
        </w:tabs>
        <w:spacing w:line="480" w:lineRule="auto"/>
        <w:ind w:left="851"/>
        <w:jc w:val="both"/>
        <w:rPr>
          <w:rFonts w:ascii="Arial" w:hAnsi="Arial"/>
          <w:sz w:val="24"/>
          <w:lang w:val="es-ES_tradnl"/>
        </w:rPr>
      </w:pPr>
      <w:r>
        <w:rPr>
          <w:rFonts w:ascii="Arial" w:hAnsi="Arial"/>
          <w:sz w:val="24"/>
          <w:lang w:val="es-ES_tradnl"/>
        </w:rPr>
        <w:t>El siguiente artículo hace referencia de las del</w:t>
      </w:r>
      <w:r>
        <w:rPr>
          <w:rFonts w:ascii="Arial" w:hAnsi="Arial"/>
          <w:sz w:val="24"/>
          <w:lang w:val="es-ES_tradnl"/>
        </w:rPr>
        <w:t>imitaciones de la parroquia Tarqui que será objeto del presente estudio.</w:t>
      </w:r>
    </w:p>
    <w:p w:rsidR="00000000" w:rsidRDefault="00CC2B15">
      <w:pPr>
        <w:tabs>
          <w:tab w:val="num" w:pos="851"/>
        </w:tabs>
        <w:spacing w:line="480" w:lineRule="auto"/>
        <w:ind w:left="851"/>
        <w:jc w:val="both"/>
        <w:rPr>
          <w:rFonts w:ascii="Arial" w:hAnsi="Arial"/>
          <w:sz w:val="24"/>
          <w:lang w:val="es-ES_tradnl"/>
        </w:rPr>
      </w:pPr>
    </w:p>
    <w:p w:rsidR="00000000" w:rsidRDefault="00CC2B15">
      <w:pPr>
        <w:tabs>
          <w:tab w:val="num" w:pos="851"/>
        </w:tabs>
        <w:spacing w:line="480" w:lineRule="auto"/>
        <w:ind w:left="851"/>
        <w:jc w:val="both"/>
        <w:rPr>
          <w:rFonts w:ascii="Arial" w:hAnsi="Arial"/>
          <w:sz w:val="24"/>
          <w:lang w:val="es-ES_tradnl"/>
        </w:rPr>
      </w:pPr>
      <w:r>
        <w:rPr>
          <w:rFonts w:ascii="Arial" w:hAnsi="Arial"/>
          <w:b/>
          <w:sz w:val="24"/>
          <w:lang w:val="es-ES_tradnl"/>
        </w:rPr>
        <w:t xml:space="preserve">Art 9. </w:t>
      </w:r>
      <w:r>
        <w:rPr>
          <w:rFonts w:ascii="Arial" w:hAnsi="Arial"/>
          <w:sz w:val="24"/>
          <w:lang w:val="es-ES_tradnl"/>
        </w:rPr>
        <w:t>La parroquia urbana Tarqui tendrá los siguientes linderos: por el Norte, el límite urbano de la ciudad; por el Sur, una línea que parte de la Orilla del río Guayas, sube hasta</w:t>
      </w:r>
      <w:r>
        <w:rPr>
          <w:rFonts w:ascii="Arial" w:hAnsi="Arial"/>
          <w:sz w:val="24"/>
          <w:lang w:val="es-ES_tradnl"/>
        </w:rPr>
        <w:t xml:space="preserve"> la cumbre de los cerros Santa Ana y El Carmen y siguiendo dirección Oeste y el descenso natural de los dichos cerros hasta encontrar la prolongación hacia el Norte de la calle Machala, por esta proyección hasta la calle Julián Coronel, por esta </w:t>
      </w:r>
      <w:r>
        <w:rPr>
          <w:rFonts w:ascii="Arial" w:hAnsi="Arial"/>
          <w:sz w:val="24"/>
          <w:lang w:val="es-ES_tradnl"/>
        </w:rPr>
        <w:lastRenderedPageBreak/>
        <w:t>hasta la A</w:t>
      </w:r>
      <w:r>
        <w:rPr>
          <w:rFonts w:ascii="Arial" w:hAnsi="Arial"/>
          <w:sz w:val="24"/>
          <w:lang w:val="es-ES_tradnl"/>
        </w:rPr>
        <w:t>venida Quito hacia el Sur hasta la Avenida Nueve de Octubre, por esta y cruzando el Puente Cinco de Junio, sigue por el margen izquierdo del Estero Salado, hacia la Fábrica de Cemento San Eduardo, hasta encontrar el límite urbano de la ciudad; por el este,</w:t>
      </w:r>
      <w:r>
        <w:rPr>
          <w:rFonts w:ascii="Arial" w:hAnsi="Arial"/>
          <w:sz w:val="24"/>
          <w:lang w:val="es-ES_tradnl"/>
        </w:rPr>
        <w:t xml:space="preserve"> la orilla del Río Guayas; y, por el Oeste, el límite urbano de la ciudad.</w:t>
      </w:r>
    </w:p>
    <w:p w:rsidR="00000000" w:rsidRDefault="00CC2B15">
      <w:pPr>
        <w:tabs>
          <w:tab w:val="num" w:pos="851"/>
        </w:tabs>
        <w:spacing w:line="480" w:lineRule="auto"/>
        <w:ind w:left="851"/>
        <w:jc w:val="both"/>
        <w:rPr>
          <w:rFonts w:ascii="Arial" w:hAnsi="Arial"/>
          <w:sz w:val="24"/>
          <w:lang w:val="es-ES_tradnl"/>
        </w:rPr>
      </w:pPr>
    </w:p>
    <w:p w:rsidR="00000000" w:rsidRDefault="00CC2B15">
      <w:pPr>
        <w:tabs>
          <w:tab w:val="num" w:pos="851"/>
        </w:tabs>
        <w:spacing w:line="480" w:lineRule="auto"/>
        <w:ind w:left="851"/>
        <w:jc w:val="both"/>
        <w:rPr>
          <w:rFonts w:ascii="Arial" w:hAnsi="Arial"/>
          <w:b/>
          <w:sz w:val="24"/>
          <w:lang w:val="es-ES_tradnl"/>
        </w:rPr>
      </w:pPr>
      <w:r>
        <w:rPr>
          <w:rFonts w:ascii="Arial" w:hAnsi="Arial"/>
          <w:sz w:val="24"/>
          <w:lang w:val="es-ES_tradnl"/>
        </w:rPr>
        <w:t xml:space="preserve">Según el </w:t>
      </w:r>
      <w:r>
        <w:rPr>
          <w:rFonts w:ascii="Arial" w:hAnsi="Arial"/>
          <w:b/>
          <w:sz w:val="24"/>
          <w:lang w:val="es-ES_tradnl"/>
        </w:rPr>
        <w:t>Artículo 17</w:t>
      </w:r>
      <w:r>
        <w:rPr>
          <w:rFonts w:ascii="Arial" w:hAnsi="Arial"/>
          <w:sz w:val="24"/>
          <w:lang w:val="es-ES_tradnl"/>
        </w:rPr>
        <w:t>, esta Ordenanza entró en vigencia el 1 de Enero del año de mil novecientos cincuenta y seis.</w:t>
      </w:r>
    </w:p>
    <w:p w:rsidR="00000000" w:rsidRDefault="00CC2B15">
      <w:pPr>
        <w:pStyle w:val="Textoindependiente2"/>
        <w:spacing w:line="480" w:lineRule="auto"/>
        <w:ind w:left="851"/>
        <w:rPr>
          <w:rFonts w:ascii="Arial" w:hAnsi="Arial"/>
          <w:b w:val="0"/>
          <w:u w:val="none"/>
        </w:rPr>
      </w:pPr>
    </w:p>
    <w:p w:rsidR="00000000" w:rsidRDefault="00CC2B15">
      <w:pPr>
        <w:pStyle w:val="Textoindependiente2"/>
        <w:spacing w:line="480" w:lineRule="auto"/>
        <w:ind w:left="851"/>
        <w:rPr>
          <w:rFonts w:ascii="Arial" w:hAnsi="Arial"/>
          <w:u w:val="none"/>
        </w:rPr>
      </w:pPr>
      <w:r>
        <w:rPr>
          <w:rFonts w:ascii="Arial" w:hAnsi="Arial"/>
          <w:u w:val="none"/>
        </w:rPr>
        <w:t>3.2.1 Delimitación y Ubicación Geográfica de la subparroquia Tarq</w:t>
      </w:r>
      <w:r>
        <w:rPr>
          <w:rFonts w:ascii="Arial" w:hAnsi="Arial"/>
          <w:u w:val="none"/>
        </w:rPr>
        <w:t>ui Este</w:t>
      </w:r>
    </w:p>
    <w:p w:rsidR="00000000" w:rsidRDefault="00CC2B15">
      <w:pPr>
        <w:pStyle w:val="Sangradetextonormal"/>
      </w:pPr>
    </w:p>
    <w:p w:rsidR="00000000" w:rsidRDefault="00CC2B15">
      <w:pPr>
        <w:pStyle w:val="Sangradetextonormal"/>
      </w:pPr>
      <w:r>
        <w:t>Debido a que la parroquia Tarqui es muy extensa, se la dividió en tres subparroquias, las cuales se denominaron, “Tarqui Norte”, “Tarqui Sur” y “Tarqui Este”. El estudio que se ha realizado se concentrará exclusivamente en la Subparroquia a la cual</w:t>
      </w:r>
      <w:r>
        <w:t xml:space="preserve"> se la llamó “Tarqui Este”. </w:t>
      </w:r>
      <w:r>
        <w:t>La división de la parroquia Tarqui se la trató de hacer de una manera equitativa, tratando de que cada una de estas partes tenga el mismo número de viviendas.</w:t>
      </w:r>
    </w:p>
    <w:p w:rsidR="00000000" w:rsidRDefault="00CC2B15">
      <w:pPr>
        <w:spacing w:line="480" w:lineRule="auto"/>
        <w:ind w:left="851"/>
        <w:jc w:val="both"/>
        <w:rPr>
          <w:rFonts w:ascii="Arial" w:hAnsi="Arial"/>
          <w:sz w:val="24"/>
          <w:lang w:val="es-ES_tradnl"/>
        </w:rPr>
      </w:pPr>
    </w:p>
    <w:p w:rsidR="00000000" w:rsidRDefault="00CC2B15">
      <w:pPr>
        <w:spacing w:line="480" w:lineRule="auto"/>
        <w:ind w:left="851"/>
        <w:jc w:val="both"/>
        <w:rPr>
          <w:rFonts w:ascii="Arial" w:hAnsi="Arial"/>
          <w:sz w:val="24"/>
          <w:lang w:val="es-ES_tradnl"/>
        </w:rPr>
      </w:pPr>
      <w:r>
        <w:rPr>
          <w:rFonts w:ascii="Arial" w:hAnsi="Arial"/>
          <w:sz w:val="24"/>
          <w:lang w:val="es-ES_tradnl"/>
        </w:rPr>
        <w:lastRenderedPageBreak/>
        <w:t>La zona antes mencionada tiene los siguientes límites:</w:t>
      </w:r>
    </w:p>
    <w:p w:rsidR="00000000" w:rsidRDefault="00CC2B15">
      <w:pPr>
        <w:spacing w:line="480" w:lineRule="auto"/>
        <w:ind w:left="851"/>
        <w:jc w:val="both"/>
        <w:rPr>
          <w:rFonts w:ascii="Arial" w:hAnsi="Arial"/>
          <w:sz w:val="24"/>
          <w:lang w:val="es-ES_tradnl"/>
        </w:rPr>
      </w:pPr>
      <w:r>
        <w:rPr>
          <w:rFonts w:ascii="Arial" w:hAnsi="Arial"/>
          <w:b/>
          <w:sz w:val="24"/>
          <w:lang w:val="es-ES_tradnl"/>
        </w:rPr>
        <w:t>Al Norte</w:t>
      </w:r>
      <w:r>
        <w:rPr>
          <w:rFonts w:ascii="Arial" w:hAnsi="Arial"/>
          <w:sz w:val="24"/>
          <w:lang w:val="es-ES_tradnl"/>
        </w:rPr>
        <w:t>, el</w:t>
      </w:r>
      <w:r>
        <w:rPr>
          <w:rFonts w:ascii="Arial" w:hAnsi="Arial"/>
          <w:sz w:val="24"/>
          <w:lang w:val="es-ES_tradnl"/>
        </w:rPr>
        <w:t xml:space="preserve"> límite urbano de la ciudad.</w:t>
      </w:r>
    </w:p>
    <w:p w:rsidR="00000000" w:rsidRDefault="00CC2B15">
      <w:pPr>
        <w:spacing w:line="480" w:lineRule="auto"/>
        <w:ind w:left="851"/>
        <w:jc w:val="both"/>
        <w:rPr>
          <w:rFonts w:ascii="Arial" w:hAnsi="Arial"/>
          <w:b/>
          <w:sz w:val="24"/>
          <w:lang w:val="es-ES_tradnl"/>
        </w:rPr>
      </w:pPr>
    </w:p>
    <w:p w:rsidR="00000000" w:rsidRDefault="00CC2B15">
      <w:pPr>
        <w:spacing w:line="480" w:lineRule="auto"/>
        <w:ind w:left="851"/>
        <w:jc w:val="both"/>
        <w:rPr>
          <w:rFonts w:ascii="Arial" w:hAnsi="Arial"/>
          <w:sz w:val="24"/>
          <w:lang w:val="es-ES_tradnl"/>
        </w:rPr>
      </w:pPr>
      <w:r>
        <w:rPr>
          <w:rFonts w:ascii="Arial" w:hAnsi="Arial"/>
          <w:b/>
          <w:sz w:val="24"/>
          <w:lang w:val="es-ES_tradnl"/>
        </w:rPr>
        <w:t>Al Sur</w:t>
      </w:r>
      <w:r>
        <w:rPr>
          <w:rFonts w:ascii="Arial" w:hAnsi="Arial"/>
          <w:sz w:val="24"/>
          <w:lang w:val="es-ES_tradnl"/>
        </w:rPr>
        <w:t xml:space="preserve">, una línea que parte de la Orilla del río Guayas, sube hasta la cumbre de los cerros Santa Ana y El Carmen y siguiendo dirección Oeste y el descenso natural de los dichos cerros hasta encontrar la prolongación hacia el </w:t>
      </w:r>
      <w:r>
        <w:rPr>
          <w:rFonts w:ascii="Arial" w:hAnsi="Arial"/>
          <w:sz w:val="24"/>
          <w:lang w:val="es-ES_tradnl"/>
        </w:rPr>
        <w:t>Norte de la calle Machala, por esta proyección hasta la calle Julián Coronel, por esta hasta la Avenida Quito hacia el Sur hasta la Avenida Nueve de Octubre.</w:t>
      </w:r>
    </w:p>
    <w:p w:rsidR="00000000" w:rsidRDefault="00CC2B15">
      <w:pPr>
        <w:spacing w:line="480" w:lineRule="auto"/>
        <w:ind w:left="851"/>
        <w:jc w:val="both"/>
        <w:rPr>
          <w:rFonts w:ascii="Arial" w:hAnsi="Arial"/>
          <w:b/>
          <w:sz w:val="24"/>
          <w:lang w:val="es-ES_tradnl"/>
        </w:rPr>
      </w:pPr>
    </w:p>
    <w:p w:rsidR="00000000" w:rsidRDefault="00CC2B15">
      <w:pPr>
        <w:spacing w:line="480" w:lineRule="auto"/>
        <w:ind w:left="851"/>
        <w:jc w:val="both"/>
        <w:rPr>
          <w:rFonts w:ascii="Arial" w:hAnsi="Arial"/>
          <w:sz w:val="24"/>
          <w:lang w:val="es-ES_tradnl"/>
        </w:rPr>
      </w:pPr>
      <w:r>
        <w:rPr>
          <w:rFonts w:ascii="Arial" w:hAnsi="Arial"/>
          <w:b/>
          <w:sz w:val="24"/>
          <w:lang w:val="es-ES_tradnl"/>
        </w:rPr>
        <w:t>Al Este</w:t>
      </w:r>
      <w:r>
        <w:rPr>
          <w:rFonts w:ascii="Arial" w:hAnsi="Arial"/>
          <w:sz w:val="24"/>
          <w:lang w:val="es-ES_tradnl"/>
        </w:rPr>
        <w:t>, la orilla del Río Guayas</w:t>
      </w:r>
    </w:p>
    <w:p w:rsidR="00000000" w:rsidRDefault="00CC2B15">
      <w:pPr>
        <w:spacing w:line="480" w:lineRule="auto"/>
        <w:ind w:left="851"/>
        <w:jc w:val="both"/>
        <w:rPr>
          <w:rFonts w:ascii="Arial" w:hAnsi="Arial"/>
          <w:sz w:val="24"/>
          <w:lang w:val="es-ES_tradnl"/>
        </w:rPr>
      </w:pPr>
    </w:p>
    <w:p w:rsidR="00000000" w:rsidRDefault="00CC2B15">
      <w:pPr>
        <w:spacing w:line="480" w:lineRule="auto"/>
        <w:ind w:left="851"/>
        <w:jc w:val="both"/>
        <w:rPr>
          <w:rFonts w:ascii="Arial" w:hAnsi="Arial"/>
          <w:sz w:val="24"/>
          <w:lang w:val="es-ES_tradnl"/>
        </w:rPr>
      </w:pPr>
      <w:r>
        <w:rPr>
          <w:rFonts w:ascii="Arial" w:hAnsi="Arial"/>
          <w:b/>
          <w:sz w:val="24"/>
          <w:lang w:val="es-ES_tradnl"/>
        </w:rPr>
        <w:t>Al Oeste</w:t>
      </w:r>
      <w:r>
        <w:rPr>
          <w:rFonts w:ascii="Arial" w:hAnsi="Arial"/>
          <w:sz w:val="24"/>
          <w:lang w:val="es-ES_tradnl"/>
        </w:rPr>
        <w:t>, desde Nueve de Octubre hacia el norte por José Masco</w:t>
      </w:r>
      <w:r>
        <w:rPr>
          <w:rFonts w:ascii="Arial" w:hAnsi="Arial"/>
          <w:sz w:val="24"/>
          <w:lang w:val="es-ES_tradnl"/>
        </w:rPr>
        <w:t>te, siguiendo por la Avenida de Las Américas hasta la Avenida Carlos Luis Plaza Dañín hacia el Oeste, orillando el Estero Salado hacia el Norte hasta la Avenida Juan Tanca Marengo, de ahí se baja hacia el Este por la misma Avenida, sube por la calle que se</w:t>
      </w:r>
      <w:r>
        <w:rPr>
          <w:rFonts w:ascii="Arial" w:hAnsi="Arial"/>
          <w:sz w:val="24"/>
          <w:lang w:val="es-ES_tradnl"/>
        </w:rPr>
        <w:t>para el Banco Bolivariano hasta la Avenida Francisco de Orellana por la cual se dirige hacia el Norte hasta el Río Daule.</w:t>
      </w:r>
    </w:p>
    <w:p w:rsidR="00000000" w:rsidRDefault="00CC2B15">
      <w:pPr>
        <w:spacing w:line="480" w:lineRule="auto"/>
        <w:ind w:left="851"/>
        <w:jc w:val="both"/>
        <w:rPr>
          <w:rFonts w:ascii="Arial" w:hAnsi="Arial"/>
          <w:sz w:val="24"/>
          <w:lang w:val="es-ES_tradnl"/>
        </w:rPr>
      </w:pPr>
    </w:p>
    <w:p w:rsidR="00000000" w:rsidRDefault="00CC2B15">
      <w:pPr>
        <w:spacing w:line="480" w:lineRule="auto"/>
        <w:ind w:left="851"/>
        <w:jc w:val="both"/>
        <w:rPr>
          <w:rFonts w:ascii="Arial" w:hAnsi="Arial"/>
          <w:sz w:val="24"/>
          <w:lang w:val="es-ES_tradnl"/>
        </w:rPr>
      </w:pPr>
      <w:r>
        <w:rPr>
          <w:rFonts w:ascii="Arial" w:hAnsi="Arial"/>
          <w:sz w:val="24"/>
          <w:lang w:val="es-ES_tradnl"/>
        </w:rPr>
        <w:t xml:space="preserve">En el plano mostrado en el  </w:t>
      </w:r>
      <w:r>
        <w:rPr>
          <w:rFonts w:ascii="Arial" w:hAnsi="Arial"/>
          <w:sz w:val="24"/>
          <w:lang w:val="es-ES_tradnl"/>
        </w:rPr>
        <w:t>ANEXO 1</w:t>
      </w:r>
      <w:r>
        <w:rPr>
          <w:rFonts w:ascii="Arial" w:hAnsi="Arial"/>
          <w:sz w:val="24"/>
          <w:lang w:val="es-ES_tradnl"/>
        </w:rPr>
        <w:t>.1</w:t>
      </w:r>
      <w:r>
        <w:rPr>
          <w:rFonts w:ascii="Arial" w:hAnsi="Arial"/>
          <w:sz w:val="24"/>
          <w:lang w:val="es-ES_tradnl"/>
        </w:rPr>
        <w:t xml:space="preserve"> se pueden apreciar de una manera clara los límites parroquiales y su ubicación geográfica. </w:t>
      </w:r>
    </w:p>
    <w:p w:rsidR="00000000" w:rsidRDefault="00CC2B15">
      <w:pPr>
        <w:spacing w:line="480" w:lineRule="auto"/>
        <w:ind w:left="851"/>
        <w:jc w:val="both"/>
        <w:rPr>
          <w:rFonts w:ascii="Arial" w:hAnsi="Arial"/>
          <w:sz w:val="24"/>
          <w:lang w:val="es-ES_tradnl"/>
        </w:rPr>
      </w:pPr>
    </w:p>
    <w:p w:rsidR="00000000" w:rsidRDefault="00CC2B15">
      <w:pPr>
        <w:pStyle w:val="Sangradetextonormal"/>
      </w:pPr>
      <w:r>
        <w:t>En e</w:t>
      </w:r>
      <w:r>
        <w:t xml:space="preserve">sta subparroquia existen dos lugares que prestan un importante servicio a la ciudad de Guayaquil  que son el aeropuerto internacional Simón Bolívar y el Terminal terrestre Jaime Roldós Aguilera. </w:t>
      </w:r>
    </w:p>
    <w:p w:rsidR="00000000" w:rsidRDefault="00CC2B15">
      <w:pPr>
        <w:spacing w:line="480" w:lineRule="auto"/>
        <w:ind w:left="851"/>
        <w:jc w:val="both"/>
        <w:rPr>
          <w:rFonts w:ascii="Arial" w:hAnsi="Arial"/>
          <w:sz w:val="24"/>
          <w:lang w:val="es-ES_tradnl"/>
        </w:rPr>
      </w:pPr>
    </w:p>
    <w:p w:rsidR="00000000" w:rsidRDefault="00CC2B15">
      <w:pPr>
        <w:spacing w:line="480" w:lineRule="auto"/>
        <w:ind w:left="851"/>
        <w:jc w:val="both"/>
        <w:rPr>
          <w:rFonts w:ascii="Arial" w:hAnsi="Arial"/>
          <w:sz w:val="24"/>
          <w:lang w:val="es-ES_tradnl"/>
        </w:rPr>
      </w:pPr>
      <w:r>
        <w:rPr>
          <w:rFonts w:ascii="Arial" w:hAnsi="Arial"/>
          <w:sz w:val="24"/>
          <w:lang w:val="es-ES_tradnl"/>
        </w:rPr>
        <w:t>En la Tarqui Este son 26 zonas que la conforman, numeradas d</w:t>
      </w:r>
      <w:r>
        <w:rPr>
          <w:rFonts w:ascii="Arial" w:hAnsi="Arial"/>
          <w:sz w:val="24"/>
          <w:lang w:val="es-ES_tradnl"/>
        </w:rPr>
        <w:t>e acuerdo a la zonificación hecha por el INEC en 1987, y cada zona abarca ciertas ciudadelas y avenidas de Guayaquil, la mayoría de ellas se detallan en la Tabla II.</w:t>
      </w:r>
    </w:p>
    <w:p w:rsidR="00000000" w:rsidRDefault="00CC2B15">
      <w:pPr>
        <w:spacing w:line="480" w:lineRule="auto"/>
        <w:ind w:left="851"/>
        <w:jc w:val="both"/>
        <w:rPr>
          <w:rFonts w:ascii="Arial" w:hAnsi="Arial"/>
          <w:sz w:val="24"/>
          <w:lang w:val="es-ES_tradnl"/>
        </w:rPr>
      </w:pPr>
    </w:p>
    <w:p w:rsidR="00000000" w:rsidRDefault="00CC2B15">
      <w:pPr>
        <w:spacing w:line="480" w:lineRule="auto"/>
        <w:ind w:left="851"/>
        <w:jc w:val="both"/>
        <w:rPr>
          <w:rFonts w:ascii="Arial" w:hAnsi="Arial"/>
          <w:sz w:val="24"/>
          <w:lang w:val="es-ES_tradnl"/>
        </w:rPr>
      </w:pPr>
    </w:p>
    <w:p w:rsidR="00000000" w:rsidRDefault="00CC2B15">
      <w:pPr>
        <w:spacing w:line="480" w:lineRule="auto"/>
        <w:ind w:left="851"/>
        <w:jc w:val="both"/>
        <w:rPr>
          <w:rFonts w:ascii="Arial" w:hAnsi="Arial"/>
          <w:sz w:val="24"/>
          <w:lang w:val="es-ES_tradnl"/>
        </w:rPr>
      </w:pPr>
    </w:p>
    <w:p w:rsidR="00000000" w:rsidRDefault="00CC2B15">
      <w:pPr>
        <w:spacing w:line="480" w:lineRule="auto"/>
        <w:ind w:left="851"/>
        <w:jc w:val="both"/>
        <w:rPr>
          <w:rFonts w:ascii="Arial" w:hAnsi="Arial"/>
          <w:sz w:val="24"/>
          <w:lang w:val="es-ES_tradnl"/>
        </w:rPr>
      </w:pPr>
    </w:p>
    <w:p w:rsidR="00000000" w:rsidRDefault="00CC2B15">
      <w:pPr>
        <w:spacing w:line="480" w:lineRule="auto"/>
        <w:ind w:left="851"/>
        <w:jc w:val="both"/>
        <w:rPr>
          <w:rFonts w:ascii="Arial" w:hAnsi="Arial"/>
          <w:sz w:val="24"/>
          <w:lang w:val="es-ES_tradnl"/>
        </w:rPr>
      </w:pPr>
    </w:p>
    <w:p w:rsidR="00000000" w:rsidRDefault="00CC2B15">
      <w:pPr>
        <w:spacing w:line="480" w:lineRule="auto"/>
        <w:ind w:left="851"/>
        <w:jc w:val="both"/>
        <w:rPr>
          <w:rFonts w:ascii="Arial" w:hAnsi="Arial"/>
          <w:sz w:val="24"/>
          <w:lang w:val="es-ES_tradnl"/>
        </w:rPr>
      </w:pPr>
    </w:p>
    <w:p w:rsidR="00000000" w:rsidRDefault="00CC2B15">
      <w:pPr>
        <w:spacing w:line="480" w:lineRule="auto"/>
        <w:ind w:left="851"/>
        <w:jc w:val="both"/>
        <w:rPr>
          <w:rFonts w:ascii="Arial" w:hAnsi="Arial"/>
          <w:sz w:val="24"/>
          <w:lang w:val="es-ES_tradnl"/>
        </w:rPr>
      </w:pPr>
    </w:p>
    <w:p w:rsidR="00000000" w:rsidRDefault="00CC2B15">
      <w:pPr>
        <w:spacing w:line="480" w:lineRule="auto"/>
        <w:ind w:left="851"/>
        <w:jc w:val="both"/>
        <w:rPr>
          <w:rFonts w:ascii="Arial" w:hAnsi="Arial"/>
          <w:sz w:val="24"/>
          <w:lang w:val="es-ES_tradnl"/>
        </w:rPr>
      </w:pPr>
    </w:p>
    <w:p w:rsidR="00000000" w:rsidRDefault="00CC2B15">
      <w:pPr>
        <w:spacing w:line="480" w:lineRule="auto"/>
        <w:ind w:left="851"/>
        <w:jc w:val="both"/>
        <w:rPr>
          <w:rFonts w:ascii="Arial" w:hAnsi="Arial"/>
          <w:sz w:val="24"/>
          <w:lang w:val="es-ES_tradnl"/>
        </w:rPr>
      </w:pPr>
    </w:p>
    <w:p w:rsidR="00000000" w:rsidRDefault="00CC2B15">
      <w:pPr>
        <w:jc w:val="center"/>
        <w:rPr>
          <w:rFonts w:ascii="Arial" w:hAnsi="Arial"/>
          <w:b/>
          <w:sz w:val="24"/>
          <w:lang w:val="es-ES_tradnl"/>
        </w:rPr>
      </w:pPr>
      <w:r>
        <w:rPr>
          <w:rFonts w:ascii="Arial" w:hAnsi="Arial"/>
          <w:b/>
          <w:sz w:val="24"/>
          <w:lang w:val="es-ES_tradnl"/>
        </w:rPr>
        <w:t>TABLA II</w:t>
      </w:r>
    </w:p>
    <w:p w:rsidR="00000000" w:rsidRDefault="00CC2B15">
      <w:pPr>
        <w:jc w:val="center"/>
        <w:rPr>
          <w:rFonts w:ascii="Arial" w:hAnsi="Arial"/>
          <w:b/>
          <w:sz w:val="24"/>
          <w:lang w:val="es-ES_tradnl"/>
        </w:rPr>
      </w:pPr>
    </w:p>
    <w:p w:rsidR="00000000" w:rsidRDefault="00CC2B15">
      <w:pPr>
        <w:jc w:val="center"/>
        <w:rPr>
          <w:rFonts w:ascii="Arial" w:hAnsi="Arial"/>
          <w:b/>
          <w:sz w:val="24"/>
          <w:lang w:val="es-ES_tradnl"/>
        </w:rPr>
      </w:pPr>
      <w:r>
        <w:rPr>
          <w:rFonts w:ascii="Arial" w:hAnsi="Arial"/>
          <w:b/>
          <w:sz w:val="24"/>
          <w:lang w:val="es-ES_tradnl"/>
        </w:rPr>
        <w:t>Datos de viviendas, ciudadelas y avenidas por zonas en la subparroqui</w:t>
      </w:r>
      <w:r>
        <w:rPr>
          <w:rFonts w:ascii="Arial" w:hAnsi="Arial"/>
          <w:b/>
          <w:sz w:val="24"/>
          <w:lang w:val="es-ES_tradnl"/>
        </w:rPr>
        <w:t>a Tarqui Este</w:t>
      </w:r>
    </w:p>
    <w:p w:rsidR="00000000" w:rsidRDefault="00CC2B15"/>
    <w:tbl>
      <w:tblPr>
        <w:tblW w:w="0" w:type="auto"/>
        <w:tblInd w:w="106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70" w:type="dxa"/>
          <w:right w:w="70" w:type="dxa"/>
        </w:tblCellMar>
        <w:tblLook w:val="0000"/>
      </w:tblPr>
      <w:tblGrid>
        <w:gridCol w:w="992"/>
        <w:gridCol w:w="1417"/>
        <w:gridCol w:w="5387"/>
      </w:tblGrid>
      <w:tr w:rsidR="00000000">
        <w:tblPrEx>
          <w:tblCellMar>
            <w:top w:w="0" w:type="dxa"/>
            <w:bottom w:w="0" w:type="dxa"/>
          </w:tblCellMar>
        </w:tblPrEx>
        <w:tc>
          <w:tcPr>
            <w:tcW w:w="992" w:type="dxa"/>
            <w:tcBorders>
              <w:top w:val="thinThickSmallGap" w:sz="18" w:space="0" w:color="auto"/>
              <w:bottom w:val="nil"/>
            </w:tcBorders>
            <w:shd w:val="clear" w:color="auto" w:fill="0000FF"/>
            <w:vAlign w:val="center"/>
          </w:tcPr>
          <w:p w:rsidR="00000000" w:rsidRDefault="00CC2B15">
            <w:pPr>
              <w:pStyle w:val="Ttulo9"/>
              <w:rPr>
                <w:color w:val="FFFF00"/>
                <w:sz w:val="18"/>
                <w:lang w:val="es-ES_tradnl"/>
              </w:rPr>
            </w:pPr>
            <w:r>
              <w:rPr>
                <w:color w:val="FFFF00"/>
                <w:sz w:val="18"/>
                <w:lang w:val="es-ES_tradnl"/>
              </w:rPr>
              <w:t>ZONAS</w:t>
            </w:r>
          </w:p>
        </w:tc>
        <w:tc>
          <w:tcPr>
            <w:tcW w:w="1417" w:type="dxa"/>
            <w:tcBorders>
              <w:top w:val="thinThickSmallGap" w:sz="18" w:space="0" w:color="auto"/>
              <w:bottom w:val="nil"/>
            </w:tcBorders>
            <w:shd w:val="clear" w:color="auto" w:fill="0000FF"/>
          </w:tcPr>
          <w:p w:rsidR="00000000" w:rsidRDefault="00CC2B15">
            <w:pPr>
              <w:pStyle w:val="Ttulo9"/>
              <w:rPr>
                <w:rFonts w:ascii="Times New Roman" w:hAnsi="Times New Roman"/>
                <w:color w:val="FFFF00"/>
                <w:sz w:val="18"/>
              </w:rPr>
            </w:pPr>
            <w:r>
              <w:rPr>
                <w:rFonts w:ascii="Times New Roman" w:hAnsi="Times New Roman"/>
                <w:color w:val="FFFF00"/>
                <w:sz w:val="18"/>
              </w:rPr>
              <w:t>VIVIENDAS</w:t>
            </w:r>
          </w:p>
        </w:tc>
        <w:tc>
          <w:tcPr>
            <w:tcW w:w="5387" w:type="dxa"/>
            <w:tcBorders>
              <w:top w:val="thinThickSmallGap" w:sz="18" w:space="0" w:color="auto"/>
              <w:bottom w:val="nil"/>
            </w:tcBorders>
            <w:shd w:val="clear" w:color="auto" w:fill="0000FF"/>
            <w:vAlign w:val="center"/>
          </w:tcPr>
          <w:p w:rsidR="00000000" w:rsidRDefault="00CC2B15">
            <w:pPr>
              <w:pStyle w:val="Ttulo9"/>
              <w:rPr>
                <w:rFonts w:ascii="Times New Roman" w:hAnsi="Times New Roman"/>
                <w:color w:val="FFFF00"/>
                <w:sz w:val="18"/>
              </w:rPr>
            </w:pPr>
            <w:r>
              <w:rPr>
                <w:rFonts w:ascii="Times New Roman" w:hAnsi="Times New Roman"/>
                <w:color w:val="FFFF00"/>
                <w:sz w:val="18"/>
              </w:rPr>
              <w:t>CIUDADELAS Y AVENIDAS</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vAlign w:val="center"/>
          </w:tcPr>
          <w:p w:rsidR="00000000" w:rsidRDefault="00CC2B15">
            <w:pPr>
              <w:jc w:val="center"/>
              <w:rPr>
                <w:rFonts w:ascii="Arial" w:hAnsi="Arial"/>
                <w:sz w:val="18"/>
                <w:lang w:val="es-ES_tradnl"/>
              </w:rPr>
            </w:pPr>
            <w:r>
              <w:rPr>
                <w:rFonts w:ascii="Arial" w:hAnsi="Arial"/>
                <w:sz w:val="18"/>
                <w:lang w:val="es-ES_tradnl"/>
              </w:rPr>
              <w:t>106</w:t>
            </w:r>
          </w:p>
        </w:tc>
        <w:tc>
          <w:tcPr>
            <w:tcW w:w="1417" w:type="dxa"/>
            <w:tcBorders>
              <w:top w:val="single" w:sz="6" w:space="0" w:color="auto"/>
              <w:bottom w:val="single" w:sz="6" w:space="0" w:color="auto"/>
            </w:tcBorders>
            <w:shd w:val="clear" w:color="auto" w:fill="00FFFF"/>
            <w:vAlign w:val="center"/>
          </w:tcPr>
          <w:p w:rsidR="00000000" w:rsidRDefault="00CC2B15">
            <w:pPr>
              <w:jc w:val="center"/>
              <w:rPr>
                <w:rFonts w:ascii="Arial" w:hAnsi="Arial"/>
                <w:sz w:val="18"/>
                <w:lang w:val="es-ES_tradnl"/>
              </w:rPr>
            </w:pPr>
            <w:r>
              <w:rPr>
                <w:rFonts w:ascii="Arial" w:hAnsi="Arial"/>
                <w:sz w:val="18"/>
                <w:lang w:val="es-ES_tradnl"/>
              </w:rPr>
              <w:t>1129</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Desde Julián Coronel hasta Hurtado y desde la Avda. Quito hasta José Mascote</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164</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2090</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Cerro Santa Ana y Cerro del Carmen</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217</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1575</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Sauces VIII  y parte de Cdla. Los Samanes</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218</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1208</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 xml:space="preserve">Alborada </w:t>
            </w:r>
            <w:r>
              <w:rPr>
                <w:rFonts w:ascii="Arial" w:hAnsi="Arial"/>
                <w:sz w:val="18"/>
                <w:lang w:val="es-ES_tradnl"/>
              </w:rPr>
              <w:t xml:space="preserve"> XI  etapa</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219</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1369</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Alborada  XII etapa</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220</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1192</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Alborada  VII y VIII etapa</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221</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1446</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Alborada  V etapa</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222</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1806</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Cdla. Sauces I  y parte  de la  Cdla. Alborada IV etapa</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223</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1353</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Alborada I y III Etapa</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vAlign w:val="center"/>
          </w:tcPr>
          <w:p w:rsidR="00000000" w:rsidRDefault="00CC2B15">
            <w:pPr>
              <w:jc w:val="center"/>
              <w:rPr>
                <w:rFonts w:ascii="Arial" w:hAnsi="Arial"/>
                <w:sz w:val="18"/>
                <w:lang w:val="es-ES_tradnl"/>
              </w:rPr>
            </w:pPr>
            <w:r>
              <w:rPr>
                <w:rFonts w:ascii="Arial" w:hAnsi="Arial"/>
                <w:sz w:val="18"/>
                <w:lang w:val="es-ES_tradnl"/>
              </w:rPr>
              <w:t>224</w:t>
            </w:r>
          </w:p>
        </w:tc>
        <w:tc>
          <w:tcPr>
            <w:tcW w:w="1417" w:type="dxa"/>
            <w:tcBorders>
              <w:top w:val="single" w:sz="6" w:space="0" w:color="auto"/>
              <w:bottom w:val="single" w:sz="6" w:space="0" w:color="auto"/>
            </w:tcBorders>
            <w:shd w:val="clear" w:color="auto" w:fill="00FFFF"/>
            <w:vAlign w:val="center"/>
          </w:tcPr>
          <w:p w:rsidR="00000000" w:rsidRDefault="00CC2B15">
            <w:pPr>
              <w:jc w:val="center"/>
              <w:rPr>
                <w:rFonts w:ascii="Arial" w:hAnsi="Arial"/>
                <w:sz w:val="18"/>
                <w:lang w:val="es-ES_tradnl"/>
              </w:rPr>
            </w:pPr>
            <w:r>
              <w:rPr>
                <w:rFonts w:ascii="Arial" w:hAnsi="Arial"/>
                <w:snapToGrid w:val="0"/>
                <w:color w:val="000000"/>
                <w:sz w:val="18"/>
              </w:rPr>
              <w:t>1177</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Cdla. Unión y Progreso, Cdla. Emetel, par</w:t>
            </w:r>
            <w:r>
              <w:rPr>
                <w:rFonts w:ascii="Arial" w:hAnsi="Arial"/>
                <w:sz w:val="18"/>
                <w:lang w:val="es-ES_tradnl"/>
              </w:rPr>
              <w:t>te de la Cdla. Herradura, parte de la Garzota</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vAlign w:val="center"/>
          </w:tcPr>
          <w:p w:rsidR="00000000" w:rsidRDefault="00CC2B15">
            <w:pPr>
              <w:jc w:val="center"/>
              <w:rPr>
                <w:rFonts w:ascii="Arial" w:hAnsi="Arial"/>
                <w:sz w:val="18"/>
                <w:lang w:val="es-ES_tradnl"/>
              </w:rPr>
            </w:pPr>
            <w:r>
              <w:rPr>
                <w:rFonts w:ascii="Arial" w:hAnsi="Arial"/>
                <w:sz w:val="18"/>
                <w:lang w:val="es-ES_tradnl"/>
              </w:rPr>
              <w:t>226</w:t>
            </w:r>
          </w:p>
        </w:tc>
        <w:tc>
          <w:tcPr>
            <w:tcW w:w="1417" w:type="dxa"/>
            <w:tcBorders>
              <w:top w:val="single" w:sz="6" w:space="0" w:color="auto"/>
              <w:bottom w:val="single" w:sz="6" w:space="0" w:color="auto"/>
            </w:tcBorders>
            <w:shd w:val="clear" w:color="auto" w:fill="00FFFF"/>
            <w:vAlign w:val="center"/>
          </w:tcPr>
          <w:p w:rsidR="00000000" w:rsidRDefault="00CC2B15">
            <w:pPr>
              <w:jc w:val="center"/>
              <w:rPr>
                <w:rFonts w:ascii="Arial" w:hAnsi="Arial"/>
                <w:sz w:val="18"/>
                <w:lang w:val="es-ES_tradnl"/>
              </w:rPr>
            </w:pPr>
            <w:r>
              <w:rPr>
                <w:rFonts w:ascii="Arial" w:hAnsi="Arial"/>
                <w:snapToGrid w:val="0"/>
                <w:color w:val="000000"/>
                <w:sz w:val="18"/>
              </w:rPr>
              <w:t>1557</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Cdla. Naval Norte, Cdla. Aguirre Abad y parte de la Cdla. Atarazana</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vAlign w:val="center"/>
          </w:tcPr>
          <w:p w:rsidR="00000000" w:rsidRDefault="00CC2B15">
            <w:pPr>
              <w:jc w:val="center"/>
              <w:rPr>
                <w:rFonts w:ascii="Arial" w:hAnsi="Arial"/>
                <w:sz w:val="18"/>
                <w:lang w:val="es-ES_tradnl"/>
              </w:rPr>
            </w:pPr>
            <w:r>
              <w:rPr>
                <w:rFonts w:ascii="Arial" w:hAnsi="Arial"/>
                <w:sz w:val="18"/>
                <w:lang w:val="es-ES_tradnl"/>
              </w:rPr>
              <w:t>227</w:t>
            </w:r>
          </w:p>
        </w:tc>
        <w:tc>
          <w:tcPr>
            <w:tcW w:w="1417" w:type="dxa"/>
            <w:tcBorders>
              <w:top w:val="single" w:sz="6" w:space="0" w:color="auto"/>
              <w:bottom w:val="single" w:sz="6" w:space="0" w:color="auto"/>
            </w:tcBorders>
            <w:shd w:val="clear" w:color="auto" w:fill="00FFFF"/>
            <w:vAlign w:val="center"/>
          </w:tcPr>
          <w:p w:rsidR="00000000" w:rsidRDefault="00CC2B15">
            <w:pPr>
              <w:jc w:val="center"/>
              <w:rPr>
                <w:rFonts w:ascii="Arial" w:hAnsi="Arial"/>
                <w:sz w:val="18"/>
                <w:lang w:val="es-ES_tradnl"/>
              </w:rPr>
            </w:pPr>
            <w:r>
              <w:rPr>
                <w:rFonts w:ascii="Arial" w:hAnsi="Arial"/>
                <w:snapToGrid w:val="0"/>
                <w:color w:val="000000"/>
                <w:sz w:val="18"/>
              </w:rPr>
              <w:t>1270</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Cdla. Bella Aurora, por atrás del Lorenzo Ponce y parte de la Atarazana</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228</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976</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Cdla. La Fae</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229</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1041</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 xml:space="preserve">Cdla. Adace, Cdla </w:t>
            </w:r>
            <w:r>
              <w:rPr>
                <w:rFonts w:ascii="Arial" w:hAnsi="Arial"/>
                <w:sz w:val="18"/>
                <w:lang w:val="es-ES_tradnl"/>
              </w:rPr>
              <w:t>Simón Bolívar, parte de la Garzota</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230</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1795</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Sauces II</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231</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1101</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Sauces IX y Sauces VII</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vAlign w:val="center"/>
          </w:tcPr>
          <w:p w:rsidR="00000000" w:rsidRDefault="00CC2B15">
            <w:pPr>
              <w:jc w:val="center"/>
              <w:rPr>
                <w:rFonts w:ascii="Arial" w:hAnsi="Arial"/>
                <w:sz w:val="18"/>
                <w:lang w:val="es-ES_tradnl"/>
              </w:rPr>
            </w:pPr>
            <w:r>
              <w:rPr>
                <w:rFonts w:ascii="Arial" w:hAnsi="Arial"/>
                <w:sz w:val="18"/>
                <w:lang w:val="es-ES_tradnl"/>
              </w:rPr>
              <w:t>232</w:t>
            </w:r>
          </w:p>
        </w:tc>
        <w:tc>
          <w:tcPr>
            <w:tcW w:w="1417" w:type="dxa"/>
            <w:tcBorders>
              <w:top w:val="single" w:sz="6" w:space="0" w:color="auto"/>
              <w:bottom w:val="single" w:sz="6" w:space="0" w:color="auto"/>
            </w:tcBorders>
            <w:shd w:val="clear" w:color="auto" w:fill="00FFFF"/>
            <w:vAlign w:val="center"/>
          </w:tcPr>
          <w:p w:rsidR="00000000" w:rsidRDefault="00CC2B15">
            <w:pPr>
              <w:jc w:val="center"/>
              <w:rPr>
                <w:rFonts w:ascii="Arial" w:hAnsi="Arial"/>
                <w:sz w:val="18"/>
                <w:lang w:val="es-ES_tradnl"/>
              </w:rPr>
            </w:pPr>
            <w:r>
              <w:rPr>
                <w:rFonts w:ascii="Arial" w:hAnsi="Arial"/>
                <w:snapToGrid w:val="0"/>
                <w:color w:val="000000"/>
                <w:sz w:val="18"/>
              </w:rPr>
              <w:t>1327</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Cdla. Brisas del Río, Cdla. Acuarela del Río y parte de Sauces III</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233</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1651</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Parte de Sauces IV</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234</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1379</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Parte de Sauces III</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235</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1573</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Parte de Sauces VI</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23</w:t>
            </w:r>
            <w:r>
              <w:rPr>
                <w:rFonts w:ascii="Arial" w:hAnsi="Arial"/>
                <w:sz w:val="18"/>
                <w:lang w:val="es-ES_tradnl"/>
              </w:rPr>
              <w:t>6</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1744</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Parte de Sauces VI</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237</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1680</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Sauces V</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238</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1513</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Parte de la Cdla. Los  Guayacanes  y Sauces VI</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239</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1702</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Parte de Sauces IV y parte de Guayacanes</w:t>
            </w:r>
          </w:p>
        </w:tc>
      </w:tr>
      <w:tr w:rsidR="00000000">
        <w:tblPrEx>
          <w:tblCellMar>
            <w:top w:w="0" w:type="dxa"/>
            <w:bottom w:w="0" w:type="dxa"/>
          </w:tblCellMar>
        </w:tblPrEx>
        <w:tc>
          <w:tcPr>
            <w:tcW w:w="992"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240</w:t>
            </w:r>
          </w:p>
        </w:tc>
        <w:tc>
          <w:tcPr>
            <w:tcW w:w="1417" w:type="dxa"/>
            <w:tcBorders>
              <w:top w:val="single" w:sz="6" w:space="0" w:color="auto"/>
              <w:bottom w:val="single" w:sz="6"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1519</w:t>
            </w:r>
          </w:p>
        </w:tc>
        <w:tc>
          <w:tcPr>
            <w:tcW w:w="5387" w:type="dxa"/>
            <w:tcBorders>
              <w:top w:val="single" w:sz="6" w:space="0" w:color="auto"/>
              <w:bottom w:val="single" w:sz="6"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Cdla. Samanes</w:t>
            </w:r>
          </w:p>
        </w:tc>
      </w:tr>
      <w:tr w:rsidR="00000000">
        <w:tblPrEx>
          <w:tblCellMar>
            <w:top w:w="0" w:type="dxa"/>
            <w:bottom w:w="0" w:type="dxa"/>
          </w:tblCellMar>
        </w:tblPrEx>
        <w:tc>
          <w:tcPr>
            <w:tcW w:w="992" w:type="dxa"/>
            <w:tcBorders>
              <w:top w:val="single" w:sz="6" w:space="0" w:color="auto"/>
              <w:bottom w:val="thickThinSmallGap" w:sz="18" w:space="0" w:color="auto"/>
            </w:tcBorders>
            <w:shd w:val="clear" w:color="auto" w:fill="00FFFF"/>
          </w:tcPr>
          <w:p w:rsidR="00000000" w:rsidRDefault="00CC2B15">
            <w:pPr>
              <w:jc w:val="center"/>
              <w:rPr>
                <w:rFonts w:ascii="Arial" w:hAnsi="Arial"/>
                <w:sz w:val="18"/>
                <w:lang w:val="es-ES_tradnl"/>
              </w:rPr>
            </w:pPr>
            <w:r>
              <w:rPr>
                <w:rFonts w:ascii="Arial" w:hAnsi="Arial"/>
                <w:sz w:val="18"/>
                <w:lang w:val="es-ES_tradnl"/>
              </w:rPr>
              <w:t>241</w:t>
            </w:r>
          </w:p>
        </w:tc>
        <w:tc>
          <w:tcPr>
            <w:tcW w:w="1417" w:type="dxa"/>
            <w:tcBorders>
              <w:top w:val="single" w:sz="6" w:space="0" w:color="auto"/>
              <w:bottom w:val="thickThinSmallGap" w:sz="18" w:space="0" w:color="auto"/>
            </w:tcBorders>
            <w:shd w:val="clear" w:color="auto" w:fill="00FFFF"/>
          </w:tcPr>
          <w:p w:rsidR="00000000" w:rsidRDefault="00CC2B15">
            <w:pPr>
              <w:jc w:val="center"/>
              <w:rPr>
                <w:rFonts w:ascii="Arial" w:hAnsi="Arial"/>
                <w:sz w:val="18"/>
                <w:lang w:val="es-ES_tradnl"/>
              </w:rPr>
            </w:pPr>
            <w:r>
              <w:rPr>
                <w:rFonts w:ascii="Arial" w:hAnsi="Arial"/>
                <w:snapToGrid w:val="0"/>
                <w:color w:val="000000"/>
                <w:sz w:val="18"/>
              </w:rPr>
              <w:t>1032</w:t>
            </w:r>
          </w:p>
        </w:tc>
        <w:tc>
          <w:tcPr>
            <w:tcW w:w="5387" w:type="dxa"/>
            <w:tcBorders>
              <w:top w:val="single" w:sz="6" w:space="0" w:color="auto"/>
              <w:bottom w:val="thickThinSmallGap" w:sz="18" w:space="0" w:color="auto"/>
            </w:tcBorders>
            <w:shd w:val="clear" w:color="auto" w:fill="00FFFF"/>
          </w:tcPr>
          <w:p w:rsidR="00000000" w:rsidRDefault="00CC2B15">
            <w:pPr>
              <w:rPr>
                <w:rFonts w:ascii="Arial" w:hAnsi="Arial"/>
                <w:sz w:val="18"/>
                <w:lang w:val="es-ES_tradnl"/>
              </w:rPr>
            </w:pPr>
            <w:r>
              <w:rPr>
                <w:rFonts w:ascii="Arial" w:hAnsi="Arial"/>
                <w:sz w:val="18"/>
                <w:lang w:val="es-ES_tradnl"/>
              </w:rPr>
              <w:t>Cdla. Las Orquideas, Los Rosales y la Cdla. los Vergeles.</w:t>
            </w:r>
          </w:p>
        </w:tc>
      </w:tr>
    </w:tbl>
    <w:p w:rsidR="00000000" w:rsidRDefault="00CC2B15">
      <w:pPr>
        <w:pStyle w:val="Epgrafe"/>
        <w:spacing w:line="480" w:lineRule="auto"/>
        <w:ind w:left="851" w:firstLine="0"/>
        <w:rPr>
          <w:rFonts w:ascii="Arial" w:hAnsi="Arial"/>
          <w:b w:val="0"/>
          <w:sz w:val="22"/>
        </w:rPr>
      </w:pPr>
      <w:r>
        <w:rPr>
          <w:rFonts w:ascii="Arial" w:hAnsi="Arial"/>
          <w:i/>
          <w:sz w:val="22"/>
        </w:rPr>
        <w:t xml:space="preserve">Fuente: </w:t>
      </w:r>
      <w:r>
        <w:rPr>
          <w:rFonts w:ascii="Arial" w:hAnsi="Arial"/>
          <w:b w:val="0"/>
          <w:sz w:val="22"/>
        </w:rPr>
        <w:t>Ma</w:t>
      </w:r>
      <w:r>
        <w:rPr>
          <w:rFonts w:ascii="Arial" w:hAnsi="Arial"/>
          <w:b w:val="0"/>
          <w:sz w:val="22"/>
        </w:rPr>
        <w:t>pas del Instituto Nacional de Estadísticas y Censos del Ecuador</w:t>
      </w:r>
    </w:p>
    <w:p w:rsidR="00CC2B15" w:rsidRDefault="00CC2B15">
      <w:pPr>
        <w:pStyle w:val="Textoindependiente2"/>
        <w:spacing w:line="480" w:lineRule="auto"/>
        <w:rPr>
          <w:rFonts w:ascii="Arial" w:hAnsi="Arial"/>
          <w:b w:val="0"/>
          <w:u w:val="none"/>
        </w:rPr>
      </w:pPr>
    </w:p>
    <w:sectPr w:rsidR="00CC2B15">
      <w:headerReference w:type="even" r:id="rId7"/>
      <w:headerReference w:type="default" r:id="rId8"/>
      <w:pgSz w:w="12240" w:h="15840"/>
      <w:pgMar w:top="2268" w:right="1361" w:bottom="2268" w:left="2268" w:header="720" w:footer="720" w:gutter="0"/>
      <w:pgNumType w:start="9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B15" w:rsidRDefault="00CC2B15">
      <w:r>
        <w:separator/>
      </w:r>
    </w:p>
  </w:endnote>
  <w:endnote w:type="continuationSeparator" w:id="1">
    <w:p w:rsidR="00CC2B15" w:rsidRDefault="00CC2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B15" w:rsidRDefault="00CC2B15">
      <w:r>
        <w:separator/>
      </w:r>
    </w:p>
  </w:footnote>
  <w:footnote w:type="continuationSeparator" w:id="1">
    <w:p w:rsidR="00CC2B15" w:rsidRDefault="00CC2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C2B15">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91</w:t>
    </w:r>
    <w:r>
      <w:rPr>
        <w:rStyle w:val="Nmerodepgina"/>
      </w:rPr>
      <w:fldChar w:fldCharType="end"/>
    </w:r>
  </w:p>
  <w:p w:rsidR="00000000" w:rsidRDefault="00CC2B1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C2B15">
    <w:pPr>
      <w:pStyle w:val="Encabezado"/>
      <w:framePr w:wrap="around" w:vAnchor="text" w:hAnchor="margin" w:xAlign="right" w:y="1"/>
      <w:rPr>
        <w:rStyle w:val="Nmerodepgina"/>
      </w:rPr>
    </w:pPr>
  </w:p>
  <w:p w:rsidR="00000000" w:rsidRDefault="00CC2B15">
    <w:pPr>
      <w:pStyle w:val="Encabezado"/>
      <w:framePr w:wrap="around" w:vAnchor="text" w:hAnchor="margin" w:xAlign="right" w:y="1"/>
      <w:jc w:val="right"/>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852C40">
      <w:rPr>
        <w:rStyle w:val="Nmerodepgina"/>
        <w:noProof/>
      </w:rPr>
      <w:t>97</w:t>
    </w:r>
    <w:r>
      <w:rPr>
        <w:rStyle w:val="Nmerodepgina"/>
      </w:rPr>
      <w:fldChar w:fldCharType="end"/>
    </w:r>
  </w:p>
  <w:p w:rsidR="00000000" w:rsidRDefault="00CC2B15">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B35"/>
    <w:multiLevelType w:val="multilevel"/>
    <w:tmpl w:val="2E468B7C"/>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9B10967"/>
    <w:multiLevelType w:val="multilevel"/>
    <w:tmpl w:val="B46AD4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3960231"/>
    <w:multiLevelType w:val="multilevel"/>
    <w:tmpl w:val="A784275A"/>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
    <w:nsid w:val="593E65F3"/>
    <w:multiLevelType w:val="multilevel"/>
    <w:tmpl w:val="C9F699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DB63732"/>
    <w:multiLevelType w:val="singleLevel"/>
    <w:tmpl w:val="EC82C9A2"/>
    <w:lvl w:ilvl="0">
      <w:start w:val="1"/>
      <w:numFmt w:val="decimal"/>
      <w:lvlText w:val="%1."/>
      <w:lvlJc w:val="left"/>
      <w:pPr>
        <w:tabs>
          <w:tab w:val="num" w:pos="360"/>
        </w:tabs>
        <w:ind w:left="360" w:hanging="360"/>
      </w:pPr>
      <w:rPr>
        <w:b/>
        <w:i w:val="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52C40"/>
    <w:rsid w:val="00852C40"/>
    <w:rsid w:val="00CC2B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b/>
      <w:sz w:val="24"/>
      <w:lang w:val="es-ES_tradnl"/>
    </w:rPr>
  </w:style>
  <w:style w:type="paragraph" w:styleId="Ttulo9">
    <w:name w:val="heading 9"/>
    <w:basedOn w:val="Normal"/>
    <w:next w:val="Normal"/>
    <w:qFormat/>
    <w:pPr>
      <w:keepNext/>
      <w:jc w:val="center"/>
      <w:outlineLvl w:val="8"/>
    </w:pPr>
    <w:rPr>
      <w:rFonts w:ascii="Arial" w:hAnsi="Arial"/>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both"/>
    </w:pPr>
    <w:rPr>
      <w:b/>
      <w:sz w:val="24"/>
      <w:u w:val="single"/>
      <w:lang w:val="es-ES_tradnl"/>
    </w:rPr>
  </w:style>
  <w:style w:type="paragraph" w:styleId="Textoindependiente">
    <w:name w:val="Body Text"/>
    <w:basedOn w:val="Normal"/>
    <w:semiHidden/>
    <w:pPr>
      <w:jc w:val="both"/>
    </w:pPr>
    <w:rPr>
      <w:sz w:val="24"/>
      <w:lang w:val="es-ES_tradnl"/>
    </w:rPr>
  </w:style>
  <w:style w:type="paragraph" w:styleId="Epgrafe">
    <w:name w:val="caption"/>
    <w:basedOn w:val="Normal"/>
    <w:next w:val="Normal"/>
    <w:qFormat/>
    <w:pPr>
      <w:ind w:left="7080" w:firstLine="708"/>
    </w:pPr>
    <w:rPr>
      <w:b/>
    </w:rPr>
  </w:style>
  <w:style w:type="paragraph" w:styleId="Sangradetextonormal">
    <w:name w:val="Body Text Indent"/>
    <w:basedOn w:val="Normal"/>
    <w:semiHidden/>
    <w:pPr>
      <w:spacing w:line="480" w:lineRule="auto"/>
      <w:ind w:left="851"/>
      <w:jc w:val="both"/>
    </w:pPr>
    <w:rPr>
      <w:rFonts w:ascii="Arial" w:hAnsi="Arial"/>
      <w:sz w:val="24"/>
      <w:lang w:val="es-ES_tradnl"/>
    </w:rPr>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7418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CAPÍTULO 3</vt:lpstr>
    </vt:vector>
  </TitlesOfParts>
  <Company> </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3</dc:title>
  <dc:subject/>
  <dc:creator> </dc:creator>
  <cp:keywords/>
  <cp:lastModifiedBy>Ayudante</cp:lastModifiedBy>
  <cp:revision>2</cp:revision>
  <dcterms:created xsi:type="dcterms:W3CDTF">2009-07-02T19:40:00Z</dcterms:created>
  <dcterms:modified xsi:type="dcterms:W3CDTF">2009-07-02T19:40:00Z</dcterms:modified>
</cp:coreProperties>
</file>