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BE2" w:rsidRDefault="00755BE2" w:rsidP="00755BE2">
      <w:pPr>
        <w:pStyle w:val="Ttulo1"/>
        <w:jc w:val="left"/>
      </w:pPr>
    </w:p>
    <w:p w:rsidR="00755BE2" w:rsidRPr="008A0ECC" w:rsidRDefault="00755BE2" w:rsidP="00755BE2"/>
    <w:p w:rsidR="00755BE2" w:rsidRDefault="00755BE2" w:rsidP="00755BE2">
      <w:pPr>
        <w:pStyle w:val="Ttulo1"/>
      </w:pPr>
      <w:r>
        <w:t>ESCUELA SUPERIOR POLITÉCNICA DEL LITORAL</w:t>
      </w:r>
    </w:p>
    <w:p w:rsidR="00755BE2" w:rsidRDefault="00755BE2" w:rsidP="00755BE2">
      <w:pPr>
        <w:spacing w:line="240" w:lineRule="atLeast"/>
        <w:rPr>
          <w:b/>
          <w:sz w:val="28"/>
        </w:rPr>
      </w:pPr>
    </w:p>
    <w:p w:rsidR="00755BE2" w:rsidRDefault="00755BE2" w:rsidP="00755BE2">
      <w:pPr>
        <w:spacing w:line="240" w:lineRule="atLeast"/>
        <w:rPr>
          <w:b/>
          <w:sz w:val="28"/>
        </w:rPr>
      </w:pPr>
    </w:p>
    <w:p w:rsidR="00755BE2" w:rsidRDefault="00755BE2" w:rsidP="00755BE2">
      <w:pPr>
        <w:spacing w:line="240" w:lineRule="atLeast"/>
        <w:jc w:val="center"/>
        <w:rPr>
          <w:sz w:val="28"/>
        </w:rPr>
      </w:pPr>
      <w:r>
        <w:rPr>
          <w:b/>
          <w:sz w:val="28"/>
        </w:rPr>
        <w:t>Instituto de Ciencias Matemáticas</w:t>
      </w:r>
    </w:p>
    <w:p w:rsidR="00755BE2" w:rsidRDefault="00755BE2" w:rsidP="00755BE2">
      <w:pPr>
        <w:spacing w:line="240" w:lineRule="atLeast"/>
        <w:jc w:val="center"/>
        <w:rPr>
          <w:sz w:val="28"/>
        </w:rPr>
      </w:pPr>
    </w:p>
    <w:p w:rsidR="00755BE2" w:rsidRDefault="00755BE2" w:rsidP="00755BE2">
      <w:pPr>
        <w:spacing w:line="240" w:lineRule="atLeast"/>
        <w:jc w:val="center"/>
        <w:rPr>
          <w:sz w:val="28"/>
        </w:rPr>
      </w:pPr>
    </w:p>
    <w:p w:rsidR="00755BE2" w:rsidRDefault="00755BE2" w:rsidP="00755BE2">
      <w:pPr>
        <w:spacing w:line="240" w:lineRule="atLeast"/>
        <w:jc w:val="center"/>
        <w:rPr>
          <w:sz w:val="28"/>
        </w:rPr>
      </w:pPr>
    </w:p>
    <w:p w:rsidR="00755BE2" w:rsidRDefault="00755BE2" w:rsidP="00755BE2">
      <w:pPr>
        <w:spacing w:line="240" w:lineRule="atLeast"/>
        <w:jc w:val="center"/>
        <w:rPr>
          <w:sz w:val="28"/>
        </w:rPr>
      </w:pPr>
      <w:r>
        <w:rPr>
          <w:sz w:val="28"/>
        </w:rPr>
        <w:t xml:space="preserve">"Análisis Estadístico de las Enfermedades del Camarón: </w:t>
      </w:r>
    </w:p>
    <w:p w:rsidR="00755BE2" w:rsidRDefault="00755BE2" w:rsidP="00755BE2">
      <w:pPr>
        <w:spacing w:line="240" w:lineRule="atLeast"/>
        <w:jc w:val="center"/>
        <w:rPr>
          <w:sz w:val="28"/>
        </w:rPr>
      </w:pPr>
      <w:r>
        <w:rPr>
          <w:sz w:val="28"/>
        </w:rPr>
        <w:t>Caso Guayas"</w:t>
      </w:r>
    </w:p>
    <w:p w:rsidR="00755BE2" w:rsidRDefault="00755BE2" w:rsidP="00755BE2">
      <w:pPr>
        <w:spacing w:line="240" w:lineRule="atLeast"/>
        <w:jc w:val="center"/>
        <w:rPr>
          <w:b/>
          <w:sz w:val="28"/>
        </w:rPr>
      </w:pPr>
    </w:p>
    <w:p w:rsidR="00755BE2" w:rsidRDefault="00755BE2" w:rsidP="00755BE2">
      <w:pPr>
        <w:spacing w:line="240" w:lineRule="atLeast"/>
        <w:jc w:val="center"/>
        <w:rPr>
          <w:b/>
          <w:sz w:val="28"/>
        </w:rPr>
      </w:pPr>
    </w:p>
    <w:p w:rsidR="00755BE2" w:rsidRDefault="00755BE2" w:rsidP="00755BE2">
      <w:pPr>
        <w:spacing w:line="240" w:lineRule="atLeast"/>
        <w:jc w:val="center"/>
        <w:rPr>
          <w:b/>
          <w:sz w:val="28"/>
        </w:rPr>
      </w:pPr>
      <w:r>
        <w:rPr>
          <w:b/>
          <w:sz w:val="28"/>
        </w:rPr>
        <w:t>TESIS DE GRADO</w:t>
      </w:r>
    </w:p>
    <w:p w:rsidR="00755BE2" w:rsidRDefault="00755BE2" w:rsidP="00755BE2">
      <w:pPr>
        <w:spacing w:line="240" w:lineRule="atLeast"/>
        <w:rPr>
          <w:b/>
          <w:sz w:val="28"/>
        </w:rPr>
      </w:pPr>
    </w:p>
    <w:p w:rsidR="00755BE2" w:rsidRDefault="00755BE2" w:rsidP="00755BE2">
      <w:pPr>
        <w:spacing w:line="240" w:lineRule="atLeast"/>
        <w:jc w:val="center"/>
        <w:rPr>
          <w:sz w:val="28"/>
        </w:rPr>
      </w:pPr>
    </w:p>
    <w:p w:rsidR="00755BE2" w:rsidRDefault="00755BE2" w:rsidP="00755BE2">
      <w:pPr>
        <w:spacing w:line="240" w:lineRule="atLeast"/>
        <w:jc w:val="center"/>
        <w:rPr>
          <w:b/>
          <w:sz w:val="28"/>
        </w:rPr>
      </w:pPr>
      <w:r>
        <w:rPr>
          <w:sz w:val="28"/>
        </w:rPr>
        <w:t>Previo la obtención del Título de:</w:t>
      </w:r>
    </w:p>
    <w:p w:rsidR="00755BE2" w:rsidRDefault="00755BE2" w:rsidP="00755BE2">
      <w:pPr>
        <w:spacing w:line="240" w:lineRule="atLeast"/>
        <w:jc w:val="center"/>
        <w:rPr>
          <w:b/>
          <w:sz w:val="28"/>
        </w:rPr>
      </w:pPr>
    </w:p>
    <w:p w:rsidR="00755BE2" w:rsidRDefault="00755BE2" w:rsidP="00755BE2">
      <w:pPr>
        <w:spacing w:line="240" w:lineRule="atLeast"/>
        <w:jc w:val="center"/>
        <w:rPr>
          <w:sz w:val="28"/>
        </w:rPr>
      </w:pPr>
      <w:r>
        <w:rPr>
          <w:b/>
          <w:sz w:val="28"/>
        </w:rPr>
        <w:t>INGENIERO EN ESTADÍSTICA INFORMÁTICA</w:t>
      </w:r>
    </w:p>
    <w:p w:rsidR="00755BE2" w:rsidRDefault="00755BE2" w:rsidP="00755BE2">
      <w:pPr>
        <w:spacing w:line="240" w:lineRule="atLeast"/>
        <w:jc w:val="center"/>
        <w:rPr>
          <w:sz w:val="28"/>
        </w:rPr>
      </w:pPr>
    </w:p>
    <w:p w:rsidR="00755BE2" w:rsidRDefault="00755BE2" w:rsidP="00755BE2">
      <w:pPr>
        <w:spacing w:line="240" w:lineRule="atLeast"/>
        <w:jc w:val="center"/>
        <w:rPr>
          <w:sz w:val="28"/>
        </w:rPr>
      </w:pPr>
    </w:p>
    <w:p w:rsidR="00755BE2" w:rsidRDefault="00755BE2" w:rsidP="00755BE2">
      <w:pPr>
        <w:spacing w:line="240" w:lineRule="atLeast"/>
        <w:rPr>
          <w:sz w:val="28"/>
        </w:rPr>
      </w:pPr>
    </w:p>
    <w:p w:rsidR="00755BE2" w:rsidRDefault="00755BE2" w:rsidP="00755BE2">
      <w:pPr>
        <w:spacing w:line="240" w:lineRule="atLeast"/>
        <w:jc w:val="center"/>
        <w:rPr>
          <w:sz w:val="28"/>
        </w:rPr>
      </w:pPr>
      <w:r>
        <w:rPr>
          <w:sz w:val="28"/>
        </w:rPr>
        <w:t>Presentada por:</w:t>
      </w:r>
    </w:p>
    <w:p w:rsidR="00755BE2" w:rsidRDefault="00755BE2" w:rsidP="00755BE2">
      <w:pPr>
        <w:spacing w:line="240" w:lineRule="atLeast"/>
        <w:jc w:val="center"/>
        <w:rPr>
          <w:sz w:val="28"/>
        </w:rPr>
      </w:pPr>
      <w:r>
        <w:rPr>
          <w:sz w:val="28"/>
        </w:rPr>
        <w:t>Fabricio Gustavo Jurado Larrea</w:t>
      </w:r>
    </w:p>
    <w:p w:rsidR="00755BE2" w:rsidRDefault="00755BE2" w:rsidP="00755BE2">
      <w:pPr>
        <w:spacing w:line="240" w:lineRule="atLeast"/>
        <w:jc w:val="center"/>
        <w:rPr>
          <w:b/>
          <w:sz w:val="28"/>
        </w:rPr>
      </w:pPr>
    </w:p>
    <w:p w:rsidR="00755BE2" w:rsidRDefault="00755BE2" w:rsidP="00755BE2">
      <w:pPr>
        <w:spacing w:line="240" w:lineRule="atLeast"/>
        <w:jc w:val="center"/>
        <w:rPr>
          <w:b/>
          <w:sz w:val="28"/>
        </w:rPr>
      </w:pPr>
    </w:p>
    <w:p w:rsidR="00755BE2" w:rsidRDefault="00755BE2" w:rsidP="00755BE2">
      <w:pPr>
        <w:spacing w:line="240" w:lineRule="atLeast"/>
        <w:jc w:val="center"/>
        <w:rPr>
          <w:b/>
          <w:sz w:val="28"/>
        </w:rPr>
      </w:pPr>
    </w:p>
    <w:p w:rsidR="00755BE2" w:rsidRDefault="00755BE2" w:rsidP="00755BE2">
      <w:pPr>
        <w:spacing w:line="240" w:lineRule="atLeast"/>
        <w:jc w:val="center"/>
        <w:rPr>
          <w:b/>
          <w:sz w:val="28"/>
        </w:rPr>
      </w:pPr>
    </w:p>
    <w:p w:rsidR="00755BE2" w:rsidRPr="008A0ECC" w:rsidRDefault="00755BE2" w:rsidP="00755BE2">
      <w:pPr>
        <w:spacing w:line="240" w:lineRule="atLeast"/>
        <w:jc w:val="center"/>
        <w:rPr>
          <w:b/>
          <w:sz w:val="28"/>
        </w:rPr>
      </w:pPr>
      <w:r>
        <w:rPr>
          <w:b/>
          <w:sz w:val="28"/>
        </w:rPr>
        <w:t>RESUMEN DEL CYCIT</w:t>
      </w:r>
    </w:p>
    <w:p w:rsidR="00755BE2" w:rsidRDefault="00755BE2" w:rsidP="00755BE2">
      <w:pPr>
        <w:spacing w:line="240" w:lineRule="atLeast"/>
        <w:rPr>
          <w:sz w:val="28"/>
        </w:rPr>
      </w:pPr>
    </w:p>
    <w:p w:rsidR="00755BE2" w:rsidRDefault="00755BE2" w:rsidP="00755BE2">
      <w:pPr>
        <w:spacing w:line="240" w:lineRule="atLeast"/>
        <w:jc w:val="center"/>
        <w:rPr>
          <w:sz w:val="28"/>
        </w:rPr>
      </w:pPr>
    </w:p>
    <w:p w:rsidR="00755BE2" w:rsidRDefault="00755BE2" w:rsidP="00755BE2">
      <w:pPr>
        <w:spacing w:line="240" w:lineRule="atLeast"/>
        <w:jc w:val="center"/>
        <w:rPr>
          <w:sz w:val="28"/>
        </w:rPr>
      </w:pPr>
    </w:p>
    <w:p w:rsidR="00755BE2" w:rsidRDefault="00755BE2" w:rsidP="00755BE2">
      <w:pPr>
        <w:spacing w:line="240" w:lineRule="atLeast"/>
        <w:jc w:val="center"/>
        <w:rPr>
          <w:sz w:val="28"/>
        </w:rPr>
      </w:pPr>
    </w:p>
    <w:p w:rsidR="00755BE2" w:rsidRDefault="00755BE2" w:rsidP="00755BE2">
      <w:pPr>
        <w:spacing w:line="240" w:lineRule="atLeast"/>
        <w:jc w:val="center"/>
        <w:rPr>
          <w:sz w:val="28"/>
        </w:rPr>
      </w:pPr>
      <w:r>
        <w:rPr>
          <w:sz w:val="28"/>
        </w:rPr>
        <w:t>GUAYAQUIL - ECUADOR</w:t>
      </w:r>
    </w:p>
    <w:p w:rsidR="00755BE2" w:rsidRDefault="00755BE2" w:rsidP="00755BE2">
      <w:pPr>
        <w:spacing w:line="240" w:lineRule="atLeast"/>
        <w:jc w:val="center"/>
        <w:rPr>
          <w:sz w:val="28"/>
        </w:rPr>
      </w:pPr>
    </w:p>
    <w:p w:rsidR="00755BE2" w:rsidRDefault="00755BE2" w:rsidP="00755BE2">
      <w:pPr>
        <w:spacing w:line="240" w:lineRule="atLeast"/>
        <w:jc w:val="center"/>
        <w:rPr>
          <w:sz w:val="28"/>
        </w:rPr>
      </w:pPr>
      <w:r>
        <w:rPr>
          <w:sz w:val="28"/>
        </w:rPr>
        <w:t>Año: 2002</w:t>
      </w:r>
    </w:p>
    <w:p w:rsidR="00755BE2" w:rsidRDefault="00755BE2" w:rsidP="00755BE2"/>
    <w:p w:rsidR="00755BE2" w:rsidRDefault="00755BE2" w:rsidP="00755BE2"/>
    <w:p w:rsidR="00755BE2" w:rsidRDefault="00755BE2" w:rsidP="00755BE2"/>
    <w:p w:rsidR="00755BE2" w:rsidRDefault="00755BE2" w:rsidP="00755BE2"/>
    <w:p w:rsidR="00755BE2" w:rsidRDefault="00755BE2" w:rsidP="00755BE2"/>
    <w:p w:rsidR="00755BE2" w:rsidRDefault="00755BE2" w:rsidP="00755BE2"/>
    <w:p w:rsidR="00DD23CC" w:rsidRDefault="00DD23CC">
      <w:pPr>
        <w:pStyle w:val="Ttulo1"/>
        <w:jc w:val="both"/>
        <w:rPr>
          <w:sz w:val="24"/>
        </w:rPr>
      </w:pPr>
      <w:r>
        <w:rPr>
          <w:sz w:val="24"/>
        </w:rPr>
        <w:lastRenderedPageBreak/>
        <w:t>TITULO: “Análisis Estadístico de las enfermedades del camarón: Caso Guayas”</w:t>
      </w:r>
    </w:p>
    <w:p w:rsidR="00DD23CC" w:rsidRDefault="00DD23CC" w:rsidP="00DD23CC">
      <w:pPr>
        <w:rPr>
          <w:b/>
        </w:rPr>
      </w:pPr>
      <w:r w:rsidRPr="00DD23CC">
        <w:rPr>
          <w:b/>
        </w:rPr>
        <w:t>AUTOR:</w:t>
      </w:r>
      <w:r>
        <w:rPr>
          <w:b/>
        </w:rPr>
        <w:t xml:space="preserve"> Fabricio Gustavo Jurado Larrea</w:t>
      </w:r>
      <w:r>
        <w:rPr>
          <w:b/>
          <w:vertAlign w:val="superscript"/>
        </w:rPr>
        <w:t>1</w:t>
      </w:r>
    </w:p>
    <w:p w:rsidR="00DD23CC" w:rsidRDefault="00DD23CC" w:rsidP="00DD23CC">
      <w:pPr>
        <w:rPr>
          <w:b/>
        </w:rPr>
      </w:pPr>
      <w:r>
        <w:rPr>
          <w:b/>
        </w:rPr>
        <w:t>DIRECTOR: Mat. John Ramírez Figueroa</w:t>
      </w:r>
      <w:r>
        <w:rPr>
          <w:b/>
          <w:vertAlign w:val="superscript"/>
        </w:rPr>
        <w:t>2</w:t>
      </w:r>
    </w:p>
    <w:p w:rsidR="00DD23CC" w:rsidRDefault="00DD23CC" w:rsidP="00DD23CC">
      <w:pPr>
        <w:rPr>
          <w:b/>
          <w:vertAlign w:val="superscript"/>
        </w:rPr>
      </w:pPr>
    </w:p>
    <w:p w:rsidR="00DD23CC" w:rsidRDefault="00DD23CC" w:rsidP="00DD23CC">
      <w:pPr>
        <w:rPr>
          <w:b/>
        </w:rPr>
      </w:pPr>
      <w:r>
        <w:rPr>
          <w:b/>
          <w:vertAlign w:val="superscript"/>
        </w:rPr>
        <w:t>1</w:t>
      </w:r>
      <w:r>
        <w:rPr>
          <w:b/>
        </w:rPr>
        <w:t>Ingeniero en Estadística Informática. 2002. ESPOL.</w:t>
      </w:r>
    </w:p>
    <w:p w:rsidR="00DD23CC" w:rsidRPr="00DD23CC" w:rsidRDefault="00DD23CC" w:rsidP="00DD23CC">
      <w:pPr>
        <w:rPr>
          <w:b/>
        </w:rPr>
      </w:pPr>
      <w:r>
        <w:rPr>
          <w:b/>
          <w:vertAlign w:val="superscript"/>
        </w:rPr>
        <w:t>2</w:t>
      </w:r>
      <w:r>
        <w:rPr>
          <w:b/>
        </w:rPr>
        <w:t xml:space="preserve">Matemático especializado en Estadística y Procesos Estocásticos. 1996. Escuela Superior Politécnica Nacional. </w:t>
      </w:r>
    </w:p>
    <w:p w:rsidR="00DD23CC" w:rsidRDefault="00DD23CC">
      <w:pPr>
        <w:pStyle w:val="Ttulo1"/>
        <w:jc w:val="both"/>
        <w:rPr>
          <w:sz w:val="24"/>
        </w:rPr>
      </w:pPr>
    </w:p>
    <w:p w:rsidR="00DD23CC" w:rsidRDefault="00DD23CC">
      <w:pPr>
        <w:pStyle w:val="Ttulo1"/>
        <w:jc w:val="both"/>
        <w:rPr>
          <w:sz w:val="24"/>
        </w:rPr>
      </w:pPr>
    </w:p>
    <w:p w:rsidR="005A27D6" w:rsidRDefault="005A27D6">
      <w:pPr>
        <w:pStyle w:val="Ttulo1"/>
        <w:jc w:val="both"/>
        <w:rPr>
          <w:sz w:val="24"/>
        </w:rPr>
      </w:pPr>
      <w:r>
        <w:rPr>
          <w:sz w:val="24"/>
        </w:rPr>
        <w:t>1. RESUMEN</w:t>
      </w:r>
    </w:p>
    <w:p w:rsidR="005A27D6" w:rsidRDefault="005A27D6" w:rsidP="00DD23CC">
      <w:pPr>
        <w:pStyle w:val="Textoindependiente"/>
        <w:spacing w:line="240" w:lineRule="auto"/>
      </w:pPr>
      <w:r>
        <w:t>El presente estudio estadístico, trata de plasmar todas las técnicas aplicadas a la acuicultura, cuyo principal problema es la crisis de las enfermedades causada en el periodo de 1999 al 2000.</w:t>
      </w:r>
      <w:r w:rsidR="00DD23CC">
        <w:t xml:space="preserve"> E</w:t>
      </w:r>
      <w:r>
        <w:t xml:space="preserve">l primer capítulo se refiere a los antecedentes, cultivo, desarrollo, métodos de diagnostico y tipos de enfermedades que afectan a las camaroneras de la provincia. </w:t>
      </w:r>
    </w:p>
    <w:p w:rsidR="005A27D6" w:rsidRDefault="005A27D6">
      <w:pPr>
        <w:jc w:val="both"/>
      </w:pPr>
    </w:p>
    <w:p w:rsidR="005A27D6" w:rsidRDefault="005A27D6">
      <w:pPr>
        <w:jc w:val="both"/>
      </w:pPr>
      <w:r>
        <w:t>El segundo capítulo un marco teórico, donde se encuentran detalladas las definiciones y técnicas multivariadas, como de series temporales.</w:t>
      </w:r>
      <w:r w:rsidR="00DD23CC">
        <w:t xml:space="preserve"> </w:t>
      </w:r>
      <w:r>
        <w:t xml:space="preserve">En el tercer capitulo se aplica las técnicas estadísticas a los datos proporcionados y resultados obtenidos para cada análisis. </w:t>
      </w:r>
    </w:p>
    <w:p w:rsidR="005A27D6" w:rsidRDefault="005A27D6">
      <w:pPr>
        <w:jc w:val="both"/>
      </w:pPr>
    </w:p>
    <w:p w:rsidR="005A27D6" w:rsidRDefault="005A27D6">
      <w:pPr>
        <w:pStyle w:val="Textoindependiente"/>
        <w:spacing w:line="240" w:lineRule="auto"/>
      </w:pPr>
      <w:r>
        <w:t>En el capítulo cuarto se detallan las conclusiones y recomendaciones, de este estudio.</w:t>
      </w:r>
    </w:p>
    <w:p w:rsidR="005A27D6" w:rsidRDefault="005A27D6">
      <w:pPr>
        <w:jc w:val="center"/>
        <w:rPr>
          <w:b/>
          <w:bCs/>
        </w:rPr>
      </w:pPr>
    </w:p>
    <w:p w:rsidR="005A27D6" w:rsidRDefault="005A27D6">
      <w:pPr>
        <w:pStyle w:val="Ttulo1"/>
        <w:jc w:val="both"/>
        <w:rPr>
          <w:sz w:val="24"/>
        </w:rPr>
      </w:pPr>
      <w:r>
        <w:rPr>
          <w:sz w:val="24"/>
        </w:rPr>
        <w:t>2. INTRODUCCIÓN</w:t>
      </w:r>
    </w:p>
    <w:p w:rsidR="005A27D6" w:rsidRDefault="005A27D6">
      <w:pPr>
        <w:jc w:val="both"/>
      </w:pPr>
      <w:r>
        <w:t>Para el sector camaronero fue el mejor año fue 1998, pero nunca se previo que al siguiente año el virus de la mancha blanca iba a causar la más grave crisis a la industria.</w:t>
      </w:r>
      <w:r w:rsidR="00DD23CC">
        <w:t xml:space="preserve"> </w:t>
      </w:r>
      <w:r>
        <w:t>Con esto, surgen muchas hipótesis, ¿Qué situación vivió el sector camaronero en la provincia del Guayas, en la época de 1998 al 2000?, ¿ La producción entre las camaroneras disminuyo radicalmente?, ¿Qué factores medioambientales inciden en el desarrollo de las enfermedades?, ¿Qué métodos de diagnostico son más utilizados?, ¿El sector camaronero de la provincia del Guayas podrá reponerse tal grave situación?.</w:t>
      </w:r>
    </w:p>
    <w:p w:rsidR="005A27D6" w:rsidRDefault="005A27D6">
      <w:pPr>
        <w:jc w:val="both"/>
      </w:pPr>
    </w:p>
    <w:p w:rsidR="005A27D6" w:rsidRDefault="005A27D6">
      <w:pPr>
        <w:jc w:val="both"/>
      </w:pPr>
      <w:r>
        <w:t xml:space="preserve">Para responder estas hipótesis hemos tratado de utilizar ciertas técnicas estadísticas, tales como la dependencia entre variables, componentes principales y series temporales. </w:t>
      </w:r>
    </w:p>
    <w:p w:rsidR="005A27D6" w:rsidRDefault="005A27D6">
      <w:pPr>
        <w:jc w:val="both"/>
      </w:pPr>
    </w:p>
    <w:p w:rsidR="005A27D6" w:rsidRDefault="005A27D6">
      <w:pPr>
        <w:jc w:val="both"/>
      </w:pPr>
      <w:r>
        <w:t>Las hipótesis con las que hemos plasmado esta investigación son:</w:t>
      </w:r>
    </w:p>
    <w:p w:rsidR="005A27D6" w:rsidRDefault="005A27D6">
      <w:pPr>
        <w:numPr>
          <w:ilvl w:val="0"/>
          <w:numId w:val="1"/>
        </w:numPr>
        <w:jc w:val="both"/>
      </w:pPr>
      <w:r>
        <w:t>El promedio de siembra, cosecha y mortalidad son factores que inciden en la afección de las enfermedades</w:t>
      </w:r>
    </w:p>
    <w:p w:rsidR="005A27D6" w:rsidRDefault="005A27D6">
      <w:pPr>
        <w:numPr>
          <w:ilvl w:val="0"/>
          <w:numId w:val="1"/>
        </w:numPr>
        <w:jc w:val="both"/>
      </w:pPr>
      <w:r>
        <w:t>Los factores medioambientales más importantes, afectan directa o indirectamente en la detonación de una enfermedad en las piscinas.</w:t>
      </w:r>
    </w:p>
    <w:p w:rsidR="005A27D6" w:rsidRDefault="005A27D6">
      <w:pPr>
        <w:numPr>
          <w:ilvl w:val="0"/>
          <w:numId w:val="1"/>
        </w:numPr>
        <w:jc w:val="both"/>
      </w:pPr>
      <w:r>
        <w:t>La capacidad de la piscina influye en la rapidez con que el virus se propague.</w:t>
      </w:r>
    </w:p>
    <w:p w:rsidR="00DD23CC" w:rsidRDefault="00DD23CC">
      <w:pPr>
        <w:jc w:val="both"/>
      </w:pPr>
    </w:p>
    <w:p w:rsidR="005A27D6" w:rsidRDefault="005A27D6">
      <w:pPr>
        <w:jc w:val="both"/>
      </w:pPr>
      <w:r>
        <w:t>Por lo tanto se establecen los siguientes objetivos:</w:t>
      </w:r>
    </w:p>
    <w:p w:rsidR="005A27D6" w:rsidRDefault="005A27D6">
      <w:pPr>
        <w:numPr>
          <w:ilvl w:val="0"/>
          <w:numId w:val="2"/>
        </w:numPr>
        <w:jc w:val="both"/>
      </w:pPr>
      <w:r>
        <w:t>Tener una perspectiva general de la situación de la provincia del Guayas, en cuanto a las enfermedades se refiere.</w:t>
      </w:r>
    </w:p>
    <w:p w:rsidR="005A27D6" w:rsidRDefault="005A27D6">
      <w:pPr>
        <w:numPr>
          <w:ilvl w:val="0"/>
          <w:numId w:val="2"/>
        </w:numPr>
        <w:jc w:val="both"/>
      </w:pPr>
      <w:r>
        <w:t>Establecer y cuantificar la relación existente entre variables de producción, capacidad, variables medioambientales y variables de afección por enfermedades.</w:t>
      </w:r>
    </w:p>
    <w:p w:rsidR="005A27D6" w:rsidRDefault="005A27D6">
      <w:pPr>
        <w:numPr>
          <w:ilvl w:val="0"/>
          <w:numId w:val="2"/>
        </w:numPr>
        <w:jc w:val="both"/>
      </w:pPr>
      <w:r>
        <w:t>Encontrar modelos matemáticos que permitan desarrollar predicciones sobre las variables medioambientales.</w:t>
      </w:r>
    </w:p>
    <w:p w:rsidR="005A27D6" w:rsidRDefault="005A27D6">
      <w:pPr>
        <w:jc w:val="both"/>
      </w:pPr>
    </w:p>
    <w:p w:rsidR="005A27D6" w:rsidRDefault="005A27D6">
      <w:pPr>
        <w:jc w:val="both"/>
      </w:pPr>
    </w:p>
    <w:p w:rsidR="005A27D6" w:rsidRDefault="005A27D6">
      <w:pPr>
        <w:jc w:val="both"/>
        <w:rPr>
          <w:b/>
          <w:bCs/>
        </w:rPr>
      </w:pPr>
      <w:r>
        <w:rPr>
          <w:b/>
          <w:bCs/>
        </w:rPr>
        <w:t>3. ANTECEDENTES Y SITUACIÓN ACTUAL</w:t>
      </w:r>
    </w:p>
    <w:p w:rsidR="005A27D6" w:rsidRDefault="005A27D6">
      <w:pPr>
        <w:jc w:val="both"/>
        <w:rPr>
          <w:rStyle w:val="Strong1"/>
          <w:b w:val="0"/>
        </w:rPr>
      </w:pPr>
      <w:r>
        <w:rPr>
          <w:rStyle w:val="Strong1"/>
          <w:b w:val="0"/>
        </w:rPr>
        <w:t xml:space="preserve">La producción mundial de camarón cultivado está en manos  de siete países, los cuales se encuentran en vías de desarrollo. Asia es la región más importante, con una producción de 80% del camarón cultivado del mundo. América Latina produce la mayor parte del resto. </w:t>
      </w:r>
    </w:p>
    <w:p w:rsidR="005A27D6" w:rsidRDefault="005A27D6">
      <w:pPr>
        <w:jc w:val="both"/>
        <w:rPr>
          <w:rStyle w:val="Strong1"/>
          <w:b w:val="0"/>
        </w:rPr>
      </w:pPr>
    </w:p>
    <w:p w:rsidR="005A27D6" w:rsidRDefault="005A27D6">
      <w:pPr>
        <w:jc w:val="both"/>
        <w:rPr>
          <w:b/>
        </w:rPr>
      </w:pPr>
      <w:r>
        <w:rPr>
          <w:rStyle w:val="Strong1"/>
          <w:b w:val="0"/>
        </w:rPr>
        <w:t>Siete países producían el 86% de la producción de camarón cultivado en 1995 (seis asiáticos y uno latinoamericano). Las granjas camaroneras esparcidas por el Sudeste Asiático cosecharon 558.000 toneladas en 1995, lo que correspondió al 78% de la producción mundial del camarón cultivado. En comparación, la industria camaronera del hemisferio occidental, encabezada por la producción del Ecuador, de 100.000 toneladas anuales, obtuvo un total regional de 154.000 toneladas.</w:t>
      </w:r>
    </w:p>
    <w:p w:rsidR="005A27D6" w:rsidRDefault="005A27D6">
      <w:pPr>
        <w:jc w:val="both"/>
        <w:rPr>
          <w:rStyle w:val="Strong1"/>
          <w:b w:val="0"/>
        </w:rPr>
      </w:pPr>
    </w:p>
    <w:p w:rsidR="005A27D6" w:rsidRDefault="005A27D6">
      <w:pPr>
        <w:jc w:val="both"/>
        <w:rPr>
          <w:b/>
        </w:rPr>
      </w:pPr>
      <w:r>
        <w:rPr>
          <w:rStyle w:val="Strong1"/>
          <w:b w:val="0"/>
        </w:rPr>
        <w:t>En total, se produjeron unas 712.000 toneladas de camarón en granjas, durante 1995. Esto es aproximadamente el 26% de la producción total del mundo (combinando granjas y pesca) que superó los 2.6 millones de toneladas en 1995.</w:t>
      </w:r>
    </w:p>
    <w:p w:rsidR="005A27D6" w:rsidRDefault="005A27D6">
      <w:pPr>
        <w:jc w:val="both"/>
        <w:rPr>
          <w:rStyle w:val="Strong1"/>
          <w:b w:val="0"/>
        </w:rPr>
      </w:pPr>
    </w:p>
    <w:p w:rsidR="005A27D6" w:rsidRDefault="005A27D6">
      <w:pPr>
        <w:jc w:val="both"/>
        <w:rPr>
          <w:b/>
        </w:rPr>
      </w:pPr>
      <w:r>
        <w:rPr>
          <w:rStyle w:val="Strong1"/>
          <w:b w:val="0"/>
        </w:rPr>
        <w:t xml:space="preserve">El título de mayor productor mundial de camarón cultivado ha cambiado de manos varias veces en los últimos años, de Ecuador a Taiwán, pasando por Indonesia, China y hoy, Tailandia. Este país ha sido el principal productor mundial de camarón cultivado durante varios años, a pesar de los </w:t>
      </w:r>
      <w:r>
        <w:rPr>
          <w:rStyle w:val="Strong1"/>
          <w:bCs/>
          <w:iCs/>
        </w:rPr>
        <w:t>serios problemas de salud del camarón</w:t>
      </w:r>
      <w:r>
        <w:rPr>
          <w:rStyle w:val="Strong1"/>
          <w:b w:val="0"/>
        </w:rPr>
        <w:t xml:space="preserve"> que han padecido.</w:t>
      </w:r>
    </w:p>
    <w:p w:rsidR="005A27D6" w:rsidRDefault="005A27D6">
      <w:pPr>
        <w:jc w:val="both"/>
        <w:rPr>
          <w:rStyle w:val="Strong1"/>
          <w:b w:val="0"/>
        </w:rPr>
      </w:pPr>
    </w:p>
    <w:p w:rsidR="005A27D6" w:rsidRDefault="005A27D6">
      <w:pPr>
        <w:jc w:val="both"/>
        <w:rPr>
          <w:rStyle w:val="Strong1"/>
          <w:b w:val="0"/>
        </w:rPr>
      </w:pPr>
      <w:r>
        <w:rPr>
          <w:rStyle w:val="Strong1"/>
          <w:b w:val="0"/>
        </w:rPr>
        <w:t xml:space="preserve">Tailandia produjo 220.000 toneladas de camarón cultivado en 1995, el doble de la producción de 1990, y casi un tercio de la producción mundial de 1995. Aunque la tendencia de que sean pocos países los que dominen el mercado no es probable que cambie en el corto plazo, los principales países productores de hoy podrían no ser los mismos dentro de unos pocos años. Hay varios países en África y Latinoamérica que son conocidos como los </w:t>
      </w:r>
      <w:r>
        <w:rPr>
          <w:rStyle w:val="Strong1"/>
          <w:bCs/>
        </w:rPr>
        <w:t>"gigantes dormidos"</w:t>
      </w:r>
      <w:r>
        <w:rPr>
          <w:rStyle w:val="Strong1"/>
          <w:b w:val="0"/>
        </w:rPr>
        <w:t>, que parecen  tener un enorme potencial de expandir las capacidades actuales y desarrollar masivamente el cultivo del camarón durante la siguiente década.</w:t>
      </w:r>
    </w:p>
    <w:p w:rsidR="005A27D6" w:rsidRDefault="005A27D6">
      <w:pPr>
        <w:jc w:val="both"/>
        <w:rPr>
          <w:rStyle w:val="Strong1"/>
          <w:b w:val="0"/>
        </w:rPr>
      </w:pPr>
    </w:p>
    <w:p w:rsidR="005A27D6" w:rsidRDefault="005A27D6">
      <w:pPr>
        <w:jc w:val="both"/>
        <w:rPr>
          <w:b/>
        </w:rPr>
      </w:pPr>
      <w:r>
        <w:rPr>
          <w:rStyle w:val="Strong1"/>
          <w:b w:val="0"/>
        </w:rPr>
        <w:t>Más o menos un tercio de la cosecha mundial de  camarón (pescado y cultivado) es comercializado en el ámbito internacional, equivalente a unas 900.000 toneladas. Eso es menos del 1% de la producción pesquera mundial en peso, pero el camarón es el producto marino con más valor en el mercado mundial actual. El camarón comercializado internacionalmente contribuye con más de siete mil millones de dólares al año (equivalente a un 18%) al valor de todas las exportaciones pesqueras mundiales, que alcanzan un valor de 40 mil millones de dólares. Por ejemplo, el valor de las importaciones de camarón en los Estados Unidos en 1995 (valuado en 2.7 mil millones de dólares), correspondió al 40% del valor de las importaciones comestibles totales de EE.UU. y aunque el camarón cultivado representa solo una cuarta parte de todo el camarón obtenido anualmente, constituye casi la mitad del camarón comerciado internacionalmente.</w:t>
      </w:r>
    </w:p>
    <w:p w:rsidR="005A27D6" w:rsidRDefault="005A27D6">
      <w:pPr>
        <w:jc w:val="both"/>
        <w:rPr>
          <w:rStyle w:val="Strong1"/>
          <w:b w:val="0"/>
        </w:rPr>
      </w:pPr>
    </w:p>
    <w:p w:rsidR="005A27D6" w:rsidRDefault="005A27D6">
      <w:pPr>
        <w:jc w:val="both"/>
        <w:rPr>
          <w:rStyle w:val="Strong1"/>
          <w:b w:val="0"/>
        </w:rPr>
      </w:pPr>
      <w:r>
        <w:rPr>
          <w:rStyle w:val="Strong1"/>
          <w:b w:val="0"/>
        </w:rPr>
        <w:t>Más del 90% del camarón comercializado internacionalmente es consumido por un puñado de grandes países importadores: Japón, Estados Unidos y algunos países miembros de la Unión Europea (UE.).</w:t>
      </w:r>
    </w:p>
    <w:p w:rsidR="005A27D6" w:rsidRDefault="005A27D6">
      <w:pPr>
        <w:jc w:val="both"/>
        <w:rPr>
          <w:rStyle w:val="Strong1"/>
          <w:b w:val="0"/>
        </w:rPr>
      </w:pPr>
    </w:p>
    <w:p w:rsidR="005A27D6" w:rsidRDefault="005A27D6">
      <w:pPr>
        <w:jc w:val="both"/>
        <w:rPr>
          <w:rStyle w:val="Strong1"/>
          <w:b w:val="0"/>
        </w:rPr>
      </w:pPr>
      <w:r>
        <w:rPr>
          <w:rStyle w:val="Strong1"/>
          <w:b w:val="0"/>
        </w:rPr>
        <w:t>Con pérdidas que llegan a los 1.200 millones de dólares, una cartera vencida de 450 millones en el Sistema Financiero Nacional, 130.000 plazas de trabajo reducidas y tan sólo 80.000 hectáreas de producción de las 175.000 existentes en el país, cierra el año 2000 el sector camaronero luego de una marcada crisis que vive, desde hace 20 meses, como consecuencia del virus de la mancha blanca.</w:t>
      </w:r>
    </w:p>
    <w:p w:rsidR="005A27D6" w:rsidRDefault="005A27D6">
      <w:pPr>
        <w:jc w:val="both"/>
        <w:rPr>
          <w:rStyle w:val="Strong1"/>
          <w:b w:val="0"/>
        </w:rPr>
      </w:pPr>
    </w:p>
    <w:p w:rsidR="005A27D6" w:rsidRDefault="005A27D6">
      <w:pPr>
        <w:jc w:val="both"/>
        <w:rPr>
          <w:rStyle w:val="Strong1"/>
          <w:b w:val="0"/>
        </w:rPr>
      </w:pPr>
      <w:r>
        <w:rPr>
          <w:rStyle w:val="Strong1"/>
          <w:b w:val="0"/>
        </w:rPr>
        <w:t>De las 75 plantas de proceso que operaban antes de la enfermedad, más de 50 han cerrado sus puertas y las 25 restantes trabajan al 20% de su capacidad. A este panorama debe sumársele la paralización del 60% de los laboratorios de larva de los casi 300 instalados, y la actividad parcial de las 16 plantas procesadoras de alimento balanceado. Los proveedores de insumos para acuicultura también han limitado sus ventas a un 70 y 50%.</w:t>
      </w:r>
    </w:p>
    <w:p w:rsidR="005A27D6" w:rsidRDefault="005A27D6">
      <w:pPr>
        <w:jc w:val="both"/>
        <w:rPr>
          <w:rStyle w:val="Strong1"/>
          <w:b w:val="0"/>
        </w:rPr>
      </w:pPr>
    </w:p>
    <w:p w:rsidR="005A27D6" w:rsidRDefault="005A27D6">
      <w:pPr>
        <w:pStyle w:val="Textoindependiente"/>
        <w:spacing w:line="240" w:lineRule="auto"/>
        <w:rPr>
          <w:rStyle w:val="Strong1"/>
          <w:b w:val="0"/>
        </w:rPr>
      </w:pPr>
      <w:r>
        <w:rPr>
          <w:rStyle w:val="Strong1"/>
          <w:b w:val="0"/>
        </w:rPr>
        <w:t>A octubre del 2000, las exportaciones del crustáceo llegaron a 68 millones de dólares, lo que representa una caída del 65% con relación al período enero – octubre del año anterior en que se generaron 567 millones de libras y 193 millones de dólares. Las proyecciones al término del año están entre 260 y 280 millones de dólares, menos de la mitad de lo que se exportó durante 1999.</w:t>
      </w:r>
    </w:p>
    <w:p w:rsidR="005A27D6" w:rsidRDefault="005A27D6">
      <w:pPr>
        <w:pStyle w:val="Ttulo1"/>
        <w:jc w:val="both"/>
        <w:rPr>
          <w:sz w:val="24"/>
        </w:rPr>
      </w:pPr>
      <w:r>
        <w:rPr>
          <w:sz w:val="24"/>
        </w:rPr>
        <w:t xml:space="preserve"> </w:t>
      </w:r>
    </w:p>
    <w:p w:rsidR="005A27D6" w:rsidRDefault="005A27D6"/>
    <w:p w:rsidR="005A27D6" w:rsidRDefault="005A27D6"/>
    <w:p w:rsidR="005A27D6" w:rsidRDefault="005A27D6">
      <w:pPr>
        <w:ind w:left="680" w:hanging="680"/>
        <w:jc w:val="both"/>
        <w:rPr>
          <w:b/>
          <w:snapToGrid w:val="0"/>
          <w:lang w:val="es-ES_tradnl"/>
        </w:rPr>
      </w:pPr>
      <w:r>
        <w:rPr>
          <w:b/>
          <w:snapToGrid w:val="0"/>
          <w:lang w:val="es-ES_tradnl"/>
        </w:rPr>
        <w:t>4. ENFERMEDAD DE LA MANCHA BLANCA (WHITE SPOT)</w:t>
      </w:r>
    </w:p>
    <w:p w:rsidR="005A27D6" w:rsidRDefault="005A27D6">
      <w:pPr>
        <w:jc w:val="both"/>
        <w:rPr>
          <w:snapToGrid w:val="0"/>
          <w:lang w:val="es-ES_tradnl"/>
        </w:rPr>
      </w:pPr>
      <w:r>
        <w:rPr>
          <w:snapToGrid w:val="0"/>
          <w:lang w:val="es-ES_tradnl"/>
        </w:rPr>
        <w:t xml:space="preserve">Entre los nombres que se le han asignado a esta enfermedad, se encuentran el de </w:t>
      </w:r>
      <w:r>
        <w:rPr>
          <w:i/>
          <w:snapToGrid w:val="0"/>
          <w:lang w:val="es-ES_tradnl"/>
        </w:rPr>
        <w:t xml:space="preserve">"Virus China", "Síndrome de la Mancha Blanca" </w:t>
      </w:r>
      <w:r>
        <w:rPr>
          <w:snapToGrid w:val="0"/>
          <w:lang w:val="es-ES_tradnl"/>
        </w:rPr>
        <w:t xml:space="preserve">(WSS), </w:t>
      </w:r>
      <w:r>
        <w:rPr>
          <w:i/>
          <w:snapToGrid w:val="0"/>
          <w:lang w:val="es-ES_tradnl"/>
        </w:rPr>
        <w:t>"Baculovirus de la Mancha Blanca"</w:t>
      </w:r>
      <w:r>
        <w:rPr>
          <w:snapToGrid w:val="0"/>
          <w:lang w:val="es-ES_tradnl"/>
        </w:rPr>
        <w:t xml:space="preserve"> (WSBV), o </w:t>
      </w:r>
      <w:r>
        <w:rPr>
          <w:i/>
          <w:snapToGrid w:val="0"/>
          <w:lang w:val="es-ES_tradnl"/>
        </w:rPr>
        <w:t>Enfermedad De La Mancha Blanca.</w:t>
      </w:r>
    </w:p>
    <w:p w:rsidR="005A27D6" w:rsidRDefault="005A27D6">
      <w:pPr>
        <w:jc w:val="both"/>
        <w:rPr>
          <w:snapToGrid w:val="0"/>
          <w:lang w:val="es-ES_tradnl"/>
        </w:rPr>
      </w:pPr>
    </w:p>
    <w:p w:rsidR="005A27D6" w:rsidRDefault="005A27D6">
      <w:pPr>
        <w:jc w:val="both"/>
        <w:rPr>
          <w:snapToGrid w:val="0"/>
          <w:lang w:val="es-ES_tradnl"/>
        </w:rPr>
      </w:pPr>
      <w:r>
        <w:rPr>
          <w:snapToGrid w:val="0"/>
          <w:lang w:val="es-ES_tradnl"/>
        </w:rPr>
        <w:t>En el año de 1992 se reportaron los primeros casos de mortalidad debida a esta enfermedad, en Taiwán y en el noroeste de china. Sin embargo, fue hasta los años de 1994 y 1995, cuando se manifestó con mayor fuerza en Tailandia, India, Japón, Corea y posteriormente en Texas, usa.</w:t>
      </w:r>
    </w:p>
    <w:p w:rsidR="005A27D6" w:rsidRDefault="005A27D6">
      <w:pPr>
        <w:jc w:val="both"/>
        <w:rPr>
          <w:snapToGrid w:val="0"/>
          <w:lang w:val="es-ES_tradnl"/>
        </w:rPr>
      </w:pPr>
    </w:p>
    <w:p w:rsidR="005A27D6" w:rsidRDefault="005A27D6">
      <w:pPr>
        <w:jc w:val="both"/>
        <w:rPr>
          <w:snapToGrid w:val="0"/>
          <w:lang w:val="es-ES_tradnl"/>
        </w:rPr>
      </w:pPr>
      <w:r>
        <w:rPr>
          <w:snapToGrid w:val="0"/>
          <w:lang w:val="es-ES_tradnl"/>
        </w:rPr>
        <w:t xml:space="preserve">La presencia en forma natural de estos virus, ha sido reportada en las siguientes especies: </w:t>
      </w:r>
      <w:r>
        <w:rPr>
          <w:i/>
          <w:snapToGrid w:val="0"/>
          <w:lang w:val="es-ES_tradnl"/>
        </w:rPr>
        <w:t>Penaeus monodon, p. Semisulcatus, p. Merguiensis, p. Indicuas, p. Chinensis, p. Penicillatus, p. Japónicas</w:t>
      </w:r>
      <w:r>
        <w:rPr>
          <w:snapToGrid w:val="0"/>
          <w:lang w:val="es-ES_tradnl"/>
        </w:rPr>
        <w:t xml:space="preserve"> y </w:t>
      </w:r>
      <w:r>
        <w:rPr>
          <w:i/>
          <w:snapToGrid w:val="0"/>
          <w:lang w:val="es-ES_tradnl"/>
        </w:rPr>
        <w:t>Metapenaeus Ensis,</w:t>
      </w:r>
      <w:r>
        <w:rPr>
          <w:snapToGrid w:val="0"/>
          <w:lang w:val="es-ES_tradnl"/>
        </w:rPr>
        <w:t xml:space="preserve"> todos ellos altamente sensibles a la infección, y en América se ha detectado en </w:t>
      </w:r>
      <w:r>
        <w:rPr>
          <w:i/>
          <w:snapToGrid w:val="0"/>
          <w:lang w:val="es-ES_tradnl"/>
        </w:rPr>
        <w:t>litopenaeus setiferus.</w:t>
      </w:r>
      <w:r>
        <w:rPr>
          <w:snapToGrid w:val="0"/>
          <w:lang w:val="es-ES_tradnl"/>
        </w:rPr>
        <w:t xml:space="preserve"> Asimismo, se han realizado infecciones experimentales en las especies de </w:t>
      </w:r>
      <w:r>
        <w:rPr>
          <w:i/>
          <w:snapToGrid w:val="0"/>
          <w:lang w:val="es-ES_tradnl"/>
        </w:rPr>
        <w:t>P. Vannamei, P. Stylirostrís, faifa ntepeneus</w:t>
      </w:r>
      <w:r>
        <w:rPr>
          <w:snapToGrid w:val="0"/>
          <w:lang w:val="es-ES_tradnl"/>
        </w:rPr>
        <w:t xml:space="preserve"> </w:t>
      </w:r>
      <w:r>
        <w:rPr>
          <w:i/>
          <w:snapToGrid w:val="0"/>
          <w:lang w:val="es-ES_tradnl"/>
        </w:rPr>
        <w:t>aztecus, F. Duorarum y F. Setuferus,</w:t>
      </w:r>
      <w:r>
        <w:rPr>
          <w:snapToGrid w:val="0"/>
          <w:lang w:val="es-ES_tradnl"/>
        </w:rPr>
        <w:t xml:space="preserve"> los cuales también resultaron ser sensibles al patógeno.</w:t>
      </w:r>
    </w:p>
    <w:p w:rsidR="005A27D6" w:rsidRDefault="005A27D6">
      <w:pPr>
        <w:ind w:left="320"/>
        <w:jc w:val="both"/>
        <w:rPr>
          <w:b/>
          <w:snapToGrid w:val="0"/>
          <w:lang w:val="es-ES_tradnl"/>
        </w:rPr>
      </w:pPr>
    </w:p>
    <w:p w:rsidR="005A27D6" w:rsidRDefault="005A27D6">
      <w:pPr>
        <w:jc w:val="both"/>
        <w:rPr>
          <w:snapToGrid w:val="0"/>
          <w:lang w:val="es-ES_tradnl"/>
        </w:rPr>
      </w:pPr>
      <w:r>
        <w:rPr>
          <w:snapToGrid w:val="0"/>
          <w:lang w:val="es-ES_tradnl"/>
        </w:rPr>
        <w:t>Los signos característicos de esta enfermedad comprenden la inapetencia, letárgica, cutícula blanca y la presencia de manchas blancas sobre el exoesqueleto (cefalotórax y abdomen) generalmente de forma circular de 0.5 a 2.0 m.m. aprox.</w:t>
      </w:r>
    </w:p>
    <w:p w:rsidR="005A27D6" w:rsidRDefault="005A27D6">
      <w:pPr>
        <w:jc w:val="both"/>
        <w:rPr>
          <w:snapToGrid w:val="0"/>
          <w:lang w:val="es-ES_tradnl"/>
        </w:rPr>
      </w:pPr>
    </w:p>
    <w:p w:rsidR="005A27D6" w:rsidRDefault="005A27D6">
      <w:pPr>
        <w:jc w:val="both"/>
        <w:rPr>
          <w:snapToGrid w:val="0"/>
          <w:lang w:val="es-ES_tradnl"/>
        </w:rPr>
      </w:pPr>
      <w:r>
        <w:rPr>
          <w:snapToGrid w:val="0"/>
          <w:lang w:val="es-ES_tradnl"/>
        </w:rPr>
        <w:t>Todos los estadios de desarrollo son susceptibles a la infección, con un periodo de incubación que varia de 2 a 5 días, presentándose la fase aguda en un lapso no mayor de una semana, durante la cual los camarones pueden presentar una coloración de rosada a café-rojiza. Suelen presentarse mortalidades de hasta 100% de los organismos.</w:t>
      </w:r>
    </w:p>
    <w:p w:rsidR="005A27D6" w:rsidRDefault="005A27D6">
      <w:pPr>
        <w:jc w:val="both"/>
        <w:rPr>
          <w:snapToGrid w:val="0"/>
          <w:lang w:val="es-ES_tradnl"/>
        </w:rPr>
      </w:pPr>
    </w:p>
    <w:p w:rsidR="005A27D6" w:rsidRDefault="005A27D6">
      <w:pPr>
        <w:jc w:val="both"/>
        <w:rPr>
          <w:snapToGrid w:val="0"/>
          <w:lang w:val="es-ES_tradnl"/>
        </w:rPr>
      </w:pPr>
      <w:r>
        <w:rPr>
          <w:snapToGrid w:val="0"/>
          <w:lang w:val="es-ES_tradnl"/>
        </w:rPr>
        <w:t xml:space="preserve">El diagnostico de la enfermedad podrá conocerse a través de la observación histológica de los cuerpos de inclusión intranucleares de la partícula viral (-70 a 150 NM por-275 a 380 NM). Localizados en la epidermis, subcutis y tejido conectivo. Otros métodos de detección son por la microscopía electrónica, el uso de sondas genéticas y la amplificación del ADN viral por medio de la </w:t>
      </w:r>
      <w:r>
        <w:rPr>
          <w:i/>
          <w:snapToGrid w:val="0"/>
          <w:lang w:val="es-ES_tradnl"/>
        </w:rPr>
        <w:t>"Reacción en Cadena de la Polymerasa (Polymerase Chain Reaction)"</w:t>
      </w:r>
      <w:r>
        <w:rPr>
          <w:snapToGrid w:val="0"/>
          <w:lang w:val="es-ES_tradnl"/>
        </w:rPr>
        <w:t xml:space="preserve"> (PCR). Los vectores de transmisión aun son poco conocidos, sin embargo se considera que entre las principales vías de transmisión se encuentran camarones vivos y congelados, algunos  crustáceos  marinos,  aguas  residuales  de embarcaciones camaroneras, aves, etc. Hasta el momento se desconocen</w:t>
      </w:r>
    </w:p>
    <w:p w:rsidR="005A27D6" w:rsidRDefault="005A27D6">
      <w:pPr>
        <w:jc w:val="both"/>
        <w:rPr>
          <w:lang w:val="es-ES_tradnl"/>
        </w:rPr>
      </w:pPr>
    </w:p>
    <w:p w:rsidR="005A27D6" w:rsidRDefault="005A27D6">
      <w:pPr>
        <w:jc w:val="both"/>
      </w:pPr>
    </w:p>
    <w:p w:rsidR="005A27D6" w:rsidRDefault="005A27D6">
      <w:pPr>
        <w:jc w:val="both"/>
        <w:rPr>
          <w:b/>
          <w:bCs/>
        </w:rPr>
      </w:pPr>
      <w:r>
        <w:rPr>
          <w:b/>
          <w:bCs/>
        </w:rPr>
        <w:t>5. COMPONENTES PRINCIPALES</w:t>
      </w:r>
    </w:p>
    <w:p w:rsidR="005A27D6" w:rsidRDefault="005A27D6">
      <w:pPr>
        <w:jc w:val="both"/>
      </w:pPr>
      <w:r>
        <w:t>Componentes principales es una técnica estadística multivariada estudiada para la explicación de la varianza y covarianza de un conjunto de variables a través de un pequeño número de combinaciones lineales de las mismas llamadas componentes principales,  son variables ficticias cuyo objetivo es la reducción de datos para una mejor interpretación.</w:t>
      </w:r>
    </w:p>
    <w:p w:rsidR="005A27D6" w:rsidRDefault="005A27D6">
      <w:pPr>
        <w:jc w:val="both"/>
      </w:pPr>
    </w:p>
    <w:p w:rsidR="005A27D6" w:rsidRDefault="005A27D6">
      <w:pPr>
        <w:jc w:val="both"/>
        <w:rPr>
          <w:kern w:val="0"/>
          <w:szCs w:val="20"/>
          <w:lang w:val="es-MX"/>
        </w:rPr>
      </w:pPr>
      <w:r>
        <w:rPr>
          <w:b/>
          <w:bCs/>
        </w:rPr>
        <w:t>Prueba de Bartlett para Componentes</w:t>
      </w:r>
    </w:p>
    <w:p w:rsidR="005A27D6" w:rsidRDefault="005A27D6">
      <w:pPr>
        <w:tabs>
          <w:tab w:val="num" w:pos="-2340"/>
        </w:tabs>
        <w:autoSpaceDE w:val="0"/>
        <w:autoSpaceDN w:val="0"/>
        <w:adjustRightInd w:val="0"/>
        <w:jc w:val="both"/>
        <w:rPr>
          <w:kern w:val="0"/>
          <w:szCs w:val="20"/>
          <w:lang w:val="es-MX"/>
        </w:rPr>
      </w:pPr>
      <w:r>
        <w:rPr>
          <w:kern w:val="0"/>
          <w:szCs w:val="20"/>
          <w:lang w:val="es-MX"/>
        </w:rPr>
        <w:t xml:space="preserve">La Prueba de Bartlett es un contraste de hipótesis que sirve para determinar si la aplicación del método de reducción de datos de componentes principales es aconsejable, la misma que se basa en el supuesto de normalidad  de los datos, es decir, que las variables son independientes entre si (si las covarianzas de la matriz de varianza y covarianza son cero) de esta manera se puede postular el siguiente contraste de hipótesis: </w:t>
      </w:r>
    </w:p>
    <w:p w:rsidR="005A27D6" w:rsidRDefault="005A27D6">
      <w:pPr>
        <w:tabs>
          <w:tab w:val="num" w:pos="-2340"/>
        </w:tabs>
        <w:jc w:val="center"/>
      </w:pPr>
      <w:r>
        <w:rPr>
          <w:position w:val="-48"/>
        </w:rPr>
        <w:object w:dxaOrig="3600" w:dyaOrig="2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47pt" o:ole="">
            <v:imagedata r:id="rId5" o:title=""/>
          </v:shape>
          <o:OLEObject Type="Embed" ProgID="Equation.3" ShapeID="_x0000_i1025" DrawAspect="Content" ObjectID="_1308051916" r:id="rId6"/>
        </w:object>
      </w:r>
    </w:p>
    <w:p w:rsidR="005A27D6" w:rsidRDefault="005A27D6">
      <w:pPr>
        <w:tabs>
          <w:tab w:val="num" w:pos="-2340"/>
        </w:tabs>
        <w:jc w:val="both"/>
      </w:pPr>
    </w:p>
    <w:p w:rsidR="005A27D6" w:rsidRDefault="005A27D6">
      <w:pPr>
        <w:pStyle w:val="Textoindependiente2"/>
        <w:tabs>
          <w:tab w:val="num" w:pos="-2340"/>
        </w:tabs>
        <w:spacing w:line="240" w:lineRule="auto"/>
        <w:rPr>
          <w:rFonts w:ascii="Arial" w:hAnsi="Arial" w:cs="Arial"/>
          <w:lang w:val="es-ES"/>
        </w:rPr>
      </w:pPr>
      <w:r>
        <w:rPr>
          <w:rFonts w:ascii="Arial" w:hAnsi="Arial" w:cs="Arial"/>
          <w:lang w:val="es-ES"/>
        </w:rPr>
        <w:t>En donde:</w:t>
      </w:r>
      <w:r>
        <w:rPr>
          <w:rFonts w:ascii="Arial" w:hAnsi="Arial" w:cs="Arial"/>
          <w:lang w:val="es-ES"/>
        </w:rPr>
        <w:tab/>
      </w:r>
      <w:r>
        <w:rPr>
          <w:rFonts w:ascii="Arial" w:hAnsi="Arial" w:cs="Arial"/>
          <w:position w:val="-32"/>
          <w:lang w:val="es-ES"/>
        </w:rPr>
        <w:object w:dxaOrig="2460" w:dyaOrig="700">
          <v:shape id="_x0000_i1026" type="#_x0000_t75" style="width:123pt;height:35.25pt" o:ole="">
            <v:imagedata r:id="rId7" o:title=""/>
          </v:shape>
          <o:OLEObject Type="Embed" ProgID="Equation.3" ShapeID="_x0000_i1026" DrawAspect="Content" ObjectID="_1308051917" r:id="rId8"/>
        </w:object>
      </w:r>
      <w:r>
        <w:rPr>
          <w:rFonts w:ascii="Arial" w:hAnsi="Arial" w:cs="Arial"/>
          <w:lang w:val="es-ES"/>
        </w:rPr>
        <w:t xml:space="preserve">, y el estadístico de prueba es </w:t>
      </w:r>
      <w:r>
        <w:rPr>
          <w:rFonts w:ascii="Arial" w:hAnsi="Arial" w:cs="Arial"/>
          <w:position w:val="-28"/>
          <w:lang w:val="es-ES"/>
        </w:rPr>
        <w:object w:dxaOrig="2280" w:dyaOrig="680">
          <v:shape id="_x0000_i1027" type="#_x0000_t75" style="width:114pt;height:33.75pt" o:ole="">
            <v:imagedata r:id="rId9" o:title=""/>
          </v:shape>
          <o:OLEObject Type="Embed" ProgID="Equation.3" ShapeID="_x0000_i1027" DrawAspect="Content" ObjectID="_1308051918" r:id="rId10"/>
        </w:object>
      </w:r>
      <w:r>
        <w:rPr>
          <w:rFonts w:ascii="Arial" w:hAnsi="Arial" w:cs="Arial"/>
          <w:lang w:val="es-ES"/>
        </w:rPr>
        <w:t xml:space="preserve">; donde se puede probar que  </w:t>
      </w:r>
      <w:r>
        <w:rPr>
          <w:rFonts w:ascii="Arial" w:hAnsi="Arial" w:cs="Arial"/>
          <w:position w:val="-6"/>
        </w:rPr>
        <w:object w:dxaOrig="240" w:dyaOrig="320">
          <v:shape id="_x0000_i1028" type="#_x0000_t75" style="width:12pt;height:15.75pt" o:ole="">
            <v:imagedata r:id="rId11" o:title=""/>
          </v:shape>
          <o:OLEObject Type="Embed" ProgID="Equation.3" ShapeID="_x0000_i1028" DrawAspect="Content" ObjectID="_1308051919" r:id="rId12"/>
        </w:object>
      </w:r>
      <w:r>
        <w:rPr>
          <w:rFonts w:ascii="Arial" w:hAnsi="Arial" w:cs="Arial"/>
        </w:rPr>
        <w:t xml:space="preserve"> bajo ciertas condiciones teóricas tiene una aproximación a una </w:t>
      </w:r>
      <w:r>
        <w:rPr>
          <w:rFonts w:ascii="Arial" w:hAnsi="Arial" w:cs="Arial"/>
          <w:position w:val="-10"/>
        </w:rPr>
        <w:object w:dxaOrig="639" w:dyaOrig="360">
          <v:shape id="_x0000_i1029" type="#_x0000_t75" style="width:32.25pt;height:18pt" o:ole="">
            <v:imagedata r:id="rId13" o:title=""/>
          </v:shape>
          <o:OLEObject Type="Embed" ProgID="Equation.3" ShapeID="_x0000_i1029" DrawAspect="Content" ObjectID="_1308051920" r:id="rId14"/>
        </w:object>
      </w:r>
      <w:r>
        <w:rPr>
          <w:rFonts w:ascii="Arial" w:hAnsi="Arial" w:cs="Arial"/>
        </w:rPr>
        <w:t xml:space="preserve"> con  h</w:t>
      </w:r>
      <w:r>
        <w:rPr>
          <w:rFonts w:ascii="Arial" w:hAnsi="Arial" w:cs="Arial"/>
          <w:i/>
          <w:iCs/>
        </w:rPr>
        <w:t xml:space="preserve"> </w:t>
      </w:r>
      <w:r>
        <w:rPr>
          <w:rFonts w:ascii="Arial" w:hAnsi="Arial" w:cs="Arial"/>
        </w:rPr>
        <w:t xml:space="preserve">grados de libertad, donde h = p(p-1)/2, </w:t>
      </w:r>
      <w:r>
        <w:rPr>
          <w:rFonts w:ascii="Arial" w:hAnsi="Arial" w:cs="Arial"/>
          <w:position w:val="-6"/>
        </w:rPr>
        <w:object w:dxaOrig="200" w:dyaOrig="220">
          <v:shape id="_x0000_i1030" type="#_x0000_t75" style="width:9.75pt;height:11.25pt" o:ole="">
            <v:imagedata r:id="rId15" o:title=""/>
          </v:shape>
          <o:OLEObject Type="Embed" ProgID="Equation.3" ShapeID="_x0000_i1030" DrawAspect="Content" ObjectID="_1308051921" r:id="rId16"/>
        </w:object>
      </w:r>
      <w:r>
        <w:rPr>
          <w:rFonts w:ascii="Arial" w:hAnsi="Arial" w:cs="Arial"/>
        </w:rPr>
        <w:t xml:space="preserve"> =(n-1) y  </w:t>
      </w:r>
      <w:r>
        <w:rPr>
          <w:rFonts w:ascii="Arial" w:hAnsi="Arial" w:cs="Arial"/>
          <w:i/>
          <w:iCs/>
        </w:rPr>
        <w:t>p</w:t>
      </w:r>
      <w:r>
        <w:rPr>
          <w:rFonts w:ascii="Arial" w:hAnsi="Arial" w:cs="Arial"/>
        </w:rPr>
        <w:t xml:space="preserve"> es el número de variables a ser analizadas. Si </w:t>
      </w:r>
      <w:r>
        <w:rPr>
          <w:rFonts w:ascii="Arial" w:hAnsi="Arial" w:cs="Arial"/>
          <w:position w:val="-12"/>
        </w:rPr>
        <w:object w:dxaOrig="1320" w:dyaOrig="400">
          <v:shape id="_x0000_i1031" type="#_x0000_t75" style="width:66pt;height:20.25pt" o:ole="">
            <v:imagedata r:id="rId17" o:title=""/>
          </v:shape>
          <o:OLEObject Type="Embed" ProgID="Equation.3" ShapeID="_x0000_i1031" DrawAspect="Content" ObjectID="_1308051922" r:id="rId18"/>
        </w:object>
      </w:r>
      <w:r>
        <w:rPr>
          <w:rFonts w:ascii="Arial" w:hAnsi="Arial" w:cs="Arial"/>
        </w:rPr>
        <w:t xml:space="preserve"> con (1-α)100% de confianza, entonces se rechaza H</w:t>
      </w:r>
      <w:r>
        <w:rPr>
          <w:rFonts w:ascii="Arial" w:hAnsi="Arial" w:cs="Arial"/>
          <w:vertAlign w:val="subscript"/>
        </w:rPr>
        <w:t>o</w:t>
      </w:r>
      <w:r>
        <w:rPr>
          <w:rFonts w:ascii="Arial" w:hAnsi="Arial" w:cs="Arial"/>
        </w:rPr>
        <w:t xml:space="preserve"> a favor de H</w:t>
      </w:r>
      <w:r>
        <w:rPr>
          <w:rFonts w:ascii="Arial" w:hAnsi="Arial" w:cs="Arial"/>
          <w:vertAlign w:val="subscript"/>
        </w:rPr>
        <w:t>1</w:t>
      </w:r>
      <w:r>
        <w:rPr>
          <w:rFonts w:ascii="Arial" w:hAnsi="Arial" w:cs="Arial"/>
        </w:rPr>
        <w:t>.</w:t>
      </w:r>
    </w:p>
    <w:p w:rsidR="005A27D6" w:rsidRDefault="005A27D6">
      <w:pPr>
        <w:tabs>
          <w:tab w:val="num" w:pos="-2340"/>
        </w:tabs>
        <w:jc w:val="both"/>
      </w:pPr>
    </w:p>
    <w:p w:rsidR="005A27D6" w:rsidRDefault="005A27D6">
      <w:pPr>
        <w:tabs>
          <w:tab w:val="num" w:pos="-2340"/>
        </w:tabs>
        <w:jc w:val="both"/>
      </w:pPr>
      <w:r>
        <w:t>De acuerdo con los cálculos realizados, el estadístico de prueba es de 158.876 con 15 grados de libertad y valor de significancia p es de 2.7793X10</w:t>
      </w:r>
      <w:r>
        <w:rPr>
          <w:vertAlign w:val="superscript"/>
        </w:rPr>
        <w:t>-26</w:t>
      </w:r>
      <w:r>
        <w:t xml:space="preserve">  entonces se rechaza la hipótesis nula H</w:t>
      </w:r>
      <w:r>
        <w:rPr>
          <w:vertAlign w:val="subscript"/>
        </w:rPr>
        <w:t>o</w:t>
      </w:r>
      <w:r>
        <w:t>, es decir las variables no son independientes, por lo tanto es aconsejable aplicar la técnica de reducción de componentes principales en el presente estudio.</w:t>
      </w:r>
    </w:p>
    <w:p w:rsidR="005A27D6" w:rsidRDefault="005A27D6">
      <w:pPr>
        <w:tabs>
          <w:tab w:val="num" w:pos="-2340"/>
        </w:tabs>
        <w:jc w:val="both"/>
      </w:pPr>
    </w:p>
    <w:p w:rsidR="005A27D6" w:rsidRDefault="005A27D6">
      <w:pPr>
        <w:tabs>
          <w:tab w:val="num" w:pos="-2340"/>
        </w:tabs>
        <w:jc w:val="both"/>
      </w:pPr>
      <w:r>
        <w:t xml:space="preserve">Para realizar esta técnica estadística, se tuvo que eliminar la relación lineal (dependencia) entre las variables SIEMBRA vs. MORTALIDAD y adicionalmente las variables de tipo cualitativo (METODO, ENFERMEDAD) ya que este es objeto de otro análisis más exhaustivo, porque no son propios de una escala. </w:t>
      </w:r>
    </w:p>
    <w:p w:rsidR="005A27D6" w:rsidRDefault="005A27D6">
      <w:pPr>
        <w:tabs>
          <w:tab w:val="num" w:pos="-2340"/>
        </w:tabs>
        <w:jc w:val="both"/>
      </w:pPr>
    </w:p>
    <w:p w:rsidR="005A27D6" w:rsidRDefault="005A27D6">
      <w:pPr>
        <w:tabs>
          <w:tab w:val="num" w:pos="-2340"/>
        </w:tabs>
        <w:jc w:val="both"/>
      </w:pPr>
      <w:r>
        <w:t>Adicionalmente cabe resaltar que se utilizo para nuestro análisis la matriz de correlaciones, en la que se estandarizan las variables para un ajuste entre ellas y eliminar la variabilidad excesiva ( Ej: promedio de mortalidad, con la hectárea de la piscina)</w:t>
      </w:r>
    </w:p>
    <w:p w:rsidR="005A27D6" w:rsidRDefault="005A27D6">
      <w:pPr>
        <w:tabs>
          <w:tab w:val="num" w:pos="-2340"/>
        </w:tabs>
        <w:jc w:val="both"/>
      </w:pPr>
    </w:p>
    <w:p w:rsidR="005A27D6" w:rsidRDefault="005A27D6">
      <w:pPr>
        <w:tabs>
          <w:tab w:val="num" w:pos="-2340"/>
        </w:tabs>
        <w:jc w:val="both"/>
      </w:pPr>
    </w:p>
    <w:p w:rsidR="005A27D6" w:rsidRDefault="005A27D6">
      <w:pPr>
        <w:tabs>
          <w:tab w:val="num" w:pos="-2340"/>
        </w:tabs>
        <w:jc w:val="center"/>
        <w:rPr>
          <w:b/>
          <w:bCs/>
          <w:i/>
          <w:iCs/>
        </w:rPr>
      </w:pPr>
      <w:r>
        <w:rPr>
          <w:b/>
          <w:bCs/>
          <w:i/>
          <w:iCs/>
        </w:rPr>
        <w:t>Porcentaje de Varianza para los componentes</w:t>
      </w:r>
    </w:p>
    <w:tbl>
      <w:tblPr>
        <w:tblW w:w="5967" w:type="dxa"/>
        <w:tblInd w:w="12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1320"/>
        <w:gridCol w:w="1380"/>
        <w:gridCol w:w="1700"/>
        <w:gridCol w:w="1567"/>
      </w:tblGrid>
      <w:tr w:rsidR="005A27D6">
        <w:trPr>
          <w:trHeight w:val="270"/>
        </w:trPr>
        <w:tc>
          <w:tcPr>
            <w:tcW w:w="1320" w:type="dxa"/>
            <w:tcBorders>
              <w:bottom w:val="single" w:sz="12" w:space="0" w:color="auto"/>
            </w:tcBorders>
            <w:shd w:val="pct5" w:color="auto" w:fill="auto"/>
            <w:noWrap/>
            <w:tcMar>
              <w:top w:w="13" w:type="dxa"/>
              <w:left w:w="13" w:type="dxa"/>
              <w:bottom w:w="0" w:type="dxa"/>
              <w:right w:w="13" w:type="dxa"/>
            </w:tcMar>
            <w:vAlign w:val="center"/>
          </w:tcPr>
          <w:p w:rsidR="005A27D6" w:rsidRDefault="005A27D6">
            <w:pPr>
              <w:pStyle w:val="Ttulo4"/>
              <w:tabs>
                <w:tab w:val="num" w:pos="-2340"/>
              </w:tabs>
              <w:spacing w:line="240" w:lineRule="auto"/>
              <w:rPr>
                <w:rFonts w:eastAsia="Arial Unicode MS"/>
                <w:sz w:val="20"/>
              </w:rPr>
            </w:pPr>
            <w:r>
              <w:rPr>
                <w:sz w:val="20"/>
              </w:rPr>
              <w:t>Componente</w:t>
            </w:r>
          </w:p>
        </w:tc>
        <w:tc>
          <w:tcPr>
            <w:tcW w:w="1380" w:type="dxa"/>
            <w:shd w:val="pct5" w:color="auto" w:fill="auto"/>
            <w:noWrap/>
            <w:tcMar>
              <w:top w:w="13" w:type="dxa"/>
              <w:left w:w="13" w:type="dxa"/>
              <w:bottom w:w="0" w:type="dxa"/>
              <w:right w:w="13" w:type="dxa"/>
            </w:tcMar>
            <w:vAlign w:val="center"/>
          </w:tcPr>
          <w:p w:rsidR="005A27D6" w:rsidRDefault="005A27D6">
            <w:pPr>
              <w:tabs>
                <w:tab w:val="num" w:pos="-2340"/>
              </w:tabs>
              <w:jc w:val="center"/>
              <w:rPr>
                <w:rFonts w:eastAsia="Arial Unicode MS"/>
                <w:b/>
                <w:bCs/>
                <w:sz w:val="20"/>
                <w:szCs w:val="20"/>
              </w:rPr>
            </w:pPr>
            <w:r>
              <w:rPr>
                <w:rFonts w:eastAsia="Arial Unicode MS"/>
                <w:b/>
                <w:bCs/>
                <w:sz w:val="20"/>
                <w:szCs w:val="20"/>
                <w:lang w:val="es-MX"/>
              </w:rPr>
              <w:t xml:space="preserve">Var (Yi) = </w:t>
            </w:r>
            <w:r>
              <w:rPr>
                <w:rFonts w:eastAsia="Arial Unicode MS"/>
                <w:b/>
                <w:bCs/>
                <w:position w:val="-12"/>
                <w:sz w:val="20"/>
                <w:szCs w:val="20"/>
                <w:lang w:val="en-US"/>
              </w:rPr>
              <w:object w:dxaOrig="260" w:dyaOrig="360">
                <v:shape id="_x0000_i1032" type="#_x0000_t75" style="width:12.75pt;height:18pt" o:ole="">
                  <v:imagedata r:id="rId19" o:title=""/>
                </v:shape>
                <o:OLEObject Type="Embed" ProgID="Equation.3" ShapeID="_x0000_i1032" DrawAspect="Content" ObjectID="_1308051923" r:id="rId20"/>
              </w:object>
            </w:r>
          </w:p>
        </w:tc>
        <w:tc>
          <w:tcPr>
            <w:tcW w:w="1700" w:type="dxa"/>
            <w:shd w:val="pct5" w:color="auto" w:fill="auto"/>
            <w:noWrap/>
            <w:tcMar>
              <w:top w:w="13" w:type="dxa"/>
              <w:left w:w="13" w:type="dxa"/>
              <w:bottom w:w="0" w:type="dxa"/>
              <w:right w:w="13" w:type="dxa"/>
            </w:tcMar>
            <w:vAlign w:val="center"/>
          </w:tcPr>
          <w:p w:rsidR="005A27D6" w:rsidRDefault="005A27D6">
            <w:pPr>
              <w:tabs>
                <w:tab w:val="num" w:pos="-2340"/>
              </w:tabs>
              <w:jc w:val="center"/>
              <w:rPr>
                <w:b/>
                <w:bCs/>
                <w:sz w:val="20"/>
                <w:szCs w:val="20"/>
              </w:rPr>
            </w:pPr>
            <w:r>
              <w:rPr>
                <w:b/>
                <w:bCs/>
                <w:sz w:val="20"/>
                <w:szCs w:val="20"/>
              </w:rPr>
              <w:t>Porcentaje</w:t>
            </w:r>
          </w:p>
          <w:p w:rsidR="005A27D6" w:rsidRDefault="005A27D6">
            <w:pPr>
              <w:tabs>
                <w:tab w:val="num" w:pos="-2340"/>
              </w:tabs>
              <w:jc w:val="center"/>
              <w:rPr>
                <w:rFonts w:eastAsia="Arial Unicode MS"/>
                <w:b/>
                <w:bCs/>
                <w:sz w:val="20"/>
                <w:szCs w:val="20"/>
              </w:rPr>
            </w:pPr>
            <w:r>
              <w:rPr>
                <w:b/>
                <w:bCs/>
                <w:sz w:val="20"/>
                <w:szCs w:val="20"/>
              </w:rPr>
              <w:t>de Varianza (%)</w:t>
            </w:r>
          </w:p>
        </w:tc>
        <w:tc>
          <w:tcPr>
            <w:tcW w:w="1567" w:type="dxa"/>
            <w:shd w:val="pct5" w:color="auto" w:fill="auto"/>
            <w:noWrap/>
            <w:tcMar>
              <w:top w:w="13" w:type="dxa"/>
              <w:left w:w="13" w:type="dxa"/>
              <w:bottom w:w="0" w:type="dxa"/>
              <w:right w:w="13" w:type="dxa"/>
            </w:tcMar>
            <w:vAlign w:val="center"/>
          </w:tcPr>
          <w:p w:rsidR="005A27D6" w:rsidRDefault="005A27D6">
            <w:pPr>
              <w:tabs>
                <w:tab w:val="num" w:pos="-2340"/>
              </w:tabs>
              <w:jc w:val="center"/>
              <w:rPr>
                <w:b/>
                <w:bCs/>
                <w:sz w:val="20"/>
                <w:szCs w:val="20"/>
              </w:rPr>
            </w:pPr>
            <w:r>
              <w:rPr>
                <w:b/>
                <w:bCs/>
                <w:sz w:val="20"/>
                <w:szCs w:val="20"/>
              </w:rPr>
              <w:t>Porcentaje</w:t>
            </w:r>
          </w:p>
          <w:p w:rsidR="005A27D6" w:rsidRDefault="005A27D6">
            <w:pPr>
              <w:tabs>
                <w:tab w:val="num" w:pos="-2340"/>
              </w:tabs>
              <w:jc w:val="center"/>
              <w:rPr>
                <w:rFonts w:eastAsia="Arial Unicode MS"/>
                <w:b/>
                <w:bCs/>
                <w:sz w:val="20"/>
                <w:szCs w:val="20"/>
              </w:rPr>
            </w:pPr>
            <w:r>
              <w:rPr>
                <w:b/>
                <w:bCs/>
                <w:sz w:val="20"/>
                <w:szCs w:val="20"/>
              </w:rPr>
              <w:t>Acumulado (%)</w:t>
            </w:r>
          </w:p>
        </w:tc>
      </w:tr>
      <w:tr w:rsidR="005A27D6">
        <w:trPr>
          <w:trHeight w:val="255"/>
        </w:trPr>
        <w:tc>
          <w:tcPr>
            <w:tcW w:w="1320" w:type="dxa"/>
            <w:shd w:val="pct5" w:color="auto" w:fill="auto"/>
            <w:noWrap/>
            <w:tcMar>
              <w:top w:w="13" w:type="dxa"/>
              <w:left w:w="13" w:type="dxa"/>
              <w:bottom w:w="0" w:type="dxa"/>
              <w:right w:w="13" w:type="dxa"/>
            </w:tcMar>
            <w:vAlign w:val="center"/>
          </w:tcPr>
          <w:p w:rsidR="005A27D6" w:rsidRDefault="005A27D6">
            <w:pPr>
              <w:tabs>
                <w:tab w:val="num" w:pos="-2340"/>
              </w:tabs>
              <w:jc w:val="center"/>
              <w:rPr>
                <w:rFonts w:eastAsia="Arial Unicode MS"/>
                <w:sz w:val="20"/>
                <w:szCs w:val="20"/>
              </w:rPr>
            </w:pPr>
            <w:r>
              <w:rPr>
                <w:rFonts w:eastAsia="Arial Unicode MS"/>
                <w:sz w:val="20"/>
                <w:szCs w:val="20"/>
              </w:rPr>
              <w:t>1</w:t>
            </w:r>
          </w:p>
        </w:tc>
        <w:tc>
          <w:tcPr>
            <w:tcW w:w="1380" w:type="dxa"/>
            <w:noWrap/>
            <w:tcMar>
              <w:top w:w="13" w:type="dxa"/>
              <w:left w:w="13" w:type="dxa"/>
              <w:bottom w:w="0" w:type="dxa"/>
              <w:right w:w="13" w:type="dxa"/>
            </w:tcMar>
            <w:vAlign w:val="center"/>
          </w:tcPr>
          <w:p w:rsidR="005A27D6" w:rsidRDefault="005A27D6">
            <w:pPr>
              <w:tabs>
                <w:tab w:val="num" w:pos="-2340"/>
              </w:tabs>
              <w:jc w:val="center"/>
              <w:rPr>
                <w:rFonts w:eastAsia="Arial Unicode MS"/>
                <w:sz w:val="20"/>
                <w:szCs w:val="20"/>
              </w:rPr>
            </w:pPr>
            <w:r>
              <w:rPr>
                <w:sz w:val="20"/>
                <w:szCs w:val="20"/>
              </w:rPr>
              <w:t>1.6316</w:t>
            </w:r>
          </w:p>
        </w:tc>
        <w:tc>
          <w:tcPr>
            <w:tcW w:w="1700" w:type="dxa"/>
            <w:noWrap/>
            <w:tcMar>
              <w:top w:w="13" w:type="dxa"/>
              <w:left w:w="13" w:type="dxa"/>
              <w:bottom w:w="0" w:type="dxa"/>
              <w:right w:w="13" w:type="dxa"/>
            </w:tcMar>
            <w:vAlign w:val="center"/>
          </w:tcPr>
          <w:p w:rsidR="005A27D6" w:rsidRDefault="005A27D6">
            <w:pPr>
              <w:tabs>
                <w:tab w:val="num" w:pos="-2340"/>
              </w:tabs>
              <w:jc w:val="center"/>
              <w:rPr>
                <w:rFonts w:eastAsia="Arial Unicode MS"/>
                <w:sz w:val="20"/>
                <w:szCs w:val="20"/>
              </w:rPr>
            </w:pPr>
            <w:r>
              <w:rPr>
                <w:sz w:val="20"/>
                <w:szCs w:val="20"/>
              </w:rPr>
              <w:t>27.1949</w:t>
            </w:r>
          </w:p>
        </w:tc>
        <w:tc>
          <w:tcPr>
            <w:tcW w:w="1567" w:type="dxa"/>
            <w:noWrap/>
            <w:tcMar>
              <w:top w:w="13" w:type="dxa"/>
              <w:left w:w="13" w:type="dxa"/>
              <w:bottom w:w="0" w:type="dxa"/>
              <w:right w:w="13" w:type="dxa"/>
            </w:tcMar>
            <w:vAlign w:val="center"/>
          </w:tcPr>
          <w:p w:rsidR="005A27D6" w:rsidRDefault="005A27D6">
            <w:pPr>
              <w:tabs>
                <w:tab w:val="num" w:pos="-2340"/>
              </w:tabs>
              <w:jc w:val="center"/>
              <w:rPr>
                <w:rFonts w:eastAsia="Arial Unicode MS"/>
                <w:sz w:val="20"/>
                <w:szCs w:val="20"/>
              </w:rPr>
            </w:pPr>
            <w:r>
              <w:rPr>
                <w:sz w:val="20"/>
                <w:szCs w:val="20"/>
              </w:rPr>
              <w:t>27.1949</w:t>
            </w:r>
          </w:p>
        </w:tc>
      </w:tr>
      <w:tr w:rsidR="005A27D6">
        <w:trPr>
          <w:trHeight w:val="255"/>
        </w:trPr>
        <w:tc>
          <w:tcPr>
            <w:tcW w:w="1320" w:type="dxa"/>
            <w:shd w:val="pct5" w:color="auto" w:fill="auto"/>
            <w:noWrap/>
            <w:tcMar>
              <w:top w:w="13" w:type="dxa"/>
              <w:left w:w="13" w:type="dxa"/>
              <w:bottom w:w="0" w:type="dxa"/>
              <w:right w:w="13" w:type="dxa"/>
            </w:tcMar>
            <w:vAlign w:val="center"/>
          </w:tcPr>
          <w:p w:rsidR="005A27D6" w:rsidRDefault="005A27D6">
            <w:pPr>
              <w:tabs>
                <w:tab w:val="num" w:pos="-2340"/>
              </w:tabs>
              <w:jc w:val="center"/>
              <w:rPr>
                <w:rFonts w:eastAsia="Arial Unicode MS"/>
                <w:sz w:val="20"/>
                <w:szCs w:val="20"/>
              </w:rPr>
            </w:pPr>
            <w:r>
              <w:rPr>
                <w:rFonts w:eastAsia="Arial Unicode MS"/>
                <w:sz w:val="20"/>
                <w:szCs w:val="20"/>
              </w:rPr>
              <w:t>2</w:t>
            </w:r>
          </w:p>
        </w:tc>
        <w:tc>
          <w:tcPr>
            <w:tcW w:w="1380" w:type="dxa"/>
            <w:noWrap/>
            <w:tcMar>
              <w:top w:w="13" w:type="dxa"/>
              <w:left w:w="13" w:type="dxa"/>
              <w:bottom w:w="0" w:type="dxa"/>
              <w:right w:w="13" w:type="dxa"/>
            </w:tcMar>
            <w:vAlign w:val="center"/>
          </w:tcPr>
          <w:p w:rsidR="005A27D6" w:rsidRDefault="005A27D6">
            <w:pPr>
              <w:tabs>
                <w:tab w:val="num" w:pos="-2340"/>
              </w:tabs>
              <w:jc w:val="center"/>
              <w:rPr>
                <w:rFonts w:eastAsia="Arial Unicode MS"/>
                <w:sz w:val="20"/>
                <w:szCs w:val="20"/>
              </w:rPr>
            </w:pPr>
            <w:r>
              <w:rPr>
                <w:sz w:val="20"/>
                <w:szCs w:val="20"/>
              </w:rPr>
              <w:t>1.36089</w:t>
            </w:r>
          </w:p>
        </w:tc>
        <w:tc>
          <w:tcPr>
            <w:tcW w:w="1700" w:type="dxa"/>
            <w:noWrap/>
            <w:tcMar>
              <w:top w:w="13" w:type="dxa"/>
              <w:left w:w="13" w:type="dxa"/>
              <w:bottom w:w="0" w:type="dxa"/>
              <w:right w:w="13" w:type="dxa"/>
            </w:tcMar>
            <w:vAlign w:val="center"/>
          </w:tcPr>
          <w:p w:rsidR="005A27D6" w:rsidRDefault="005A27D6">
            <w:pPr>
              <w:tabs>
                <w:tab w:val="num" w:pos="-2340"/>
              </w:tabs>
              <w:jc w:val="center"/>
              <w:rPr>
                <w:rFonts w:eastAsia="Arial Unicode MS"/>
                <w:sz w:val="20"/>
                <w:szCs w:val="20"/>
              </w:rPr>
            </w:pPr>
            <w:r>
              <w:rPr>
                <w:sz w:val="20"/>
                <w:szCs w:val="20"/>
              </w:rPr>
              <w:t>22.6815</w:t>
            </w:r>
          </w:p>
        </w:tc>
        <w:tc>
          <w:tcPr>
            <w:tcW w:w="1567" w:type="dxa"/>
            <w:noWrap/>
            <w:tcMar>
              <w:top w:w="13" w:type="dxa"/>
              <w:left w:w="13" w:type="dxa"/>
              <w:bottom w:w="0" w:type="dxa"/>
              <w:right w:w="13" w:type="dxa"/>
            </w:tcMar>
            <w:vAlign w:val="center"/>
          </w:tcPr>
          <w:p w:rsidR="005A27D6" w:rsidRDefault="005A27D6">
            <w:pPr>
              <w:tabs>
                <w:tab w:val="num" w:pos="-2340"/>
              </w:tabs>
              <w:jc w:val="center"/>
              <w:rPr>
                <w:rFonts w:eastAsia="Arial Unicode MS"/>
                <w:sz w:val="20"/>
                <w:szCs w:val="20"/>
              </w:rPr>
            </w:pPr>
            <w:r>
              <w:rPr>
                <w:sz w:val="20"/>
                <w:szCs w:val="20"/>
              </w:rPr>
              <w:t>49.8765</w:t>
            </w:r>
          </w:p>
        </w:tc>
      </w:tr>
      <w:tr w:rsidR="005A27D6">
        <w:trPr>
          <w:trHeight w:val="255"/>
        </w:trPr>
        <w:tc>
          <w:tcPr>
            <w:tcW w:w="1320" w:type="dxa"/>
            <w:shd w:val="pct5" w:color="auto" w:fill="auto"/>
            <w:noWrap/>
            <w:tcMar>
              <w:top w:w="13" w:type="dxa"/>
              <w:left w:w="13" w:type="dxa"/>
              <w:bottom w:w="0" w:type="dxa"/>
              <w:right w:w="13" w:type="dxa"/>
            </w:tcMar>
            <w:vAlign w:val="center"/>
          </w:tcPr>
          <w:p w:rsidR="005A27D6" w:rsidRDefault="005A27D6">
            <w:pPr>
              <w:tabs>
                <w:tab w:val="num" w:pos="-2340"/>
              </w:tabs>
              <w:jc w:val="center"/>
              <w:rPr>
                <w:rFonts w:eastAsia="Arial Unicode MS"/>
                <w:sz w:val="20"/>
                <w:szCs w:val="20"/>
              </w:rPr>
            </w:pPr>
            <w:r>
              <w:rPr>
                <w:rFonts w:eastAsia="Arial Unicode MS"/>
                <w:sz w:val="20"/>
                <w:szCs w:val="20"/>
              </w:rPr>
              <w:t>3</w:t>
            </w:r>
          </w:p>
        </w:tc>
        <w:tc>
          <w:tcPr>
            <w:tcW w:w="1380" w:type="dxa"/>
            <w:noWrap/>
            <w:tcMar>
              <w:top w:w="13" w:type="dxa"/>
              <w:left w:w="13" w:type="dxa"/>
              <w:bottom w:w="0" w:type="dxa"/>
              <w:right w:w="13" w:type="dxa"/>
            </w:tcMar>
            <w:vAlign w:val="center"/>
          </w:tcPr>
          <w:p w:rsidR="005A27D6" w:rsidRDefault="005A27D6">
            <w:pPr>
              <w:tabs>
                <w:tab w:val="num" w:pos="-2340"/>
              </w:tabs>
              <w:jc w:val="center"/>
              <w:rPr>
                <w:rFonts w:eastAsia="Arial Unicode MS"/>
                <w:sz w:val="20"/>
                <w:szCs w:val="20"/>
              </w:rPr>
            </w:pPr>
            <w:r>
              <w:rPr>
                <w:sz w:val="20"/>
                <w:szCs w:val="20"/>
              </w:rPr>
              <w:t>1.0114</w:t>
            </w:r>
          </w:p>
        </w:tc>
        <w:tc>
          <w:tcPr>
            <w:tcW w:w="1700" w:type="dxa"/>
            <w:noWrap/>
            <w:tcMar>
              <w:top w:w="13" w:type="dxa"/>
              <w:left w:w="13" w:type="dxa"/>
              <w:bottom w:w="0" w:type="dxa"/>
              <w:right w:w="13" w:type="dxa"/>
            </w:tcMar>
            <w:vAlign w:val="center"/>
          </w:tcPr>
          <w:p w:rsidR="005A27D6" w:rsidRDefault="005A27D6">
            <w:pPr>
              <w:tabs>
                <w:tab w:val="num" w:pos="-2340"/>
              </w:tabs>
              <w:jc w:val="center"/>
              <w:rPr>
                <w:rFonts w:eastAsia="Arial Unicode MS"/>
                <w:sz w:val="20"/>
                <w:szCs w:val="20"/>
              </w:rPr>
            </w:pPr>
            <w:r>
              <w:rPr>
                <w:sz w:val="20"/>
                <w:szCs w:val="20"/>
              </w:rPr>
              <w:t>16.8577</w:t>
            </w:r>
          </w:p>
        </w:tc>
        <w:tc>
          <w:tcPr>
            <w:tcW w:w="1567" w:type="dxa"/>
            <w:noWrap/>
            <w:tcMar>
              <w:top w:w="13" w:type="dxa"/>
              <w:left w:w="13" w:type="dxa"/>
              <w:bottom w:w="0" w:type="dxa"/>
              <w:right w:w="13" w:type="dxa"/>
            </w:tcMar>
            <w:vAlign w:val="center"/>
          </w:tcPr>
          <w:p w:rsidR="005A27D6" w:rsidRDefault="005A27D6">
            <w:pPr>
              <w:tabs>
                <w:tab w:val="num" w:pos="-2340"/>
              </w:tabs>
              <w:jc w:val="center"/>
              <w:rPr>
                <w:rFonts w:eastAsia="Arial Unicode MS"/>
                <w:sz w:val="20"/>
                <w:szCs w:val="20"/>
              </w:rPr>
            </w:pPr>
            <w:r>
              <w:rPr>
                <w:sz w:val="20"/>
                <w:szCs w:val="20"/>
              </w:rPr>
              <w:t>66.7342</w:t>
            </w:r>
          </w:p>
        </w:tc>
      </w:tr>
      <w:tr w:rsidR="005A27D6">
        <w:trPr>
          <w:trHeight w:val="255"/>
        </w:trPr>
        <w:tc>
          <w:tcPr>
            <w:tcW w:w="1320" w:type="dxa"/>
            <w:shd w:val="pct5" w:color="auto" w:fill="auto"/>
            <w:noWrap/>
            <w:tcMar>
              <w:top w:w="13" w:type="dxa"/>
              <w:left w:w="13" w:type="dxa"/>
              <w:bottom w:w="0" w:type="dxa"/>
              <w:right w:w="13" w:type="dxa"/>
            </w:tcMar>
            <w:vAlign w:val="center"/>
          </w:tcPr>
          <w:p w:rsidR="005A27D6" w:rsidRDefault="005A27D6">
            <w:pPr>
              <w:tabs>
                <w:tab w:val="num" w:pos="-2340"/>
              </w:tabs>
              <w:jc w:val="center"/>
              <w:rPr>
                <w:rFonts w:eastAsia="Arial Unicode MS"/>
                <w:sz w:val="20"/>
                <w:szCs w:val="20"/>
              </w:rPr>
            </w:pPr>
            <w:r>
              <w:rPr>
                <w:rFonts w:eastAsia="Arial Unicode MS"/>
                <w:sz w:val="20"/>
                <w:szCs w:val="20"/>
              </w:rPr>
              <w:t>4</w:t>
            </w:r>
          </w:p>
        </w:tc>
        <w:tc>
          <w:tcPr>
            <w:tcW w:w="1380" w:type="dxa"/>
            <w:noWrap/>
            <w:tcMar>
              <w:top w:w="13" w:type="dxa"/>
              <w:left w:w="13" w:type="dxa"/>
              <w:bottom w:w="0" w:type="dxa"/>
              <w:right w:w="13" w:type="dxa"/>
            </w:tcMar>
            <w:vAlign w:val="center"/>
          </w:tcPr>
          <w:p w:rsidR="005A27D6" w:rsidRDefault="005A27D6">
            <w:pPr>
              <w:tabs>
                <w:tab w:val="num" w:pos="-2340"/>
              </w:tabs>
              <w:jc w:val="center"/>
              <w:rPr>
                <w:rFonts w:eastAsia="Arial Unicode MS"/>
                <w:sz w:val="20"/>
                <w:szCs w:val="20"/>
              </w:rPr>
            </w:pPr>
            <w:r>
              <w:rPr>
                <w:sz w:val="20"/>
                <w:szCs w:val="20"/>
              </w:rPr>
              <w:t>0.9596</w:t>
            </w:r>
          </w:p>
        </w:tc>
        <w:tc>
          <w:tcPr>
            <w:tcW w:w="1700" w:type="dxa"/>
            <w:noWrap/>
            <w:tcMar>
              <w:top w:w="13" w:type="dxa"/>
              <w:left w:w="13" w:type="dxa"/>
              <w:bottom w:w="0" w:type="dxa"/>
              <w:right w:w="13" w:type="dxa"/>
            </w:tcMar>
            <w:vAlign w:val="center"/>
          </w:tcPr>
          <w:p w:rsidR="005A27D6" w:rsidRDefault="005A27D6">
            <w:pPr>
              <w:tabs>
                <w:tab w:val="num" w:pos="-2340"/>
              </w:tabs>
              <w:jc w:val="center"/>
              <w:rPr>
                <w:rFonts w:eastAsia="Arial Unicode MS"/>
                <w:sz w:val="20"/>
                <w:szCs w:val="20"/>
              </w:rPr>
            </w:pPr>
            <w:r>
              <w:rPr>
                <w:sz w:val="20"/>
                <w:szCs w:val="20"/>
              </w:rPr>
              <w:t>15.9937</w:t>
            </w:r>
          </w:p>
        </w:tc>
        <w:tc>
          <w:tcPr>
            <w:tcW w:w="1567" w:type="dxa"/>
            <w:noWrap/>
            <w:tcMar>
              <w:top w:w="13" w:type="dxa"/>
              <w:left w:w="13" w:type="dxa"/>
              <w:bottom w:w="0" w:type="dxa"/>
              <w:right w:w="13" w:type="dxa"/>
            </w:tcMar>
            <w:vAlign w:val="center"/>
          </w:tcPr>
          <w:p w:rsidR="005A27D6" w:rsidRDefault="005A27D6">
            <w:pPr>
              <w:tabs>
                <w:tab w:val="num" w:pos="-2340"/>
              </w:tabs>
              <w:jc w:val="center"/>
              <w:rPr>
                <w:rFonts w:eastAsia="Arial Unicode MS"/>
                <w:sz w:val="20"/>
                <w:szCs w:val="20"/>
              </w:rPr>
            </w:pPr>
            <w:r>
              <w:rPr>
                <w:sz w:val="20"/>
                <w:szCs w:val="20"/>
              </w:rPr>
              <w:t>82.7279</w:t>
            </w:r>
          </w:p>
        </w:tc>
      </w:tr>
      <w:tr w:rsidR="005A27D6">
        <w:trPr>
          <w:trHeight w:val="255"/>
        </w:trPr>
        <w:tc>
          <w:tcPr>
            <w:tcW w:w="1320" w:type="dxa"/>
            <w:shd w:val="pct5" w:color="auto" w:fill="auto"/>
            <w:noWrap/>
            <w:tcMar>
              <w:top w:w="13" w:type="dxa"/>
              <w:left w:w="13" w:type="dxa"/>
              <w:bottom w:w="0" w:type="dxa"/>
              <w:right w:w="13" w:type="dxa"/>
            </w:tcMar>
            <w:vAlign w:val="center"/>
          </w:tcPr>
          <w:p w:rsidR="005A27D6" w:rsidRDefault="005A27D6">
            <w:pPr>
              <w:tabs>
                <w:tab w:val="num" w:pos="-2340"/>
              </w:tabs>
              <w:jc w:val="center"/>
              <w:rPr>
                <w:rFonts w:eastAsia="Arial Unicode MS"/>
                <w:sz w:val="20"/>
                <w:szCs w:val="20"/>
              </w:rPr>
            </w:pPr>
            <w:r>
              <w:rPr>
                <w:rFonts w:eastAsia="Arial Unicode MS"/>
                <w:sz w:val="20"/>
                <w:szCs w:val="20"/>
              </w:rPr>
              <w:t>5</w:t>
            </w:r>
          </w:p>
        </w:tc>
        <w:tc>
          <w:tcPr>
            <w:tcW w:w="1380" w:type="dxa"/>
            <w:noWrap/>
            <w:tcMar>
              <w:top w:w="13" w:type="dxa"/>
              <w:left w:w="13" w:type="dxa"/>
              <w:bottom w:w="0" w:type="dxa"/>
              <w:right w:w="13" w:type="dxa"/>
            </w:tcMar>
            <w:vAlign w:val="center"/>
          </w:tcPr>
          <w:p w:rsidR="005A27D6" w:rsidRDefault="005A27D6">
            <w:pPr>
              <w:tabs>
                <w:tab w:val="num" w:pos="-2340"/>
              </w:tabs>
              <w:jc w:val="center"/>
              <w:rPr>
                <w:rFonts w:eastAsia="Arial Unicode MS"/>
                <w:sz w:val="20"/>
                <w:szCs w:val="20"/>
              </w:rPr>
            </w:pPr>
            <w:r>
              <w:rPr>
                <w:sz w:val="20"/>
                <w:szCs w:val="20"/>
              </w:rPr>
              <w:t>0.6665</w:t>
            </w:r>
          </w:p>
        </w:tc>
        <w:tc>
          <w:tcPr>
            <w:tcW w:w="1700" w:type="dxa"/>
            <w:noWrap/>
            <w:tcMar>
              <w:top w:w="13" w:type="dxa"/>
              <w:left w:w="13" w:type="dxa"/>
              <w:bottom w:w="0" w:type="dxa"/>
              <w:right w:w="13" w:type="dxa"/>
            </w:tcMar>
            <w:vAlign w:val="center"/>
          </w:tcPr>
          <w:p w:rsidR="005A27D6" w:rsidRDefault="005A27D6">
            <w:pPr>
              <w:tabs>
                <w:tab w:val="num" w:pos="-2340"/>
              </w:tabs>
              <w:jc w:val="center"/>
              <w:rPr>
                <w:rFonts w:eastAsia="Arial Unicode MS"/>
                <w:sz w:val="20"/>
                <w:szCs w:val="20"/>
              </w:rPr>
            </w:pPr>
            <w:r>
              <w:rPr>
                <w:sz w:val="20"/>
                <w:szCs w:val="20"/>
              </w:rPr>
              <w:t>11.1090</w:t>
            </w:r>
          </w:p>
        </w:tc>
        <w:tc>
          <w:tcPr>
            <w:tcW w:w="1567" w:type="dxa"/>
            <w:noWrap/>
            <w:tcMar>
              <w:top w:w="13" w:type="dxa"/>
              <w:left w:w="13" w:type="dxa"/>
              <w:bottom w:w="0" w:type="dxa"/>
              <w:right w:w="13" w:type="dxa"/>
            </w:tcMar>
            <w:vAlign w:val="center"/>
          </w:tcPr>
          <w:p w:rsidR="005A27D6" w:rsidRDefault="005A27D6">
            <w:pPr>
              <w:tabs>
                <w:tab w:val="num" w:pos="-2340"/>
              </w:tabs>
              <w:jc w:val="center"/>
              <w:rPr>
                <w:rFonts w:eastAsia="Arial Unicode MS"/>
                <w:sz w:val="20"/>
                <w:szCs w:val="20"/>
              </w:rPr>
            </w:pPr>
            <w:r>
              <w:rPr>
                <w:sz w:val="20"/>
                <w:szCs w:val="20"/>
              </w:rPr>
              <w:t>93.8370</w:t>
            </w:r>
          </w:p>
        </w:tc>
      </w:tr>
      <w:tr w:rsidR="005A27D6">
        <w:trPr>
          <w:trHeight w:val="255"/>
        </w:trPr>
        <w:tc>
          <w:tcPr>
            <w:tcW w:w="1320" w:type="dxa"/>
            <w:shd w:val="pct5" w:color="auto" w:fill="auto"/>
            <w:noWrap/>
            <w:tcMar>
              <w:top w:w="13" w:type="dxa"/>
              <w:left w:w="13" w:type="dxa"/>
              <w:bottom w:w="0" w:type="dxa"/>
              <w:right w:w="13" w:type="dxa"/>
            </w:tcMar>
            <w:vAlign w:val="center"/>
          </w:tcPr>
          <w:p w:rsidR="005A27D6" w:rsidRDefault="005A27D6">
            <w:pPr>
              <w:tabs>
                <w:tab w:val="num" w:pos="-2340"/>
              </w:tabs>
              <w:jc w:val="center"/>
              <w:rPr>
                <w:rFonts w:eastAsia="Arial Unicode MS"/>
                <w:sz w:val="20"/>
                <w:szCs w:val="20"/>
              </w:rPr>
            </w:pPr>
            <w:r>
              <w:rPr>
                <w:rFonts w:eastAsia="Arial Unicode MS"/>
                <w:sz w:val="20"/>
                <w:szCs w:val="20"/>
              </w:rPr>
              <w:t>6</w:t>
            </w:r>
          </w:p>
        </w:tc>
        <w:tc>
          <w:tcPr>
            <w:tcW w:w="1380" w:type="dxa"/>
            <w:noWrap/>
            <w:tcMar>
              <w:top w:w="13" w:type="dxa"/>
              <w:left w:w="13" w:type="dxa"/>
              <w:bottom w:w="0" w:type="dxa"/>
              <w:right w:w="13" w:type="dxa"/>
            </w:tcMar>
            <w:vAlign w:val="center"/>
          </w:tcPr>
          <w:p w:rsidR="005A27D6" w:rsidRDefault="005A27D6">
            <w:pPr>
              <w:tabs>
                <w:tab w:val="num" w:pos="-2340"/>
              </w:tabs>
              <w:jc w:val="center"/>
              <w:rPr>
                <w:rFonts w:eastAsia="Arial Unicode MS"/>
                <w:sz w:val="20"/>
                <w:szCs w:val="20"/>
              </w:rPr>
            </w:pPr>
            <w:r>
              <w:rPr>
                <w:sz w:val="20"/>
                <w:szCs w:val="20"/>
              </w:rPr>
              <w:t>0.3697</w:t>
            </w:r>
          </w:p>
        </w:tc>
        <w:tc>
          <w:tcPr>
            <w:tcW w:w="1700" w:type="dxa"/>
            <w:noWrap/>
            <w:tcMar>
              <w:top w:w="13" w:type="dxa"/>
              <w:left w:w="13" w:type="dxa"/>
              <w:bottom w:w="0" w:type="dxa"/>
              <w:right w:w="13" w:type="dxa"/>
            </w:tcMar>
            <w:vAlign w:val="center"/>
          </w:tcPr>
          <w:p w:rsidR="005A27D6" w:rsidRDefault="005A27D6">
            <w:pPr>
              <w:tabs>
                <w:tab w:val="num" w:pos="-2340"/>
              </w:tabs>
              <w:jc w:val="center"/>
              <w:rPr>
                <w:rFonts w:eastAsia="Arial Unicode MS"/>
                <w:sz w:val="20"/>
                <w:szCs w:val="20"/>
              </w:rPr>
            </w:pPr>
            <w:r>
              <w:rPr>
                <w:sz w:val="20"/>
                <w:szCs w:val="20"/>
              </w:rPr>
              <w:t>6.1629</w:t>
            </w:r>
          </w:p>
        </w:tc>
        <w:tc>
          <w:tcPr>
            <w:tcW w:w="1567" w:type="dxa"/>
            <w:noWrap/>
            <w:tcMar>
              <w:top w:w="13" w:type="dxa"/>
              <w:left w:w="13" w:type="dxa"/>
              <w:bottom w:w="0" w:type="dxa"/>
              <w:right w:w="13" w:type="dxa"/>
            </w:tcMar>
            <w:vAlign w:val="center"/>
          </w:tcPr>
          <w:p w:rsidR="005A27D6" w:rsidRDefault="005A27D6">
            <w:pPr>
              <w:tabs>
                <w:tab w:val="num" w:pos="-2340"/>
              </w:tabs>
              <w:jc w:val="center"/>
              <w:rPr>
                <w:rFonts w:eastAsia="Arial Unicode MS"/>
                <w:sz w:val="20"/>
                <w:szCs w:val="20"/>
              </w:rPr>
            </w:pPr>
            <w:r>
              <w:rPr>
                <w:sz w:val="20"/>
                <w:szCs w:val="20"/>
              </w:rPr>
              <w:t>100</w:t>
            </w:r>
          </w:p>
        </w:tc>
      </w:tr>
    </w:tbl>
    <w:p w:rsidR="005A27D6" w:rsidRDefault="005A27D6">
      <w:pPr>
        <w:tabs>
          <w:tab w:val="num" w:pos="-2340"/>
        </w:tabs>
        <w:jc w:val="both"/>
      </w:pPr>
    </w:p>
    <w:p w:rsidR="005A27D6" w:rsidRDefault="005A27D6">
      <w:pPr>
        <w:tabs>
          <w:tab w:val="num" w:pos="-2340"/>
        </w:tabs>
        <w:jc w:val="both"/>
      </w:pPr>
      <w:r>
        <w:t xml:space="preserve">Se observa en la tabla, que la segunda columna se encuentra para cada componente su varianza, que es máxima para la primera componente, en la tercera columna el porcentaje de explicación de la varianza y el porcentaje de explicación de la varianza acumulado. </w:t>
      </w:r>
    </w:p>
    <w:p w:rsidR="005A27D6" w:rsidRDefault="005A27D6">
      <w:pPr>
        <w:tabs>
          <w:tab w:val="num" w:pos="-2340"/>
        </w:tabs>
        <w:jc w:val="both"/>
      </w:pPr>
    </w:p>
    <w:p w:rsidR="005A27D6" w:rsidRDefault="005A27D6">
      <w:pPr>
        <w:tabs>
          <w:tab w:val="num" w:pos="-2340"/>
        </w:tabs>
        <w:jc w:val="center"/>
        <w:rPr>
          <w:b/>
          <w:bCs/>
          <w:i/>
          <w:iCs/>
        </w:rPr>
      </w:pPr>
    </w:p>
    <w:p w:rsidR="005A27D6" w:rsidRDefault="005A27D6">
      <w:pPr>
        <w:tabs>
          <w:tab w:val="num" w:pos="-2340"/>
        </w:tabs>
        <w:jc w:val="center"/>
        <w:rPr>
          <w:b/>
          <w:bCs/>
          <w:i/>
          <w:iCs/>
        </w:rPr>
      </w:pPr>
    </w:p>
    <w:p w:rsidR="005A27D6" w:rsidRDefault="005A27D6">
      <w:pPr>
        <w:tabs>
          <w:tab w:val="num" w:pos="-2340"/>
        </w:tabs>
        <w:jc w:val="center"/>
        <w:rPr>
          <w:b/>
          <w:bCs/>
          <w:i/>
          <w:iCs/>
        </w:rPr>
      </w:pPr>
    </w:p>
    <w:p w:rsidR="005A27D6" w:rsidRDefault="005A27D6">
      <w:pPr>
        <w:tabs>
          <w:tab w:val="num" w:pos="-2340"/>
        </w:tabs>
        <w:jc w:val="center"/>
        <w:rPr>
          <w:b/>
          <w:bCs/>
          <w:i/>
          <w:iCs/>
        </w:rPr>
      </w:pPr>
    </w:p>
    <w:p w:rsidR="005A27D6" w:rsidRDefault="005A27D6">
      <w:pPr>
        <w:tabs>
          <w:tab w:val="num" w:pos="-2340"/>
        </w:tabs>
        <w:jc w:val="center"/>
        <w:rPr>
          <w:b/>
          <w:bCs/>
          <w:i/>
          <w:iCs/>
        </w:rPr>
      </w:pPr>
    </w:p>
    <w:p w:rsidR="005A27D6" w:rsidRDefault="005A27D6">
      <w:pPr>
        <w:tabs>
          <w:tab w:val="num" w:pos="-2340"/>
        </w:tabs>
        <w:jc w:val="center"/>
        <w:rPr>
          <w:b/>
          <w:bCs/>
          <w:i/>
          <w:iCs/>
        </w:rPr>
      </w:pPr>
    </w:p>
    <w:p w:rsidR="005A27D6" w:rsidRDefault="005A27D6">
      <w:pPr>
        <w:tabs>
          <w:tab w:val="num" w:pos="-2340"/>
        </w:tabs>
        <w:jc w:val="center"/>
        <w:rPr>
          <w:b/>
          <w:bCs/>
          <w:i/>
          <w:iCs/>
        </w:rPr>
      </w:pPr>
      <w:r>
        <w:rPr>
          <w:b/>
          <w:bCs/>
          <w:i/>
          <w:iCs/>
        </w:rPr>
        <w:t>Componentes Principales</w:t>
      </w:r>
    </w:p>
    <w:tbl>
      <w:tblPr>
        <w:tblW w:w="5755" w:type="dxa"/>
        <w:tblInd w:w="1445" w:type="dxa"/>
        <w:tblCellMar>
          <w:left w:w="0" w:type="dxa"/>
          <w:right w:w="0" w:type="dxa"/>
        </w:tblCellMar>
        <w:tblLook w:val="0000"/>
      </w:tblPr>
      <w:tblGrid>
        <w:gridCol w:w="254"/>
        <w:gridCol w:w="1560"/>
        <w:gridCol w:w="1360"/>
        <w:gridCol w:w="1235"/>
        <w:gridCol w:w="1346"/>
      </w:tblGrid>
      <w:tr w:rsidR="005A27D6">
        <w:trPr>
          <w:cantSplit/>
          <w:trHeight w:val="270"/>
        </w:trPr>
        <w:tc>
          <w:tcPr>
            <w:tcW w:w="0" w:type="auto"/>
            <w:gridSpan w:val="2"/>
            <w:tcBorders>
              <w:top w:val="single" w:sz="4" w:space="0" w:color="auto"/>
              <w:left w:val="single" w:sz="4" w:space="0" w:color="auto"/>
              <w:bottom w:val="single" w:sz="4" w:space="0" w:color="auto"/>
              <w:right w:val="single" w:sz="4" w:space="0" w:color="auto"/>
            </w:tcBorders>
            <w:shd w:val="pct5" w:color="auto" w:fill="auto"/>
            <w:vAlign w:val="center"/>
          </w:tcPr>
          <w:p w:rsidR="005A27D6" w:rsidRDefault="005A27D6">
            <w:pPr>
              <w:pStyle w:val="Ttulo4"/>
              <w:tabs>
                <w:tab w:val="num" w:pos="-2340"/>
              </w:tabs>
              <w:spacing w:line="240" w:lineRule="auto"/>
              <w:rPr>
                <w:rFonts w:eastAsia="Arial Unicode MS"/>
              </w:rPr>
            </w:pPr>
          </w:p>
        </w:tc>
        <w:tc>
          <w:tcPr>
            <w:tcW w:w="3941" w:type="dxa"/>
            <w:gridSpan w:val="3"/>
            <w:tcBorders>
              <w:top w:val="single" w:sz="8" w:space="0" w:color="auto"/>
              <w:left w:val="single" w:sz="4" w:space="0" w:color="auto"/>
              <w:bottom w:val="single" w:sz="4" w:space="0" w:color="auto"/>
              <w:right w:val="single" w:sz="4" w:space="0" w:color="auto"/>
            </w:tcBorders>
            <w:shd w:val="pct5" w:color="auto" w:fill="auto"/>
            <w:noWrap/>
            <w:tcMar>
              <w:top w:w="13" w:type="dxa"/>
              <w:left w:w="13" w:type="dxa"/>
              <w:bottom w:w="0" w:type="dxa"/>
              <w:right w:w="13" w:type="dxa"/>
            </w:tcMar>
            <w:vAlign w:val="center"/>
          </w:tcPr>
          <w:p w:rsidR="005A27D6" w:rsidRDefault="005A27D6">
            <w:pPr>
              <w:tabs>
                <w:tab w:val="num" w:pos="-2340"/>
              </w:tabs>
              <w:jc w:val="center"/>
              <w:rPr>
                <w:b/>
                <w:bCs/>
                <w:sz w:val="20"/>
                <w:szCs w:val="20"/>
              </w:rPr>
            </w:pPr>
            <w:r>
              <w:rPr>
                <w:b/>
                <w:bCs/>
                <w:sz w:val="20"/>
                <w:szCs w:val="20"/>
              </w:rPr>
              <w:t>Componentes</w:t>
            </w:r>
          </w:p>
        </w:tc>
      </w:tr>
      <w:tr w:rsidR="005A27D6">
        <w:trPr>
          <w:cantSplit/>
          <w:trHeight w:val="270"/>
        </w:trPr>
        <w:tc>
          <w:tcPr>
            <w:tcW w:w="0" w:type="auto"/>
            <w:gridSpan w:val="2"/>
            <w:tcBorders>
              <w:top w:val="single" w:sz="4" w:space="0" w:color="auto"/>
              <w:left w:val="single" w:sz="4" w:space="0" w:color="auto"/>
              <w:bottom w:val="single" w:sz="4" w:space="0" w:color="auto"/>
              <w:right w:val="single" w:sz="4" w:space="0" w:color="auto"/>
            </w:tcBorders>
            <w:shd w:val="pct5" w:color="auto" w:fill="auto"/>
            <w:vAlign w:val="center"/>
          </w:tcPr>
          <w:p w:rsidR="005A27D6" w:rsidRDefault="005A27D6">
            <w:pPr>
              <w:pStyle w:val="Ttulo4"/>
              <w:tabs>
                <w:tab w:val="num" w:pos="-2340"/>
              </w:tabs>
              <w:spacing w:line="240" w:lineRule="auto"/>
              <w:jc w:val="center"/>
              <w:rPr>
                <w:rFonts w:eastAsia="Arial Unicode MS"/>
                <w:sz w:val="20"/>
              </w:rPr>
            </w:pPr>
            <w:r>
              <w:rPr>
                <w:rFonts w:eastAsia="Arial Unicode MS"/>
                <w:sz w:val="20"/>
              </w:rPr>
              <w:t>Variables</w:t>
            </w:r>
          </w:p>
        </w:tc>
        <w:tc>
          <w:tcPr>
            <w:tcW w:w="1360" w:type="dxa"/>
            <w:tcBorders>
              <w:top w:val="single" w:sz="8" w:space="0" w:color="auto"/>
              <w:left w:val="single" w:sz="4" w:space="0" w:color="auto"/>
              <w:bottom w:val="single" w:sz="4" w:space="0" w:color="auto"/>
              <w:right w:val="single" w:sz="4" w:space="0" w:color="auto"/>
            </w:tcBorders>
            <w:shd w:val="pct5" w:color="auto" w:fill="auto"/>
            <w:noWrap/>
            <w:tcMar>
              <w:top w:w="13" w:type="dxa"/>
              <w:left w:w="13" w:type="dxa"/>
              <w:bottom w:w="0" w:type="dxa"/>
              <w:right w:w="13" w:type="dxa"/>
            </w:tcMar>
            <w:vAlign w:val="center"/>
          </w:tcPr>
          <w:p w:rsidR="005A27D6" w:rsidRDefault="005A27D6">
            <w:pPr>
              <w:tabs>
                <w:tab w:val="num" w:pos="-2340"/>
              </w:tabs>
              <w:jc w:val="center"/>
              <w:rPr>
                <w:rFonts w:eastAsia="Arial Unicode MS"/>
                <w:b/>
                <w:bCs/>
                <w:sz w:val="20"/>
                <w:szCs w:val="20"/>
              </w:rPr>
            </w:pPr>
            <w:r>
              <w:rPr>
                <w:b/>
                <w:bCs/>
                <w:sz w:val="20"/>
                <w:szCs w:val="20"/>
              </w:rPr>
              <w:t>1</w:t>
            </w:r>
          </w:p>
        </w:tc>
        <w:tc>
          <w:tcPr>
            <w:tcW w:w="1235" w:type="dxa"/>
            <w:tcBorders>
              <w:top w:val="single" w:sz="8" w:space="0" w:color="auto"/>
              <w:left w:val="nil"/>
              <w:bottom w:val="single" w:sz="4" w:space="0" w:color="auto"/>
              <w:right w:val="single" w:sz="4" w:space="0" w:color="auto"/>
            </w:tcBorders>
            <w:shd w:val="pct5" w:color="auto" w:fill="auto"/>
            <w:noWrap/>
            <w:tcMar>
              <w:top w:w="13" w:type="dxa"/>
              <w:left w:w="13" w:type="dxa"/>
              <w:bottom w:w="0" w:type="dxa"/>
              <w:right w:w="13" w:type="dxa"/>
            </w:tcMar>
            <w:vAlign w:val="center"/>
          </w:tcPr>
          <w:p w:rsidR="005A27D6" w:rsidRDefault="005A27D6">
            <w:pPr>
              <w:tabs>
                <w:tab w:val="num" w:pos="-2340"/>
              </w:tabs>
              <w:jc w:val="center"/>
              <w:rPr>
                <w:rFonts w:eastAsia="Arial Unicode MS"/>
                <w:b/>
                <w:bCs/>
                <w:sz w:val="20"/>
                <w:szCs w:val="20"/>
              </w:rPr>
            </w:pPr>
            <w:r>
              <w:rPr>
                <w:b/>
                <w:bCs/>
                <w:sz w:val="20"/>
                <w:szCs w:val="20"/>
              </w:rPr>
              <w:t>2</w:t>
            </w:r>
          </w:p>
        </w:tc>
        <w:tc>
          <w:tcPr>
            <w:tcW w:w="1346" w:type="dxa"/>
            <w:tcBorders>
              <w:top w:val="single" w:sz="8" w:space="0" w:color="auto"/>
              <w:left w:val="nil"/>
              <w:bottom w:val="single" w:sz="4" w:space="0" w:color="auto"/>
              <w:right w:val="single" w:sz="4" w:space="0" w:color="auto"/>
            </w:tcBorders>
            <w:shd w:val="pct5" w:color="auto" w:fill="auto"/>
            <w:vAlign w:val="center"/>
          </w:tcPr>
          <w:p w:rsidR="005A27D6" w:rsidRDefault="005A27D6">
            <w:pPr>
              <w:tabs>
                <w:tab w:val="num" w:pos="-2340"/>
              </w:tabs>
              <w:jc w:val="center"/>
              <w:rPr>
                <w:b/>
                <w:bCs/>
                <w:sz w:val="20"/>
                <w:szCs w:val="20"/>
              </w:rPr>
            </w:pPr>
            <w:r>
              <w:rPr>
                <w:b/>
                <w:bCs/>
                <w:sz w:val="20"/>
                <w:szCs w:val="20"/>
              </w:rPr>
              <w:t>3</w:t>
            </w:r>
          </w:p>
        </w:tc>
      </w:tr>
      <w:tr w:rsidR="005A27D6">
        <w:trPr>
          <w:trHeight w:val="255"/>
        </w:trPr>
        <w:tc>
          <w:tcPr>
            <w:tcW w:w="0" w:type="auto"/>
            <w:tcBorders>
              <w:top w:val="single" w:sz="4" w:space="0" w:color="auto"/>
              <w:left w:val="single" w:sz="4" w:space="0" w:color="auto"/>
              <w:bottom w:val="single" w:sz="4" w:space="0" w:color="auto"/>
              <w:right w:val="single" w:sz="8" w:space="0" w:color="auto"/>
            </w:tcBorders>
            <w:shd w:val="pct5" w:color="auto" w:fill="auto"/>
            <w:vAlign w:val="center"/>
          </w:tcPr>
          <w:p w:rsidR="005A27D6" w:rsidRDefault="005A27D6">
            <w:pPr>
              <w:tabs>
                <w:tab w:val="num" w:pos="-2340"/>
              </w:tabs>
              <w:jc w:val="center"/>
              <w:rPr>
                <w:b/>
                <w:bCs/>
                <w:sz w:val="20"/>
                <w:szCs w:val="20"/>
                <w:vertAlign w:val="subscript"/>
                <w:lang w:val="es-MX"/>
              </w:rPr>
            </w:pPr>
            <w:r>
              <w:rPr>
                <w:b/>
                <w:bCs/>
                <w:sz w:val="20"/>
                <w:szCs w:val="20"/>
                <w:lang w:val="es-MX"/>
              </w:rPr>
              <w:t>X</w:t>
            </w:r>
            <w:r>
              <w:rPr>
                <w:b/>
                <w:bCs/>
                <w:sz w:val="20"/>
                <w:szCs w:val="20"/>
                <w:vertAlign w:val="subscript"/>
                <w:lang w:val="es-MX"/>
              </w:rPr>
              <w:t>2</w:t>
            </w:r>
          </w:p>
        </w:tc>
        <w:tc>
          <w:tcPr>
            <w:tcW w:w="0" w:type="auto"/>
            <w:tcBorders>
              <w:top w:val="single" w:sz="4" w:space="0" w:color="auto"/>
              <w:left w:val="single" w:sz="8" w:space="0" w:color="auto"/>
              <w:bottom w:val="single" w:sz="4" w:space="0" w:color="auto"/>
              <w:right w:val="single" w:sz="4" w:space="0" w:color="auto"/>
            </w:tcBorders>
            <w:shd w:val="pct5" w:color="auto" w:fill="auto"/>
            <w:noWrap/>
            <w:tcMar>
              <w:top w:w="13" w:type="dxa"/>
              <w:left w:w="13" w:type="dxa"/>
              <w:bottom w:w="0" w:type="dxa"/>
              <w:right w:w="13" w:type="dxa"/>
            </w:tcMar>
            <w:vAlign w:val="center"/>
          </w:tcPr>
          <w:p w:rsidR="005A27D6" w:rsidRDefault="005A27D6">
            <w:pPr>
              <w:tabs>
                <w:tab w:val="num" w:pos="-2340"/>
              </w:tabs>
              <w:jc w:val="center"/>
              <w:rPr>
                <w:b/>
                <w:bCs/>
                <w:sz w:val="20"/>
                <w:szCs w:val="20"/>
                <w:lang w:val="es-MX"/>
              </w:rPr>
            </w:pPr>
            <w:r>
              <w:rPr>
                <w:b/>
                <w:bCs/>
                <w:sz w:val="20"/>
                <w:szCs w:val="20"/>
                <w:lang w:val="es-MX"/>
              </w:rPr>
              <w:t>COSECHA</w:t>
            </w:r>
          </w:p>
        </w:tc>
        <w:tc>
          <w:tcPr>
            <w:tcW w:w="136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5A27D6" w:rsidRDefault="005A27D6">
            <w:pPr>
              <w:tabs>
                <w:tab w:val="num" w:pos="-2340"/>
              </w:tabs>
              <w:jc w:val="center"/>
              <w:rPr>
                <w:rFonts w:eastAsia="Arial Unicode MS"/>
                <w:sz w:val="20"/>
                <w:szCs w:val="20"/>
              </w:rPr>
            </w:pPr>
            <w:r>
              <w:rPr>
                <w:sz w:val="20"/>
                <w:szCs w:val="20"/>
              </w:rPr>
              <w:t>-0.3310</w:t>
            </w:r>
          </w:p>
        </w:tc>
        <w:tc>
          <w:tcPr>
            <w:tcW w:w="1235" w:type="dxa"/>
            <w:tcBorders>
              <w:top w:val="single" w:sz="4" w:space="0" w:color="auto"/>
              <w:left w:val="single" w:sz="4" w:space="0" w:color="auto"/>
              <w:bottom w:val="single" w:sz="4" w:space="0" w:color="auto"/>
              <w:right w:val="single" w:sz="4" w:space="0" w:color="auto"/>
            </w:tcBorders>
            <w:vAlign w:val="center"/>
          </w:tcPr>
          <w:p w:rsidR="005A27D6" w:rsidRDefault="005A27D6">
            <w:pPr>
              <w:tabs>
                <w:tab w:val="num" w:pos="-2340"/>
              </w:tabs>
              <w:jc w:val="center"/>
              <w:rPr>
                <w:rFonts w:eastAsia="Arial Unicode MS"/>
                <w:sz w:val="20"/>
                <w:szCs w:val="20"/>
              </w:rPr>
            </w:pPr>
            <w:r>
              <w:rPr>
                <w:sz w:val="20"/>
                <w:szCs w:val="20"/>
              </w:rPr>
              <w:t>0.5963</w:t>
            </w:r>
          </w:p>
        </w:tc>
        <w:tc>
          <w:tcPr>
            <w:tcW w:w="134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5A27D6" w:rsidRDefault="005A27D6">
            <w:pPr>
              <w:tabs>
                <w:tab w:val="num" w:pos="-2340"/>
              </w:tabs>
              <w:jc w:val="center"/>
              <w:rPr>
                <w:rFonts w:eastAsia="Arial Unicode MS"/>
                <w:sz w:val="20"/>
                <w:szCs w:val="20"/>
              </w:rPr>
            </w:pPr>
            <w:r>
              <w:rPr>
                <w:sz w:val="20"/>
                <w:szCs w:val="20"/>
              </w:rPr>
              <w:t>0.1632</w:t>
            </w:r>
          </w:p>
        </w:tc>
      </w:tr>
      <w:tr w:rsidR="005A27D6">
        <w:trPr>
          <w:trHeight w:val="255"/>
        </w:trPr>
        <w:tc>
          <w:tcPr>
            <w:tcW w:w="0" w:type="auto"/>
            <w:tcBorders>
              <w:top w:val="nil"/>
              <w:left w:val="single" w:sz="4" w:space="0" w:color="auto"/>
              <w:bottom w:val="single" w:sz="4" w:space="0" w:color="auto"/>
              <w:right w:val="single" w:sz="8" w:space="0" w:color="auto"/>
            </w:tcBorders>
            <w:shd w:val="pct5" w:color="auto" w:fill="auto"/>
            <w:vAlign w:val="center"/>
          </w:tcPr>
          <w:p w:rsidR="005A27D6" w:rsidRDefault="005A27D6">
            <w:pPr>
              <w:tabs>
                <w:tab w:val="num" w:pos="-2340"/>
              </w:tabs>
              <w:jc w:val="center"/>
              <w:rPr>
                <w:b/>
                <w:bCs/>
                <w:sz w:val="20"/>
                <w:szCs w:val="20"/>
                <w:vertAlign w:val="subscript"/>
                <w:lang w:val="es-MX"/>
              </w:rPr>
            </w:pPr>
            <w:r>
              <w:rPr>
                <w:b/>
                <w:bCs/>
                <w:sz w:val="20"/>
                <w:szCs w:val="20"/>
                <w:lang w:val="es-MX"/>
              </w:rPr>
              <w:t>X</w:t>
            </w:r>
            <w:r>
              <w:rPr>
                <w:b/>
                <w:bCs/>
                <w:sz w:val="20"/>
                <w:szCs w:val="20"/>
                <w:vertAlign w:val="subscript"/>
                <w:lang w:val="es-MX"/>
              </w:rPr>
              <w:t>3</w:t>
            </w:r>
          </w:p>
        </w:tc>
        <w:tc>
          <w:tcPr>
            <w:tcW w:w="0" w:type="auto"/>
            <w:tcBorders>
              <w:top w:val="nil"/>
              <w:left w:val="single" w:sz="8" w:space="0" w:color="auto"/>
              <w:bottom w:val="single" w:sz="4" w:space="0" w:color="auto"/>
              <w:right w:val="single" w:sz="4" w:space="0" w:color="auto"/>
            </w:tcBorders>
            <w:shd w:val="pct5" w:color="auto" w:fill="auto"/>
            <w:noWrap/>
            <w:tcMar>
              <w:top w:w="13" w:type="dxa"/>
              <w:left w:w="13" w:type="dxa"/>
              <w:bottom w:w="0" w:type="dxa"/>
              <w:right w:w="13" w:type="dxa"/>
            </w:tcMar>
            <w:vAlign w:val="center"/>
          </w:tcPr>
          <w:p w:rsidR="005A27D6" w:rsidRDefault="005A27D6">
            <w:pPr>
              <w:tabs>
                <w:tab w:val="num" w:pos="-2340"/>
              </w:tabs>
              <w:jc w:val="center"/>
              <w:rPr>
                <w:b/>
                <w:bCs/>
                <w:sz w:val="20"/>
                <w:szCs w:val="20"/>
                <w:lang w:val="es-MX"/>
              </w:rPr>
            </w:pPr>
            <w:r>
              <w:rPr>
                <w:b/>
                <w:bCs/>
                <w:sz w:val="20"/>
                <w:szCs w:val="20"/>
                <w:lang w:val="es-MX"/>
              </w:rPr>
              <w:t>MORTALIDAD</w:t>
            </w:r>
          </w:p>
        </w:tc>
        <w:tc>
          <w:tcPr>
            <w:tcW w:w="136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5A27D6" w:rsidRDefault="005A27D6">
            <w:pPr>
              <w:tabs>
                <w:tab w:val="num" w:pos="-2340"/>
              </w:tabs>
              <w:jc w:val="center"/>
              <w:rPr>
                <w:rFonts w:eastAsia="Arial Unicode MS"/>
                <w:sz w:val="20"/>
                <w:szCs w:val="20"/>
              </w:rPr>
            </w:pPr>
            <w:r>
              <w:rPr>
                <w:sz w:val="20"/>
                <w:szCs w:val="20"/>
              </w:rPr>
              <w:t>0.6387</w:t>
            </w:r>
          </w:p>
        </w:tc>
        <w:tc>
          <w:tcPr>
            <w:tcW w:w="1235" w:type="dxa"/>
            <w:tcBorders>
              <w:top w:val="single" w:sz="4" w:space="0" w:color="auto"/>
              <w:left w:val="single" w:sz="4" w:space="0" w:color="auto"/>
              <w:bottom w:val="single" w:sz="4" w:space="0" w:color="auto"/>
              <w:right w:val="single" w:sz="4" w:space="0" w:color="auto"/>
            </w:tcBorders>
            <w:vAlign w:val="center"/>
          </w:tcPr>
          <w:p w:rsidR="005A27D6" w:rsidRDefault="005A27D6">
            <w:pPr>
              <w:tabs>
                <w:tab w:val="num" w:pos="-2340"/>
              </w:tabs>
              <w:jc w:val="center"/>
              <w:rPr>
                <w:rFonts w:eastAsia="Arial Unicode MS"/>
                <w:sz w:val="20"/>
                <w:szCs w:val="20"/>
              </w:rPr>
            </w:pPr>
            <w:r>
              <w:rPr>
                <w:sz w:val="20"/>
                <w:szCs w:val="20"/>
              </w:rPr>
              <w:t>0.1937</w:t>
            </w:r>
          </w:p>
        </w:tc>
        <w:tc>
          <w:tcPr>
            <w:tcW w:w="134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5A27D6" w:rsidRDefault="005A27D6">
            <w:pPr>
              <w:tabs>
                <w:tab w:val="num" w:pos="-2340"/>
              </w:tabs>
              <w:jc w:val="center"/>
              <w:rPr>
                <w:rFonts w:eastAsia="Arial Unicode MS"/>
                <w:sz w:val="20"/>
                <w:szCs w:val="20"/>
              </w:rPr>
            </w:pPr>
            <w:r>
              <w:rPr>
                <w:sz w:val="20"/>
                <w:szCs w:val="20"/>
              </w:rPr>
              <w:t>0.1370</w:t>
            </w:r>
          </w:p>
        </w:tc>
      </w:tr>
      <w:tr w:rsidR="005A27D6">
        <w:trPr>
          <w:trHeight w:val="255"/>
        </w:trPr>
        <w:tc>
          <w:tcPr>
            <w:tcW w:w="0" w:type="auto"/>
            <w:tcBorders>
              <w:top w:val="nil"/>
              <w:left w:val="single" w:sz="4" w:space="0" w:color="auto"/>
              <w:bottom w:val="single" w:sz="4" w:space="0" w:color="auto"/>
              <w:right w:val="single" w:sz="8" w:space="0" w:color="auto"/>
            </w:tcBorders>
            <w:shd w:val="pct5" w:color="auto" w:fill="auto"/>
            <w:vAlign w:val="center"/>
          </w:tcPr>
          <w:p w:rsidR="005A27D6" w:rsidRDefault="005A27D6">
            <w:pPr>
              <w:tabs>
                <w:tab w:val="num" w:pos="-2340"/>
              </w:tabs>
              <w:jc w:val="center"/>
              <w:rPr>
                <w:b/>
                <w:bCs/>
                <w:sz w:val="20"/>
                <w:szCs w:val="20"/>
                <w:lang w:val="es-MX"/>
              </w:rPr>
            </w:pPr>
            <w:r>
              <w:rPr>
                <w:b/>
                <w:bCs/>
                <w:sz w:val="20"/>
                <w:szCs w:val="20"/>
                <w:lang w:val="es-MX"/>
              </w:rPr>
              <w:t>X</w:t>
            </w:r>
            <w:r>
              <w:rPr>
                <w:b/>
                <w:bCs/>
                <w:sz w:val="20"/>
                <w:szCs w:val="20"/>
                <w:vertAlign w:val="subscript"/>
                <w:lang w:val="es-MX"/>
              </w:rPr>
              <w:t>4</w:t>
            </w:r>
          </w:p>
        </w:tc>
        <w:tc>
          <w:tcPr>
            <w:tcW w:w="0" w:type="auto"/>
            <w:tcBorders>
              <w:top w:val="nil"/>
              <w:left w:val="single" w:sz="8" w:space="0" w:color="auto"/>
              <w:bottom w:val="single" w:sz="4" w:space="0" w:color="auto"/>
              <w:right w:val="single" w:sz="4" w:space="0" w:color="auto"/>
            </w:tcBorders>
            <w:shd w:val="pct5" w:color="auto" w:fill="auto"/>
            <w:noWrap/>
            <w:tcMar>
              <w:top w:w="13" w:type="dxa"/>
              <w:left w:w="13" w:type="dxa"/>
              <w:bottom w:w="0" w:type="dxa"/>
              <w:right w:w="13" w:type="dxa"/>
            </w:tcMar>
            <w:vAlign w:val="center"/>
          </w:tcPr>
          <w:p w:rsidR="005A27D6" w:rsidRDefault="005A27D6">
            <w:pPr>
              <w:tabs>
                <w:tab w:val="num" w:pos="-2340"/>
              </w:tabs>
              <w:jc w:val="center"/>
              <w:rPr>
                <w:rFonts w:eastAsia="Arial Unicode MS"/>
                <w:b/>
                <w:bCs/>
                <w:sz w:val="20"/>
                <w:szCs w:val="20"/>
              </w:rPr>
            </w:pPr>
            <w:r>
              <w:rPr>
                <w:rFonts w:eastAsia="Arial Unicode MS"/>
                <w:b/>
                <w:bCs/>
                <w:sz w:val="20"/>
                <w:szCs w:val="20"/>
              </w:rPr>
              <w:t>HECTAREA</w:t>
            </w:r>
          </w:p>
        </w:tc>
        <w:tc>
          <w:tcPr>
            <w:tcW w:w="136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5A27D6" w:rsidRDefault="005A27D6">
            <w:pPr>
              <w:tabs>
                <w:tab w:val="num" w:pos="-2340"/>
              </w:tabs>
              <w:jc w:val="center"/>
              <w:rPr>
                <w:rFonts w:eastAsia="Arial Unicode MS"/>
                <w:sz w:val="20"/>
                <w:szCs w:val="20"/>
              </w:rPr>
            </w:pPr>
            <w:r>
              <w:rPr>
                <w:sz w:val="20"/>
                <w:szCs w:val="20"/>
              </w:rPr>
              <w:t>0.0667</w:t>
            </w:r>
          </w:p>
        </w:tc>
        <w:tc>
          <w:tcPr>
            <w:tcW w:w="1235" w:type="dxa"/>
            <w:tcBorders>
              <w:top w:val="single" w:sz="4" w:space="0" w:color="auto"/>
              <w:left w:val="single" w:sz="4" w:space="0" w:color="auto"/>
              <w:bottom w:val="single" w:sz="4" w:space="0" w:color="auto"/>
              <w:right w:val="single" w:sz="4" w:space="0" w:color="auto"/>
            </w:tcBorders>
            <w:vAlign w:val="center"/>
          </w:tcPr>
          <w:p w:rsidR="005A27D6" w:rsidRDefault="005A27D6">
            <w:pPr>
              <w:tabs>
                <w:tab w:val="num" w:pos="-2340"/>
              </w:tabs>
              <w:jc w:val="center"/>
              <w:rPr>
                <w:rFonts w:eastAsia="Arial Unicode MS"/>
                <w:sz w:val="20"/>
                <w:szCs w:val="20"/>
              </w:rPr>
            </w:pPr>
            <w:r>
              <w:rPr>
                <w:sz w:val="20"/>
                <w:szCs w:val="20"/>
              </w:rPr>
              <w:t>0.3249</w:t>
            </w:r>
          </w:p>
        </w:tc>
        <w:tc>
          <w:tcPr>
            <w:tcW w:w="134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5A27D6" w:rsidRDefault="005A27D6">
            <w:pPr>
              <w:tabs>
                <w:tab w:val="num" w:pos="-2340"/>
              </w:tabs>
              <w:jc w:val="center"/>
              <w:rPr>
                <w:rFonts w:eastAsia="Arial Unicode MS"/>
                <w:sz w:val="20"/>
                <w:szCs w:val="20"/>
              </w:rPr>
            </w:pPr>
            <w:r>
              <w:rPr>
                <w:sz w:val="20"/>
                <w:szCs w:val="20"/>
              </w:rPr>
              <w:t>-0.5212</w:t>
            </w:r>
          </w:p>
        </w:tc>
      </w:tr>
      <w:tr w:rsidR="005A27D6">
        <w:trPr>
          <w:trHeight w:val="255"/>
        </w:trPr>
        <w:tc>
          <w:tcPr>
            <w:tcW w:w="0" w:type="auto"/>
            <w:tcBorders>
              <w:top w:val="nil"/>
              <w:left w:val="single" w:sz="4" w:space="0" w:color="auto"/>
              <w:bottom w:val="single" w:sz="4" w:space="0" w:color="auto"/>
              <w:right w:val="single" w:sz="8" w:space="0" w:color="auto"/>
            </w:tcBorders>
            <w:shd w:val="pct5" w:color="auto" w:fill="auto"/>
            <w:vAlign w:val="center"/>
          </w:tcPr>
          <w:p w:rsidR="005A27D6" w:rsidRDefault="005A27D6">
            <w:pPr>
              <w:tabs>
                <w:tab w:val="num" w:pos="-2340"/>
              </w:tabs>
              <w:jc w:val="center"/>
              <w:rPr>
                <w:b/>
                <w:bCs/>
                <w:sz w:val="20"/>
                <w:szCs w:val="20"/>
                <w:vertAlign w:val="subscript"/>
                <w:lang w:val="es-MX"/>
              </w:rPr>
            </w:pPr>
            <w:r>
              <w:rPr>
                <w:b/>
                <w:bCs/>
                <w:sz w:val="20"/>
                <w:szCs w:val="20"/>
                <w:lang w:val="es-MX"/>
              </w:rPr>
              <w:t>M</w:t>
            </w:r>
            <w:r>
              <w:rPr>
                <w:b/>
                <w:bCs/>
                <w:sz w:val="20"/>
                <w:szCs w:val="20"/>
                <w:vertAlign w:val="subscript"/>
                <w:lang w:val="es-MX"/>
              </w:rPr>
              <w:t>1</w:t>
            </w:r>
          </w:p>
        </w:tc>
        <w:tc>
          <w:tcPr>
            <w:tcW w:w="0" w:type="auto"/>
            <w:tcBorders>
              <w:top w:val="nil"/>
              <w:left w:val="single" w:sz="8" w:space="0" w:color="auto"/>
              <w:bottom w:val="single" w:sz="4" w:space="0" w:color="auto"/>
              <w:right w:val="single" w:sz="4" w:space="0" w:color="auto"/>
            </w:tcBorders>
            <w:shd w:val="pct5" w:color="auto" w:fill="auto"/>
            <w:noWrap/>
            <w:tcMar>
              <w:top w:w="13" w:type="dxa"/>
              <w:left w:w="13" w:type="dxa"/>
              <w:bottom w:w="0" w:type="dxa"/>
              <w:right w:w="13" w:type="dxa"/>
            </w:tcMar>
            <w:vAlign w:val="center"/>
          </w:tcPr>
          <w:p w:rsidR="005A27D6" w:rsidRDefault="005A27D6">
            <w:pPr>
              <w:tabs>
                <w:tab w:val="num" w:pos="-2340"/>
              </w:tabs>
              <w:jc w:val="center"/>
              <w:rPr>
                <w:rFonts w:eastAsia="Arial Unicode MS"/>
                <w:b/>
                <w:bCs/>
                <w:sz w:val="20"/>
                <w:szCs w:val="20"/>
              </w:rPr>
            </w:pPr>
            <w:r>
              <w:rPr>
                <w:b/>
                <w:bCs/>
                <w:sz w:val="20"/>
                <w:szCs w:val="20"/>
              </w:rPr>
              <w:t>SALINIDAD</w:t>
            </w:r>
          </w:p>
        </w:tc>
        <w:tc>
          <w:tcPr>
            <w:tcW w:w="136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5A27D6" w:rsidRDefault="005A27D6">
            <w:pPr>
              <w:tabs>
                <w:tab w:val="num" w:pos="-2340"/>
              </w:tabs>
              <w:jc w:val="center"/>
              <w:rPr>
                <w:rFonts w:eastAsia="Arial Unicode MS"/>
                <w:sz w:val="20"/>
                <w:szCs w:val="20"/>
              </w:rPr>
            </w:pPr>
            <w:r>
              <w:rPr>
                <w:sz w:val="20"/>
                <w:szCs w:val="20"/>
              </w:rPr>
              <w:t>-0.0040</w:t>
            </w:r>
          </w:p>
        </w:tc>
        <w:tc>
          <w:tcPr>
            <w:tcW w:w="1235" w:type="dxa"/>
            <w:tcBorders>
              <w:top w:val="single" w:sz="4" w:space="0" w:color="auto"/>
              <w:left w:val="single" w:sz="4" w:space="0" w:color="auto"/>
              <w:bottom w:val="single" w:sz="4" w:space="0" w:color="auto"/>
              <w:right w:val="single" w:sz="4" w:space="0" w:color="auto"/>
            </w:tcBorders>
            <w:vAlign w:val="center"/>
          </w:tcPr>
          <w:p w:rsidR="005A27D6" w:rsidRDefault="005A27D6">
            <w:pPr>
              <w:tabs>
                <w:tab w:val="num" w:pos="-2340"/>
              </w:tabs>
              <w:jc w:val="center"/>
              <w:rPr>
                <w:rFonts w:eastAsia="Arial Unicode MS"/>
                <w:sz w:val="20"/>
                <w:szCs w:val="20"/>
              </w:rPr>
            </w:pPr>
            <w:r>
              <w:rPr>
                <w:sz w:val="20"/>
                <w:szCs w:val="20"/>
              </w:rPr>
              <w:t>-0.1560</w:t>
            </w:r>
          </w:p>
        </w:tc>
        <w:tc>
          <w:tcPr>
            <w:tcW w:w="134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5A27D6" w:rsidRDefault="005A27D6">
            <w:pPr>
              <w:tabs>
                <w:tab w:val="num" w:pos="-2340"/>
              </w:tabs>
              <w:jc w:val="center"/>
              <w:rPr>
                <w:rFonts w:eastAsia="Arial Unicode MS"/>
                <w:sz w:val="20"/>
                <w:szCs w:val="20"/>
              </w:rPr>
            </w:pPr>
            <w:r>
              <w:rPr>
                <w:sz w:val="20"/>
                <w:szCs w:val="20"/>
              </w:rPr>
              <w:t>0.7893</w:t>
            </w:r>
          </w:p>
        </w:tc>
      </w:tr>
      <w:tr w:rsidR="005A27D6">
        <w:trPr>
          <w:trHeight w:val="255"/>
        </w:trPr>
        <w:tc>
          <w:tcPr>
            <w:tcW w:w="0" w:type="auto"/>
            <w:tcBorders>
              <w:top w:val="single" w:sz="4" w:space="0" w:color="auto"/>
              <w:left w:val="single" w:sz="4" w:space="0" w:color="auto"/>
              <w:bottom w:val="single" w:sz="8" w:space="0" w:color="auto"/>
              <w:right w:val="single" w:sz="8" w:space="0" w:color="auto"/>
            </w:tcBorders>
            <w:shd w:val="pct5" w:color="auto" w:fill="auto"/>
            <w:vAlign w:val="center"/>
          </w:tcPr>
          <w:p w:rsidR="005A27D6" w:rsidRDefault="005A27D6">
            <w:pPr>
              <w:tabs>
                <w:tab w:val="num" w:pos="-2340"/>
              </w:tabs>
              <w:jc w:val="center"/>
              <w:rPr>
                <w:b/>
                <w:bCs/>
                <w:sz w:val="20"/>
                <w:szCs w:val="20"/>
                <w:vertAlign w:val="subscript"/>
                <w:lang w:val="es-MX"/>
              </w:rPr>
            </w:pPr>
            <w:r>
              <w:rPr>
                <w:b/>
                <w:bCs/>
                <w:sz w:val="20"/>
                <w:szCs w:val="20"/>
                <w:lang w:val="es-MX"/>
              </w:rPr>
              <w:t>M</w:t>
            </w:r>
            <w:r>
              <w:rPr>
                <w:b/>
                <w:bCs/>
                <w:sz w:val="20"/>
                <w:szCs w:val="20"/>
                <w:vertAlign w:val="subscript"/>
                <w:lang w:val="es-MX"/>
              </w:rPr>
              <w:t>2</w:t>
            </w:r>
          </w:p>
        </w:tc>
        <w:tc>
          <w:tcPr>
            <w:tcW w:w="0" w:type="auto"/>
            <w:tcBorders>
              <w:top w:val="single" w:sz="4" w:space="0" w:color="auto"/>
              <w:left w:val="single" w:sz="8" w:space="0" w:color="auto"/>
              <w:bottom w:val="single" w:sz="8" w:space="0" w:color="auto"/>
              <w:right w:val="single" w:sz="4" w:space="0" w:color="auto"/>
            </w:tcBorders>
            <w:shd w:val="pct5" w:color="auto" w:fill="auto"/>
            <w:noWrap/>
            <w:tcMar>
              <w:top w:w="13" w:type="dxa"/>
              <w:left w:w="13" w:type="dxa"/>
              <w:bottom w:w="0" w:type="dxa"/>
              <w:right w:w="13" w:type="dxa"/>
            </w:tcMar>
            <w:vAlign w:val="center"/>
          </w:tcPr>
          <w:p w:rsidR="005A27D6" w:rsidRDefault="005A27D6">
            <w:pPr>
              <w:tabs>
                <w:tab w:val="num" w:pos="-2340"/>
              </w:tabs>
              <w:jc w:val="center"/>
              <w:rPr>
                <w:rFonts w:eastAsia="Arial Unicode MS"/>
                <w:b/>
                <w:bCs/>
                <w:sz w:val="20"/>
                <w:szCs w:val="20"/>
              </w:rPr>
            </w:pPr>
            <w:r>
              <w:rPr>
                <w:b/>
                <w:bCs/>
                <w:sz w:val="20"/>
                <w:szCs w:val="20"/>
              </w:rPr>
              <w:t>TEMPERATURA</w:t>
            </w:r>
          </w:p>
        </w:tc>
        <w:tc>
          <w:tcPr>
            <w:tcW w:w="136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5A27D6" w:rsidRDefault="005A27D6">
            <w:pPr>
              <w:tabs>
                <w:tab w:val="num" w:pos="-2340"/>
              </w:tabs>
              <w:jc w:val="center"/>
              <w:rPr>
                <w:rFonts w:eastAsia="Arial Unicode MS"/>
                <w:sz w:val="20"/>
                <w:szCs w:val="20"/>
              </w:rPr>
            </w:pPr>
            <w:r>
              <w:rPr>
                <w:sz w:val="20"/>
                <w:szCs w:val="20"/>
              </w:rPr>
              <w:t>0.6842</w:t>
            </w:r>
          </w:p>
        </w:tc>
        <w:tc>
          <w:tcPr>
            <w:tcW w:w="1235" w:type="dxa"/>
            <w:tcBorders>
              <w:top w:val="single" w:sz="4" w:space="0" w:color="auto"/>
              <w:left w:val="single" w:sz="4" w:space="0" w:color="auto"/>
              <w:bottom w:val="single" w:sz="4" w:space="0" w:color="auto"/>
              <w:right w:val="single" w:sz="4" w:space="0" w:color="auto"/>
            </w:tcBorders>
            <w:vAlign w:val="center"/>
          </w:tcPr>
          <w:p w:rsidR="005A27D6" w:rsidRDefault="005A27D6">
            <w:pPr>
              <w:tabs>
                <w:tab w:val="num" w:pos="-2340"/>
              </w:tabs>
              <w:jc w:val="center"/>
              <w:rPr>
                <w:rFonts w:eastAsia="Arial Unicode MS"/>
                <w:sz w:val="20"/>
                <w:szCs w:val="20"/>
              </w:rPr>
            </w:pPr>
            <w:r>
              <w:rPr>
                <w:sz w:val="20"/>
                <w:szCs w:val="20"/>
              </w:rPr>
              <w:t>0.1727</w:t>
            </w:r>
          </w:p>
        </w:tc>
        <w:tc>
          <w:tcPr>
            <w:tcW w:w="134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5A27D6" w:rsidRDefault="005A27D6">
            <w:pPr>
              <w:tabs>
                <w:tab w:val="num" w:pos="-2340"/>
              </w:tabs>
              <w:jc w:val="center"/>
              <w:rPr>
                <w:rFonts w:eastAsia="Arial Unicode MS"/>
                <w:sz w:val="20"/>
                <w:szCs w:val="20"/>
              </w:rPr>
            </w:pPr>
            <w:r>
              <w:rPr>
                <w:sz w:val="20"/>
                <w:szCs w:val="20"/>
              </w:rPr>
              <w:t>0.0418</w:t>
            </w:r>
          </w:p>
        </w:tc>
      </w:tr>
      <w:tr w:rsidR="005A27D6">
        <w:trPr>
          <w:trHeight w:val="255"/>
        </w:trPr>
        <w:tc>
          <w:tcPr>
            <w:tcW w:w="0" w:type="auto"/>
            <w:tcBorders>
              <w:top w:val="single" w:sz="8" w:space="0" w:color="auto"/>
              <w:left w:val="single" w:sz="4" w:space="0" w:color="auto"/>
              <w:bottom w:val="single" w:sz="4" w:space="0" w:color="auto"/>
              <w:right w:val="single" w:sz="8" w:space="0" w:color="auto"/>
            </w:tcBorders>
            <w:shd w:val="pct5" w:color="auto" w:fill="auto"/>
            <w:vAlign w:val="center"/>
          </w:tcPr>
          <w:p w:rsidR="005A27D6" w:rsidRDefault="005A27D6">
            <w:pPr>
              <w:tabs>
                <w:tab w:val="num" w:pos="-2340"/>
              </w:tabs>
              <w:jc w:val="center"/>
              <w:rPr>
                <w:b/>
                <w:bCs/>
                <w:sz w:val="20"/>
                <w:szCs w:val="20"/>
                <w:vertAlign w:val="subscript"/>
                <w:lang w:val="es-MX"/>
              </w:rPr>
            </w:pPr>
            <w:r>
              <w:rPr>
                <w:b/>
                <w:bCs/>
                <w:sz w:val="20"/>
                <w:szCs w:val="20"/>
                <w:lang w:val="es-MX"/>
              </w:rPr>
              <w:t>E</w:t>
            </w:r>
            <w:r>
              <w:rPr>
                <w:b/>
                <w:bCs/>
                <w:sz w:val="20"/>
                <w:szCs w:val="20"/>
                <w:vertAlign w:val="subscript"/>
                <w:lang w:val="es-MX"/>
              </w:rPr>
              <w:t>1</w:t>
            </w:r>
          </w:p>
        </w:tc>
        <w:tc>
          <w:tcPr>
            <w:tcW w:w="0" w:type="auto"/>
            <w:tcBorders>
              <w:top w:val="single" w:sz="8" w:space="0" w:color="auto"/>
              <w:left w:val="single" w:sz="8" w:space="0" w:color="auto"/>
              <w:bottom w:val="single" w:sz="4" w:space="0" w:color="auto"/>
              <w:right w:val="single" w:sz="4" w:space="0" w:color="auto"/>
            </w:tcBorders>
            <w:shd w:val="pct5" w:color="auto" w:fill="auto"/>
            <w:noWrap/>
            <w:tcMar>
              <w:top w:w="13" w:type="dxa"/>
              <w:left w:w="13" w:type="dxa"/>
              <w:bottom w:w="0" w:type="dxa"/>
              <w:right w:w="13" w:type="dxa"/>
            </w:tcMar>
            <w:vAlign w:val="center"/>
          </w:tcPr>
          <w:p w:rsidR="005A27D6" w:rsidRDefault="005A27D6">
            <w:pPr>
              <w:tabs>
                <w:tab w:val="num" w:pos="-2340"/>
              </w:tabs>
              <w:jc w:val="center"/>
              <w:rPr>
                <w:rFonts w:eastAsia="Arial Unicode MS"/>
                <w:b/>
                <w:bCs/>
                <w:sz w:val="20"/>
                <w:szCs w:val="20"/>
                <w:lang w:val="es-MX"/>
              </w:rPr>
            </w:pPr>
            <w:r>
              <w:rPr>
                <w:rFonts w:eastAsia="Arial Unicode MS"/>
                <w:b/>
                <w:bCs/>
                <w:sz w:val="20"/>
                <w:szCs w:val="20"/>
                <w:lang w:val="es-MX"/>
              </w:rPr>
              <w:t>WHITE_SPOT</w:t>
            </w:r>
          </w:p>
        </w:tc>
        <w:tc>
          <w:tcPr>
            <w:tcW w:w="136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5A27D6" w:rsidRDefault="005A27D6">
            <w:pPr>
              <w:tabs>
                <w:tab w:val="num" w:pos="-2340"/>
              </w:tabs>
              <w:jc w:val="center"/>
              <w:rPr>
                <w:rFonts w:eastAsia="Arial Unicode MS"/>
                <w:sz w:val="20"/>
                <w:szCs w:val="20"/>
              </w:rPr>
            </w:pPr>
            <w:r>
              <w:rPr>
                <w:sz w:val="20"/>
                <w:szCs w:val="20"/>
              </w:rPr>
              <w:t>0.0999</w:t>
            </w:r>
          </w:p>
        </w:tc>
        <w:tc>
          <w:tcPr>
            <w:tcW w:w="1235" w:type="dxa"/>
            <w:tcBorders>
              <w:top w:val="single" w:sz="4" w:space="0" w:color="auto"/>
              <w:left w:val="single" w:sz="4" w:space="0" w:color="auto"/>
              <w:bottom w:val="single" w:sz="4" w:space="0" w:color="auto"/>
              <w:right w:val="single" w:sz="4" w:space="0" w:color="auto"/>
            </w:tcBorders>
            <w:vAlign w:val="center"/>
          </w:tcPr>
          <w:p w:rsidR="005A27D6" w:rsidRDefault="005A27D6">
            <w:pPr>
              <w:tabs>
                <w:tab w:val="num" w:pos="-2340"/>
              </w:tabs>
              <w:jc w:val="center"/>
              <w:rPr>
                <w:rFonts w:eastAsia="Arial Unicode MS"/>
                <w:sz w:val="20"/>
                <w:szCs w:val="20"/>
              </w:rPr>
            </w:pPr>
            <w:r>
              <w:rPr>
                <w:sz w:val="20"/>
                <w:szCs w:val="20"/>
              </w:rPr>
              <w:t>-0.6687</w:t>
            </w:r>
          </w:p>
        </w:tc>
        <w:tc>
          <w:tcPr>
            <w:tcW w:w="134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5A27D6" w:rsidRDefault="005A27D6">
            <w:pPr>
              <w:tabs>
                <w:tab w:val="num" w:pos="-2340"/>
              </w:tabs>
              <w:jc w:val="center"/>
              <w:rPr>
                <w:rFonts w:eastAsia="Arial Unicode MS"/>
                <w:sz w:val="20"/>
                <w:szCs w:val="20"/>
              </w:rPr>
            </w:pPr>
            <w:r>
              <w:rPr>
                <w:sz w:val="20"/>
                <w:szCs w:val="20"/>
              </w:rPr>
              <w:t>-0.2414</w:t>
            </w:r>
          </w:p>
        </w:tc>
      </w:tr>
    </w:tbl>
    <w:p w:rsidR="005A27D6" w:rsidRDefault="005A27D6">
      <w:pPr>
        <w:tabs>
          <w:tab w:val="num" w:pos="-2340"/>
        </w:tabs>
        <w:jc w:val="both"/>
        <w:rPr>
          <w:b/>
          <w:bCs/>
        </w:rPr>
      </w:pPr>
    </w:p>
    <w:p w:rsidR="005A27D6" w:rsidRDefault="005A27D6">
      <w:pPr>
        <w:tabs>
          <w:tab w:val="num" w:pos="-2340"/>
        </w:tabs>
        <w:jc w:val="both"/>
      </w:pPr>
      <w:r>
        <w:t>Para poder determinar los componentes principales en  el estudio, tomamos las variables de mayor peso para cada uno de ellos.</w:t>
      </w:r>
    </w:p>
    <w:p w:rsidR="005A27D6" w:rsidRDefault="005A27D6">
      <w:pPr>
        <w:tabs>
          <w:tab w:val="num" w:pos="-2340"/>
        </w:tabs>
        <w:jc w:val="both"/>
      </w:pPr>
    </w:p>
    <w:p w:rsidR="005A27D6" w:rsidRDefault="005A27D6">
      <w:pPr>
        <w:tabs>
          <w:tab w:val="num" w:pos="-2340"/>
        </w:tabs>
        <w:jc w:val="both"/>
        <w:rPr>
          <w:b/>
          <w:bCs/>
        </w:rPr>
      </w:pPr>
      <w:r>
        <w:rPr>
          <w:b/>
          <w:bCs/>
        </w:rPr>
        <w:t>Primer Componente</w:t>
      </w:r>
    </w:p>
    <w:p w:rsidR="005A27D6" w:rsidRDefault="005A27D6">
      <w:pPr>
        <w:jc w:val="both"/>
      </w:pPr>
      <w:r>
        <w:t>Promedio de Mortalidad por piscina.</w:t>
      </w:r>
    </w:p>
    <w:p w:rsidR="005A27D6" w:rsidRDefault="005A27D6">
      <w:pPr>
        <w:jc w:val="both"/>
      </w:pPr>
      <w:r>
        <w:t>Promedio de Temperatura en la piscina.</w:t>
      </w:r>
    </w:p>
    <w:p w:rsidR="005A27D6" w:rsidRDefault="005A27D6">
      <w:pPr>
        <w:tabs>
          <w:tab w:val="num" w:pos="-2340"/>
        </w:tabs>
        <w:jc w:val="both"/>
      </w:pPr>
    </w:p>
    <w:p w:rsidR="005A27D6" w:rsidRDefault="005A27D6">
      <w:pPr>
        <w:tabs>
          <w:tab w:val="num" w:pos="-2340"/>
        </w:tabs>
        <w:jc w:val="both"/>
        <w:rPr>
          <w:i/>
          <w:iCs/>
        </w:rPr>
      </w:pPr>
      <w:r>
        <w:t xml:space="preserve">Esta componente se la denominara </w:t>
      </w:r>
      <w:r>
        <w:rPr>
          <w:i/>
          <w:iCs/>
        </w:rPr>
        <w:t>MORTALIDAD- TEMPERATURA.</w:t>
      </w:r>
    </w:p>
    <w:p w:rsidR="005A27D6" w:rsidRDefault="005A27D6">
      <w:pPr>
        <w:tabs>
          <w:tab w:val="num" w:pos="-2340"/>
        </w:tabs>
        <w:jc w:val="both"/>
        <w:rPr>
          <w:i/>
          <w:iCs/>
        </w:rPr>
      </w:pPr>
    </w:p>
    <w:p w:rsidR="005A27D6" w:rsidRDefault="005A27D6">
      <w:pPr>
        <w:tabs>
          <w:tab w:val="num" w:pos="-2340"/>
        </w:tabs>
        <w:jc w:val="both"/>
      </w:pPr>
      <w:r>
        <w:t>Matemáticamente para el primer componente se observa:</w:t>
      </w:r>
    </w:p>
    <w:p w:rsidR="005A27D6" w:rsidRDefault="005A27D6">
      <w:pPr>
        <w:tabs>
          <w:tab w:val="num" w:pos="-2340"/>
        </w:tabs>
        <w:jc w:val="both"/>
      </w:pPr>
      <w:r>
        <w:t>Y</w:t>
      </w:r>
      <w:r>
        <w:rPr>
          <w:vertAlign w:val="subscript"/>
        </w:rPr>
        <w:t>1</w:t>
      </w:r>
      <w:r>
        <w:t>= – 0.3310X</w:t>
      </w:r>
      <w:r>
        <w:rPr>
          <w:vertAlign w:val="subscript"/>
        </w:rPr>
        <w:t xml:space="preserve">2 </w:t>
      </w:r>
      <w:r>
        <w:t>+ 0.6387X</w:t>
      </w:r>
      <w:r>
        <w:rPr>
          <w:vertAlign w:val="subscript"/>
        </w:rPr>
        <w:t xml:space="preserve">3 </w:t>
      </w:r>
      <w:r>
        <w:t xml:space="preserve"> + 0.0667X</w:t>
      </w:r>
      <w:r>
        <w:rPr>
          <w:vertAlign w:val="subscript"/>
        </w:rPr>
        <w:t xml:space="preserve">4 </w:t>
      </w:r>
      <w:r>
        <w:t>– 0.0040M</w:t>
      </w:r>
      <w:r>
        <w:rPr>
          <w:vertAlign w:val="subscript"/>
        </w:rPr>
        <w:t xml:space="preserve">1 </w:t>
      </w:r>
      <w:r>
        <w:t>– 0.6842M</w:t>
      </w:r>
      <w:r>
        <w:rPr>
          <w:vertAlign w:val="subscript"/>
        </w:rPr>
        <w:t xml:space="preserve">2 </w:t>
      </w:r>
      <w:r>
        <w:t>+ 0.0999</w:t>
      </w:r>
      <w:r>
        <w:rPr>
          <w:vertAlign w:val="subscript"/>
        </w:rPr>
        <w:t xml:space="preserve"> </w:t>
      </w:r>
      <w:r>
        <w:t>E</w:t>
      </w:r>
      <w:r>
        <w:rPr>
          <w:vertAlign w:val="subscript"/>
        </w:rPr>
        <w:t xml:space="preserve">1 </w:t>
      </w:r>
    </w:p>
    <w:p w:rsidR="005A27D6" w:rsidRDefault="005A27D6">
      <w:pPr>
        <w:tabs>
          <w:tab w:val="num" w:pos="-2340"/>
        </w:tabs>
        <w:jc w:val="both"/>
        <w:rPr>
          <w:b/>
          <w:bCs/>
        </w:rPr>
      </w:pPr>
    </w:p>
    <w:p w:rsidR="005A27D6" w:rsidRDefault="005A27D6">
      <w:pPr>
        <w:tabs>
          <w:tab w:val="num" w:pos="-2340"/>
        </w:tabs>
        <w:jc w:val="both"/>
        <w:rPr>
          <w:b/>
          <w:bCs/>
        </w:rPr>
      </w:pPr>
      <w:r>
        <w:rPr>
          <w:b/>
          <w:bCs/>
        </w:rPr>
        <w:t>Segundo Componente</w:t>
      </w:r>
    </w:p>
    <w:p w:rsidR="005A27D6" w:rsidRDefault="005A27D6">
      <w:pPr>
        <w:jc w:val="both"/>
      </w:pPr>
      <w:r>
        <w:t>Promedio de Cosecha por piscina.</w:t>
      </w:r>
    </w:p>
    <w:p w:rsidR="005A27D6" w:rsidRDefault="005A27D6">
      <w:pPr>
        <w:jc w:val="both"/>
      </w:pPr>
      <w:r>
        <w:t>Concentración de virus de la mancha blanca.</w:t>
      </w:r>
    </w:p>
    <w:p w:rsidR="005A27D6" w:rsidRDefault="005A27D6">
      <w:pPr>
        <w:tabs>
          <w:tab w:val="num" w:pos="-2340"/>
        </w:tabs>
        <w:jc w:val="both"/>
      </w:pPr>
    </w:p>
    <w:p w:rsidR="005A27D6" w:rsidRDefault="005A27D6">
      <w:pPr>
        <w:tabs>
          <w:tab w:val="num" w:pos="-2340"/>
        </w:tabs>
        <w:jc w:val="both"/>
        <w:rPr>
          <w:i/>
          <w:iCs/>
        </w:rPr>
      </w:pPr>
      <w:r>
        <w:t xml:space="preserve">Esta componente se la denominara </w:t>
      </w:r>
      <w:r>
        <w:rPr>
          <w:i/>
          <w:iCs/>
        </w:rPr>
        <w:t>COSECHA-WHITE_SPOT</w:t>
      </w:r>
    </w:p>
    <w:p w:rsidR="005A27D6" w:rsidRDefault="005A27D6">
      <w:pPr>
        <w:tabs>
          <w:tab w:val="num" w:pos="-2340"/>
        </w:tabs>
        <w:jc w:val="both"/>
      </w:pPr>
    </w:p>
    <w:p w:rsidR="005A27D6" w:rsidRDefault="005A27D6">
      <w:pPr>
        <w:tabs>
          <w:tab w:val="num" w:pos="-2340"/>
        </w:tabs>
        <w:jc w:val="both"/>
      </w:pPr>
      <w:r>
        <w:t>En combinación lineal la segunda componente es:</w:t>
      </w:r>
    </w:p>
    <w:p w:rsidR="005A27D6" w:rsidRDefault="005A27D6">
      <w:pPr>
        <w:tabs>
          <w:tab w:val="num" w:pos="-2340"/>
        </w:tabs>
        <w:jc w:val="both"/>
      </w:pPr>
      <w:r>
        <w:t>Y</w:t>
      </w:r>
      <w:r>
        <w:rPr>
          <w:vertAlign w:val="subscript"/>
        </w:rPr>
        <w:t xml:space="preserve">2 </w:t>
      </w:r>
      <w:r>
        <w:t>= 0,5963X</w:t>
      </w:r>
      <w:r>
        <w:rPr>
          <w:vertAlign w:val="subscript"/>
        </w:rPr>
        <w:t>2</w:t>
      </w:r>
      <w:r>
        <w:t>+ 0,1937X</w:t>
      </w:r>
      <w:r>
        <w:rPr>
          <w:vertAlign w:val="subscript"/>
        </w:rPr>
        <w:t xml:space="preserve">3 </w:t>
      </w:r>
      <w:r>
        <w:t>+ 0,0785</w:t>
      </w:r>
      <w:r>
        <w:rPr>
          <w:vertAlign w:val="subscript"/>
        </w:rPr>
        <w:t xml:space="preserve"> </w:t>
      </w:r>
      <w:r>
        <w:t>X</w:t>
      </w:r>
      <w:r>
        <w:rPr>
          <w:vertAlign w:val="subscript"/>
        </w:rPr>
        <w:t xml:space="preserve">4 </w:t>
      </w:r>
      <w:r>
        <w:t>– 0,1560M</w:t>
      </w:r>
      <w:r>
        <w:rPr>
          <w:vertAlign w:val="subscript"/>
        </w:rPr>
        <w:t xml:space="preserve">1 </w:t>
      </w:r>
      <w:r>
        <w:t>+ 0,1727M</w:t>
      </w:r>
      <w:r>
        <w:rPr>
          <w:vertAlign w:val="subscript"/>
        </w:rPr>
        <w:t xml:space="preserve">2  </w:t>
      </w:r>
      <w:r>
        <w:t xml:space="preserve"> – 0,6687E</w:t>
      </w:r>
      <w:r>
        <w:rPr>
          <w:vertAlign w:val="subscript"/>
        </w:rPr>
        <w:t>1</w:t>
      </w:r>
      <w:r>
        <w:t xml:space="preserve"> </w:t>
      </w:r>
    </w:p>
    <w:p w:rsidR="005A27D6" w:rsidRDefault="005A27D6">
      <w:pPr>
        <w:pStyle w:val="Textoindependiente2"/>
        <w:tabs>
          <w:tab w:val="num" w:pos="-2340"/>
          <w:tab w:val="left" w:pos="1080"/>
        </w:tabs>
        <w:spacing w:line="240" w:lineRule="auto"/>
        <w:rPr>
          <w:rFonts w:ascii="Arial" w:hAnsi="Arial" w:cs="Arial"/>
          <w:lang w:val="es-ES"/>
        </w:rPr>
      </w:pPr>
    </w:p>
    <w:p w:rsidR="005A27D6" w:rsidRDefault="005A27D6">
      <w:pPr>
        <w:tabs>
          <w:tab w:val="num" w:pos="-2340"/>
        </w:tabs>
        <w:jc w:val="both"/>
        <w:rPr>
          <w:b/>
          <w:bCs/>
        </w:rPr>
      </w:pPr>
      <w:r>
        <w:rPr>
          <w:b/>
          <w:bCs/>
        </w:rPr>
        <w:t>Tercer Componente</w:t>
      </w:r>
    </w:p>
    <w:p w:rsidR="005A27D6" w:rsidRDefault="005A27D6">
      <w:pPr>
        <w:jc w:val="both"/>
      </w:pPr>
      <w:r>
        <w:t>Promedio de salinidad de la piscina.</w:t>
      </w:r>
    </w:p>
    <w:p w:rsidR="005A27D6" w:rsidRDefault="005A27D6">
      <w:pPr>
        <w:jc w:val="both"/>
      </w:pPr>
      <w:r>
        <w:t>Hectárea de la piscina.</w:t>
      </w:r>
    </w:p>
    <w:p w:rsidR="005A27D6" w:rsidRDefault="005A27D6">
      <w:pPr>
        <w:tabs>
          <w:tab w:val="num" w:pos="-2340"/>
        </w:tabs>
        <w:jc w:val="both"/>
      </w:pPr>
      <w:r>
        <w:t xml:space="preserve">Esta componente se la denominara  </w:t>
      </w:r>
      <w:r>
        <w:rPr>
          <w:i/>
          <w:iCs/>
        </w:rPr>
        <w:t>SALINIDAD-HECTAREA</w:t>
      </w:r>
      <w:r>
        <w:t>.</w:t>
      </w:r>
    </w:p>
    <w:p w:rsidR="005A27D6" w:rsidRDefault="005A27D6">
      <w:pPr>
        <w:tabs>
          <w:tab w:val="num" w:pos="-2340"/>
        </w:tabs>
        <w:jc w:val="both"/>
      </w:pPr>
    </w:p>
    <w:p w:rsidR="005A27D6" w:rsidRDefault="005A27D6">
      <w:pPr>
        <w:tabs>
          <w:tab w:val="num" w:pos="-2340"/>
        </w:tabs>
        <w:jc w:val="both"/>
      </w:pPr>
      <w:r>
        <w:t>En combinación lineal la tercera componente es:</w:t>
      </w:r>
    </w:p>
    <w:p w:rsidR="005A27D6" w:rsidRDefault="005A27D6">
      <w:pPr>
        <w:tabs>
          <w:tab w:val="num" w:pos="-2340"/>
        </w:tabs>
        <w:jc w:val="both"/>
        <w:rPr>
          <w:vertAlign w:val="subscript"/>
        </w:rPr>
      </w:pPr>
      <w:r>
        <w:t>Y</w:t>
      </w:r>
      <w:r>
        <w:rPr>
          <w:vertAlign w:val="subscript"/>
        </w:rPr>
        <w:t xml:space="preserve">3 </w:t>
      </w:r>
      <w:r>
        <w:t>= 0,1632X</w:t>
      </w:r>
      <w:r>
        <w:rPr>
          <w:vertAlign w:val="subscript"/>
        </w:rPr>
        <w:t xml:space="preserve">2 </w:t>
      </w:r>
      <w:r>
        <w:t>+ 0,1370X</w:t>
      </w:r>
      <w:r>
        <w:rPr>
          <w:vertAlign w:val="subscript"/>
        </w:rPr>
        <w:t xml:space="preserve">3 </w:t>
      </w:r>
      <w:r>
        <w:t>– 0,5212</w:t>
      </w:r>
      <w:r>
        <w:rPr>
          <w:vertAlign w:val="subscript"/>
        </w:rPr>
        <w:t xml:space="preserve"> </w:t>
      </w:r>
      <w:r>
        <w:t>X</w:t>
      </w:r>
      <w:r>
        <w:rPr>
          <w:vertAlign w:val="subscript"/>
        </w:rPr>
        <w:t xml:space="preserve">4 </w:t>
      </w:r>
      <w:r>
        <w:t>+ 0,0418M</w:t>
      </w:r>
      <w:r>
        <w:rPr>
          <w:vertAlign w:val="subscript"/>
        </w:rPr>
        <w:t xml:space="preserve">1 </w:t>
      </w:r>
      <w:r>
        <w:t>+ 0,0418M</w:t>
      </w:r>
      <w:r>
        <w:rPr>
          <w:vertAlign w:val="subscript"/>
        </w:rPr>
        <w:t xml:space="preserve">2  </w:t>
      </w:r>
      <w:r>
        <w:t xml:space="preserve"> – 0,2414E</w:t>
      </w:r>
      <w:r>
        <w:rPr>
          <w:vertAlign w:val="subscript"/>
        </w:rPr>
        <w:t>1</w:t>
      </w:r>
    </w:p>
    <w:p w:rsidR="005A27D6" w:rsidRDefault="005A27D6">
      <w:pPr>
        <w:tabs>
          <w:tab w:val="num" w:pos="-2340"/>
        </w:tabs>
        <w:jc w:val="both"/>
      </w:pPr>
    </w:p>
    <w:p w:rsidR="005A27D6" w:rsidRDefault="005A27D6">
      <w:pPr>
        <w:pStyle w:val="Textoindependiente2"/>
        <w:tabs>
          <w:tab w:val="num" w:pos="-2340"/>
          <w:tab w:val="left" w:pos="1080"/>
        </w:tabs>
        <w:spacing w:line="240" w:lineRule="auto"/>
        <w:jc w:val="center"/>
        <w:rPr>
          <w:rFonts w:ascii="Arial" w:hAnsi="Arial" w:cs="Arial"/>
          <w:b/>
          <w:bCs/>
          <w:i/>
          <w:iCs/>
          <w:lang w:val="es-ES"/>
        </w:rPr>
      </w:pPr>
    </w:p>
    <w:p w:rsidR="005A27D6" w:rsidRDefault="005A27D6">
      <w:pPr>
        <w:pStyle w:val="Textoindependiente2"/>
        <w:tabs>
          <w:tab w:val="num" w:pos="-2340"/>
          <w:tab w:val="left" w:pos="1080"/>
        </w:tabs>
        <w:spacing w:line="240" w:lineRule="auto"/>
        <w:jc w:val="center"/>
        <w:rPr>
          <w:rFonts w:ascii="Arial" w:hAnsi="Arial" w:cs="Arial"/>
          <w:b/>
          <w:bCs/>
          <w:i/>
          <w:iCs/>
          <w:lang w:val="es-ES"/>
        </w:rPr>
      </w:pPr>
    </w:p>
    <w:p w:rsidR="005A27D6" w:rsidRDefault="005A27D6">
      <w:pPr>
        <w:pStyle w:val="Textoindependiente2"/>
        <w:tabs>
          <w:tab w:val="num" w:pos="-2340"/>
          <w:tab w:val="left" w:pos="1080"/>
        </w:tabs>
        <w:spacing w:line="240" w:lineRule="auto"/>
        <w:jc w:val="center"/>
        <w:rPr>
          <w:rFonts w:ascii="Arial" w:hAnsi="Arial" w:cs="Arial"/>
          <w:b/>
          <w:bCs/>
          <w:i/>
          <w:iCs/>
          <w:lang w:val="es-ES"/>
        </w:rPr>
      </w:pPr>
    </w:p>
    <w:p w:rsidR="005A27D6" w:rsidRDefault="005A27D6">
      <w:pPr>
        <w:pStyle w:val="Textoindependiente2"/>
        <w:tabs>
          <w:tab w:val="num" w:pos="-2340"/>
          <w:tab w:val="left" w:pos="1080"/>
        </w:tabs>
        <w:spacing w:line="240" w:lineRule="auto"/>
        <w:jc w:val="center"/>
        <w:rPr>
          <w:rFonts w:ascii="Arial" w:hAnsi="Arial" w:cs="Arial"/>
          <w:b/>
          <w:bCs/>
          <w:i/>
          <w:iCs/>
          <w:lang w:val="es-ES"/>
        </w:rPr>
      </w:pPr>
    </w:p>
    <w:p w:rsidR="005A27D6" w:rsidRDefault="005A27D6">
      <w:pPr>
        <w:pStyle w:val="Textoindependiente2"/>
        <w:tabs>
          <w:tab w:val="num" w:pos="-2340"/>
          <w:tab w:val="left" w:pos="1080"/>
        </w:tabs>
        <w:spacing w:line="240" w:lineRule="auto"/>
        <w:jc w:val="center"/>
        <w:rPr>
          <w:rFonts w:ascii="Arial" w:hAnsi="Arial" w:cs="Arial"/>
          <w:b/>
          <w:bCs/>
          <w:i/>
          <w:iCs/>
          <w:lang w:val="es-ES"/>
        </w:rPr>
      </w:pPr>
    </w:p>
    <w:p w:rsidR="005A27D6" w:rsidRDefault="005A27D6">
      <w:pPr>
        <w:pStyle w:val="Textoindependiente2"/>
        <w:tabs>
          <w:tab w:val="num" w:pos="-2340"/>
          <w:tab w:val="left" w:pos="1080"/>
        </w:tabs>
        <w:spacing w:line="240" w:lineRule="auto"/>
        <w:jc w:val="center"/>
        <w:rPr>
          <w:rFonts w:ascii="Arial" w:hAnsi="Arial" w:cs="Arial"/>
          <w:b/>
          <w:bCs/>
          <w:i/>
          <w:iCs/>
          <w:lang w:val="es-ES"/>
        </w:rPr>
      </w:pPr>
    </w:p>
    <w:p w:rsidR="005A27D6" w:rsidRDefault="005A27D6">
      <w:pPr>
        <w:pStyle w:val="Textoindependiente2"/>
        <w:tabs>
          <w:tab w:val="num" w:pos="-2340"/>
          <w:tab w:val="left" w:pos="1080"/>
        </w:tabs>
        <w:spacing w:line="240" w:lineRule="auto"/>
        <w:jc w:val="center"/>
        <w:rPr>
          <w:rFonts w:ascii="Arial" w:hAnsi="Arial" w:cs="Arial"/>
          <w:b/>
          <w:bCs/>
          <w:i/>
          <w:iCs/>
          <w:lang w:val="es-ES"/>
        </w:rPr>
      </w:pPr>
    </w:p>
    <w:p w:rsidR="005A27D6" w:rsidRDefault="005A27D6">
      <w:pPr>
        <w:pStyle w:val="Textoindependiente2"/>
        <w:tabs>
          <w:tab w:val="num" w:pos="-2340"/>
          <w:tab w:val="left" w:pos="1080"/>
        </w:tabs>
        <w:spacing w:line="240" w:lineRule="auto"/>
        <w:jc w:val="center"/>
        <w:rPr>
          <w:rFonts w:ascii="Arial" w:hAnsi="Arial" w:cs="Arial"/>
          <w:b/>
          <w:bCs/>
          <w:i/>
          <w:iCs/>
          <w:lang w:val="es-ES"/>
        </w:rPr>
      </w:pPr>
    </w:p>
    <w:p w:rsidR="005A27D6" w:rsidRDefault="005A27D6">
      <w:pPr>
        <w:pStyle w:val="Textoindependiente2"/>
        <w:tabs>
          <w:tab w:val="num" w:pos="-2340"/>
          <w:tab w:val="left" w:pos="1080"/>
        </w:tabs>
        <w:spacing w:line="240" w:lineRule="auto"/>
        <w:jc w:val="center"/>
        <w:rPr>
          <w:rFonts w:ascii="Arial" w:hAnsi="Arial" w:cs="Arial"/>
          <w:b/>
          <w:bCs/>
          <w:i/>
          <w:iCs/>
          <w:lang w:val="es-ES"/>
        </w:rPr>
      </w:pPr>
    </w:p>
    <w:p w:rsidR="005A27D6" w:rsidRDefault="005A27D6">
      <w:pPr>
        <w:pStyle w:val="Textoindependiente2"/>
        <w:tabs>
          <w:tab w:val="num" w:pos="-2340"/>
          <w:tab w:val="left" w:pos="1080"/>
        </w:tabs>
        <w:spacing w:line="240" w:lineRule="auto"/>
        <w:jc w:val="center"/>
        <w:rPr>
          <w:rFonts w:ascii="Arial" w:hAnsi="Arial" w:cs="Arial"/>
          <w:b/>
          <w:bCs/>
          <w:i/>
          <w:iCs/>
          <w:lang w:val="es-ES"/>
        </w:rPr>
      </w:pPr>
    </w:p>
    <w:p w:rsidR="005A27D6" w:rsidRDefault="005A27D6">
      <w:pPr>
        <w:pStyle w:val="Textoindependiente2"/>
        <w:tabs>
          <w:tab w:val="num" w:pos="-2340"/>
          <w:tab w:val="left" w:pos="1080"/>
        </w:tabs>
        <w:spacing w:line="240" w:lineRule="auto"/>
        <w:jc w:val="center"/>
        <w:rPr>
          <w:rFonts w:ascii="Arial" w:hAnsi="Arial" w:cs="Arial"/>
          <w:b/>
          <w:bCs/>
          <w:i/>
          <w:iCs/>
          <w:lang w:val="es-ES"/>
        </w:rPr>
      </w:pPr>
    </w:p>
    <w:p w:rsidR="005A27D6" w:rsidRDefault="005A27D6">
      <w:pPr>
        <w:pStyle w:val="Textoindependiente2"/>
        <w:tabs>
          <w:tab w:val="num" w:pos="-2340"/>
          <w:tab w:val="left" w:pos="1080"/>
        </w:tabs>
        <w:spacing w:line="240" w:lineRule="auto"/>
        <w:jc w:val="center"/>
        <w:rPr>
          <w:rFonts w:ascii="Arial" w:hAnsi="Arial" w:cs="Arial"/>
          <w:b/>
          <w:bCs/>
          <w:i/>
          <w:iCs/>
          <w:lang w:val="es-ES"/>
        </w:rPr>
      </w:pPr>
      <w:r>
        <w:rPr>
          <w:rFonts w:ascii="Arial" w:hAnsi="Arial" w:cs="Arial"/>
          <w:b/>
          <w:bCs/>
          <w:i/>
          <w:iCs/>
          <w:lang w:val="es-ES"/>
        </w:rPr>
        <w:t>Número de componentes principales</w:t>
      </w:r>
    </w:p>
    <w:p w:rsidR="005A27D6" w:rsidRDefault="005A27D6">
      <w:pPr>
        <w:pStyle w:val="Textoindependiente2"/>
        <w:tabs>
          <w:tab w:val="num" w:pos="-2340"/>
          <w:tab w:val="left" w:pos="1080"/>
        </w:tabs>
        <w:spacing w:line="240" w:lineRule="auto"/>
        <w:jc w:val="center"/>
        <w:rPr>
          <w:rFonts w:ascii="Arial" w:hAnsi="Arial" w:cs="Arial"/>
          <w:b/>
          <w:bCs/>
          <w:i/>
          <w:iCs/>
          <w:lang w:val="es-ES"/>
        </w:rPr>
      </w:pPr>
      <w:r>
        <w:rPr>
          <w:rFonts w:ascii="Arial" w:hAnsi="Arial" w:cs="Arial"/>
          <w:b/>
          <w:bCs/>
          <w:i/>
          <w:iCs/>
          <w:lang w:val="es-ES"/>
        </w:rPr>
        <w:t>basados en los valores propios.</w:t>
      </w:r>
    </w:p>
    <w:p w:rsidR="005A27D6" w:rsidRDefault="00E24FA2">
      <w:pPr>
        <w:pStyle w:val="Textoindependiente2"/>
        <w:tabs>
          <w:tab w:val="num" w:pos="-2340"/>
          <w:tab w:val="left" w:pos="1080"/>
        </w:tabs>
        <w:spacing w:line="240" w:lineRule="auto"/>
        <w:rPr>
          <w:rFonts w:ascii="Arial" w:hAnsi="Arial" w:cs="Arial"/>
          <w:lang w:val="es-ES"/>
        </w:rPr>
      </w:pPr>
      <w:r>
        <w:rPr>
          <w:noProof/>
          <w:lang w:val="es-ES"/>
        </w:rPr>
        <w:drawing>
          <wp:anchor distT="0" distB="0" distL="114300" distR="114300" simplePos="0" relativeHeight="251657216" behindDoc="0" locked="0" layoutInCell="1" allowOverlap="1">
            <wp:simplePos x="0" y="0"/>
            <wp:positionH relativeFrom="column">
              <wp:posOffset>1600200</wp:posOffset>
            </wp:positionH>
            <wp:positionV relativeFrom="paragraph">
              <wp:posOffset>106680</wp:posOffset>
            </wp:positionV>
            <wp:extent cx="2117090" cy="1560830"/>
            <wp:effectExtent l="19050" t="19050" r="16510" b="2032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2117090" cy="1560830"/>
                    </a:xfrm>
                    <a:prstGeom prst="rect">
                      <a:avLst/>
                    </a:prstGeom>
                    <a:noFill/>
                    <a:ln w="15875">
                      <a:solidFill>
                        <a:srgbClr val="000000"/>
                      </a:solidFill>
                      <a:miter lim="800000"/>
                      <a:headEnd/>
                      <a:tailEnd/>
                    </a:ln>
                  </pic:spPr>
                </pic:pic>
              </a:graphicData>
            </a:graphic>
          </wp:anchor>
        </w:drawing>
      </w:r>
    </w:p>
    <w:p w:rsidR="005A27D6" w:rsidRDefault="005A27D6">
      <w:pPr>
        <w:pStyle w:val="Textoindependiente2"/>
        <w:tabs>
          <w:tab w:val="num" w:pos="-2340"/>
        </w:tabs>
        <w:spacing w:line="240" w:lineRule="auto"/>
        <w:rPr>
          <w:rFonts w:ascii="Arial" w:hAnsi="Arial" w:cs="Arial"/>
          <w:lang w:val="es-ES"/>
        </w:rPr>
      </w:pPr>
    </w:p>
    <w:p w:rsidR="005A27D6" w:rsidRDefault="00E24FA2">
      <w:pPr>
        <w:pStyle w:val="Textoindependiente2"/>
        <w:tabs>
          <w:tab w:val="num" w:pos="-2340"/>
        </w:tabs>
        <w:spacing w:line="240" w:lineRule="auto"/>
        <w:rPr>
          <w:rFonts w:ascii="Arial" w:hAnsi="Arial" w:cs="Arial"/>
          <w:lang w:val="es-ES"/>
        </w:rPr>
      </w:pPr>
      <w:r>
        <w:rPr>
          <w:noProof/>
          <w:lang w:val="es-ES"/>
        </w:rPr>
        <w:drawing>
          <wp:anchor distT="0" distB="0" distL="114300" distR="114300" simplePos="0" relativeHeight="251658240" behindDoc="0" locked="0" layoutInCell="1" allowOverlap="1">
            <wp:simplePos x="0" y="0"/>
            <wp:positionH relativeFrom="column">
              <wp:posOffset>1028700</wp:posOffset>
            </wp:positionH>
            <wp:positionV relativeFrom="paragraph">
              <wp:posOffset>1109980</wp:posOffset>
            </wp:positionV>
            <wp:extent cx="3042285" cy="2192655"/>
            <wp:effectExtent l="19050" t="0" r="5715"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3042285" cy="2192655"/>
                    </a:xfrm>
                    <a:prstGeom prst="rect">
                      <a:avLst/>
                    </a:prstGeom>
                    <a:noFill/>
                    <a:ln w="9525">
                      <a:noFill/>
                      <a:miter lim="800000"/>
                      <a:headEnd/>
                      <a:tailEnd/>
                    </a:ln>
                  </pic:spPr>
                </pic:pic>
              </a:graphicData>
            </a:graphic>
          </wp:anchor>
        </w:drawing>
      </w:r>
      <w:r w:rsidR="005A27D6">
        <w:rPr>
          <w:rFonts w:ascii="Arial" w:hAnsi="Arial" w:cs="Arial"/>
          <w:lang w:val="es-ES"/>
        </w:rPr>
        <w:t xml:space="preserve">En la figura adjunta se puede observar las tres componentes que explican el 66.7% de la varianza y que a partir del cuarto valor propio los valores son relativamente pequeños, es decir se acercan a cero, entonces pierden importancia, con lo cual no se sospecha dependencia lineal en los datos. Por lo tanto solo se escoge los tres primeros valores propios con sus respectivos vectores propios. </w:t>
      </w:r>
    </w:p>
    <w:p w:rsidR="005A27D6" w:rsidRDefault="005A27D6">
      <w:pPr>
        <w:pStyle w:val="Textoindependiente2"/>
        <w:tabs>
          <w:tab w:val="num" w:pos="-2340"/>
          <w:tab w:val="left" w:pos="1080"/>
        </w:tabs>
        <w:spacing w:line="240" w:lineRule="auto"/>
        <w:jc w:val="center"/>
        <w:rPr>
          <w:rFonts w:ascii="Arial" w:hAnsi="Arial" w:cs="Arial"/>
          <w:b/>
          <w:bCs/>
          <w:i/>
          <w:iCs/>
          <w:lang w:val="es-ES"/>
        </w:rPr>
      </w:pPr>
      <w:r>
        <w:rPr>
          <w:rFonts w:ascii="Arial" w:hAnsi="Arial" w:cs="Arial"/>
          <w:b/>
          <w:bCs/>
          <w:i/>
          <w:iCs/>
          <w:lang w:val="es-ES"/>
        </w:rPr>
        <w:t>Nube de Puntos según los componentes explicados</w:t>
      </w:r>
    </w:p>
    <w:p w:rsidR="005A27D6" w:rsidRDefault="005A27D6">
      <w:pPr>
        <w:tabs>
          <w:tab w:val="num" w:pos="-2340"/>
        </w:tabs>
        <w:jc w:val="both"/>
      </w:pPr>
    </w:p>
    <w:p w:rsidR="005A27D6" w:rsidRDefault="005A27D6">
      <w:pPr>
        <w:tabs>
          <w:tab w:val="num" w:pos="-2340"/>
        </w:tabs>
        <w:jc w:val="both"/>
      </w:pPr>
    </w:p>
    <w:p w:rsidR="005A27D6" w:rsidRDefault="005A27D6">
      <w:pPr>
        <w:tabs>
          <w:tab w:val="num" w:pos="-2340"/>
        </w:tabs>
        <w:jc w:val="both"/>
      </w:pPr>
      <w:r>
        <w:t>Se observa en la figura los grupos que se conforman en la nube de datos, de los 3 componentes explicados. El grupo más grande lo conforman el promedio de mortalidad, la hectárea de la piscina y el promedio de salinidad. Para apreciar los grupos adicionales proyectamos el eje de coordenadas de cada componente, así al proyectar el componente 1 y 2 se obtiene el nivel de concentración de mancha blanca con el promedio de salinidad de la piscina.</w:t>
      </w:r>
    </w:p>
    <w:p w:rsidR="005A27D6" w:rsidRDefault="005A27D6">
      <w:pPr>
        <w:pStyle w:val="Encabezado"/>
        <w:tabs>
          <w:tab w:val="clear" w:pos="4252"/>
          <w:tab w:val="clear" w:pos="8504"/>
          <w:tab w:val="num" w:pos="-2340"/>
        </w:tabs>
      </w:pPr>
    </w:p>
    <w:p w:rsidR="005A27D6" w:rsidRDefault="005A27D6">
      <w:pPr>
        <w:pStyle w:val="Encabezado"/>
        <w:tabs>
          <w:tab w:val="clear" w:pos="4252"/>
          <w:tab w:val="clear" w:pos="8504"/>
          <w:tab w:val="num" w:pos="-2340"/>
        </w:tabs>
      </w:pPr>
    </w:p>
    <w:p w:rsidR="005A27D6" w:rsidRDefault="005A27D6">
      <w:pPr>
        <w:pStyle w:val="Encabezado"/>
        <w:tabs>
          <w:tab w:val="clear" w:pos="4252"/>
          <w:tab w:val="clear" w:pos="8504"/>
          <w:tab w:val="num" w:pos="-2340"/>
        </w:tabs>
      </w:pPr>
    </w:p>
    <w:p w:rsidR="005A27D6" w:rsidRDefault="005A27D6">
      <w:pPr>
        <w:pStyle w:val="Encabezado"/>
        <w:tabs>
          <w:tab w:val="clear" w:pos="4252"/>
          <w:tab w:val="clear" w:pos="8504"/>
          <w:tab w:val="num" w:pos="-2340"/>
        </w:tabs>
      </w:pPr>
    </w:p>
    <w:p w:rsidR="005A27D6" w:rsidRDefault="005A27D6">
      <w:pPr>
        <w:pStyle w:val="Encabezado"/>
        <w:tabs>
          <w:tab w:val="clear" w:pos="4252"/>
          <w:tab w:val="clear" w:pos="8504"/>
          <w:tab w:val="num" w:pos="-2340"/>
        </w:tabs>
      </w:pPr>
    </w:p>
    <w:p w:rsidR="005A27D6" w:rsidRDefault="005A27D6">
      <w:pPr>
        <w:pStyle w:val="Encabezado"/>
        <w:tabs>
          <w:tab w:val="clear" w:pos="4252"/>
          <w:tab w:val="clear" w:pos="8504"/>
          <w:tab w:val="num" w:pos="-2340"/>
        </w:tabs>
      </w:pPr>
    </w:p>
    <w:p w:rsidR="005A27D6" w:rsidRDefault="005A27D6">
      <w:pPr>
        <w:pStyle w:val="Encabezado"/>
        <w:tabs>
          <w:tab w:val="clear" w:pos="4252"/>
          <w:tab w:val="clear" w:pos="8504"/>
          <w:tab w:val="num" w:pos="-2340"/>
        </w:tabs>
      </w:pPr>
    </w:p>
    <w:p w:rsidR="005A27D6" w:rsidRDefault="005A27D6">
      <w:pPr>
        <w:pStyle w:val="Encabezado"/>
        <w:tabs>
          <w:tab w:val="clear" w:pos="4252"/>
          <w:tab w:val="clear" w:pos="8504"/>
          <w:tab w:val="num" w:pos="-2340"/>
        </w:tabs>
      </w:pPr>
    </w:p>
    <w:p w:rsidR="005A27D6" w:rsidRDefault="005A27D6">
      <w:pPr>
        <w:pStyle w:val="Encabezado"/>
        <w:tabs>
          <w:tab w:val="clear" w:pos="4252"/>
          <w:tab w:val="clear" w:pos="8504"/>
          <w:tab w:val="num" w:pos="-2340"/>
        </w:tabs>
      </w:pPr>
    </w:p>
    <w:p w:rsidR="005A27D6" w:rsidRDefault="005A27D6">
      <w:pPr>
        <w:jc w:val="both"/>
        <w:rPr>
          <w:b/>
          <w:bCs/>
        </w:rPr>
      </w:pPr>
      <w:r>
        <w:rPr>
          <w:b/>
          <w:bCs/>
        </w:rPr>
        <w:t>6. CONCLUSIONES</w:t>
      </w:r>
    </w:p>
    <w:p w:rsidR="005A27D6" w:rsidRDefault="005A27D6" w:rsidP="00E24FA2">
      <w:pPr>
        <w:pStyle w:val="Textoindependiente"/>
        <w:numPr>
          <w:ilvl w:val="0"/>
          <w:numId w:val="3"/>
        </w:numPr>
        <w:spacing w:line="240" w:lineRule="auto"/>
      </w:pPr>
      <w:r>
        <w:t>Los años 1999 y 2000, fueron muy duros para la industria camaronera ecuatoriana. En el año 2001 el nivel de producción aumento en un 20% con relación al 2000, pero se siente aún las consecuencias de la crisis de la mancha blanca y la caída de los precios internacionales.</w:t>
      </w:r>
    </w:p>
    <w:p w:rsidR="005A27D6" w:rsidRDefault="005A27D6">
      <w:pPr>
        <w:ind w:left="960"/>
        <w:jc w:val="both"/>
      </w:pPr>
    </w:p>
    <w:p w:rsidR="005A27D6" w:rsidRDefault="005A27D6" w:rsidP="00E24FA2">
      <w:pPr>
        <w:numPr>
          <w:ilvl w:val="0"/>
          <w:numId w:val="3"/>
        </w:numPr>
        <w:jc w:val="both"/>
      </w:pPr>
      <w:r>
        <w:t>Según los últimos datos de la Cámara Nacional de Acuicultura (2001) existe la siguiente infraestructura en la industria:</w:t>
      </w:r>
    </w:p>
    <w:p w:rsidR="005A27D6" w:rsidRDefault="005A27D6" w:rsidP="00E24FA2">
      <w:pPr>
        <w:numPr>
          <w:ilvl w:val="1"/>
          <w:numId w:val="3"/>
        </w:numPr>
        <w:tabs>
          <w:tab w:val="num" w:pos="2340"/>
        </w:tabs>
        <w:jc w:val="both"/>
      </w:pPr>
      <w:r>
        <w:t>Laboratorios: 90</w:t>
      </w:r>
    </w:p>
    <w:p w:rsidR="005A27D6" w:rsidRDefault="005A27D6" w:rsidP="00E24FA2">
      <w:pPr>
        <w:numPr>
          <w:ilvl w:val="1"/>
          <w:numId w:val="3"/>
        </w:numPr>
        <w:tabs>
          <w:tab w:val="num" w:pos="2340"/>
        </w:tabs>
        <w:jc w:val="both"/>
      </w:pPr>
      <w:r>
        <w:t>Hectáreas cultivadas: 100.000</w:t>
      </w:r>
    </w:p>
    <w:p w:rsidR="005A27D6" w:rsidRDefault="005A27D6" w:rsidP="00E24FA2">
      <w:pPr>
        <w:numPr>
          <w:ilvl w:val="1"/>
          <w:numId w:val="3"/>
        </w:numPr>
        <w:tabs>
          <w:tab w:val="num" w:pos="2340"/>
        </w:tabs>
        <w:jc w:val="both"/>
      </w:pPr>
      <w:r>
        <w:t>Fábricas de Alimento Balanceado: 14</w:t>
      </w:r>
    </w:p>
    <w:p w:rsidR="005A27D6" w:rsidRDefault="005A27D6" w:rsidP="00E24FA2">
      <w:pPr>
        <w:numPr>
          <w:ilvl w:val="1"/>
          <w:numId w:val="3"/>
        </w:numPr>
        <w:tabs>
          <w:tab w:val="num" w:pos="2340"/>
        </w:tabs>
        <w:jc w:val="both"/>
      </w:pPr>
      <w:r>
        <w:t>Plantas Procesadoras: 26</w:t>
      </w:r>
    </w:p>
    <w:p w:rsidR="005A27D6" w:rsidRDefault="005A27D6">
      <w:pPr>
        <w:tabs>
          <w:tab w:val="num" w:pos="-2340"/>
        </w:tabs>
        <w:ind w:left="720"/>
        <w:jc w:val="both"/>
      </w:pPr>
    </w:p>
    <w:p w:rsidR="005A27D6" w:rsidRDefault="005A27D6" w:rsidP="00E24FA2">
      <w:pPr>
        <w:numPr>
          <w:ilvl w:val="0"/>
          <w:numId w:val="3"/>
        </w:numPr>
        <w:jc w:val="both"/>
      </w:pPr>
      <w:r>
        <w:t>Por la concentración geográfica de las zonas de producción, fábricas del balanceado y plantas empacadoras el 61% de los empleos que actualmente ofrece el sector, se encuentran en la provincia del Guayas (Cámara Nacional de Acuicultura).</w:t>
      </w:r>
    </w:p>
    <w:p w:rsidR="005A27D6" w:rsidRDefault="005A27D6">
      <w:pPr>
        <w:tabs>
          <w:tab w:val="num" w:pos="-2340"/>
        </w:tabs>
        <w:jc w:val="both"/>
      </w:pPr>
    </w:p>
    <w:p w:rsidR="005A27D6" w:rsidRDefault="005A27D6" w:rsidP="00E24FA2">
      <w:pPr>
        <w:numPr>
          <w:ilvl w:val="0"/>
          <w:numId w:val="3"/>
        </w:numPr>
        <w:jc w:val="both"/>
      </w:pPr>
      <w:r>
        <w:t>Para el promedio de la siembra, existe un total del 38%  de las piscinas entre 500.000 y 1´000.000 de larvas, con el contraste correspondiente al promedio de cosecha en un 91% de las piscinas cosecho entre 343 y 50.000 camarones.</w:t>
      </w:r>
    </w:p>
    <w:p w:rsidR="005A27D6" w:rsidRDefault="005A27D6">
      <w:pPr>
        <w:tabs>
          <w:tab w:val="num" w:pos="-2340"/>
        </w:tabs>
        <w:jc w:val="both"/>
      </w:pPr>
    </w:p>
    <w:p w:rsidR="005A27D6" w:rsidRDefault="005A27D6" w:rsidP="00E24FA2">
      <w:pPr>
        <w:numPr>
          <w:ilvl w:val="0"/>
          <w:numId w:val="3"/>
        </w:numPr>
        <w:jc w:val="both"/>
      </w:pPr>
      <w:r>
        <w:t>En el periodo de 1998 a 2000, se trabajo con el 61% de piscinas menores a 10 hect., seguido de un 30% entre 10 a 20 hect., un 7% entre 20 y 30 hect. y solo el 2% mayores a 30 hect.</w:t>
      </w:r>
    </w:p>
    <w:p w:rsidR="005A27D6" w:rsidRDefault="005A27D6">
      <w:pPr>
        <w:tabs>
          <w:tab w:val="num" w:pos="-2340"/>
        </w:tabs>
        <w:jc w:val="both"/>
      </w:pPr>
    </w:p>
    <w:p w:rsidR="005A27D6" w:rsidRDefault="005A27D6" w:rsidP="00E24FA2">
      <w:pPr>
        <w:numPr>
          <w:ilvl w:val="0"/>
          <w:numId w:val="3"/>
        </w:numPr>
        <w:jc w:val="both"/>
      </w:pPr>
      <w:r>
        <w:t>El promedio de salinidad para las 255 piscinas es de 24.4</w:t>
      </w:r>
      <w:r>
        <w:sym w:font="Symbol" w:char="F0B1"/>
      </w:r>
      <w:r>
        <w:t>7.3 ppm. y temperatura promedio 28.2</w:t>
      </w:r>
      <w:r>
        <w:sym w:font="Symbol" w:char="F0B1"/>
      </w:r>
      <w:r>
        <w:t>2.98</w:t>
      </w:r>
      <w:r>
        <w:rPr>
          <w:vertAlign w:val="superscript"/>
        </w:rPr>
        <w:t>0</w:t>
      </w:r>
      <w:r>
        <w:t>C.</w:t>
      </w:r>
    </w:p>
    <w:p w:rsidR="005A27D6" w:rsidRDefault="005A27D6">
      <w:pPr>
        <w:tabs>
          <w:tab w:val="num" w:pos="-2340"/>
        </w:tabs>
        <w:jc w:val="both"/>
      </w:pPr>
    </w:p>
    <w:p w:rsidR="005A27D6" w:rsidRDefault="005A27D6" w:rsidP="00E24FA2">
      <w:pPr>
        <w:numPr>
          <w:ilvl w:val="0"/>
          <w:numId w:val="3"/>
        </w:numPr>
        <w:jc w:val="both"/>
      </w:pPr>
      <w:r>
        <w:t xml:space="preserve">El método de diagnostico más frecuentemente utilizado obtuvo un 52% para la técnica de PCR o “Polymerase Chain Reaction”, el 29% utilizan técnicas inmunológicas, el 15% técnicas Histológicas y 4% técnicas de biología molecular.  </w:t>
      </w:r>
    </w:p>
    <w:p w:rsidR="005A27D6" w:rsidRDefault="005A27D6">
      <w:pPr>
        <w:tabs>
          <w:tab w:val="num" w:pos="-2340"/>
        </w:tabs>
        <w:jc w:val="both"/>
      </w:pPr>
    </w:p>
    <w:p w:rsidR="005A27D6" w:rsidRDefault="005A27D6" w:rsidP="00E24FA2">
      <w:pPr>
        <w:numPr>
          <w:ilvl w:val="0"/>
          <w:numId w:val="3"/>
        </w:numPr>
        <w:jc w:val="both"/>
      </w:pPr>
      <w:r>
        <w:t>El nivel de concentración de virus de la mancha blanca noto un 86% de las piscinas un resultado Fuerte, 12% un resultado Leve y tan solo 2% arrojo resultado negativo.</w:t>
      </w:r>
    </w:p>
    <w:p w:rsidR="005A27D6" w:rsidRDefault="005A27D6">
      <w:pPr>
        <w:tabs>
          <w:tab w:val="num" w:pos="-2340"/>
        </w:tabs>
        <w:jc w:val="both"/>
      </w:pPr>
    </w:p>
    <w:p w:rsidR="005A27D6" w:rsidRDefault="005A27D6" w:rsidP="00E24FA2">
      <w:pPr>
        <w:numPr>
          <w:ilvl w:val="0"/>
          <w:numId w:val="3"/>
        </w:numPr>
        <w:jc w:val="both"/>
      </w:pPr>
      <w:r>
        <w:t>Las enfermedades que predominaron adicionalmente al virus de la mancha blanca con un 56% de las piscinas el virus de la necrosis infecciosa del tejido hematopéyico (IHHNV), 34% de las piscinas las Gregarinas (GREG) y 9% no contenía otro tipo de afección.</w:t>
      </w:r>
    </w:p>
    <w:p w:rsidR="005A27D6" w:rsidRDefault="005A27D6">
      <w:pPr>
        <w:tabs>
          <w:tab w:val="num" w:pos="-2340"/>
        </w:tabs>
        <w:jc w:val="both"/>
      </w:pPr>
    </w:p>
    <w:p w:rsidR="005A27D6" w:rsidRDefault="005A27D6" w:rsidP="00E24FA2">
      <w:pPr>
        <w:numPr>
          <w:ilvl w:val="0"/>
          <w:numId w:val="3"/>
        </w:numPr>
        <w:jc w:val="both"/>
      </w:pPr>
      <w:r>
        <w:t>Se determino en la matriz de correlación que existe una alta relación lineal entre las variables SIEMBRA y MORTALIDAD, HECTÁREA y MORTALIDAD, SIEMBRA y HECTÁREA.</w:t>
      </w:r>
    </w:p>
    <w:p w:rsidR="005A27D6" w:rsidRDefault="005A27D6">
      <w:pPr>
        <w:tabs>
          <w:tab w:val="num" w:pos="-2340"/>
        </w:tabs>
        <w:jc w:val="both"/>
      </w:pPr>
    </w:p>
    <w:p w:rsidR="005A27D6" w:rsidRDefault="005A27D6">
      <w:pPr>
        <w:tabs>
          <w:tab w:val="num" w:pos="-2340"/>
        </w:tabs>
        <w:jc w:val="both"/>
      </w:pPr>
    </w:p>
    <w:p w:rsidR="005A27D6" w:rsidRDefault="005A27D6" w:rsidP="00E24FA2">
      <w:pPr>
        <w:numPr>
          <w:ilvl w:val="0"/>
          <w:numId w:val="3"/>
        </w:numPr>
        <w:jc w:val="both"/>
      </w:pPr>
      <w:r>
        <w:t xml:space="preserve">Los resultados en las tablas de contingencia, disponen dependencia entre las variables SIEMBRA y COSECHA, más no en las variables SALINIDAD y TEMPERATURA. </w:t>
      </w:r>
    </w:p>
    <w:p w:rsidR="005A27D6" w:rsidRDefault="005A27D6">
      <w:pPr>
        <w:tabs>
          <w:tab w:val="num" w:pos="-2340"/>
        </w:tabs>
        <w:jc w:val="both"/>
      </w:pPr>
    </w:p>
    <w:p w:rsidR="005A27D6" w:rsidRDefault="005A27D6" w:rsidP="00E24FA2">
      <w:pPr>
        <w:numPr>
          <w:ilvl w:val="0"/>
          <w:numId w:val="3"/>
        </w:numPr>
        <w:jc w:val="both"/>
      </w:pPr>
      <w:r>
        <w:t>Los 3 componentes principales que explican el 66% de la varianza para las variables de estudio son:</w:t>
      </w:r>
    </w:p>
    <w:p w:rsidR="005A27D6" w:rsidRDefault="005A27D6">
      <w:pPr>
        <w:ind w:left="720"/>
        <w:jc w:val="both"/>
        <w:rPr>
          <w:vertAlign w:val="subscript"/>
        </w:rPr>
      </w:pPr>
      <w:r>
        <w:t>Y</w:t>
      </w:r>
      <w:r>
        <w:rPr>
          <w:vertAlign w:val="subscript"/>
        </w:rPr>
        <w:t>1</w:t>
      </w:r>
      <w:r>
        <w:t>= – 0.3310X</w:t>
      </w:r>
      <w:r>
        <w:rPr>
          <w:vertAlign w:val="subscript"/>
        </w:rPr>
        <w:t xml:space="preserve">2 </w:t>
      </w:r>
      <w:r>
        <w:t>+ 0.6387X</w:t>
      </w:r>
      <w:r>
        <w:rPr>
          <w:vertAlign w:val="subscript"/>
        </w:rPr>
        <w:t xml:space="preserve">3 </w:t>
      </w:r>
      <w:r>
        <w:t xml:space="preserve"> + 0.0667X</w:t>
      </w:r>
      <w:r>
        <w:rPr>
          <w:vertAlign w:val="subscript"/>
        </w:rPr>
        <w:t xml:space="preserve">4 </w:t>
      </w:r>
      <w:r>
        <w:t>– 0.0040M</w:t>
      </w:r>
      <w:r>
        <w:rPr>
          <w:vertAlign w:val="subscript"/>
        </w:rPr>
        <w:t xml:space="preserve">1 </w:t>
      </w:r>
      <w:r>
        <w:t>– 0.6842M</w:t>
      </w:r>
      <w:r>
        <w:rPr>
          <w:vertAlign w:val="subscript"/>
        </w:rPr>
        <w:t xml:space="preserve">2 </w:t>
      </w:r>
      <w:r>
        <w:t>+ 0.0999</w:t>
      </w:r>
      <w:r>
        <w:rPr>
          <w:vertAlign w:val="subscript"/>
        </w:rPr>
        <w:t xml:space="preserve"> </w:t>
      </w:r>
      <w:r>
        <w:t>E</w:t>
      </w:r>
      <w:r>
        <w:rPr>
          <w:vertAlign w:val="subscript"/>
        </w:rPr>
        <w:t xml:space="preserve">1 </w:t>
      </w:r>
    </w:p>
    <w:p w:rsidR="005A27D6" w:rsidRDefault="005A27D6">
      <w:pPr>
        <w:ind w:left="720"/>
        <w:jc w:val="both"/>
      </w:pPr>
      <w:r>
        <w:t>Y</w:t>
      </w:r>
      <w:r>
        <w:rPr>
          <w:vertAlign w:val="subscript"/>
        </w:rPr>
        <w:t xml:space="preserve">2 </w:t>
      </w:r>
      <w:r>
        <w:t>= 0,5963X</w:t>
      </w:r>
      <w:r>
        <w:rPr>
          <w:vertAlign w:val="subscript"/>
        </w:rPr>
        <w:t>2</w:t>
      </w:r>
      <w:r>
        <w:t>+ 0,1937X</w:t>
      </w:r>
      <w:r>
        <w:rPr>
          <w:vertAlign w:val="subscript"/>
        </w:rPr>
        <w:t xml:space="preserve">3 </w:t>
      </w:r>
      <w:r>
        <w:t>+ 0,0785</w:t>
      </w:r>
      <w:r>
        <w:rPr>
          <w:vertAlign w:val="subscript"/>
        </w:rPr>
        <w:t xml:space="preserve"> </w:t>
      </w:r>
      <w:r>
        <w:t>X</w:t>
      </w:r>
      <w:r>
        <w:rPr>
          <w:vertAlign w:val="subscript"/>
        </w:rPr>
        <w:t xml:space="preserve">4 </w:t>
      </w:r>
      <w:r>
        <w:t>– 0,1560M</w:t>
      </w:r>
      <w:r>
        <w:rPr>
          <w:vertAlign w:val="subscript"/>
        </w:rPr>
        <w:t xml:space="preserve">1 </w:t>
      </w:r>
      <w:r>
        <w:t>+ 0,1727M</w:t>
      </w:r>
      <w:r>
        <w:rPr>
          <w:vertAlign w:val="subscript"/>
        </w:rPr>
        <w:t xml:space="preserve">2  </w:t>
      </w:r>
      <w:r>
        <w:t xml:space="preserve"> – 0,6687E</w:t>
      </w:r>
      <w:r>
        <w:rPr>
          <w:vertAlign w:val="subscript"/>
        </w:rPr>
        <w:t>1</w:t>
      </w:r>
      <w:r>
        <w:t xml:space="preserve"> </w:t>
      </w:r>
    </w:p>
    <w:p w:rsidR="005A27D6" w:rsidRDefault="005A27D6">
      <w:pPr>
        <w:ind w:left="720"/>
        <w:jc w:val="both"/>
        <w:rPr>
          <w:vertAlign w:val="subscript"/>
        </w:rPr>
      </w:pPr>
      <w:r>
        <w:t>Y</w:t>
      </w:r>
      <w:r>
        <w:rPr>
          <w:vertAlign w:val="subscript"/>
        </w:rPr>
        <w:t xml:space="preserve">3 </w:t>
      </w:r>
      <w:r>
        <w:t>= 0,1632X</w:t>
      </w:r>
      <w:r>
        <w:rPr>
          <w:vertAlign w:val="subscript"/>
        </w:rPr>
        <w:t xml:space="preserve">2 </w:t>
      </w:r>
      <w:r>
        <w:t>+ 0,1370X</w:t>
      </w:r>
      <w:r>
        <w:rPr>
          <w:vertAlign w:val="subscript"/>
        </w:rPr>
        <w:t xml:space="preserve">3 </w:t>
      </w:r>
      <w:r>
        <w:t>– 0,5212</w:t>
      </w:r>
      <w:r>
        <w:rPr>
          <w:vertAlign w:val="subscript"/>
        </w:rPr>
        <w:t xml:space="preserve"> </w:t>
      </w:r>
      <w:r>
        <w:t>X</w:t>
      </w:r>
      <w:r>
        <w:rPr>
          <w:vertAlign w:val="subscript"/>
        </w:rPr>
        <w:t xml:space="preserve">4 </w:t>
      </w:r>
      <w:r>
        <w:t>+ 0,0418M</w:t>
      </w:r>
      <w:r>
        <w:rPr>
          <w:vertAlign w:val="subscript"/>
        </w:rPr>
        <w:t xml:space="preserve">1 </w:t>
      </w:r>
      <w:r>
        <w:t>+ 0,0418M</w:t>
      </w:r>
      <w:r>
        <w:rPr>
          <w:vertAlign w:val="subscript"/>
        </w:rPr>
        <w:t xml:space="preserve">2  </w:t>
      </w:r>
      <w:r>
        <w:t xml:space="preserve"> – 0,2414E</w:t>
      </w:r>
      <w:r>
        <w:rPr>
          <w:vertAlign w:val="subscript"/>
        </w:rPr>
        <w:t>1</w:t>
      </w:r>
    </w:p>
    <w:p w:rsidR="005A27D6" w:rsidRDefault="005A27D6">
      <w:pPr>
        <w:tabs>
          <w:tab w:val="num" w:pos="-2340"/>
        </w:tabs>
        <w:jc w:val="both"/>
      </w:pPr>
    </w:p>
    <w:p w:rsidR="005A27D6" w:rsidRDefault="005A27D6" w:rsidP="00E24FA2">
      <w:pPr>
        <w:numPr>
          <w:ilvl w:val="0"/>
          <w:numId w:val="3"/>
        </w:numPr>
        <w:jc w:val="both"/>
      </w:pPr>
      <w:r>
        <w:t>Los modelos de series temporales que ajustan al promedio mensual de salinidad y temperatura para lo años de 1998 al 2001 son SARIMA(0,1,0)(0,1,1)</w:t>
      </w:r>
      <w:r>
        <w:rPr>
          <w:vertAlign w:val="subscript"/>
        </w:rPr>
        <w:t>6</w:t>
      </w:r>
      <w:r>
        <w:t xml:space="preserve"> y SARIMA(0,1,0)(1,0,1)</w:t>
      </w:r>
      <w:r>
        <w:rPr>
          <w:vertAlign w:val="subscript"/>
        </w:rPr>
        <w:t>6</w:t>
      </w:r>
      <w:r>
        <w:t xml:space="preserve"> respectivamente.</w:t>
      </w:r>
    </w:p>
    <w:p w:rsidR="005A27D6" w:rsidRDefault="005A27D6">
      <w:pPr>
        <w:tabs>
          <w:tab w:val="num" w:pos="-2340"/>
        </w:tabs>
        <w:jc w:val="both"/>
      </w:pPr>
    </w:p>
    <w:p w:rsidR="005A27D6" w:rsidRDefault="005A27D6">
      <w:pPr>
        <w:tabs>
          <w:tab w:val="num" w:pos="-2340"/>
        </w:tabs>
        <w:jc w:val="both"/>
      </w:pPr>
    </w:p>
    <w:p w:rsidR="005A27D6" w:rsidRDefault="005A27D6">
      <w:pPr>
        <w:tabs>
          <w:tab w:val="num" w:pos="-2340"/>
        </w:tabs>
        <w:jc w:val="both"/>
      </w:pPr>
    </w:p>
    <w:p w:rsidR="005A27D6" w:rsidRDefault="005A27D6">
      <w:pPr>
        <w:tabs>
          <w:tab w:val="num" w:pos="-2340"/>
        </w:tabs>
        <w:jc w:val="both"/>
        <w:rPr>
          <w:b/>
          <w:bCs/>
        </w:rPr>
      </w:pPr>
      <w:r>
        <w:rPr>
          <w:b/>
          <w:bCs/>
        </w:rPr>
        <w:t>7. RECOMENDACIONES</w:t>
      </w:r>
    </w:p>
    <w:p w:rsidR="005A27D6" w:rsidRDefault="005A27D6" w:rsidP="00E24FA2">
      <w:pPr>
        <w:numPr>
          <w:ilvl w:val="0"/>
          <w:numId w:val="3"/>
        </w:numPr>
        <w:jc w:val="both"/>
      </w:pPr>
      <w:r>
        <w:t>Como principal recomendación es necesario hacer un censo a nivel nacional para conocer la realidad del sector camaronero,  con que se cuenta y que está en plena producción, ya que es de conocimiento que existe infraestructura abandonada.</w:t>
      </w:r>
    </w:p>
    <w:p w:rsidR="005A27D6" w:rsidRDefault="005A27D6">
      <w:pPr>
        <w:tabs>
          <w:tab w:val="num" w:pos="-2340"/>
        </w:tabs>
        <w:jc w:val="both"/>
      </w:pPr>
    </w:p>
    <w:p w:rsidR="005A27D6" w:rsidRDefault="005A27D6" w:rsidP="00E24FA2">
      <w:pPr>
        <w:numPr>
          <w:ilvl w:val="0"/>
          <w:numId w:val="3"/>
        </w:numPr>
        <w:jc w:val="both"/>
      </w:pPr>
      <w:r>
        <w:t>Con el censo, los datos se encontrarían a disposición de cualquier investigador que pudiera realizar un tratamiento estadístico a los mismo, ya que existe un fuerte confidencialidad de los mismos por la gran competencia creada contra la lucha de las enfermedades y mejoramiento de la producción.</w:t>
      </w:r>
    </w:p>
    <w:p w:rsidR="005A27D6" w:rsidRDefault="005A27D6">
      <w:pPr>
        <w:tabs>
          <w:tab w:val="num" w:pos="-2340"/>
        </w:tabs>
        <w:jc w:val="both"/>
      </w:pPr>
    </w:p>
    <w:p w:rsidR="005A27D6" w:rsidRDefault="005A27D6" w:rsidP="00E24FA2">
      <w:pPr>
        <w:numPr>
          <w:ilvl w:val="0"/>
          <w:numId w:val="3"/>
        </w:numPr>
        <w:jc w:val="both"/>
      </w:pPr>
      <w:r>
        <w:t>Para llevar un verdadero control y seguimiento de enfermedades, se debe crear laboratorios de tipo regional, ya que muchas camaroneras no cuentan con el mismo por el costo de la infraestructura e implementos.</w:t>
      </w:r>
    </w:p>
    <w:p w:rsidR="005A27D6" w:rsidRDefault="005A27D6">
      <w:pPr>
        <w:tabs>
          <w:tab w:val="num" w:pos="-2340"/>
        </w:tabs>
        <w:jc w:val="both"/>
      </w:pPr>
    </w:p>
    <w:p w:rsidR="005A27D6" w:rsidRDefault="005A27D6" w:rsidP="00E24FA2">
      <w:pPr>
        <w:numPr>
          <w:ilvl w:val="0"/>
          <w:numId w:val="3"/>
        </w:numPr>
        <w:jc w:val="both"/>
      </w:pPr>
      <w:r>
        <w:t>Según reportes realizados en las camaroneras analizadas, los cambios de manejo exitosos más utilizados para superar los problemas con respecto a las enfermedad son:</w:t>
      </w:r>
    </w:p>
    <w:p w:rsidR="005A27D6" w:rsidRDefault="005A27D6" w:rsidP="00E24FA2">
      <w:pPr>
        <w:numPr>
          <w:ilvl w:val="0"/>
          <w:numId w:val="4"/>
        </w:numPr>
        <w:tabs>
          <w:tab w:val="clear" w:pos="720"/>
          <w:tab w:val="left" w:pos="1080"/>
        </w:tabs>
        <w:ind w:firstLine="0"/>
        <w:jc w:val="both"/>
      </w:pPr>
      <w:r>
        <w:t>Utilización de antibióticos con el alimento balanceado.</w:t>
      </w:r>
    </w:p>
    <w:p w:rsidR="005A27D6" w:rsidRDefault="005A27D6" w:rsidP="00E24FA2">
      <w:pPr>
        <w:numPr>
          <w:ilvl w:val="0"/>
          <w:numId w:val="4"/>
        </w:numPr>
        <w:tabs>
          <w:tab w:val="clear" w:pos="720"/>
          <w:tab w:val="left" w:pos="1080"/>
        </w:tabs>
        <w:ind w:firstLine="0"/>
        <w:jc w:val="both"/>
      </w:pPr>
      <w:r>
        <w:t>Aplicación de cal al agua y al fondo de la piscinas.</w:t>
      </w:r>
    </w:p>
    <w:p w:rsidR="005A27D6" w:rsidRDefault="005A27D6" w:rsidP="00E24FA2">
      <w:pPr>
        <w:numPr>
          <w:ilvl w:val="0"/>
          <w:numId w:val="4"/>
        </w:numPr>
        <w:tabs>
          <w:tab w:val="clear" w:pos="720"/>
          <w:tab w:val="left" w:pos="1080"/>
        </w:tabs>
        <w:ind w:firstLine="0"/>
        <w:jc w:val="both"/>
      </w:pPr>
      <w:r>
        <w:t>Disminución considerable de la cantidad de larvas a sembrar.</w:t>
      </w:r>
    </w:p>
    <w:p w:rsidR="005A27D6" w:rsidRDefault="005A27D6" w:rsidP="00E24FA2">
      <w:pPr>
        <w:numPr>
          <w:ilvl w:val="0"/>
          <w:numId w:val="4"/>
        </w:numPr>
        <w:tabs>
          <w:tab w:val="clear" w:pos="720"/>
          <w:tab w:val="left" w:pos="1080"/>
        </w:tabs>
        <w:ind w:firstLine="0"/>
        <w:jc w:val="both"/>
      </w:pPr>
      <w:r>
        <w:t>Utilización de larvas de laboratorio.</w:t>
      </w:r>
    </w:p>
    <w:p w:rsidR="005A27D6" w:rsidRDefault="005A27D6" w:rsidP="00E24FA2">
      <w:pPr>
        <w:pStyle w:val="Sangradetextonormal"/>
        <w:numPr>
          <w:ilvl w:val="0"/>
          <w:numId w:val="4"/>
        </w:numPr>
        <w:tabs>
          <w:tab w:val="clear" w:pos="720"/>
          <w:tab w:val="left" w:pos="1080"/>
        </w:tabs>
        <w:spacing w:line="240" w:lineRule="auto"/>
        <w:ind w:firstLine="0"/>
      </w:pPr>
      <w:r>
        <w:t>También reportaron no haber tenido resultados positivos aplicando a las piscinas ajo, extracto de toronja, limón, etc.</w:t>
      </w:r>
    </w:p>
    <w:p w:rsidR="005A27D6" w:rsidRDefault="005A27D6">
      <w:pPr>
        <w:pStyle w:val="Sangradetextonormal"/>
        <w:tabs>
          <w:tab w:val="num" w:pos="-2340"/>
        </w:tabs>
        <w:spacing w:line="240" w:lineRule="auto"/>
        <w:ind w:left="0"/>
      </w:pPr>
    </w:p>
    <w:p w:rsidR="005A27D6" w:rsidRDefault="005A27D6" w:rsidP="00E24FA2">
      <w:pPr>
        <w:numPr>
          <w:ilvl w:val="0"/>
          <w:numId w:val="3"/>
        </w:numPr>
        <w:jc w:val="both"/>
      </w:pPr>
      <w:r>
        <w:t>En las camaroneras debe existir un laboratorio bien equipado, para detectar con rapidez que tipo de afección tiene la piscina, así se la puede controlar y aplicar los correctivos necesarios.</w:t>
      </w:r>
    </w:p>
    <w:p w:rsidR="005A27D6" w:rsidRDefault="005A27D6">
      <w:pPr>
        <w:tabs>
          <w:tab w:val="num" w:pos="-2340"/>
        </w:tabs>
        <w:jc w:val="both"/>
      </w:pPr>
    </w:p>
    <w:p w:rsidR="005A27D6" w:rsidRDefault="005A27D6" w:rsidP="00E24FA2">
      <w:pPr>
        <w:numPr>
          <w:ilvl w:val="0"/>
          <w:numId w:val="3"/>
        </w:numPr>
        <w:jc w:val="both"/>
      </w:pPr>
      <w:r>
        <w:t>Al referirnos a un mejor laboratorio, la única manera de que la industria camaronera ecuatoriana sobreviva a la mancha blanca y a cualquier tipo de enfermedad, bacterias, infecciones, etc., es invirtiendo en tecnología, es decir, diseño de mejores piscinas, mejor alimento balanceado, calidad de larvas al sembrar la piscina, en forma similar como a lo sucedido con otras industrias como la avícola, porcina, etc.</w:t>
      </w:r>
    </w:p>
    <w:p w:rsidR="005A27D6" w:rsidRDefault="005A27D6">
      <w:pPr>
        <w:tabs>
          <w:tab w:val="num" w:pos="-2340"/>
        </w:tabs>
        <w:jc w:val="both"/>
      </w:pPr>
    </w:p>
    <w:p w:rsidR="005A27D6" w:rsidRDefault="005A27D6" w:rsidP="00E24FA2">
      <w:pPr>
        <w:numPr>
          <w:ilvl w:val="0"/>
          <w:numId w:val="3"/>
        </w:numPr>
        <w:jc w:val="both"/>
      </w:pPr>
      <w:r>
        <w:t>En general se considera que el estrés finalmente detona la aparición de las enfermedades y con ellas la mancha blanca, por lo que el control y registro diario de las variables medioambientales es muy importante para reducirlo.</w:t>
      </w:r>
    </w:p>
    <w:p w:rsidR="005A27D6" w:rsidRDefault="005A27D6">
      <w:pPr>
        <w:tabs>
          <w:tab w:val="num" w:pos="-2340"/>
        </w:tabs>
        <w:jc w:val="both"/>
      </w:pPr>
    </w:p>
    <w:p w:rsidR="005A27D6" w:rsidRDefault="005A27D6" w:rsidP="00E24FA2">
      <w:pPr>
        <w:numPr>
          <w:ilvl w:val="0"/>
          <w:numId w:val="3"/>
        </w:numPr>
        <w:jc w:val="both"/>
      </w:pPr>
      <w:r>
        <w:t>Con respecto a los métodos de diagnostico utilizados, se debería asesorar con personas especializadas para la elección de la técnica adecuada, ya que esta depende de la afección.</w:t>
      </w:r>
    </w:p>
    <w:p w:rsidR="005A27D6" w:rsidRDefault="005A27D6">
      <w:pPr>
        <w:tabs>
          <w:tab w:val="num" w:pos="-2340"/>
        </w:tabs>
        <w:jc w:val="both"/>
      </w:pPr>
    </w:p>
    <w:p w:rsidR="005A27D6" w:rsidRDefault="005A27D6" w:rsidP="00E24FA2">
      <w:pPr>
        <w:numPr>
          <w:ilvl w:val="0"/>
          <w:numId w:val="3"/>
        </w:numPr>
        <w:jc w:val="both"/>
      </w:pPr>
      <w:r>
        <w:t>Se debe considerar un estudio posterior exhaustivo en el que se tome en cuenta mayor tipo de enfermedades, motivo por el cual se necesita del censo para registrarlo.</w:t>
      </w:r>
    </w:p>
    <w:p w:rsidR="005A27D6" w:rsidRDefault="005A27D6">
      <w:pPr>
        <w:tabs>
          <w:tab w:val="num" w:pos="-2340"/>
        </w:tabs>
        <w:spacing w:line="480" w:lineRule="auto"/>
        <w:jc w:val="both"/>
      </w:pPr>
    </w:p>
    <w:p w:rsidR="005A27D6" w:rsidRDefault="005A27D6">
      <w:pPr>
        <w:pStyle w:val="Ttulo1"/>
        <w:jc w:val="both"/>
        <w:rPr>
          <w:sz w:val="24"/>
        </w:rPr>
      </w:pPr>
      <w:r>
        <w:rPr>
          <w:sz w:val="24"/>
        </w:rPr>
        <w:t>8. BIBLIOGRAFIA</w:t>
      </w:r>
    </w:p>
    <w:p w:rsidR="005A27D6" w:rsidRDefault="005A27D6">
      <w:pPr>
        <w:jc w:val="both"/>
      </w:pPr>
    </w:p>
    <w:p w:rsidR="005A27D6" w:rsidRDefault="005A27D6" w:rsidP="00E24FA2">
      <w:pPr>
        <w:numPr>
          <w:ilvl w:val="0"/>
          <w:numId w:val="5"/>
        </w:numPr>
        <w:jc w:val="both"/>
      </w:pPr>
      <w:r>
        <w:t>M. SC. ARELLANO EDGAR, “La crianza de camarones en el Ecuador” Facultad de Ingeniería Marítima y Ciencias del Mar 1984</w:t>
      </w:r>
    </w:p>
    <w:p w:rsidR="005A27D6" w:rsidRDefault="005A27D6">
      <w:pPr>
        <w:ind w:left="360"/>
        <w:jc w:val="both"/>
      </w:pPr>
    </w:p>
    <w:p w:rsidR="005A27D6" w:rsidRDefault="005A27D6" w:rsidP="00E24FA2">
      <w:pPr>
        <w:numPr>
          <w:ilvl w:val="0"/>
          <w:numId w:val="5"/>
        </w:numPr>
        <w:jc w:val="both"/>
      </w:pPr>
      <w:r>
        <w:t>M. SC. ARELLANO EDGAR, “Manual de las enfermedades del camarón” CENAIM-ESPOL</w:t>
      </w:r>
    </w:p>
    <w:p w:rsidR="005A27D6" w:rsidRDefault="005A27D6">
      <w:pPr>
        <w:ind w:left="360"/>
        <w:jc w:val="both"/>
      </w:pPr>
    </w:p>
    <w:p w:rsidR="005A27D6" w:rsidRDefault="005A27D6" w:rsidP="00E24FA2">
      <w:pPr>
        <w:numPr>
          <w:ilvl w:val="0"/>
          <w:numId w:val="5"/>
        </w:numPr>
        <w:jc w:val="both"/>
        <w:rPr>
          <w:lang w:val="en-US"/>
        </w:rPr>
      </w:pPr>
      <w:r>
        <w:rPr>
          <w:lang w:val="en-US"/>
        </w:rPr>
        <w:t>S. K. JONSON “Handbook of Shrimp Diseases” Texas A&amp;M University Sea Grant College.</w:t>
      </w:r>
    </w:p>
    <w:p w:rsidR="005A27D6" w:rsidRDefault="005A27D6">
      <w:pPr>
        <w:jc w:val="both"/>
        <w:rPr>
          <w:lang w:val="en-US"/>
        </w:rPr>
      </w:pPr>
    </w:p>
    <w:p w:rsidR="005A27D6" w:rsidRDefault="005A27D6" w:rsidP="00E24FA2">
      <w:pPr>
        <w:numPr>
          <w:ilvl w:val="0"/>
          <w:numId w:val="5"/>
        </w:numPr>
        <w:jc w:val="both"/>
      </w:pPr>
      <w:r>
        <w:t>UNIDAD SECTORIAL DE ACUICULTURA “Análisis del sector camaronero ecuatoriano en el año 2001” CORPEI</w:t>
      </w:r>
    </w:p>
    <w:p w:rsidR="005A27D6" w:rsidRDefault="005A27D6">
      <w:pPr>
        <w:jc w:val="both"/>
      </w:pPr>
    </w:p>
    <w:p w:rsidR="005A27D6" w:rsidRDefault="005A27D6" w:rsidP="00E24FA2">
      <w:pPr>
        <w:numPr>
          <w:ilvl w:val="0"/>
          <w:numId w:val="5"/>
        </w:numPr>
        <w:jc w:val="both"/>
      </w:pPr>
      <w:r>
        <w:t>ACUACULTURA DEL ECUADOR “Las cifras de la crisis” CNA 2000</w:t>
      </w:r>
    </w:p>
    <w:p w:rsidR="005A27D6" w:rsidRDefault="005A27D6">
      <w:pPr>
        <w:jc w:val="both"/>
      </w:pPr>
    </w:p>
    <w:p w:rsidR="005A27D6" w:rsidRDefault="005A27D6" w:rsidP="00E24FA2">
      <w:pPr>
        <w:numPr>
          <w:ilvl w:val="0"/>
          <w:numId w:val="5"/>
        </w:numPr>
        <w:jc w:val="both"/>
      </w:pPr>
      <w:r>
        <w:t>ACUACULTURA DEL ECUADOR “Camaroneros en el camino de la excelencia” CNA 2000</w:t>
      </w:r>
    </w:p>
    <w:p w:rsidR="005A27D6" w:rsidRDefault="005A27D6">
      <w:pPr>
        <w:jc w:val="both"/>
      </w:pPr>
    </w:p>
    <w:p w:rsidR="005A27D6" w:rsidRDefault="005A27D6" w:rsidP="00E24FA2">
      <w:pPr>
        <w:numPr>
          <w:ilvl w:val="0"/>
          <w:numId w:val="5"/>
        </w:numPr>
        <w:jc w:val="both"/>
      </w:pPr>
      <w:r>
        <w:t>ACUACULTURA DEL ECUADOR “Cuando el clima puede más que la ayuda del gobierno” CNA 2001</w:t>
      </w:r>
    </w:p>
    <w:p w:rsidR="005A27D6" w:rsidRDefault="005A27D6">
      <w:pPr>
        <w:jc w:val="both"/>
      </w:pPr>
    </w:p>
    <w:p w:rsidR="005A27D6" w:rsidRDefault="005A27D6" w:rsidP="00E24FA2">
      <w:pPr>
        <w:numPr>
          <w:ilvl w:val="0"/>
          <w:numId w:val="5"/>
        </w:numPr>
        <w:jc w:val="both"/>
      </w:pPr>
      <w:r>
        <w:t xml:space="preserve">FREUND JOHN, WALPOLE RONALD, Estadística Matemática con aplicaciones, Cuarta Edición, Editorial Preatice Hall, 1990 </w:t>
      </w:r>
    </w:p>
    <w:p w:rsidR="005A27D6" w:rsidRDefault="005A27D6">
      <w:pPr>
        <w:jc w:val="both"/>
      </w:pPr>
    </w:p>
    <w:p w:rsidR="005A27D6" w:rsidRDefault="005A27D6" w:rsidP="00E24FA2">
      <w:pPr>
        <w:numPr>
          <w:ilvl w:val="0"/>
          <w:numId w:val="5"/>
        </w:numPr>
        <w:jc w:val="both"/>
        <w:rPr>
          <w:lang w:val="en-US"/>
        </w:rPr>
      </w:pPr>
      <w:r>
        <w:t xml:space="preserve">MONTGOMERY DOUGLAS C. “Diseño y Análisis de Experimentos” Arizona State University. </w:t>
      </w:r>
      <w:r>
        <w:rPr>
          <w:lang w:val="en-US"/>
        </w:rPr>
        <w:t>Tercera Edición.</w:t>
      </w:r>
    </w:p>
    <w:p w:rsidR="005A27D6" w:rsidRDefault="005A27D6">
      <w:pPr>
        <w:jc w:val="both"/>
        <w:rPr>
          <w:lang w:val="en-US"/>
        </w:rPr>
      </w:pPr>
    </w:p>
    <w:p w:rsidR="005A27D6" w:rsidRDefault="005A27D6" w:rsidP="00E24FA2">
      <w:pPr>
        <w:numPr>
          <w:ilvl w:val="0"/>
          <w:numId w:val="5"/>
        </w:numPr>
        <w:jc w:val="both"/>
        <w:rPr>
          <w:lang w:val="en-US"/>
        </w:rPr>
      </w:pPr>
      <w:r>
        <w:rPr>
          <w:lang w:val="en-US"/>
        </w:rPr>
        <w:t xml:space="preserve"> JONSON RICHARD A., WICHERN DEAN W. “Applied Multivariate Statistical Analysis”, Cuarta Edición, Editorial Prentice Hall, 1998.</w:t>
      </w:r>
    </w:p>
    <w:p w:rsidR="005A27D6" w:rsidRDefault="005A27D6">
      <w:pPr>
        <w:jc w:val="both"/>
        <w:rPr>
          <w:lang w:val="en-US"/>
        </w:rPr>
      </w:pPr>
    </w:p>
    <w:p w:rsidR="005A27D6" w:rsidRDefault="005A27D6" w:rsidP="00E24FA2">
      <w:pPr>
        <w:numPr>
          <w:ilvl w:val="0"/>
          <w:numId w:val="5"/>
        </w:numPr>
        <w:jc w:val="both"/>
        <w:rPr>
          <w:lang w:val="en-US"/>
        </w:rPr>
      </w:pPr>
      <w:r>
        <w:rPr>
          <w:lang w:val="en-US"/>
        </w:rPr>
        <w:t xml:space="preserve"> BOX G., JENKINS G., REINSEL G., “Time Series Analysis, Forecasting and Control”, Tercera Edición, Prentice Hall, 1994.</w:t>
      </w:r>
    </w:p>
    <w:p w:rsidR="005A27D6" w:rsidRDefault="005A27D6">
      <w:pPr>
        <w:jc w:val="both"/>
        <w:rPr>
          <w:lang w:val="en-US"/>
        </w:rPr>
      </w:pPr>
    </w:p>
    <w:p w:rsidR="005A27D6" w:rsidRDefault="005A27D6" w:rsidP="00E24FA2">
      <w:pPr>
        <w:numPr>
          <w:ilvl w:val="0"/>
          <w:numId w:val="5"/>
        </w:numPr>
        <w:jc w:val="both"/>
      </w:pPr>
      <w:r>
        <w:rPr>
          <w:lang w:val="en-US"/>
        </w:rPr>
        <w:t xml:space="preserve"> </w:t>
      </w:r>
      <w:r>
        <w:t>GRANDE I., ABASCAL E., “Métodos Multivariantes para la Investigación Comercial”.</w:t>
      </w:r>
    </w:p>
    <w:p w:rsidR="005A27D6" w:rsidRDefault="005A27D6">
      <w:pPr>
        <w:jc w:val="both"/>
      </w:pPr>
    </w:p>
    <w:p w:rsidR="005A27D6" w:rsidRDefault="005A27D6" w:rsidP="00E24FA2">
      <w:pPr>
        <w:numPr>
          <w:ilvl w:val="0"/>
          <w:numId w:val="5"/>
        </w:numPr>
        <w:jc w:val="both"/>
      </w:pPr>
      <w:r>
        <w:t xml:space="preserve"> CHAVEZ H., “Análisis Estadístico de la Producción camaronera del Ecuador”, Instituto de Ciencias Matemáticas, ESPOL, 2000.</w:t>
      </w:r>
    </w:p>
    <w:p w:rsidR="005A27D6" w:rsidRDefault="005A27D6">
      <w:pPr>
        <w:jc w:val="both"/>
      </w:pPr>
    </w:p>
    <w:p w:rsidR="005A27D6" w:rsidRDefault="005A27D6" w:rsidP="00E24FA2">
      <w:pPr>
        <w:numPr>
          <w:ilvl w:val="0"/>
          <w:numId w:val="5"/>
        </w:numPr>
        <w:jc w:val="both"/>
      </w:pPr>
      <w:r>
        <w:t xml:space="preserve"> PEREZ W., “Análisis Estadístico de la Producción de una camaronera”, Instituto de Ciencias Matemáticas, ESPOL, 2000.</w:t>
      </w:r>
    </w:p>
    <w:p w:rsidR="005A27D6" w:rsidRDefault="005A27D6">
      <w:pPr>
        <w:jc w:val="both"/>
      </w:pPr>
    </w:p>
    <w:p w:rsidR="005A27D6" w:rsidRDefault="005A27D6" w:rsidP="00E24FA2">
      <w:pPr>
        <w:numPr>
          <w:ilvl w:val="0"/>
          <w:numId w:val="5"/>
        </w:numPr>
        <w:jc w:val="both"/>
      </w:pPr>
      <w:r>
        <w:t xml:space="preserve"> HIDALGO M., “Efecto de la composición nutricional de Artemia enriquecida en la reproducción de Penaeus Vannamei” Facultad de Ingeniería Marítima y Ciencias del mar, ESPOL, 1997.</w:t>
      </w:r>
    </w:p>
    <w:p w:rsidR="005A27D6" w:rsidRDefault="005A27D6">
      <w:pPr>
        <w:jc w:val="both"/>
      </w:pPr>
    </w:p>
    <w:p w:rsidR="005A27D6" w:rsidRDefault="005A27D6" w:rsidP="00E24FA2">
      <w:pPr>
        <w:numPr>
          <w:ilvl w:val="0"/>
          <w:numId w:val="5"/>
        </w:numPr>
        <w:jc w:val="both"/>
      </w:pPr>
      <w:r>
        <w:t xml:space="preserve"> ORELLANA A., “Efecto de diferentes niveles de salinidad y balances proteina/energía en el crecimiento de Penaeus Vannamei”. Facultad de Agronomía Veterinaria y Acuacultura, Universidad Técnica de Machala, 2000.</w:t>
      </w:r>
    </w:p>
    <w:p w:rsidR="005A27D6" w:rsidRDefault="005A27D6">
      <w:pPr>
        <w:jc w:val="both"/>
      </w:pPr>
    </w:p>
    <w:p w:rsidR="005A27D6" w:rsidRDefault="005A27D6">
      <w:pPr>
        <w:jc w:val="both"/>
      </w:pPr>
    </w:p>
    <w:p w:rsidR="005A27D6" w:rsidRDefault="005A27D6">
      <w:pPr>
        <w:tabs>
          <w:tab w:val="num" w:pos="-2340"/>
        </w:tabs>
        <w:jc w:val="both"/>
      </w:pPr>
    </w:p>
    <w:p w:rsidR="005A27D6" w:rsidRDefault="005A27D6">
      <w:pPr>
        <w:pStyle w:val="Encabezado"/>
        <w:tabs>
          <w:tab w:val="clear" w:pos="4252"/>
          <w:tab w:val="clear" w:pos="8504"/>
          <w:tab w:val="num" w:pos="-2340"/>
        </w:tabs>
      </w:pPr>
    </w:p>
    <w:sectPr w:rsidR="005A27D6">
      <w:pgSz w:w="11906" w:h="16838" w:code="9"/>
      <w:pgMar w:top="1418" w:right="1701" w:bottom="1418" w:left="1701" w:header="1134" w:footer="1134"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E7C01"/>
    <w:multiLevelType w:val="hybridMultilevel"/>
    <w:tmpl w:val="3AEE45DE"/>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40211B6"/>
    <w:multiLevelType w:val="hybridMultilevel"/>
    <w:tmpl w:val="3AEE45DE"/>
    <w:lvl w:ilvl="0" w:tplc="0C0A000D">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F9458A0"/>
    <w:multiLevelType w:val="hybridMultilevel"/>
    <w:tmpl w:val="99468A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3865F04"/>
    <w:multiLevelType w:val="hybridMultilevel"/>
    <w:tmpl w:val="C2747B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66895B76"/>
    <w:multiLevelType w:val="hybridMultilevel"/>
    <w:tmpl w:val="029EBD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stylePaneFormatFilter w:val="3F01"/>
  <w:defaultTabStop w:val="709"/>
  <w:hyphenationZone w:val="425"/>
  <w:noPunctuationKerning/>
  <w:characterSpacingControl w:val="doNotCompress"/>
  <w:compat/>
  <w:rsids>
    <w:rsidRoot w:val="00DD23CC"/>
    <w:rsid w:val="005A27D6"/>
    <w:rsid w:val="00755BE2"/>
    <w:rsid w:val="00DD23CC"/>
    <w:rsid w:val="00E24F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kern w:val="32"/>
      <w:sz w:val="24"/>
      <w:szCs w:val="32"/>
    </w:rPr>
  </w:style>
  <w:style w:type="paragraph" w:styleId="Ttulo1">
    <w:name w:val="heading 1"/>
    <w:basedOn w:val="Normal"/>
    <w:next w:val="Normal"/>
    <w:qFormat/>
    <w:pPr>
      <w:keepNext/>
      <w:jc w:val="center"/>
      <w:outlineLvl w:val="0"/>
    </w:pPr>
    <w:rPr>
      <w:b/>
      <w:bCs/>
      <w:sz w:val="32"/>
    </w:rPr>
  </w:style>
  <w:style w:type="paragraph" w:styleId="Ttulo2">
    <w:name w:val="heading 2"/>
    <w:basedOn w:val="Normal"/>
    <w:next w:val="Normal"/>
    <w:qFormat/>
    <w:pPr>
      <w:keepNext/>
      <w:spacing w:line="480" w:lineRule="auto"/>
      <w:jc w:val="both"/>
      <w:outlineLvl w:val="1"/>
    </w:pPr>
    <w:rPr>
      <w:i/>
      <w:iCs/>
      <w:kern w:val="0"/>
      <w:szCs w:val="24"/>
    </w:rPr>
  </w:style>
  <w:style w:type="paragraph" w:styleId="Ttulo3">
    <w:name w:val="heading 3"/>
    <w:basedOn w:val="Normal"/>
    <w:next w:val="Normal"/>
    <w:qFormat/>
    <w:pPr>
      <w:keepNext/>
      <w:spacing w:line="480" w:lineRule="auto"/>
      <w:jc w:val="both"/>
      <w:outlineLvl w:val="2"/>
    </w:pPr>
    <w:rPr>
      <w:kern w:val="0"/>
      <w:sz w:val="28"/>
      <w:szCs w:val="24"/>
    </w:rPr>
  </w:style>
  <w:style w:type="paragraph" w:styleId="Ttulo4">
    <w:name w:val="heading 4"/>
    <w:basedOn w:val="Normal"/>
    <w:next w:val="Normal"/>
    <w:qFormat/>
    <w:pPr>
      <w:keepNext/>
      <w:spacing w:line="480" w:lineRule="auto"/>
      <w:jc w:val="both"/>
      <w:outlineLvl w:val="3"/>
    </w:pPr>
    <w:rPr>
      <w:b/>
      <w:bCs/>
      <w:kern w:val="0"/>
      <w:sz w:val="28"/>
      <w:szCs w:val="24"/>
    </w:rPr>
  </w:style>
  <w:style w:type="paragraph" w:styleId="Ttulo5">
    <w:name w:val="heading 5"/>
    <w:basedOn w:val="Normal"/>
    <w:next w:val="Normal"/>
    <w:qFormat/>
    <w:pPr>
      <w:keepNext/>
      <w:spacing w:line="480" w:lineRule="auto"/>
      <w:jc w:val="both"/>
      <w:outlineLvl w:val="4"/>
    </w:pPr>
    <w:rPr>
      <w:i/>
      <w:iCs/>
      <w:kern w:val="0"/>
      <w:szCs w:val="24"/>
    </w:rPr>
  </w:style>
  <w:style w:type="paragraph" w:styleId="Ttulo6">
    <w:name w:val="heading 6"/>
    <w:basedOn w:val="Normal"/>
    <w:next w:val="Normal"/>
    <w:qFormat/>
    <w:pPr>
      <w:keepNext/>
      <w:spacing w:line="480" w:lineRule="auto"/>
      <w:jc w:val="both"/>
      <w:outlineLvl w:val="5"/>
    </w:pPr>
    <w:rPr>
      <w:rFonts w:cs="Times New Roman"/>
      <w:kern w:val="0"/>
      <w:szCs w:val="24"/>
      <w:u w:val="single"/>
    </w:rPr>
  </w:style>
  <w:style w:type="paragraph" w:styleId="Ttulo7">
    <w:name w:val="heading 7"/>
    <w:basedOn w:val="Normal"/>
    <w:next w:val="Normal"/>
    <w:qFormat/>
    <w:pPr>
      <w:spacing w:before="240" w:after="60"/>
      <w:outlineLvl w:val="6"/>
    </w:pPr>
    <w:rPr>
      <w:rFonts w:ascii="Times New Roman" w:hAnsi="Times New Roman" w:cs="Times New Roman"/>
      <w:kern w:val="0"/>
      <w:szCs w:val="24"/>
    </w:rPr>
  </w:style>
  <w:style w:type="paragraph" w:styleId="Ttulo8">
    <w:name w:val="heading 8"/>
    <w:basedOn w:val="Normal"/>
    <w:next w:val="Normal"/>
    <w:qFormat/>
    <w:pPr>
      <w:spacing w:before="240" w:after="60"/>
      <w:outlineLvl w:val="7"/>
    </w:pPr>
    <w:rPr>
      <w:rFonts w:ascii="Times New Roman" w:hAnsi="Times New Roman" w:cs="Times New Roman"/>
      <w:i/>
      <w:iCs/>
      <w:kern w:val="0"/>
      <w:szCs w:val="24"/>
    </w:rPr>
  </w:style>
  <w:style w:type="paragraph" w:styleId="Ttulo9">
    <w:name w:val="heading 9"/>
    <w:basedOn w:val="Normal"/>
    <w:next w:val="Normal"/>
    <w:qFormat/>
    <w:pPr>
      <w:spacing w:before="240" w:after="60"/>
      <w:outlineLvl w:val="8"/>
    </w:pPr>
    <w:rPr>
      <w:kern w:val="0"/>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spacing w:line="480" w:lineRule="auto"/>
      <w:jc w:val="both"/>
    </w:pPr>
  </w:style>
  <w:style w:type="character" w:customStyle="1" w:styleId="Strong1">
    <w:name w:val="Strong1"/>
    <w:basedOn w:val="Fuentedeprrafopredeter"/>
    <w:rPr>
      <w:b/>
    </w:rPr>
  </w:style>
  <w:style w:type="paragraph" w:styleId="Sangradetextonormal">
    <w:name w:val="Body Text Indent"/>
    <w:basedOn w:val="Normal"/>
    <w:pPr>
      <w:spacing w:line="480" w:lineRule="auto"/>
      <w:ind w:left="1066"/>
      <w:jc w:val="both"/>
    </w:pPr>
  </w:style>
  <w:style w:type="paragraph" w:styleId="Textoindependiente2">
    <w:name w:val="Body Text 2"/>
    <w:basedOn w:val="Normal"/>
    <w:pPr>
      <w:spacing w:line="360" w:lineRule="auto"/>
      <w:jc w:val="both"/>
    </w:pPr>
    <w:rPr>
      <w:rFonts w:ascii="Times New Roman" w:hAnsi="Times New Roman" w:cs="Times New Roman"/>
      <w:kern w:val="0"/>
      <w:szCs w:val="24"/>
      <w:lang w:val="es-MX"/>
    </w:rPr>
  </w:style>
  <w:style w:type="paragraph" w:styleId="Encabezado">
    <w:name w:val="header"/>
    <w:basedOn w:val="Normal"/>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0.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3335</Words>
  <Characters>18348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1</vt:lpstr>
    </vt:vector>
  </TitlesOfParts>
  <Company>pc</Company>
  <LinksUpToDate>false</LinksUpToDate>
  <CharactersWithSpaces>21640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pc</dc:creator>
  <cp:keywords/>
  <dc:description/>
  <cp:lastModifiedBy>Ayudante</cp:lastModifiedBy>
  <cp:revision>2</cp:revision>
  <cp:lastPrinted>2002-06-03T15:57:00Z</cp:lastPrinted>
  <dcterms:created xsi:type="dcterms:W3CDTF">2009-07-02T19:59:00Z</dcterms:created>
  <dcterms:modified xsi:type="dcterms:W3CDTF">2009-07-02T19:59:00Z</dcterms:modified>
</cp:coreProperties>
</file>