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4" w:type="dxa"/>
        <w:jc w:val="center"/>
        <w:tblInd w:w="-181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14224"/>
      </w:tblGrid>
      <w:tr w:rsidR="00F15EF4">
        <w:tblPrEx>
          <w:tblCellMar>
            <w:top w:w="0" w:type="dxa"/>
            <w:bottom w:w="0" w:type="dxa"/>
          </w:tblCellMar>
        </w:tblPrEx>
        <w:trPr>
          <w:trHeight w:val="8411"/>
          <w:jc w:val="center"/>
        </w:trPr>
        <w:tc>
          <w:tcPr>
            <w:tcW w:w="14224" w:type="dxa"/>
          </w:tcPr>
          <w:p w:rsidR="00F15EF4" w:rsidRDefault="00F15EF4" w:rsidP="000F1E3A">
            <w:pPr>
              <w:ind w:left="251"/>
            </w:pPr>
          </w:p>
          <w:p w:rsidR="00F15EF4" w:rsidRDefault="00F15EF4" w:rsidP="000F1E3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Gráfico 3.2</w:t>
            </w:r>
          </w:p>
          <w:p w:rsidR="00F15EF4" w:rsidRDefault="00F15EF4" w:rsidP="000F1E3A">
            <w:pPr>
              <w:jc w:val="center"/>
            </w:pPr>
            <w:r w:rsidRPr="003025EB">
              <w:rPr>
                <w:rFonts w:ascii="Arial" w:hAnsi="Arial" w:cs="Arial"/>
                <w:i/>
                <w:sz w:val="16"/>
                <w:szCs w:val="16"/>
              </w:rPr>
              <w:t xml:space="preserve">LA SUPERVISIÓN ESTATAL DE </w:t>
            </w:r>
            <w:smartTag w:uri="urn:schemas-microsoft-com:office:smarttags" w:element="PersonName">
              <w:smartTagPr>
                <w:attr w:name="ProductID" w:val="LA CALIDAD DE"/>
              </w:smartTagPr>
              <w:smartTag w:uri="urn:schemas-microsoft-com:office:smarttags" w:element="PersonName">
                <w:smartTagPr>
                  <w:attr w:name="ProductID" w:val="LA CALIDAD"/>
                </w:smartTagPr>
                <w:r w:rsidRPr="003025EB">
                  <w:rPr>
                    <w:rFonts w:ascii="Arial" w:hAnsi="Arial" w:cs="Arial"/>
                    <w:i/>
                    <w:sz w:val="16"/>
                    <w:szCs w:val="16"/>
                  </w:rPr>
                  <w:t>LA CALIDAD</w:t>
                </w:r>
              </w:smartTag>
              <w:r w:rsidRPr="003025EB">
                <w:rPr>
                  <w:rFonts w:ascii="Arial" w:hAnsi="Arial" w:cs="Arial"/>
                  <w:i/>
                  <w:sz w:val="16"/>
                  <w:szCs w:val="16"/>
                </w:rPr>
                <w:t xml:space="preserve"> DE</w:t>
              </w:r>
            </w:smartTag>
            <w:r w:rsidRPr="003025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3025EB">
                <w:rPr>
                  <w:rFonts w:ascii="Arial" w:hAnsi="Arial" w:cs="Arial"/>
                  <w:i/>
                  <w:sz w:val="16"/>
                  <w:szCs w:val="16"/>
                </w:rPr>
                <w:t>LA EDUCACIÓN</w:t>
              </w:r>
            </w:smartTag>
            <w:r w:rsidRPr="003025EB">
              <w:rPr>
                <w:rFonts w:ascii="Arial" w:hAnsi="Arial" w:cs="Arial"/>
                <w:i/>
                <w:sz w:val="16"/>
                <w:szCs w:val="16"/>
              </w:rPr>
              <w:t>: CASO DE LOS COLEGIOS FISCALES DEL SECTOR URBANO DEL CANTÓN GUAYAQUIL.</w:t>
            </w:r>
          </w:p>
          <w:p w:rsidR="00F15EF4" w:rsidRDefault="00F15EF4" w:rsidP="000F1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5EF4" w:rsidRPr="00D454E0" w:rsidRDefault="00F15EF4" w:rsidP="000F1E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54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Análisis Simultaneo de las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Obligaciones y Responsabilidades </w:t>
            </w:r>
          </w:p>
          <w:p w:rsidR="00F15EF4" w:rsidRPr="000F1E3A" w:rsidRDefault="00CE2BE4" w:rsidP="000F1E3A">
            <w:pPr>
              <w:ind w:left="251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470900" cy="4347845"/>
                  <wp:effectExtent l="0" t="0" r="0" b="0"/>
                  <wp:docPr id="1" name="Obje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F15EF4" w:rsidRDefault="00F15EF4" w:rsidP="00F15EF4"/>
    <w:sectPr w:rsidR="00F15EF4" w:rsidSect="000F1E3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97" w:right="2155" w:bottom="1258" w:left="1979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72" w:rsidRDefault="005B6B72">
      <w:r>
        <w:separator/>
      </w:r>
    </w:p>
  </w:endnote>
  <w:endnote w:type="continuationSeparator" w:id="1">
    <w:p w:rsidR="005B6B72" w:rsidRDefault="005B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3A" w:rsidRDefault="000F1E3A" w:rsidP="000F1E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1E3A" w:rsidRDefault="000F1E3A" w:rsidP="000F1E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3A" w:rsidRPr="00AD6A0C" w:rsidRDefault="000F1E3A" w:rsidP="00AD6A0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72" w:rsidRDefault="005B6B72">
      <w:r>
        <w:separator/>
      </w:r>
    </w:p>
  </w:footnote>
  <w:footnote w:type="continuationSeparator" w:id="1">
    <w:p w:rsidR="005B6B72" w:rsidRDefault="005B6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3A" w:rsidRDefault="000F1E3A" w:rsidP="000F1E3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91</w:t>
    </w:r>
    <w:r>
      <w:rPr>
        <w:rStyle w:val="Nmerodepgina"/>
      </w:rPr>
      <w:fldChar w:fldCharType="end"/>
    </w:r>
  </w:p>
  <w:p w:rsidR="000F1E3A" w:rsidRDefault="000F1E3A" w:rsidP="000F1E3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E3A" w:rsidRPr="000F1E3A" w:rsidRDefault="000F1E3A" w:rsidP="000F1E3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D13"/>
    <w:rsid w:val="000F1E3A"/>
    <w:rsid w:val="004549C2"/>
    <w:rsid w:val="005B6B72"/>
    <w:rsid w:val="00787D13"/>
    <w:rsid w:val="008028FE"/>
    <w:rsid w:val="00AD6A0C"/>
    <w:rsid w:val="00BC5F4E"/>
    <w:rsid w:val="00CE2BE4"/>
    <w:rsid w:val="00D876AC"/>
    <w:rsid w:val="00F1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F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15E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15EF4"/>
  </w:style>
  <w:style w:type="paragraph" w:styleId="Piedepgina">
    <w:name w:val="footer"/>
    <w:basedOn w:val="Normal"/>
    <w:rsid w:val="000F1E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6.3276836158192101E-2"/>
          <c:y val="2.222222222222224E-2"/>
          <c:w val="0.92881355932203369"/>
          <c:h val="0.51333333333333331"/>
        </c:manualLayout>
      </c:layout>
      <c:lineChart>
        <c:grouping val="standard"/>
        <c:ser>
          <c:idx val="0"/>
          <c:order val="0"/>
          <c:tx>
            <c:strRef>
              <c:f>[1]Hoja2!$B$7:$B$9</c:f>
              <c:strCache>
                <c:ptCount val="1"/>
                <c:pt idx="0">
                  <c:v>Cumplimiento de las Leyes y Disposiciones</c:v>
                </c:pt>
              </c:strCache>
            </c:strRef>
          </c:tx>
          <c:spPr>
            <a:ln w="126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Hoja1!$A$3:$A$7</c:f>
              <c:strCache>
                <c:ptCount val="5"/>
                <c:pt idx="0">
                  <c:v>Total Desacuerdo</c:v>
                </c:pt>
                <c:pt idx="1">
                  <c:v>Desacuerdo</c:v>
                </c:pt>
                <c:pt idx="2">
                  <c:v>Indiferente</c:v>
                </c:pt>
                <c:pt idx="3">
                  <c:v>Acuerdo</c:v>
                </c:pt>
                <c:pt idx="4">
                  <c:v>Total Acuerdo</c:v>
                </c:pt>
              </c:strCache>
            </c:strRef>
          </c:cat>
          <c:val>
            <c:numRef>
              <c:f>Hoja1!$B$3:$B$7</c:f>
              <c:numCache>
                <c:formatCode>General</c:formatCode>
                <c:ptCount val="5"/>
                <c:pt idx="0">
                  <c:v>0.12000000000000002</c:v>
                </c:pt>
                <c:pt idx="1">
                  <c:v>0</c:v>
                </c:pt>
                <c:pt idx="2">
                  <c:v>0.26</c:v>
                </c:pt>
                <c:pt idx="3">
                  <c:v>0.47000000000000008</c:v>
                </c:pt>
                <c:pt idx="4">
                  <c:v>0.15000000000000005</c:v>
                </c:pt>
              </c:numCache>
            </c:numRef>
          </c:val>
        </c:ser>
        <c:ser>
          <c:idx val="1"/>
          <c:order val="1"/>
          <c:tx>
            <c:strRef>
              <c:f>[1]Hoja2!$B$10:$B$12</c:f>
              <c:strCache>
                <c:ptCount val="1"/>
                <c:pt idx="0">
                  <c:v>Asesoramiento al Profesor evaluando el Plan de Estudio </c:v>
                </c:pt>
              </c:strCache>
            </c:strRef>
          </c:tx>
          <c:spPr>
            <a:ln w="1267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val>
            <c:numRef>
              <c:f>Hoja1!$C$3:$C$7</c:f>
              <c:numCache>
                <c:formatCode>General</c:formatCode>
                <c:ptCount val="5"/>
                <c:pt idx="0">
                  <c:v>0.19000000000000003</c:v>
                </c:pt>
                <c:pt idx="1">
                  <c:v>0</c:v>
                </c:pt>
                <c:pt idx="2">
                  <c:v>0.4900000000000001</c:v>
                </c:pt>
                <c:pt idx="3">
                  <c:v>0.17</c:v>
                </c:pt>
                <c:pt idx="4">
                  <c:v>0.15000000000000005</c:v>
                </c:pt>
              </c:numCache>
            </c:numRef>
          </c:val>
        </c:ser>
        <c:ser>
          <c:idx val="2"/>
          <c:order val="2"/>
          <c:tx>
            <c:strRef>
              <c:f>[1]Hoja2!$B$13:$B$15</c:f>
              <c:strCache>
                <c:ptCount val="1"/>
                <c:pt idx="0">
                  <c:v>Asistencia Pedagógica y Científica a Profesores</c:v>
                </c:pt>
              </c:strCache>
            </c:strRef>
          </c:tx>
          <c:spPr>
            <a:ln w="12676">
              <a:solidFill>
                <a:srgbClr val="99CC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99CC00"/>
                </a:solidFill>
                <a:prstDash val="solid"/>
              </a:ln>
            </c:spPr>
          </c:marker>
          <c:val>
            <c:numRef>
              <c:f>Hoja1!$D$3:$D$7</c:f>
              <c:numCache>
                <c:formatCode>General</c:formatCode>
                <c:ptCount val="5"/>
                <c:pt idx="0">
                  <c:v>0.51</c:v>
                </c:pt>
                <c:pt idx="1">
                  <c:v>0.18000000000000005</c:v>
                </c:pt>
                <c:pt idx="2">
                  <c:v>6.0000000000000019E-2</c:v>
                </c:pt>
                <c:pt idx="3">
                  <c:v>6.0000000000000019E-2</c:v>
                </c:pt>
                <c:pt idx="4">
                  <c:v>0.19000000000000003</c:v>
                </c:pt>
              </c:numCache>
            </c:numRef>
          </c:val>
        </c:ser>
        <c:ser>
          <c:idx val="3"/>
          <c:order val="3"/>
          <c:tx>
            <c:strRef>
              <c:f>[1]Hoja2!$B$16:$B$18</c:f>
              <c:strCache>
                <c:ptCount val="1"/>
                <c:pt idx="0">
                  <c:v>Evaluación del Rendimiento de la Unidad Educativa</c:v>
                </c:pt>
              </c:strCache>
            </c:strRef>
          </c:tx>
          <c:spPr>
            <a:ln w="12676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val>
            <c:numRef>
              <c:f>Hoja1!$E$3:$E$7</c:f>
              <c:numCache>
                <c:formatCode>General</c:formatCode>
                <c:ptCount val="5"/>
                <c:pt idx="0">
                  <c:v>0.26</c:v>
                </c:pt>
                <c:pt idx="1">
                  <c:v>0</c:v>
                </c:pt>
                <c:pt idx="2">
                  <c:v>0.15000000000000005</c:v>
                </c:pt>
                <c:pt idx="3">
                  <c:v>0.45</c:v>
                </c:pt>
                <c:pt idx="4">
                  <c:v>0.14000000000000001</c:v>
                </c:pt>
              </c:numCache>
            </c:numRef>
          </c:val>
        </c:ser>
        <c:ser>
          <c:idx val="4"/>
          <c:order val="4"/>
          <c:tx>
            <c:strRef>
              <c:f>[1]Hoja2!$B$19:$B$21</c:f>
              <c:strCache>
                <c:ptCount val="1"/>
                <c:pt idx="0">
                  <c:v>Evaluación del Desempeño de los Estudiantes</c:v>
                </c:pt>
              </c:strCache>
            </c:strRef>
          </c:tx>
          <c:spPr>
            <a:ln w="12676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val>
            <c:numRef>
              <c:f>Hoja1!$F$3:$F$7</c:f>
              <c:numCache>
                <c:formatCode>General</c:formatCode>
                <c:ptCount val="5"/>
                <c:pt idx="0">
                  <c:v>0.27</c:v>
                </c:pt>
                <c:pt idx="1">
                  <c:v>0</c:v>
                </c:pt>
                <c:pt idx="2">
                  <c:v>0.4900000000000001</c:v>
                </c:pt>
                <c:pt idx="3">
                  <c:v>9.0000000000000024E-2</c:v>
                </c:pt>
                <c:pt idx="4">
                  <c:v>0.15000000000000005</c:v>
                </c:pt>
              </c:numCache>
            </c:numRef>
          </c:val>
        </c:ser>
        <c:ser>
          <c:idx val="5"/>
          <c:order val="5"/>
          <c:tx>
            <c:strRef>
              <c:f>[1]Hoja2!$B$22:$B$24</c:f>
              <c:strCache>
                <c:ptCount val="1"/>
                <c:pt idx="0">
                  <c:v>Propone cambios en el personal docente del Colegio</c:v>
                </c:pt>
              </c:strCache>
            </c:strRef>
          </c:tx>
          <c:spPr>
            <a:ln w="12676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val>
            <c:numRef>
              <c:f>Hoja1!$G$3:$G$7</c:f>
              <c:numCache>
                <c:formatCode>General</c:formatCode>
                <c:ptCount val="5"/>
                <c:pt idx="0">
                  <c:v>0.22000000000000003</c:v>
                </c:pt>
                <c:pt idx="1">
                  <c:v>6.0000000000000019E-2</c:v>
                </c:pt>
                <c:pt idx="2">
                  <c:v>6.0000000000000019E-2</c:v>
                </c:pt>
                <c:pt idx="3">
                  <c:v>0.4900000000000001</c:v>
                </c:pt>
                <c:pt idx="4">
                  <c:v>0.16000000000000003</c:v>
                </c:pt>
              </c:numCache>
            </c:numRef>
          </c:val>
        </c:ser>
        <c:ser>
          <c:idx val="6"/>
          <c:order val="6"/>
          <c:tx>
            <c:strRef>
              <c:f>[1]Hoja2!$B$25:$B$27</c:f>
              <c:strCache>
                <c:ptCount val="1"/>
                <c:pt idx="0">
                  <c:v>Intervención en Problemas Técnicos del Colegio</c:v>
                </c:pt>
              </c:strCache>
            </c:strRef>
          </c:tx>
          <c:spPr>
            <a:ln w="12676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val>
            <c:numRef>
              <c:f>Hoja1!$H$3:$H$7</c:f>
              <c:numCache>
                <c:formatCode>General</c:formatCode>
                <c:ptCount val="5"/>
                <c:pt idx="0">
                  <c:v>0.11000000000000001</c:v>
                </c:pt>
                <c:pt idx="1">
                  <c:v>0</c:v>
                </c:pt>
                <c:pt idx="2">
                  <c:v>0.23</c:v>
                </c:pt>
                <c:pt idx="3">
                  <c:v>0.54</c:v>
                </c:pt>
                <c:pt idx="4">
                  <c:v>0.11000000000000001</c:v>
                </c:pt>
              </c:numCache>
            </c:numRef>
          </c:val>
        </c:ser>
        <c:ser>
          <c:idx val="7"/>
          <c:order val="7"/>
          <c:tx>
            <c:strRef>
              <c:f>[1]Hoja2!$B$28:$B$30</c:f>
              <c:strCache>
                <c:ptCount val="1"/>
                <c:pt idx="0">
                  <c:v>Propuesta de Utilización de Metodologías Acordes con el PEI</c:v>
                </c:pt>
              </c:strCache>
            </c:strRef>
          </c:tx>
          <c:spPr>
            <a:ln w="12676">
              <a:solidFill>
                <a:srgbClr val="0000FF"/>
              </a:solidFill>
              <a:prstDash val="solid"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val>
            <c:numRef>
              <c:f>Hoja1!$I$3:$I$7</c:f>
              <c:numCache>
                <c:formatCode>General</c:formatCode>
                <c:ptCount val="5"/>
                <c:pt idx="0">
                  <c:v>7.0000000000000021E-2</c:v>
                </c:pt>
                <c:pt idx="1">
                  <c:v>0</c:v>
                </c:pt>
                <c:pt idx="2">
                  <c:v>3.0000000000000009E-2</c:v>
                </c:pt>
                <c:pt idx="3">
                  <c:v>0.63000000000000023</c:v>
                </c:pt>
                <c:pt idx="4">
                  <c:v>0.27</c:v>
                </c:pt>
              </c:numCache>
            </c:numRef>
          </c:val>
        </c:ser>
        <c:ser>
          <c:idx val="8"/>
          <c:order val="8"/>
          <c:tx>
            <c:strRef>
              <c:f>[1]Hoja2!$B$31:$B$33</c:f>
              <c:strCache>
                <c:ptCount val="1"/>
                <c:pt idx="0">
                  <c:v>Estimula Realización de Actividades Comunitarias</c:v>
                </c:pt>
              </c:strCache>
            </c:strRef>
          </c:tx>
          <c:spPr>
            <a:ln w="12676">
              <a:solidFill>
                <a:srgbClr val="00CCFF"/>
              </a:solidFill>
              <a:prstDash val="solid"/>
            </a:ln>
          </c:spPr>
          <c:marker>
            <c:symbol val="dash"/>
            <c:size val="4"/>
            <c:spPr>
              <a:noFill/>
              <a:ln>
                <a:solidFill>
                  <a:srgbClr val="00CCFF"/>
                </a:solidFill>
                <a:prstDash val="solid"/>
              </a:ln>
            </c:spPr>
          </c:marker>
          <c:val>
            <c:numRef>
              <c:f>Hoja1!$J$3:$J$7</c:f>
              <c:numCache>
                <c:formatCode>General</c:formatCode>
                <c:ptCount val="5"/>
                <c:pt idx="0">
                  <c:v>0.2</c:v>
                </c:pt>
                <c:pt idx="1">
                  <c:v>0</c:v>
                </c:pt>
                <c:pt idx="2">
                  <c:v>0.58000000000000007</c:v>
                </c:pt>
                <c:pt idx="3">
                  <c:v>9.0000000000000024E-2</c:v>
                </c:pt>
                <c:pt idx="4">
                  <c:v>0.13</c:v>
                </c:pt>
              </c:numCache>
            </c:numRef>
          </c:val>
        </c:ser>
        <c:ser>
          <c:idx val="9"/>
          <c:order val="9"/>
          <c:tx>
            <c:strRef>
              <c:f>[1]Hoja2!$B$34:$B$36</c:f>
              <c:strCache>
                <c:ptCount val="1"/>
                <c:pt idx="0">
                  <c:v>Asesoramiento al Gobierno Estudiantil</c:v>
                </c:pt>
              </c:strCache>
            </c:strRef>
          </c:tx>
          <c:spPr>
            <a:ln w="12676">
              <a:solidFill>
                <a:srgbClr val="CCFF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CCFFFF"/>
              </a:solidFill>
              <a:ln>
                <a:solidFill>
                  <a:srgbClr val="CCFFFF"/>
                </a:solidFill>
                <a:prstDash val="solid"/>
              </a:ln>
            </c:spPr>
          </c:marker>
          <c:val>
            <c:numRef>
              <c:f>Hoja1!$K$3:$K$7</c:f>
              <c:numCache>
                <c:formatCode>General</c:formatCode>
                <c:ptCount val="5"/>
                <c:pt idx="0">
                  <c:v>0.27</c:v>
                </c:pt>
                <c:pt idx="1">
                  <c:v>0</c:v>
                </c:pt>
                <c:pt idx="2">
                  <c:v>0.44000000000000006</c:v>
                </c:pt>
                <c:pt idx="3">
                  <c:v>0.29000000000000009</c:v>
                </c:pt>
                <c:pt idx="4">
                  <c:v>0</c:v>
                </c:pt>
              </c:numCache>
            </c:numRef>
          </c:val>
        </c:ser>
        <c:ser>
          <c:idx val="10"/>
          <c:order val="10"/>
          <c:tx>
            <c:strRef>
              <c:f>[1]Hoja2!$B$37:$B$39</c:f>
              <c:strCache>
                <c:ptCount val="1"/>
                <c:pt idx="0">
                  <c:v>Evaluación del Gobierno Estudiantil</c:v>
                </c:pt>
              </c:strCache>
            </c:strRef>
          </c:tx>
          <c:spPr>
            <a:ln w="12676">
              <a:solidFill>
                <a:srgbClr val="CCFFCC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CCFFCC"/>
              </a:solidFill>
              <a:ln>
                <a:solidFill>
                  <a:srgbClr val="CCFFCC"/>
                </a:solidFill>
                <a:prstDash val="solid"/>
              </a:ln>
            </c:spPr>
          </c:marker>
          <c:val>
            <c:numRef>
              <c:f>Hoja1!$L$3:$L$7</c:f>
              <c:numCache>
                <c:formatCode>General</c:formatCode>
                <c:ptCount val="5"/>
                <c:pt idx="0">
                  <c:v>0.29000000000000009</c:v>
                </c:pt>
                <c:pt idx="1">
                  <c:v>0</c:v>
                </c:pt>
                <c:pt idx="2">
                  <c:v>0.47000000000000008</c:v>
                </c:pt>
                <c:pt idx="3">
                  <c:v>0.1</c:v>
                </c:pt>
                <c:pt idx="4">
                  <c:v>0.14000000000000001</c:v>
                </c:pt>
              </c:numCache>
            </c:numRef>
          </c:val>
        </c:ser>
        <c:ser>
          <c:idx val="11"/>
          <c:order val="11"/>
          <c:tx>
            <c:strRef>
              <c:f>[1]Hoja2!$B$40:$B$42</c:f>
              <c:strCache>
                <c:ptCount val="1"/>
                <c:pt idx="0">
                  <c:v>Asesoramiento al Comité de Padres de Familia</c:v>
                </c:pt>
              </c:strCache>
            </c:strRef>
          </c:tx>
          <c:spPr>
            <a:ln w="12676">
              <a:solidFill>
                <a:srgbClr val="FFFF99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99"/>
              </a:solidFill>
              <a:ln>
                <a:solidFill>
                  <a:srgbClr val="FFFF99"/>
                </a:solidFill>
                <a:prstDash val="solid"/>
              </a:ln>
            </c:spPr>
          </c:marker>
          <c:val>
            <c:numRef>
              <c:f>Hoja1!$M$3:$M$7</c:f>
              <c:numCache>
                <c:formatCode>General</c:formatCode>
                <c:ptCount val="5"/>
                <c:pt idx="0">
                  <c:v>0.39000000000000012</c:v>
                </c:pt>
                <c:pt idx="1">
                  <c:v>5.0000000000000017E-2</c:v>
                </c:pt>
                <c:pt idx="2">
                  <c:v>0.52</c:v>
                </c:pt>
                <c:pt idx="3">
                  <c:v>0</c:v>
                </c:pt>
                <c:pt idx="4">
                  <c:v>4.0000000000000015E-2</c:v>
                </c:pt>
              </c:numCache>
            </c:numRef>
          </c:val>
        </c:ser>
        <c:ser>
          <c:idx val="12"/>
          <c:order val="12"/>
          <c:tx>
            <c:strRef>
              <c:f>[1]Hoja2!$B$43:$B$45</c:f>
              <c:strCache>
                <c:ptCount val="1"/>
                <c:pt idx="0">
                  <c:v>Evaluación del Comité de Padres de Familia</c:v>
                </c:pt>
              </c:strCache>
            </c:strRef>
          </c:tx>
          <c:spPr>
            <a:ln w="12676">
              <a:solidFill>
                <a:srgbClr val="99CC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99CCFF"/>
                </a:solidFill>
                <a:prstDash val="solid"/>
              </a:ln>
            </c:spPr>
          </c:marker>
          <c:val>
            <c:numRef>
              <c:f>Hoja1!$N$3:$N$7</c:f>
              <c:numCache>
                <c:formatCode>General</c:formatCode>
                <c:ptCount val="5"/>
                <c:pt idx="0">
                  <c:v>0.22000000000000003</c:v>
                </c:pt>
                <c:pt idx="1">
                  <c:v>9.0000000000000024E-2</c:v>
                </c:pt>
                <c:pt idx="2">
                  <c:v>0.13</c:v>
                </c:pt>
                <c:pt idx="3">
                  <c:v>0.52</c:v>
                </c:pt>
                <c:pt idx="4">
                  <c:v>4.0000000000000015E-2</c:v>
                </c:pt>
              </c:numCache>
            </c:numRef>
          </c:val>
        </c:ser>
        <c:ser>
          <c:idx val="13"/>
          <c:order val="13"/>
          <c:tx>
            <c:strRef>
              <c:f>[1]Hoja2!$B$46:$B$48</c:f>
              <c:strCache>
                <c:ptCount val="1"/>
                <c:pt idx="0">
                  <c:v>La Labor Supervisora es Adecuada</c:v>
                </c:pt>
              </c:strCache>
            </c:strRef>
          </c:tx>
          <c:spPr>
            <a:ln w="12676">
              <a:solidFill>
                <a:srgbClr val="FF99CC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FF99CC"/>
                </a:solidFill>
                <a:prstDash val="solid"/>
              </a:ln>
            </c:spPr>
          </c:marker>
          <c:val>
            <c:numRef>
              <c:f>Hoja1!$O$3:$O$7</c:f>
              <c:numCache>
                <c:formatCode>General</c:formatCode>
                <c:ptCount val="5"/>
                <c:pt idx="0">
                  <c:v>0.22000000000000003</c:v>
                </c:pt>
                <c:pt idx="1">
                  <c:v>6.0000000000000019E-2</c:v>
                </c:pt>
                <c:pt idx="2">
                  <c:v>0.5</c:v>
                </c:pt>
                <c:pt idx="3">
                  <c:v>0.18000000000000005</c:v>
                </c:pt>
                <c:pt idx="4">
                  <c:v>4.0000000000000015E-2</c:v>
                </c:pt>
              </c:numCache>
            </c:numRef>
          </c:val>
        </c:ser>
        <c:ser>
          <c:idx val="14"/>
          <c:order val="14"/>
          <c:tx>
            <c:strRef>
              <c:f>[1]Hoja2!$B$49:$B$51</c:f>
              <c:strCache>
                <c:ptCount val="1"/>
                <c:pt idx="0">
                  <c:v>Nivel adecuado de Preparación</c:v>
                </c:pt>
              </c:strCache>
            </c:strRef>
          </c:tx>
          <c:spPr>
            <a:ln w="12676">
              <a:solidFill>
                <a:srgbClr val="CC99FF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CC99FF"/>
              </a:solidFill>
              <a:ln>
                <a:solidFill>
                  <a:srgbClr val="CC99FF"/>
                </a:solidFill>
                <a:prstDash val="solid"/>
              </a:ln>
            </c:spPr>
          </c:marker>
          <c:val>
            <c:numRef>
              <c:f>Hoja1!$P$3:$P$7</c:f>
              <c:numCache>
                <c:formatCode>General</c:formatCode>
                <c:ptCount val="5"/>
                <c:pt idx="0">
                  <c:v>0.15000000000000005</c:v>
                </c:pt>
                <c:pt idx="1">
                  <c:v>0</c:v>
                </c:pt>
                <c:pt idx="2">
                  <c:v>0</c:v>
                </c:pt>
                <c:pt idx="3">
                  <c:v>0.79</c:v>
                </c:pt>
                <c:pt idx="4">
                  <c:v>6.0000000000000019E-2</c:v>
                </c:pt>
              </c:numCache>
            </c:numRef>
          </c:val>
        </c:ser>
        <c:ser>
          <c:idx val="15"/>
          <c:order val="15"/>
          <c:tx>
            <c:strRef>
              <c:f>[1]Hoja2!$B$52:$B$54</c:f>
              <c:strCache>
                <c:ptCount val="1"/>
                <c:pt idx="0">
                  <c:v>Realiza una Cantidad Adecuada de  Visitas a los Colegios</c:v>
                </c:pt>
              </c:strCache>
            </c:strRef>
          </c:tx>
          <c:spPr>
            <a:ln w="12676">
              <a:solidFill>
                <a:srgbClr val="FFCC99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FFCC99"/>
                </a:solidFill>
                <a:prstDash val="solid"/>
              </a:ln>
            </c:spPr>
          </c:marker>
          <c:val>
            <c:numRef>
              <c:f>Hoja1!$Q$3:$Q$7</c:f>
              <c:numCache>
                <c:formatCode>General</c:formatCode>
                <c:ptCount val="5"/>
                <c:pt idx="0">
                  <c:v>0.26</c:v>
                </c:pt>
                <c:pt idx="1">
                  <c:v>4.0000000000000015E-2</c:v>
                </c:pt>
                <c:pt idx="2">
                  <c:v>0.4</c:v>
                </c:pt>
                <c:pt idx="3">
                  <c:v>0.13</c:v>
                </c:pt>
                <c:pt idx="4">
                  <c:v>0.17</c:v>
                </c:pt>
              </c:numCache>
            </c:numRef>
          </c:val>
        </c:ser>
        <c:marker val="1"/>
        <c:axId val="110484480"/>
        <c:axId val="110490368"/>
      </c:lineChart>
      <c:catAx>
        <c:axId val="110484480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0490368"/>
        <c:crosses val="autoZero"/>
        <c:auto val="1"/>
        <c:lblAlgn val="ctr"/>
        <c:lblOffset val="100"/>
        <c:tickLblSkip val="1"/>
        <c:tickMarkSkip val="1"/>
      </c:catAx>
      <c:valAx>
        <c:axId val="11049036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Frecuencia Relativa</a:t>
                </a:r>
              </a:p>
            </c:rich>
          </c:tx>
          <c:layout>
            <c:manualLayout>
              <c:xMode val="edge"/>
              <c:yMode val="edge"/>
              <c:x val="1.1299435028248589E-2"/>
              <c:y val="0.16888888888888892"/>
            </c:manualLayout>
          </c:layout>
          <c:spPr>
            <a:noFill/>
            <a:ln w="25352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10484480"/>
        <c:crosses val="autoZero"/>
        <c:crossBetween val="between"/>
      </c:valAx>
      <c:spPr>
        <a:noFill/>
        <a:ln w="25352">
          <a:noFill/>
        </a:ln>
      </c:spPr>
    </c:plotArea>
    <c:legend>
      <c:legendPos val="b"/>
      <c:layout>
        <c:manualLayout>
          <c:xMode val="edge"/>
          <c:yMode val="edge"/>
          <c:x val="0.14350282485875707"/>
          <c:y val="0.62222222222222223"/>
          <c:w val="0.73672316384180792"/>
          <c:h val="0.34444444444444461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7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Gráfico 3</vt:lpstr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Gráfico 3</dc:title>
  <dc:subject/>
  <dc:creator>WINDOWS</dc:creator>
  <cp:keywords/>
  <dc:description/>
  <cp:lastModifiedBy>Ayudante</cp:lastModifiedBy>
  <cp:revision>2</cp:revision>
  <dcterms:created xsi:type="dcterms:W3CDTF">2009-07-06T13:44:00Z</dcterms:created>
  <dcterms:modified xsi:type="dcterms:W3CDTF">2009-07-06T13:44:00Z</dcterms:modified>
</cp:coreProperties>
</file>