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72" w:rsidRDefault="00A3154A" w:rsidP="00A3154A">
      <w:pPr>
        <w:pStyle w:val="Textoindependiente"/>
        <w:ind w:left="992"/>
        <w:rPr>
          <w:b/>
          <w:bCs/>
          <w:lang w:val="es-ES"/>
        </w:rPr>
      </w:pPr>
      <w:r>
        <w:rPr>
          <w:b/>
          <w:bCs/>
          <w:lang w:val="es-ES"/>
        </w:rPr>
        <w:t xml:space="preserve">4.5.5   </w:t>
      </w:r>
      <w:r w:rsidR="00297C72">
        <w:rPr>
          <w:b/>
          <w:bCs/>
          <w:lang w:val="es-ES"/>
        </w:rPr>
        <w:t>Análisis de Correlación Canónica de los Profesores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la elección de estos dos conjuntos de variables  se considerará las combinaciones entre las 4 secciones descritas en el capítulo 2 (Identificación Personal, Instrucción y Experiencia, Información Laboral y  el Recurso Humano y Materiales de los Planteles).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297C72" w:rsidRDefault="00297C72">
      <w:pPr>
        <w:pStyle w:val="Ttulo8"/>
        <w:tabs>
          <w:tab w:val="num" w:pos="1418"/>
        </w:tabs>
        <w:ind w:left="1418"/>
      </w:pPr>
      <w:r>
        <w:t>“Identificación Personal e Instrucción y Experiencia”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14 variables, es decir p=14;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7" o:title=""/>
          </v:shape>
          <o:OLEObject Type="Embed" ProgID="Equation.3" ShapeID="_x0000_i1025" DrawAspect="Content" ObjectID="_1308994413" r:id="rId8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 = 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26" type="#_x0000_t75" style="width:59.25pt;height:15pt" o:ole="">
            <v:imagedata r:id="rId9" o:title=""/>
          </v:shape>
          <o:OLEObject Type="Embed" ProgID="Equation.3" ShapeID="_x0000_i1026" DrawAspect="Content" ObjectID="_1308994414" r:id="rId1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Instrucción y Experiencia, donde p-q = 9. El primer grupo de variables tiene menos variables que el segundo, en donde q 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 p.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Con la ayuda del software de estadística SPSS se realizaron los cálculos correspondientes, y así en la Tabla IV.LV se muestran los coeficientes de las correlaciones para las 5 variables canónicas;  </w:t>
      </w:r>
      <w:r>
        <w:rPr>
          <w:lang w:val="es-ES"/>
        </w:rPr>
        <w:lastRenderedPageBreak/>
        <w:t>analizando los coeficientes de correlación canónicos solo en el par de variables canónicas U1,V1 evidencia una alta correlación de 0.766, en cambio en  los 4 pares de variables canónicas restantes no existe una correlación entre  ellos.  En la tabla IV.LVI se muestran los coeficientes de las variables canónicas Identificación personal (U</w:t>
      </w:r>
      <w:r>
        <w:rPr>
          <w:vertAlign w:val="subscript"/>
          <w:lang w:val="es-ES"/>
        </w:rPr>
        <w:t>1</w:t>
      </w:r>
      <w:r>
        <w:rPr>
          <w:lang w:val="es-ES"/>
        </w:rPr>
        <w:t>) e Instrucción y Experiencia 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08" style="position:absolute;left:0;text-align:left;margin-left:97.65pt;margin-top:6.25pt;width:261pt;height:3in;z-index:-251667456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106.65pt;margin-top:15.25pt;width:245.5pt;height:63pt;z-index:251650048" stroked="f">
            <v:textbox style="mso-next-textbox:#_x0000_s1309"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</w:t>
                  </w:r>
                </w:p>
                <w:p w:rsidR="00297C72" w:rsidRDefault="00297C72">
                  <w:pPr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Instrucción y Experiencia de los profesores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287" w:tblpY="-42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297C72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297C72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7C72" w:rsidRDefault="00297C72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297C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0.7004</w:t>
            </w:r>
          </w:p>
        </w:tc>
      </w:tr>
      <w:tr w:rsidR="00297C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0.2028</w:t>
            </w:r>
          </w:p>
        </w:tc>
      </w:tr>
      <w:tr w:rsidR="00297C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0.1126</w:t>
            </w:r>
          </w:p>
        </w:tc>
      </w:tr>
      <w:tr w:rsidR="00297C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0.0484</w:t>
            </w:r>
          </w:p>
        </w:tc>
      </w:tr>
      <w:tr w:rsidR="00297C72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Lucida Sans" w:eastAsia="Arial Unicode M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t>0.0305</w:t>
            </w:r>
          </w:p>
        </w:tc>
      </w:tr>
    </w:tbl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10" type="#_x0000_t202" style="position:absolute;left:0;text-align:left;margin-left:106.65pt;margin-top:25.2pt;width:252pt;height:29.6pt;z-index:251651072" filled="f" stroked="f">
            <v:textbox style="mso-next-textbox:#_x0000_s1310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lastRenderedPageBreak/>
        <w:pict>
          <v:rect id="_x0000_s1311" style="position:absolute;left:0;text-align:left;margin-left:79.65pt;margin-top:-5.2pt;width:261pt;height:3in;z-index:-251664384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12" type="#_x0000_t202" style="position:absolute;left:0;text-align:left;margin-left:97.65pt;margin-top:3.8pt;width:225pt;height:63pt;z-index:251653120" stroked="f">
            <v:textbox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</w:t>
                  </w:r>
                </w:p>
                <w:p w:rsidR="00297C72" w:rsidRDefault="00297C72">
                  <w:pPr>
                    <w:pStyle w:val="Textoindependiente3"/>
                  </w:pPr>
                  <w:r>
                    <w:t xml:space="preserve">Coeficientes de la primera variable canónica de la Identificación Personal de los profesores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297C72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Ident.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-0.0994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0.9960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-0.0918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0.2007</w:t>
            </w:r>
          </w:p>
        </w:tc>
      </w:tr>
      <w:tr w:rsidR="00297C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7C72" w:rsidRDefault="00297C72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0.0383</w:t>
            </w:r>
          </w:p>
        </w:tc>
      </w:tr>
    </w:tbl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13" type="#_x0000_t202" style="position:absolute;left:0;text-align:left;margin-left:88.65pt;margin-top:25.2pt;width:252pt;height:29.6pt;z-index:251654144" filled="f" stroked="f">
            <v:textbox style="mso-next-textbox:#_x0000_s1313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lang w:val="en-US"/>
        </w:rPr>
        <w:t>U1: - 0.0994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+ 0.9960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- 0.0918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+ 0.2007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+ 0.0383 IP</w:t>
      </w:r>
      <w:r>
        <w:rPr>
          <w:vertAlign w:val="subscript"/>
          <w:lang w:val="en-US"/>
        </w:rPr>
        <w:t>7</w:t>
      </w: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17" style="position:absolute;left:0;text-align:left;margin-left:70.65pt;margin-top:22.2pt;width:261pt;height:261pt;z-index:-251661312;mso-wrap-edited:f" wrapcoords="-133 0 -133 21600 21733 21600 21733 0 -133 0" strokeweight="3pt">
            <v:stroke linestyle="thinThin"/>
          </v:rect>
        </w:pict>
      </w: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8" type="#_x0000_t202" style="position:absolute;left:0;text-align:left;margin-left:79.65pt;margin-top:3.6pt;width:243pt;height:63pt;z-index:251656192" stroked="f">
            <v:textbox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IV.LVII</w:t>
                  </w:r>
                </w:p>
                <w:p w:rsidR="00297C72" w:rsidRDefault="00297C72">
                  <w:pPr>
                    <w:pStyle w:val="Textoindependiente3"/>
                  </w:pPr>
                  <w:r>
                    <w:t xml:space="preserve">Coeficientes de la primera variable canónica de la Instrucción y Experiencia de los Profesores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993"/>
        <w:rPr>
          <w:lang w:val="en-US"/>
        </w:rPr>
      </w:pPr>
    </w:p>
    <w:tbl>
      <w:tblPr>
        <w:tblW w:w="3746" w:type="dxa"/>
        <w:tblInd w:w="2313" w:type="dxa"/>
        <w:tblCellMar>
          <w:left w:w="70" w:type="dxa"/>
          <w:right w:w="70" w:type="dxa"/>
        </w:tblCellMar>
        <w:tblLook w:val="0000"/>
      </w:tblPr>
      <w:tblGrid>
        <w:gridCol w:w="2416"/>
        <w:gridCol w:w="1330"/>
      </w:tblGrid>
      <w:tr w:rsidR="00297C72">
        <w:trPr>
          <w:trHeight w:val="270"/>
        </w:trPr>
        <w:tc>
          <w:tcPr>
            <w:tcW w:w="24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Coeficientes</w:t>
            </w:r>
          </w:p>
        </w:tc>
      </w:tr>
      <w:tr w:rsidR="00297C72">
        <w:trPr>
          <w:trHeight w:val="270"/>
        </w:trPr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V1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-0.0437</w:t>
            </w:r>
          </w:p>
        </w:tc>
      </w:tr>
      <w:tr w:rsidR="00297C72">
        <w:trPr>
          <w:trHeight w:val="2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0.0367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0.0029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-0.0878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-0.0945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-0.3799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-0.9607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-0.7538</w:t>
            </w:r>
          </w:p>
        </w:tc>
      </w:tr>
      <w:tr w:rsidR="00297C72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lang w:eastAsia="es-EC"/>
              </w:rPr>
            </w:pPr>
            <w:r>
              <w:rPr>
                <w:lang w:val="es-ES_tradnl" w:eastAsia="es-EC"/>
              </w:rPr>
              <w:t>-0.7736</w:t>
            </w:r>
          </w:p>
        </w:tc>
      </w:tr>
    </w:tbl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9" type="#_x0000_t202" style="position:absolute;left:0;text-align:left;margin-left:79.65pt;margin-top:6.5pt;width:252pt;height:29.6pt;z-index:251657216;mso-position-horizontal-relative:text;mso-position-vertical-relative:text" filled="f" stroked="f">
            <v:textbox style="mso-next-textbox:#_x0000_s1319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fr-FR"/>
        </w:rPr>
      </w:pPr>
      <w:r>
        <w:rPr>
          <w:lang w:val="fr-FR"/>
        </w:rPr>
        <w:lastRenderedPageBreak/>
        <w:t>V</w:t>
      </w:r>
      <w:r>
        <w:rPr>
          <w:vertAlign w:val="subscript"/>
          <w:lang w:val="fr-FR"/>
        </w:rPr>
        <w:t>1</w:t>
      </w:r>
      <w:r>
        <w:rPr>
          <w:lang w:val="fr-FR"/>
        </w:rPr>
        <w:t>:  -0.0437 IE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+ 0.0367 IE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+ 0.0029 IE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– 0.878 IE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- 0.0945 IE</w:t>
      </w:r>
      <w:r>
        <w:rPr>
          <w:vertAlign w:val="subscript"/>
          <w:lang w:val="fr-FR"/>
        </w:rPr>
        <w:t>5</w:t>
      </w:r>
    </w:p>
    <w:p w:rsidR="00297C72" w:rsidRDefault="00297C72">
      <w:pPr>
        <w:pStyle w:val="Textoindependiente"/>
        <w:ind w:left="993"/>
        <w:rPr>
          <w:lang w:val="fr-FR"/>
        </w:rPr>
      </w:pPr>
      <w:r>
        <w:rPr>
          <w:lang w:val="fr-FR"/>
        </w:rPr>
        <w:t xml:space="preserve">      - 0.3799 IE</w:t>
      </w:r>
      <w:r>
        <w:rPr>
          <w:vertAlign w:val="subscript"/>
          <w:lang w:val="fr-FR"/>
        </w:rPr>
        <w:t>6</w:t>
      </w:r>
      <w:r>
        <w:rPr>
          <w:lang w:val="fr-FR"/>
        </w:rPr>
        <w:t xml:space="preserve"> - 0.9607 IE</w:t>
      </w:r>
      <w:r>
        <w:rPr>
          <w:vertAlign w:val="subscript"/>
          <w:lang w:val="fr-FR"/>
        </w:rPr>
        <w:t>7</w:t>
      </w:r>
      <w:r>
        <w:rPr>
          <w:lang w:val="fr-FR"/>
        </w:rPr>
        <w:t xml:space="preserve"> - 0.7538 IE</w:t>
      </w:r>
      <w:r>
        <w:rPr>
          <w:vertAlign w:val="subscript"/>
          <w:lang w:val="fr-FR"/>
        </w:rPr>
        <w:t>8</w:t>
      </w:r>
      <w:r>
        <w:rPr>
          <w:lang w:val="fr-FR"/>
        </w:rPr>
        <w:t xml:space="preserve"> - 0.7736 IE</w:t>
      </w:r>
      <w:r>
        <w:rPr>
          <w:vertAlign w:val="subscript"/>
          <w:lang w:val="fr-FR"/>
        </w:rPr>
        <w:t>9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fr-FR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27" type="#_x0000_t75" style="width:188.25pt;height:18pt" o:ole="">
            <v:imagedata r:id="rId11" o:title=""/>
          </v:shape>
          <o:OLEObject Type="Embed" ProgID="Equation.3" ShapeID="_x0000_i1027" DrawAspect="Content" ObjectID="_1308994415" r:id="rId12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00" w:dyaOrig="360">
          <v:shape id="_x0000_i1028" type="#_x0000_t75" style="width:180pt;height:18pt" o:ole="">
            <v:imagedata r:id="rId13" o:title=""/>
          </v:shape>
          <o:OLEObject Type="Embed" ProgID="Equation.3" ShapeID="_x0000_i1028" DrawAspect="Content" ObjectID="_1308994416" r:id="rId14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29" type="#_x0000_t75" style="width:341.25pt;height:18pt" o:ole="">
            <v:imagedata r:id="rId15" o:title=""/>
          </v:shape>
          <o:OLEObject Type="Embed" ProgID="Equation.3" ShapeID="_x0000_i1029" DrawAspect="Content" ObjectID="_1308994417" r:id="rId16"/>
        </w:object>
      </w:r>
      <w:r>
        <w:rPr>
          <w:rFonts w:ascii="Arial" w:hAnsi="Arial" w:cs="Arial"/>
          <w:sz w:val="24"/>
        </w:rPr>
        <w:t xml:space="preserve"> 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IV.LV, como el coeficiente de correlación canónico, para nuestro estudio el coeficiente de correlación canónico de la primera variable canónica viene dada por: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30" type="#_x0000_t75" style="width:108.75pt;height:17.25pt" o:ole="">
            <v:imagedata r:id="rId17" o:title=""/>
          </v:shape>
          <o:OLEObject Type="Embed" ProgID="Equation.3" ShapeID="_x0000_i1030" DrawAspect="Content" ObjectID="_1308994418" r:id="rId18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se pasará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IV.LI y IV.LII respectivamente.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pStyle w:val="Ttulo9"/>
      </w:pPr>
      <w:r>
        <w:t>Primer par de variables canónicas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 que aporta mayor peso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de los directivos (IP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Años de experiencia (IE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de Instrucción y Experiencia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0.7004, como lo indica la primera correlación canónica.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297C72" w:rsidRDefault="00297C72">
      <w:pPr>
        <w:pStyle w:val="Ttulo8"/>
        <w:tabs>
          <w:tab w:val="num" w:pos="1418"/>
        </w:tabs>
        <w:ind w:left="1418"/>
      </w:pPr>
      <w:r>
        <w:t>“Identificación Personal e Información Laboral”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16 variables, es decir p = 16;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31" type="#_x0000_t75" style="width:48pt;height:15pt" o:ole="">
            <v:imagedata r:id="rId7" o:title=""/>
          </v:shape>
          <o:OLEObject Type="Embed" ProgID="Equation.3" ShapeID="_x0000_i1031" DrawAspect="Content" ObjectID="_1308994419" r:id="rId19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 = 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32" type="#_x0000_t75" style="width:59.25pt;height:15pt" o:ole="">
            <v:imagedata r:id="rId9" o:title=""/>
          </v:shape>
          <o:OLEObject Type="Embed" ProgID="Equation.3" ShapeID="_x0000_i1032" DrawAspect="Content" ObjectID="_1308994420" r:id="rId2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Información Laboral, donde p – q = 11. El primer grupo de variables tiene menos variables que el segundo, en donde q 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 p.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IV.LVIII se muestran los coeficientes de las correlaciones para las 5 variables canónicas; analizando los coeficientes de correlación canónicos solo en el par de variables canónicas U1,V1 evidencia una alta correlación de 0.9640, en cambio en  los 4 pares de variables canónicas restantes no existe una correlación entre  ellos.  En la tabla IV.LIX se muestran los coeficientes de las variables canónicas Identificación personal (U1) e Instrucción y Experiencia  (V1).</w: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23" style="position:absolute;left:0;text-align:left;margin-left:97.65pt;margin-top:6.25pt;width:261pt;height:3in;z-index:-251658240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24" type="#_x0000_t202" style="position:absolute;left:0;text-align:left;margin-left:106.65pt;margin-top:15.25pt;width:245.5pt;height:63pt;z-index:251659264" stroked="f">
            <v:textbox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IV.LVIII</w:t>
                  </w:r>
                </w:p>
                <w:p w:rsidR="00297C72" w:rsidRDefault="00297C72">
                  <w:pPr>
                    <w:jc w:val="both"/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Información Laboral de los Profesores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993"/>
        <w:rPr>
          <w:lang w:val="es-ES"/>
        </w:rPr>
      </w:pPr>
    </w:p>
    <w:tbl>
      <w:tblPr>
        <w:tblW w:w="2812" w:type="dxa"/>
        <w:tblInd w:w="3033" w:type="dxa"/>
        <w:tblCellMar>
          <w:left w:w="70" w:type="dxa"/>
          <w:right w:w="70" w:type="dxa"/>
        </w:tblCellMar>
        <w:tblLook w:val="0000"/>
      </w:tblPr>
      <w:tblGrid>
        <w:gridCol w:w="1216"/>
        <w:gridCol w:w="1596"/>
      </w:tblGrid>
      <w:tr w:rsidR="00297C72">
        <w:trPr>
          <w:cantSplit/>
          <w:trHeight w:val="285"/>
        </w:trPr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k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 xml:space="preserve">Correlación </w:t>
            </w:r>
          </w:p>
        </w:tc>
      </w:tr>
      <w:tr w:rsidR="00297C72">
        <w:trPr>
          <w:cantSplit/>
          <w:trHeight w:val="285"/>
        </w:trPr>
        <w:tc>
          <w:tcPr>
            <w:tcW w:w="121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97C72" w:rsidRDefault="00297C72">
            <w:pP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Canónica</w:t>
            </w:r>
          </w:p>
        </w:tc>
      </w:tr>
      <w:tr w:rsidR="00297C72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0.964</w:t>
            </w:r>
          </w:p>
        </w:tc>
      </w:tr>
      <w:tr w:rsidR="00297C72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0.3491</w:t>
            </w:r>
          </w:p>
        </w:tc>
      </w:tr>
      <w:tr w:rsidR="00297C72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0.2064</w:t>
            </w:r>
          </w:p>
        </w:tc>
      </w:tr>
      <w:tr w:rsidR="00297C72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0.0519</w:t>
            </w:r>
          </w:p>
        </w:tc>
      </w:tr>
      <w:tr w:rsidR="00297C72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eastAsia="es-EC"/>
              </w:rPr>
              <w:t>0.0168</w:t>
            </w:r>
          </w:p>
        </w:tc>
      </w:tr>
    </w:tbl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5" type="#_x0000_t202" style="position:absolute;left:0;text-align:left;margin-left:106.65pt;margin-top:7.05pt;width:252pt;height:29.6pt;z-index:251660288;mso-position-horizontal-relative:text;mso-position-vertical-relative:text" filled="f" stroked="f">
            <v:textbox style="mso-next-textbox:#_x0000_s1325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26" style="position:absolute;left:0;text-align:left;margin-left:79.65pt;margin-top:22.4pt;width:261pt;height:225.85pt;z-index:-251655168;mso-wrap-edited:f" wrapcoords="-133 0 -133 21600 21733 21600 21733 0 -133 0" strokeweight="3pt">
            <v:stroke linestyle="thinThin"/>
          </v:rect>
        </w:pict>
      </w:r>
    </w:p>
    <w:p w:rsidR="00297C72" w:rsidRDefault="00297C72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7" type="#_x0000_t202" style="position:absolute;left:0;text-align:left;margin-left:97.65pt;margin-top:3.8pt;width:225pt;height:63pt;z-index:251662336" stroked="f">
            <v:textbox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IV.LIX</w:t>
                  </w:r>
                </w:p>
                <w:p w:rsidR="00297C72" w:rsidRDefault="00297C72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Identificación Personal de los Profesores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1418"/>
        <w:rPr>
          <w:lang w:val="es-ES"/>
        </w:rPr>
      </w:pPr>
    </w:p>
    <w:tbl>
      <w:tblPr>
        <w:tblW w:w="3266" w:type="dxa"/>
        <w:tblInd w:w="2673" w:type="dxa"/>
        <w:tblCellMar>
          <w:left w:w="70" w:type="dxa"/>
          <w:right w:w="70" w:type="dxa"/>
        </w:tblCellMar>
        <w:tblLook w:val="0000"/>
      </w:tblPr>
      <w:tblGrid>
        <w:gridCol w:w="1936"/>
        <w:gridCol w:w="1330"/>
      </w:tblGrid>
      <w:tr w:rsidR="00297C72">
        <w:trPr>
          <w:trHeight w:val="285"/>
        </w:trPr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Ident.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 xml:space="preserve">Coeficientes </w:t>
            </w:r>
          </w:p>
        </w:tc>
      </w:tr>
      <w:tr w:rsidR="00297C72">
        <w:trPr>
          <w:trHeight w:val="285"/>
        </w:trPr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Personal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U1</w:t>
            </w:r>
          </w:p>
        </w:tc>
      </w:tr>
      <w:tr w:rsidR="00297C72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0.7209</w:t>
            </w:r>
          </w:p>
        </w:tc>
      </w:tr>
      <w:tr w:rsidR="00297C72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0.0582</w:t>
            </w:r>
          </w:p>
        </w:tc>
      </w:tr>
      <w:tr w:rsidR="00297C72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0.0058</w:t>
            </w:r>
          </w:p>
        </w:tc>
      </w:tr>
      <w:tr w:rsidR="00297C72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-0.0108</w:t>
            </w:r>
          </w:p>
        </w:tc>
      </w:tr>
      <w:tr w:rsidR="00297C72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0.994</w:t>
            </w:r>
          </w:p>
        </w:tc>
      </w:tr>
    </w:tbl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28" type="#_x0000_t202" style="position:absolute;left:0;text-align:left;margin-left:79.65pt;margin-top:5.85pt;width:252pt;height:31.95pt;z-index:251663360;mso-position-horizontal-relative:text;mso-position-vertical-relative:text" filled="f" stroked="f">
            <v:textbox style="mso-next-textbox:#_x0000_s1328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lang w:val="en-US"/>
        </w:rPr>
        <w:t>U1: 0.7209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+ 0.0582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+ 0.0058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+ 0.0108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+ 0.9994 IP</w:t>
      </w:r>
      <w:r>
        <w:rPr>
          <w:vertAlign w:val="subscript"/>
          <w:lang w:val="en-US"/>
        </w:rPr>
        <w:t>7</w:t>
      </w: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29" style="position:absolute;left:0;text-align:left;margin-left:70.65pt;margin-top:22.2pt;width:261pt;height:322.4pt;z-index:-251652096;mso-wrap-edited:f" wrapcoords="-133 0 -133 21600 21733 21600 21733 0 -133 0" strokeweight="3pt">
            <v:stroke linestyle="thinThin"/>
          </v:rect>
        </w:pict>
      </w:r>
    </w:p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0" type="#_x0000_t202" style="position:absolute;left:0;text-align:left;margin-left:79.65pt;margin-top:3.6pt;width:243pt;height:63pt;z-index:251665408" stroked="f">
            <v:textbox>
              <w:txbxContent>
                <w:p w:rsidR="00297C72" w:rsidRDefault="00297C72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IV.LX</w:t>
                  </w:r>
                </w:p>
                <w:p w:rsidR="00297C72" w:rsidRDefault="00297C72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Información Laboral de los profesores </w:t>
                  </w:r>
                </w:p>
              </w:txbxContent>
            </v:textbox>
            <w10:wrap type="square"/>
          </v:shape>
        </w:pict>
      </w:r>
    </w:p>
    <w:p w:rsidR="00297C72" w:rsidRDefault="00297C72">
      <w:pPr>
        <w:pStyle w:val="Textoindependiente"/>
        <w:ind w:left="993"/>
        <w:rPr>
          <w:lang w:val="en-US"/>
        </w:rPr>
      </w:pPr>
    </w:p>
    <w:tbl>
      <w:tblPr>
        <w:tblW w:w="3126" w:type="dxa"/>
        <w:tblInd w:w="2673" w:type="dxa"/>
        <w:tblCellMar>
          <w:left w:w="70" w:type="dxa"/>
          <w:right w:w="70" w:type="dxa"/>
        </w:tblCellMar>
        <w:tblLook w:val="0000"/>
      </w:tblPr>
      <w:tblGrid>
        <w:gridCol w:w="1796"/>
        <w:gridCol w:w="1330"/>
      </w:tblGrid>
      <w:tr w:rsidR="00297C72">
        <w:trPr>
          <w:trHeight w:val="285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Coeficientes</w:t>
            </w:r>
          </w:p>
        </w:tc>
      </w:tr>
      <w:tr w:rsidR="00297C72">
        <w:trPr>
          <w:trHeight w:val="28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V1</w:t>
            </w:r>
          </w:p>
        </w:tc>
      </w:tr>
      <w:tr w:rsidR="00297C72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0.0108</w:t>
            </w:r>
          </w:p>
        </w:tc>
      </w:tr>
      <w:tr w:rsidR="00297C72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0.0.87</w:t>
            </w:r>
          </w:p>
        </w:tc>
      </w:tr>
      <w:tr w:rsidR="00297C72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-0.9994</w:t>
            </w:r>
          </w:p>
        </w:tc>
      </w:tr>
      <w:tr w:rsidR="00297C72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0.0359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-0.0155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-0.9975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0.0377</w:t>
            </w:r>
          </w:p>
        </w:tc>
      </w:tr>
      <w:tr w:rsidR="00297C72">
        <w:trPr>
          <w:trHeight w:val="34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0.0366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-0.0142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0.0077</w:t>
            </w:r>
          </w:p>
        </w:tc>
      </w:tr>
      <w:tr w:rsidR="00297C72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97C72" w:rsidRDefault="00297C72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-0.0381</w:t>
            </w:r>
          </w:p>
        </w:tc>
      </w:tr>
    </w:tbl>
    <w:p w:rsidR="00297C72" w:rsidRDefault="00297C72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1" type="#_x0000_t202" style="position:absolute;left:0;text-align:left;margin-left:79.65pt;margin-top:2.65pt;width:252pt;height:29.6pt;z-index:251666432;mso-position-horizontal-relative:text;mso-position-vertical-relative:text" filled="f" stroked="f">
            <v:textbox style="mso-next-textbox:#_x0000_s1331">
              <w:txbxContent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297C72" w:rsidRDefault="00297C72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en-US"/>
        </w:rPr>
      </w:pPr>
    </w:p>
    <w:p w:rsidR="00297C72" w:rsidRDefault="00297C72">
      <w:pPr>
        <w:pStyle w:val="Textoindependiente"/>
        <w:ind w:left="993"/>
        <w:rPr>
          <w:lang w:val="fr-FR"/>
        </w:rPr>
      </w:pPr>
      <w:r>
        <w:rPr>
          <w:lang w:val="fr-FR"/>
        </w:rPr>
        <w:t>V</w:t>
      </w:r>
      <w:r>
        <w:rPr>
          <w:vertAlign w:val="subscript"/>
          <w:lang w:val="fr-FR"/>
        </w:rPr>
        <w:t>1</w:t>
      </w:r>
      <w:r>
        <w:rPr>
          <w:lang w:val="fr-FR"/>
        </w:rPr>
        <w:t>:  0.0108 IL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+ 0.0387 IL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- 0.9994 IL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+ 0.0359 IL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</w:t>
      </w:r>
    </w:p>
    <w:p w:rsidR="00297C72" w:rsidRDefault="00297C72">
      <w:pPr>
        <w:pStyle w:val="Textoindependiente"/>
        <w:ind w:left="993"/>
        <w:rPr>
          <w:vertAlign w:val="subscript"/>
          <w:lang w:val="fr-FR"/>
        </w:rPr>
      </w:pPr>
      <w:r>
        <w:rPr>
          <w:lang w:val="fr-FR"/>
        </w:rPr>
        <w:t xml:space="preserve">      - 0.0155 IL</w:t>
      </w:r>
      <w:r>
        <w:rPr>
          <w:vertAlign w:val="subscript"/>
          <w:lang w:val="fr-FR"/>
        </w:rPr>
        <w:t>5</w:t>
      </w:r>
      <w:r>
        <w:rPr>
          <w:lang w:val="fr-FR"/>
        </w:rPr>
        <w:t xml:space="preserve"> – 0.9975 IL</w:t>
      </w:r>
      <w:r>
        <w:rPr>
          <w:vertAlign w:val="subscript"/>
          <w:lang w:val="fr-FR"/>
        </w:rPr>
        <w:t>6</w:t>
      </w:r>
      <w:r>
        <w:rPr>
          <w:lang w:val="fr-FR"/>
        </w:rPr>
        <w:t xml:space="preserve"> + 0.0377 IL</w:t>
      </w:r>
      <w:r>
        <w:rPr>
          <w:vertAlign w:val="subscript"/>
          <w:lang w:val="fr-FR"/>
        </w:rPr>
        <w:t>7</w:t>
      </w:r>
      <w:r>
        <w:rPr>
          <w:lang w:val="fr-FR"/>
        </w:rPr>
        <w:t xml:space="preserve"> + 0.0366 IL</w:t>
      </w:r>
      <w:r>
        <w:rPr>
          <w:vertAlign w:val="subscript"/>
          <w:lang w:val="fr-FR"/>
        </w:rPr>
        <w:t>8</w:t>
      </w:r>
    </w:p>
    <w:p w:rsidR="00297C72" w:rsidRDefault="00297C72">
      <w:pPr>
        <w:pStyle w:val="Textoindependiente"/>
        <w:ind w:left="993"/>
        <w:rPr>
          <w:lang w:val="fr-FR"/>
        </w:rPr>
      </w:pPr>
      <w:r>
        <w:rPr>
          <w:vertAlign w:val="subscript"/>
          <w:lang w:val="fr-FR"/>
        </w:rPr>
        <w:t xml:space="preserve">       </w:t>
      </w:r>
      <w:r>
        <w:rPr>
          <w:lang w:val="fr-FR"/>
        </w:rPr>
        <w:t xml:space="preserve"> - 0.0142 IL</w:t>
      </w:r>
      <w:r>
        <w:rPr>
          <w:vertAlign w:val="subscript"/>
          <w:lang w:val="fr-FR"/>
        </w:rPr>
        <w:t>9</w:t>
      </w:r>
      <w:r>
        <w:rPr>
          <w:lang w:val="fr-FR"/>
        </w:rPr>
        <w:t xml:space="preserve"> + 0.0077 IE10 - 0.0381 IL11</w:t>
      </w:r>
    </w:p>
    <w:p w:rsidR="00297C72" w:rsidRDefault="00297C72">
      <w:pPr>
        <w:pStyle w:val="Textoindependiente"/>
        <w:ind w:left="993"/>
        <w:rPr>
          <w:lang w:val="es-ES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33" type="#_x0000_t75" style="width:188.25pt;height:18pt" o:ole="">
            <v:imagedata r:id="rId11" o:title=""/>
          </v:shape>
          <o:OLEObject Type="Embed" ProgID="Equation.3" ShapeID="_x0000_i1033" DrawAspect="Content" ObjectID="_1308994421" r:id="rId21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3640" w:dyaOrig="340">
          <v:shape id="_x0000_i1034" type="#_x0000_t75" style="width:182.25pt;height:17.25pt" o:ole="">
            <v:imagedata r:id="rId22" o:title=""/>
          </v:shape>
          <o:OLEObject Type="Embed" ProgID="Equation.3" ShapeID="_x0000_i1034" DrawAspect="Content" ObjectID="_1308994422" r:id="rId23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35" type="#_x0000_t75" style="width:341.25pt;height:18pt" o:ole="">
            <v:imagedata r:id="rId15" o:title=""/>
          </v:shape>
          <o:OLEObject Type="Embed" ProgID="Equation.3" ShapeID="_x0000_i1035" DrawAspect="Content" ObjectID="_1308994423" r:id="rId24"/>
        </w:object>
      </w:r>
      <w:r>
        <w:rPr>
          <w:rFonts w:ascii="Arial" w:hAnsi="Arial" w:cs="Arial"/>
          <w:sz w:val="24"/>
        </w:rPr>
        <w:t xml:space="preserve"> 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XXXIV, como el coeficiente de correlación canónico, para nuestro estudio el coeficiente de correlación canónico de la primera variable canónica viene dada por: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80" w:dyaOrig="340">
          <v:shape id="_x0000_i1036" type="#_x0000_t75" style="width:108.75pt;height:17.25pt" o:ole="">
            <v:imagedata r:id="rId25" o:title=""/>
          </v:shape>
          <o:OLEObject Type="Embed" ProgID="Equation.3" ShapeID="_x0000_i1036" DrawAspect="Content" ObjectID="_1308994424" r:id="rId26"/>
        </w:objec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IV.LIX y IV.LX respectivamente.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pStyle w:val="Ttulo9"/>
      </w:pPr>
      <w:r>
        <w:t>Primer par de variables canónicas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habitan  los directivos (IP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nacieron  los directivos (IP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laboran los directivos (IL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pertenecen presupuestariamente los directivos (IL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297C72" w:rsidRDefault="00297C72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0.9640, como lo indica la primera correlación canónica.</w:t>
      </w:r>
    </w:p>
    <w:p w:rsidR="00297C72" w:rsidRDefault="00297C72">
      <w:pPr>
        <w:pStyle w:val="Textoindependiente"/>
        <w:ind w:left="993"/>
        <w:rPr>
          <w:lang w:val="es-ES"/>
        </w:rPr>
      </w:pPr>
    </w:p>
    <w:sectPr w:rsidR="00297C72">
      <w:headerReference w:type="default" r:id="rId27"/>
      <w:headerReference w:type="first" r:id="rId28"/>
      <w:pgSz w:w="11907" w:h="16840" w:code="9"/>
      <w:pgMar w:top="2268" w:right="1361" w:bottom="2268" w:left="2268" w:header="720" w:footer="720" w:gutter="0"/>
      <w:pgNumType w:start="47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9C" w:rsidRDefault="00F83C9C">
      <w:r>
        <w:separator/>
      </w:r>
    </w:p>
  </w:endnote>
  <w:endnote w:type="continuationSeparator" w:id="1">
    <w:p w:rsidR="00F83C9C" w:rsidRDefault="00F8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9C" w:rsidRDefault="00F83C9C">
      <w:r>
        <w:separator/>
      </w:r>
    </w:p>
  </w:footnote>
  <w:footnote w:type="continuationSeparator" w:id="1">
    <w:p w:rsidR="00F83C9C" w:rsidRDefault="00F8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72" w:rsidRDefault="00297C72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B83F76">
      <w:rPr>
        <w:rStyle w:val="Nmerodepgina"/>
        <w:rFonts w:ascii="Lucida Sans" w:hAnsi="Lucida Sans"/>
        <w:b/>
        <w:bCs/>
        <w:noProof/>
      </w:rPr>
      <w:t>472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72" w:rsidRDefault="00297C72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B83F76">
      <w:rPr>
        <w:rStyle w:val="Nmerodepgina"/>
        <w:rFonts w:ascii="Lucida Sans" w:hAnsi="Lucida Sans"/>
        <w:b/>
        <w:bCs/>
        <w:noProof/>
      </w:rPr>
      <w:t>470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A5401096"/>
    <w:lvl w:ilvl="0" w:tplc="C8D0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4D1D0">
      <w:numFmt w:val="none"/>
      <w:lvlText w:val=""/>
      <w:lvlJc w:val="left"/>
      <w:pPr>
        <w:tabs>
          <w:tab w:val="num" w:pos="360"/>
        </w:tabs>
      </w:pPr>
    </w:lvl>
    <w:lvl w:ilvl="2" w:tplc="B4489EAE">
      <w:numFmt w:val="none"/>
      <w:lvlText w:val=""/>
      <w:lvlJc w:val="left"/>
      <w:pPr>
        <w:tabs>
          <w:tab w:val="num" w:pos="360"/>
        </w:tabs>
      </w:pPr>
    </w:lvl>
    <w:lvl w:ilvl="3" w:tplc="1150AFF6">
      <w:numFmt w:val="none"/>
      <w:lvlText w:val=""/>
      <w:lvlJc w:val="left"/>
      <w:pPr>
        <w:tabs>
          <w:tab w:val="num" w:pos="360"/>
        </w:tabs>
      </w:pPr>
    </w:lvl>
    <w:lvl w:ilvl="4" w:tplc="278A4A2A">
      <w:numFmt w:val="none"/>
      <w:lvlText w:val=""/>
      <w:lvlJc w:val="left"/>
      <w:pPr>
        <w:tabs>
          <w:tab w:val="num" w:pos="360"/>
        </w:tabs>
      </w:pPr>
    </w:lvl>
    <w:lvl w:ilvl="5" w:tplc="92CE9112">
      <w:numFmt w:val="none"/>
      <w:lvlText w:val=""/>
      <w:lvlJc w:val="left"/>
      <w:pPr>
        <w:tabs>
          <w:tab w:val="num" w:pos="360"/>
        </w:tabs>
      </w:pPr>
    </w:lvl>
    <w:lvl w:ilvl="6" w:tplc="FB58EC16">
      <w:numFmt w:val="none"/>
      <w:lvlText w:val=""/>
      <w:lvlJc w:val="left"/>
      <w:pPr>
        <w:tabs>
          <w:tab w:val="num" w:pos="360"/>
        </w:tabs>
      </w:pPr>
    </w:lvl>
    <w:lvl w:ilvl="7" w:tplc="BC8A90C0">
      <w:numFmt w:val="none"/>
      <w:lvlText w:val=""/>
      <w:lvlJc w:val="left"/>
      <w:pPr>
        <w:tabs>
          <w:tab w:val="num" w:pos="360"/>
        </w:tabs>
      </w:pPr>
    </w:lvl>
    <w:lvl w:ilvl="8" w:tplc="822444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5C3F24F8"/>
    <w:multiLevelType w:val="multilevel"/>
    <w:tmpl w:val="E876B2D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2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54A"/>
    <w:rsid w:val="00297C72"/>
    <w:rsid w:val="00A3154A"/>
    <w:rsid w:val="00B83F76"/>
    <w:rsid w:val="00F8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ind w:left="993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rPr>
      <w:rFonts w:ascii="Lucida Sans" w:hAnsi="Lucida Sans"/>
      <w:b/>
      <w:bCs/>
    </w:rPr>
  </w:style>
  <w:style w:type="paragraph" w:styleId="Sangra2detindependiente">
    <w:name w:val="Body Text Indent 2"/>
    <w:basedOn w:val="Normal"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rPr>
      <w:rFonts w:ascii="Lucida Sans" w:hAnsi="Lucida Sans"/>
      <w:i/>
      <w:iCs/>
      <w:sz w:val="23"/>
    </w:rPr>
  </w:style>
  <w:style w:type="paragraph" w:styleId="Textodeglobo">
    <w:name w:val="Balloon Text"/>
    <w:basedOn w:val="Normal"/>
    <w:semiHidden/>
    <w:rsid w:val="00A3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2002-05-28T03:25:00Z</cp:lastPrinted>
  <dcterms:created xsi:type="dcterms:W3CDTF">2009-07-13T17:47:00Z</dcterms:created>
  <dcterms:modified xsi:type="dcterms:W3CDTF">2009-07-13T17:47:00Z</dcterms:modified>
</cp:coreProperties>
</file>