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4EC">
      <w:pPr>
        <w:jc w:val="center"/>
        <w:rPr>
          <w:b/>
          <w:sz w:val="32"/>
          <w:lang w:val="es-MX"/>
        </w:rPr>
      </w:pPr>
    </w:p>
    <w:p w:rsidR="00000000" w:rsidRDefault="00B574EC">
      <w:pPr>
        <w:jc w:val="center"/>
        <w:rPr>
          <w:b/>
          <w:sz w:val="32"/>
          <w:lang w:val="es-MX"/>
        </w:rPr>
      </w:pPr>
    </w:p>
    <w:p w:rsidR="00000000" w:rsidRDefault="00B574EC">
      <w:pPr>
        <w:jc w:val="center"/>
        <w:rPr>
          <w:b/>
          <w:sz w:val="32"/>
          <w:lang w:val="es-MX"/>
        </w:rPr>
      </w:pPr>
    </w:p>
    <w:p w:rsidR="00000000" w:rsidRDefault="00B574EC">
      <w:pPr>
        <w:pStyle w:val="Ttulo1"/>
        <w:rPr>
          <w:sz w:val="48"/>
          <w:u w:val="single"/>
        </w:rPr>
      </w:pPr>
      <w:r>
        <w:rPr>
          <w:sz w:val="48"/>
          <w:u w:val="single"/>
        </w:rPr>
        <w:t>Capítulo 4</w:t>
      </w:r>
    </w:p>
    <w:p w:rsidR="00000000" w:rsidRDefault="00B574EC">
      <w:pPr>
        <w:spacing w:line="480" w:lineRule="auto"/>
        <w:jc w:val="center"/>
        <w:rPr>
          <w:rFonts w:ascii="Arial" w:hAnsi="Arial"/>
          <w:b/>
          <w:sz w:val="32"/>
          <w:lang w:val="es-MX"/>
        </w:rPr>
      </w:pPr>
    </w:p>
    <w:p w:rsidR="00000000" w:rsidRDefault="00B574EC">
      <w:pPr>
        <w:spacing w:line="480" w:lineRule="auto"/>
        <w:jc w:val="center"/>
        <w:rPr>
          <w:rFonts w:ascii="Arial" w:hAnsi="Arial"/>
          <w:b/>
          <w:sz w:val="32"/>
          <w:lang w:val="es-MX"/>
        </w:rPr>
      </w:pPr>
    </w:p>
    <w:p w:rsidR="00000000" w:rsidRDefault="00B574EC">
      <w:pPr>
        <w:spacing w:line="480" w:lineRule="auto"/>
        <w:jc w:val="both"/>
        <w:rPr>
          <w:rFonts w:ascii="Arial" w:hAnsi="Arial"/>
          <w:b/>
          <w:sz w:val="32"/>
          <w:lang w:val="es-MX"/>
        </w:rPr>
      </w:pPr>
      <w:r>
        <w:rPr>
          <w:rFonts w:ascii="Arial" w:hAnsi="Arial"/>
          <w:b/>
          <w:sz w:val="32"/>
          <w:lang w:val="es-MX"/>
        </w:rPr>
        <w:t>4. CONCLUSIONES Y RECOMENDACIONES</w:t>
      </w:r>
    </w:p>
    <w:p w:rsidR="00000000" w:rsidRDefault="00B574EC">
      <w:pPr>
        <w:spacing w:line="480" w:lineRule="auto"/>
        <w:jc w:val="both"/>
        <w:rPr>
          <w:rFonts w:ascii="Arial" w:hAnsi="Arial"/>
          <w:b/>
          <w:lang w:val="es-MX"/>
        </w:rPr>
      </w:pPr>
    </w:p>
    <w:p w:rsidR="00000000" w:rsidRDefault="00B574EC">
      <w:pPr>
        <w:spacing w:line="480" w:lineRule="auto"/>
        <w:ind w:left="426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4.1. CONCLUSIONES</w:t>
      </w:r>
    </w:p>
    <w:p w:rsidR="00000000" w:rsidRDefault="00B574EC">
      <w:pPr>
        <w:spacing w:line="480" w:lineRule="auto"/>
        <w:ind w:left="426"/>
        <w:jc w:val="both"/>
        <w:rPr>
          <w:rFonts w:ascii="Arial" w:hAnsi="Arial"/>
          <w:b/>
          <w:lang w:val="es-MX"/>
        </w:rPr>
      </w:pP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En las ciudades de Quito y Guayaquil se concentra la mayoría de las compañías estudiadas con un 45% y un 34% respectivamente.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La industria, el Comercio y los Servicios a Empresas son las</w:t>
      </w:r>
      <w:r>
        <w:rPr>
          <w:rFonts w:ascii="Arial" w:hAnsi="Arial"/>
          <w:lang w:val="es-MX"/>
        </w:rPr>
        <w:t xml:space="preserve"> Actividades más desarrolladas por las compañías más importantes del Ecuador.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Solamente un 25% de las compañías estudiadas, poseen rendimientos sobre activos que superan el 10.125 %.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El 50% de las compañías poseen activos por montos menores o iguales a los</w:t>
      </w:r>
      <w:r>
        <w:rPr>
          <w:rFonts w:ascii="Arial" w:hAnsi="Arial"/>
          <w:lang w:val="es-MX"/>
        </w:rPr>
        <w:t xml:space="preserve"> 2,369 millones de dólares, mientras que sólo un 5% de éstas poseen activos totales por más de 30 millones de dólares y donde el valor máximo registrado de este monto supera los 516 millones de dólares.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>Referente a los Ingresos por ventas, un 58% de las co</w:t>
      </w:r>
      <w:r>
        <w:rPr>
          <w:rFonts w:ascii="Arial" w:hAnsi="Arial"/>
          <w:lang w:val="es-MX"/>
        </w:rPr>
        <w:t>mpañías estudiadas  percibe entre 0 y 2 millones de dólares.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Las Utilidades / Pérdidas se han visto afectadas al final del año de 1999 debido a la grave recesión económica experimentada por el país en ese período. Muestra de aquello es que se pudo detectar</w:t>
      </w:r>
      <w:r>
        <w:rPr>
          <w:rFonts w:ascii="Arial" w:hAnsi="Arial"/>
          <w:lang w:val="es-MX"/>
        </w:rPr>
        <w:t xml:space="preserve"> que un 29,8% de las compañías tienen pérdidas sobre sus operaciones financieras  mientras que tan solo un 2,2% tienen más de 1,6 millones de dólares de utilidades.  La Compañía de Cervezas  Nacionales es la empresa que posee la máxima utilidad con un mont</w:t>
      </w:r>
      <w:r>
        <w:rPr>
          <w:rFonts w:ascii="Arial" w:hAnsi="Arial"/>
          <w:lang w:val="es-MX"/>
        </w:rPr>
        <w:t>o que supera los 12 millones de dólares.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Existen muchas compañías que han proporcionado nóminas con cero empleados, para ser precisos un 33,8%.  Este caso se podría tratar de personal sub-contratado por empresas como Manpower, PriceWaterHouse, entre otras.</w:t>
      </w:r>
      <w:r>
        <w:rPr>
          <w:rFonts w:ascii="Arial" w:hAnsi="Arial"/>
          <w:lang w:val="es-MX"/>
        </w:rPr>
        <w:t xml:space="preserve">  Tan solo un 0,6% de las compañías emplean a más de 1500 personas. 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Se pudo determinar que existe una correlación lineal muy alta entre los  Activos y el Patrimonio de las empresas. Esto se debe a que las compañías se forman con capital privado y capital </w:t>
      </w:r>
      <w:r>
        <w:rPr>
          <w:rFonts w:ascii="Arial" w:hAnsi="Arial"/>
          <w:lang w:val="es-MX"/>
        </w:rPr>
        <w:t>tercerizado.  Los dos capitales juntos conforman los activos, y el capital privado es el patrimonio.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Es interesante  mencionar que se detectó una relación lineal considerable entre los Activos y los Ingresos. Esto nos indica  que a </w:t>
      </w:r>
      <w:r>
        <w:rPr>
          <w:rFonts w:ascii="Arial" w:hAnsi="Arial"/>
          <w:lang w:val="es-MX"/>
        </w:rPr>
        <w:lastRenderedPageBreak/>
        <w:t>medida que una empresa a</w:t>
      </w:r>
      <w:r>
        <w:rPr>
          <w:rFonts w:ascii="Arial" w:hAnsi="Arial"/>
          <w:lang w:val="es-MX"/>
        </w:rPr>
        <w:t>umenta su inversión en activos, se incrementarán de manera considerable los ingresos por ventas.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>Si consideramos como válido el supuesto de que las empresas con cero número  de empleados implica sub-contratación de personal, se puede concluir que es el Com</w:t>
      </w:r>
      <w:r>
        <w:rPr>
          <w:rFonts w:ascii="Arial" w:hAnsi="Arial"/>
          <w:lang w:val="es-MX"/>
        </w:rPr>
        <w:t>ercio, la actividad donde más se sub-contrata personal.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>Es importante mencionar que las empresas dedicadas a las actividades industriales  y de servicios empresariales son las que más utilidades sobre sus operaciones financieras perciben.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>Los Activos y las</w:t>
      </w:r>
      <w:r>
        <w:rPr>
          <w:rFonts w:ascii="Arial" w:hAnsi="Arial"/>
          <w:lang w:val="es-MX"/>
        </w:rPr>
        <w:t xml:space="preserve"> Utilidades no presentan una dependencia lineal, pero mediante una prueba estadística se demostró que existe algún tipo de dependencia no lineal entre estas variables.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>Mediante la técnica del Análisis Discriminante, se obtuvieron dos funciones que pueden c</w:t>
      </w:r>
      <w:r>
        <w:rPr>
          <w:rFonts w:ascii="Arial" w:hAnsi="Arial"/>
          <w:lang w:val="es-MX"/>
        </w:rPr>
        <w:t>lasificar de manera eficaz a las compañías como riesgosas (Pérdida operacional) o como no riesgosas (utilidad operacional). La primera función es la que se usará para la clasificación puesto que puede clasificar correctamente con un porcentaje del 70,2%. L</w:t>
      </w:r>
      <w:r>
        <w:rPr>
          <w:rFonts w:ascii="Arial" w:hAnsi="Arial"/>
          <w:lang w:val="es-MX"/>
        </w:rPr>
        <w:t>as variables que hicieron posible esta clasificación fueron Activos, Patrimonio e Ingresos.  Se puede utilizar esta función para predecir si una empresa tendrá o no utilidades sobre sus operaciones financieras en determinado período.  Se obtuvo una segunda</w:t>
      </w:r>
      <w:r>
        <w:rPr>
          <w:rFonts w:ascii="Arial" w:hAnsi="Arial"/>
          <w:lang w:val="es-MX"/>
        </w:rPr>
        <w:t xml:space="preserve">  función discriminante  que clasificaba de mejor </w:t>
      </w:r>
      <w:r>
        <w:rPr>
          <w:rFonts w:ascii="Arial" w:hAnsi="Arial"/>
          <w:lang w:val="es-MX"/>
        </w:rPr>
        <w:lastRenderedPageBreak/>
        <w:t>manera a las empresas riesgosas, aún cuando su porcentaje global de clasificación correcta es menor que el de la primera función encontrada, 68,3%.</w:t>
      </w:r>
    </w:p>
    <w:p w:rsidR="00000000" w:rsidRDefault="00B574EC">
      <w:pPr>
        <w:numPr>
          <w:ilvl w:val="0"/>
          <w:numId w:val="2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>Mediante el uso de técnicas para reducir variables, se pud</w:t>
      </w:r>
      <w:r>
        <w:rPr>
          <w:rFonts w:ascii="Arial" w:hAnsi="Arial"/>
          <w:lang w:val="es-MX"/>
        </w:rPr>
        <w:t>o lograr un número de tres componentes principales que se convierten en tres nuevas variables aleatorias, las cuales explican un 69,22% a siete variables de las consideradas importantes dentro de nuestro análisis. La primera componente está muy ligada a la</w:t>
      </w:r>
      <w:r>
        <w:rPr>
          <w:rFonts w:ascii="Arial" w:hAnsi="Arial"/>
          <w:lang w:val="es-MX"/>
        </w:rPr>
        <w:t>s variables Activos, Patrimonio e Ingresos, por lo cual llamaremos a la nueva variable como “CUENTAS DE ESTADOS FINANCIEROS”. Se podría sustituir a las tres variables  por esta componente sin que se pierda mucha información.</w:t>
      </w:r>
    </w:p>
    <w:p w:rsidR="00000000" w:rsidRDefault="00B574EC">
      <w:pPr>
        <w:spacing w:line="480" w:lineRule="auto"/>
        <w:jc w:val="both"/>
        <w:rPr>
          <w:rFonts w:ascii="Arial" w:hAnsi="Arial"/>
          <w:b/>
          <w:lang w:val="es-MX"/>
        </w:rPr>
      </w:pPr>
    </w:p>
    <w:p w:rsidR="00000000" w:rsidRDefault="00B574EC">
      <w:pPr>
        <w:spacing w:line="480" w:lineRule="auto"/>
        <w:ind w:left="426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4.2. RECOMENDACIONES</w:t>
      </w:r>
    </w:p>
    <w:p w:rsidR="00000000" w:rsidRDefault="00B574EC">
      <w:pPr>
        <w:spacing w:line="480" w:lineRule="auto"/>
        <w:ind w:left="426"/>
        <w:jc w:val="both"/>
        <w:rPr>
          <w:rFonts w:ascii="Arial" w:hAnsi="Arial"/>
          <w:lang w:val="es-MX"/>
        </w:rPr>
      </w:pPr>
    </w:p>
    <w:p w:rsidR="00000000" w:rsidRDefault="00B574EC">
      <w:pPr>
        <w:numPr>
          <w:ilvl w:val="0"/>
          <w:numId w:val="3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Mentaliz</w:t>
      </w:r>
      <w:r>
        <w:rPr>
          <w:rFonts w:ascii="Arial" w:hAnsi="Arial"/>
          <w:lang w:val="es-MX"/>
        </w:rPr>
        <w:t>ar  y motivar  a los  accionistas de las compañías para la compra de activos debido a que esto no solo sirve para hacer más grande a la empresa sino que también se incrementan los ingresos por ventas.</w:t>
      </w:r>
    </w:p>
    <w:p w:rsidR="00000000" w:rsidRDefault="00B574EC">
      <w:pPr>
        <w:numPr>
          <w:ilvl w:val="0"/>
          <w:numId w:val="3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Sugerir a las personas naturales o jurídicas que se ded</w:t>
      </w:r>
      <w:r>
        <w:rPr>
          <w:rFonts w:ascii="Arial" w:hAnsi="Arial"/>
          <w:lang w:val="es-MX"/>
        </w:rPr>
        <w:t xml:space="preserve">ican a la inversión en la bolsa de valores, que utilicen una función que </w:t>
      </w:r>
    </w:p>
    <w:p w:rsidR="00000000" w:rsidRDefault="00B574EC">
      <w:pPr>
        <w:pStyle w:val="Sangradetextonormal"/>
        <w:rPr>
          <w:b w:val="0"/>
        </w:rPr>
      </w:pPr>
      <w:r>
        <w:rPr>
          <w:b w:val="0"/>
        </w:rPr>
        <w:lastRenderedPageBreak/>
        <w:t>discrimine lo mejor posible entre las compañías en peligro y las no riesgosas.</w:t>
      </w:r>
    </w:p>
    <w:p w:rsidR="00000000" w:rsidRDefault="00B574EC">
      <w:pPr>
        <w:numPr>
          <w:ilvl w:val="0"/>
          <w:numId w:val="3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 las personas naturales y a grupos de personas que deseen montar una empresa, sería muy recomendable q</w:t>
      </w:r>
      <w:r>
        <w:rPr>
          <w:rFonts w:ascii="Arial" w:hAnsi="Arial"/>
          <w:lang w:val="es-MX"/>
        </w:rPr>
        <w:t>ue sea una empresa industrial o de servicios, sobre todo la última debido al gran crecimiento que ha venido teniendo a través del tiempo y porque según nuestro análisis, es en las empresas dedicadas a esta actividad donde se perciben la mayor cantidad de u</w:t>
      </w:r>
      <w:r>
        <w:rPr>
          <w:rFonts w:ascii="Arial" w:hAnsi="Arial"/>
          <w:lang w:val="es-MX"/>
        </w:rPr>
        <w:t>tilidades.</w:t>
      </w:r>
    </w:p>
    <w:p w:rsidR="00000000" w:rsidRDefault="00B574EC">
      <w:pPr>
        <w:numPr>
          <w:ilvl w:val="0"/>
          <w:numId w:val="3"/>
        </w:numPr>
        <w:tabs>
          <w:tab w:val="clear" w:pos="360"/>
          <w:tab w:val="num" w:pos="786"/>
        </w:tabs>
        <w:spacing w:line="480" w:lineRule="auto"/>
        <w:ind w:left="786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Vender una buena imagen del sector societario del país para así conseguir un incremento de la inversión extranjera.</w:t>
      </w:r>
    </w:p>
    <w:p w:rsidR="00000000" w:rsidRDefault="00B574EC">
      <w:pPr>
        <w:spacing w:line="480" w:lineRule="auto"/>
        <w:ind w:left="426"/>
        <w:jc w:val="both"/>
        <w:rPr>
          <w:rFonts w:ascii="Arial" w:hAnsi="Arial"/>
          <w:lang w:val="es-MX"/>
        </w:rPr>
      </w:pPr>
    </w:p>
    <w:p w:rsidR="00000000" w:rsidRDefault="00B574EC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B574EC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B574EC">
      <w:pPr>
        <w:spacing w:line="480" w:lineRule="auto"/>
        <w:jc w:val="both"/>
        <w:rPr>
          <w:rFonts w:ascii="Arial" w:hAnsi="Arial"/>
          <w:lang w:val="es-MX"/>
        </w:rPr>
      </w:pPr>
    </w:p>
    <w:p w:rsidR="00B574EC" w:rsidRDefault="00B574EC">
      <w:pPr>
        <w:spacing w:line="480" w:lineRule="auto"/>
        <w:jc w:val="both"/>
        <w:rPr>
          <w:rFonts w:ascii="Arial" w:hAnsi="Arial"/>
          <w:sz w:val="32"/>
          <w:lang w:val="es-MX"/>
        </w:rPr>
      </w:pPr>
    </w:p>
    <w:sectPr w:rsidR="00B574EC">
      <w:headerReference w:type="default" r:id="rId7"/>
      <w:pgSz w:w="11907" w:h="16840" w:code="9"/>
      <w:pgMar w:top="2268" w:right="1361" w:bottom="2268" w:left="2268" w:header="1418" w:footer="709" w:gutter="0"/>
      <w:pgNumType w:start="14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EC" w:rsidRDefault="00B574EC">
      <w:r>
        <w:separator/>
      </w:r>
    </w:p>
  </w:endnote>
  <w:endnote w:type="continuationSeparator" w:id="1">
    <w:p w:rsidR="00B574EC" w:rsidRDefault="00B5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EC" w:rsidRDefault="00B574EC">
      <w:r>
        <w:separator/>
      </w:r>
    </w:p>
  </w:footnote>
  <w:footnote w:type="continuationSeparator" w:id="1">
    <w:p w:rsidR="00B574EC" w:rsidRDefault="00B57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74EC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63F7D">
      <w:rPr>
        <w:rStyle w:val="Nmerodepgina"/>
        <w:noProof/>
      </w:rPr>
      <w:t>146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C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1A40C8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DE7105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F7D"/>
    <w:rsid w:val="00463F7D"/>
    <w:rsid w:val="00B5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line="480" w:lineRule="auto"/>
      <w:ind w:left="851"/>
      <w:jc w:val="both"/>
    </w:pPr>
    <w:rPr>
      <w:rFonts w:ascii="Arial" w:hAnsi="Arial"/>
      <w:b/>
      <w:lang w:val="es-MX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4</vt:lpstr>
    </vt:vector>
  </TitlesOfParts>
  <Company>Sánchez Firmat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4</dc:title>
  <dc:subject/>
  <dc:creator>Alvaro Sánchez Firmat</dc:creator>
  <cp:keywords/>
  <cp:lastModifiedBy>Ayudante</cp:lastModifiedBy>
  <cp:revision>2</cp:revision>
  <cp:lastPrinted>2002-05-29T20:23:00Z</cp:lastPrinted>
  <dcterms:created xsi:type="dcterms:W3CDTF">2009-07-14T15:36:00Z</dcterms:created>
  <dcterms:modified xsi:type="dcterms:W3CDTF">2009-07-14T15:36:00Z</dcterms:modified>
</cp:coreProperties>
</file>