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2491A">
      <w:pPr>
        <w:pStyle w:val="TDC1"/>
        <w:tabs>
          <w:tab w:val="right" w:leader="dot" w:pos="8267"/>
        </w:tabs>
        <w:rPr>
          <w:rFonts w:ascii="Arial" w:hAnsi="Arial" w:cs="Arial"/>
          <w:noProof/>
          <w:sz w:val="24"/>
          <w:szCs w:val="24"/>
          <w:lang w:val="es-ES" w:bidi="he-IL"/>
        </w:rPr>
      </w:pPr>
      <w:r>
        <w:rPr>
          <w:rFonts w:ascii="Arial" w:hAnsi="Arial" w:cs="Arial"/>
          <w:b/>
          <w:bCs/>
          <w:sz w:val="24"/>
        </w:rPr>
        <w:fldChar w:fldCharType="begin"/>
      </w:r>
      <w:r>
        <w:rPr>
          <w:rFonts w:ascii="Arial" w:hAnsi="Arial" w:cs="Arial"/>
          <w:b/>
          <w:bCs/>
          <w:sz w:val="24"/>
        </w:rPr>
        <w:instrText xml:space="preserve"> TOC \o "1-3" \h \z </w:instrText>
      </w:r>
      <w:r>
        <w:rPr>
          <w:rFonts w:ascii="Arial" w:hAnsi="Arial" w:cs="Arial"/>
          <w:b/>
          <w:bCs/>
          <w:sz w:val="24"/>
        </w:rPr>
        <w:fldChar w:fldCharType="separate"/>
      </w:r>
      <w:hyperlink w:anchor="_Toc9091577" w:history="1">
        <w:r>
          <w:rPr>
            <w:rStyle w:val="Hipervnculo"/>
            <w:rFonts w:ascii="Arial" w:hAnsi="Arial" w:cs="Arial"/>
            <w:noProof/>
            <w:sz w:val="24"/>
          </w:rPr>
          <w:t>Capítulo I</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_Toc9091577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1</w:t>
        </w:r>
        <w:r>
          <w:rPr>
            <w:rFonts w:ascii="Arial" w:hAnsi="Arial" w:cs="Arial"/>
            <w:noProof/>
            <w:webHidden/>
            <w:sz w:val="24"/>
          </w:rPr>
          <w:fldChar w:fldCharType="end"/>
        </w:r>
      </w:hyperlink>
    </w:p>
    <w:p w:rsidR="00000000" w:rsidRDefault="0072491A">
      <w:pPr>
        <w:pStyle w:val="TDC2"/>
        <w:tabs>
          <w:tab w:val="right" w:leader="dot" w:pos="8267"/>
        </w:tabs>
        <w:rPr>
          <w:rFonts w:ascii="Arial" w:hAnsi="Arial" w:cs="Arial"/>
          <w:noProof/>
          <w:sz w:val="24"/>
          <w:szCs w:val="24"/>
          <w:lang w:val="es-ES" w:bidi="he-IL"/>
        </w:rPr>
      </w:pPr>
      <w:hyperlink w:anchor="_Toc9091578" w:history="1">
        <w:r>
          <w:rPr>
            <w:rStyle w:val="Hipervnculo"/>
            <w:rFonts w:ascii="Arial" w:hAnsi="Arial" w:cs="Arial"/>
            <w:noProof/>
            <w:sz w:val="24"/>
            <w:szCs w:val="23"/>
          </w:rPr>
          <w:t>1.1 Introducción</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_Toc9091578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1</w:t>
        </w:r>
        <w:r>
          <w:rPr>
            <w:rFonts w:ascii="Arial" w:hAnsi="Arial" w:cs="Arial"/>
            <w:noProof/>
            <w:webHidden/>
            <w:sz w:val="24"/>
          </w:rPr>
          <w:fldChar w:fldCharType="end"/>
        </w:r>
      </w:hyperlink>
    </w:p>
    <w:p w:rsidR="00000000" w:rsidRDefault="0072491A">
      <w:pPr>
        <w:pStyle w:val="TDC2"/>
        <w:tabs>
          <w:tab w:val="right" w:leader="dot" w:pos="8267"/>
        </w:tabs>
        <w:rPr>
          <w:rFonts w:ascii="Arial" w:hAnsi="Arial" w:cs="Arial"/>
          <w:noProof/>
          <w:sz w:val="24"/>
          <w:szCs w:val="24"/>
          <w:lang w:val="es-ES" w:bidi="he-IL"/>
        </w:rPr>
      </w:pPr>
      <w:hyperlink w:anchor="_Toc9091579" w:history="1">
        <w:r>
          <w:rPr>
            <w:rStyle w:val="Hipervnculo"/>
            <w:rFonts w:ascii="Arial" w:hAnsi="Arial" w:cs="Arial"/>
            <w:noProof/>
            <w:sz w:val="24"/>
            <w:szCs w:val="23"/>
          </w:rPr>
          <w:t>1.2 Reseña Histórica de la provincia de Bolívar</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w:instrText>
        </w:r>
        <w:r>
          <w:rPr>
            <w:rFonts w:ascii="Arial" w:hAnsi="Arial" w:cs="Arial"/>
            <w:noProof/>
            <w:webHidden/>
            <w:sz w:val="24"/>
          </w:rPr>
          <w:instrText xml:space="preserve">AGEREF _Toc9091579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2</w:t>
        </w:r>
        <w:r>
          <w:rPr>
            <w:rFonts w:ascii="Arial" w:hAnsi="Arial" w:cs="Arial"/>
            <w:noProof/>
            <w:webHidden/>
            <w:sz w:val="24"/>
          </w:rPr>
          <w:fldChar w:fldCharType="end"/>
        </w:r>
      </w:hyperlink>
    </w:p>
    <w:p w:rsidR="00000000" w:rsidRDefault="0072491A">
      <w:pPr>
        <w:pStyle w:val="TDC2"/>
        <w:tabs>
          <w:tab w:val="right" w:leader="dot" w:pos="8267"/>
        </w:tabs>
        <w:rPr>
          <w:rFonts w:ascii="Arial" w:hAnsi="Arial" w:cs="Arial"/>
          <w:noProof/>
          <w:sz w:val="24"/>
          <w:szCs w:val="24"/>
          <w:lang w:val="es-ES" w:bidi="he-IL"/>
        </w:rPr>
      </w:pPr>
      <w:hyperlink w:anchor="_Toc9091580" w:history="1">
        <w:r>
          <w:rPr>
            <w:rStyle w:val="Hipervnculo"/>
            <w:rFonts w:ascii="Arial" w:hAnsi="Arial" w:cs="Arial"/>
            <w:noProof/>
            <w:sz w:val="24"/>
            <w:szCs w:val="23"/>
          </w:rPr>
          <w:t>1.3 Descripción Geográfica de la provincia de Bolívar</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_Toc9091580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4</w:t>
        </w:r>
        <w:r>
          <w:rPr>
            <w:rFonts w:ascii="Arial" w:hAnsi="Arial" w:cs="Arial"/>
            <w:noProof/>
            <w:webHidden/>
            <w:sz w:val="24"/>
          </w:rPr>
          <w:fldChar w:fldCharType="end"/>
        </w:r>
      </w:hyperlink>
    </w:p>
    <w:p w:rsidR="00000000" w:rsidRDefault="0072491A">
      <w:pPr>
        <w:pStyle w:val="TDC1"/>
        <w:tabs>
          <w:tab w:val="right" w:leader="dot" w:pos="8267"/>
        </w:tabs>
        <w:rPr>
          <w:rFonts w:ascii="Arial" w:hAnsi="Arial" w:cs="Arial"/>
          <w:noProof/>
          <w:sz w:val="24"/>
          <w:szCs w:val="24"/>
          <w:lang w:val="es-ES" w:bidi="he-IL"/>
        </w:rPr>
      </w:pPr>
      <w:hyperlink w:anchor="_Toc9091581" w:history="1">
        <w:r>
          <w:rPr>
            <w:rStyle w:val="Hipervnculo"/>
            <w:rFonts w:ascii="Arial" w:hAnsi="Arial" w:cs="Arial"/>
            <w:noProof/>
            <w:sz w:val="24"/>
          </w:rPr>
          <w:t>PROVINCIA DE BOLÍVAR: DIVISIÓN POLÍTICA ADMINISTRATIVA</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_Toc9091581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5</w:t>
        </w:r>
        <w:r>
          <w:rPr>
            <w:rFonts w:ascii="Arial" w:hAnsi="Arial" w:cs="Arial"/>
            <w:noProof/>
            <w:webHidden/>
            <w:sz w:val="24"/>
          </w:rPr>
          <w:fldChar w:fldCharType="end"/>
        </w:r>
      </w:hyperlink>
    </w:p>
    <w:p w:rsidR="00000000" w:rsidRDefault="0072491A">
      <w:pPr>
        <w:pStyle w:val="TDC2"/>
        <w:tabs>
          <w:tab w:val="right" w:leader="dot" w:pos="8267"/>
        </w:tabs>
        <w:rPr>
          <w:rFonts w:ascii="Arial" w:hAnsi="Arial" w:cs="Arial"/>
          <w:noProof/>
          <w:sz w:val="24"/>
          <w:szCs w:val="24"/>
          <w:lang w:val="es-ES" w:bidi="he-IL"/>
        </w:rPr>
      </w:pPr>
      <w:hyperlink w:anchor="_Toc9091582" w:history="1">
        <w:r>
          <w:rPr>
            <w:rStyle w:val="Hipervnculo"/>
            <w:rFonts w:ascii="Arial" w:hAnsi="Arial" w:cs="Arial"/>
            <w:noProof/>
            <w:sz w:val="24"/>
            <w:szCs w:val="23"/>
          </w:rPr>
          <w:t>1.4 Producción y explotación de recursos naturales</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_Toc9091582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7</w:t>
        </w:r>
        <w:r>
          <w:rPr>
            <w:rFonts w:ascii="Arial" w:hAnsi="Arial" w:cs="Arial"/>
            <w:noProof/>
            <w:webHidden/>
            <w:sz w:val="24"/>
          </w:rPr>
          <w:fldChar w:fldCharType="end"/>
        </w:r>
      </w:hyperlink>
    </w:p>
    <w:p w:rsidR="00000000" w:rsidRDefault="0072491A">
      <w:pPr>
        <w:pStyle w:val="TDC2"/>
        <w:tabs>
          <w:tab w:val="right" w:leader="dot" w:pos="8267"/>
        </w:tabs>
        <w:rPr>
          <w:rFonts w:ascii="Arial" w:hAnsi="Arial" w:cs="Arial"/>
          <w:noProof/>
          <w:sz w:val="24"/>
          <w:szCs w:val="24"/>
          <w:lang w:val="es-ES" w:bidi="he-IL"/>
        </w:rPr>
      </w:pPr>
      <w:hyperlink w:anchor="_Toc9091583" w:history="1">
        <w:r>
          <w:rPr>
            <w:rStyle w:val="Hipervnculo"/>
            <w:rFonts w:ascii="Arial" w:hAnsi="Arial" w:cs="Arial"/>
            <w:noProof/>
            <w:sz w:val="24"/>
            <w:szCs w:val="23"/>
          </w:rPr>
          <w:t>1.5 Características Demográficas y Sociales de la Provincia de Bolívar</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_Toc9091583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8</w:t>
        </w:r>
        <w:r>
          <w:rPr>
            <w:rFonts w:ascii="Arial" w:hAnsi="Arial" w:cs="Arial"/>
            <w:noProof/>
            <w:webHidden/>
            <w:sz w:val="24"/>
          </w:rPr>
          <w:fldChar w:fldCharType="end"/>
        </w:r>
      </w:hyperlink>
    </w:p>
    <w:p w:rsidR="00000000" w:rsidRDefault="0072491A">
      <w:pPr>
        <w:pStyle w:val="TDC1"/>
        <w:tabs>
          <w:tab w:val="right" w:leader="dot" w:pos="8267"/>
        </w:tabs>
        <w:rPr>
          <w:rFonts w:ascii="Arial" w:hAnsi="Arial" w:cs="Arial"/>
          <w:noProof/>
          <w:sz w:val="24"/>
          <w:szCs w:val="24"/>
          <w:lang w:val="es-ES" w:bidi="he-IL"/>
        </w:rPr>
      </w:pPr>
      <w:hyperlink w:anchor="_Toc9091584" w:history="1">
        <w:r>
          <w:rPr>
            <w:rStyle w:val="Hipervnculo"/>
            <w:rFonts w:ascii="Arial" w:hAnsi="Arial" w:cs="Arial"/>
            <w:noProof/>
            <w:sz w:val="24"/>
          </w:rPr>
          <w:t>PROVINCIA DE BOLÍVAR: PIRÁMIDE DE EDADES DE LA SEGÚN ZONA EN 1990</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_Toc9091584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9</w:t>
        </w:r>
        <w:r>
          <w:rPr>
            <w:rFonts w:ascii="Arial" w:hAnsi="Arial" w:cs="Arial"/>
            <w:noProof/>
            <w:webHidden/>
            <w:sz w:val="24"/>
          </w:rPr>
          <w:fldChar w:fldCharType="end"/>
        </w:r>
      </w:hyperlink>
    </w:p>
    <w:p w:rsidR="00000000" w:rsidRDefault="0072491A">
      <w:pPr>
        <w:pStyle w:val="TDC1"/>
        <w:tabs>
          <w:tab w:val="right" w:leader="dot" w:pos="8267"/>
        </w:tabs>
        <w:rPr>
          <w:rFonts w:ascii="Arial" w:hAnsi="Arial" w:cs="Arial"/>
          <w:noProof/>
          <w:sz w:val="24"/>
          <w:szCs w:val="24"/>
          <w:lang w:val="es-ES" w:bidi="he-IL"/>
        </w:rPr>
      </w:pPr>
      <w:hyperlink w:anchor="_Toc9091585" w:history="1">
        <w:r>
          <w:rPr>
            <w:rStyle w:val="Hipervnculo"/>
            <w:rFonts w:ascii="Arial" w:hAnsi="Arial" w:cs="Arial"/>
            <w:noProof/>
            <w:sz w:val="24"/>
          </w:rPr>
          <w:t>PROVINCIA DE BOLÍVAR:  TASAS DE CRECIMIENTO PROMEDIO ANUAL DE LA POBLACIÓN URBANA</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_Toc909158</w:instrText>
        </w:r>
        <w:r>
          <w:rPr>
            <w:rFonts w:ascii="Arial" w:hAnsi="Arial" w:cs="Arial"/>
            <w:noProof/>
            <w:webHidden/>
            <w:sz w:val="24"/>
          </w:rPr>
          <w:instrText xml:space="preserve">5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10</w:t>
        </w:r>
        <w:r>
          <w:rPr>
            <w:rFonts w:ascii="Arial" w:hAnsi="Arial" w:cs="Arial"/>
            <w:noProof/>
            <w:webHidden/>
            <w:sz w:val="24"/>
          </w:rPr>
          <w:fldChar w:fldCharType="end"/>
        </w:r>
      </w:hyperlink>
    </w:p>
    <w:p w:rsidR="00000000" w:rsidRDefault="0072491A">
      <w:pPr>
        <w:pStyle w:val="TDC1"/>
        <w:tabs>
          <w:tab w:val="right" w:leader="dot" w:pos="8267"/>
        </w:tabs>
        <w:rPr>
          <w:rFonts w:ascii="Arial" w:hAnsi="Arial" w:cs="Arial"/>
          <w:noProof/>
          <w:sz w:val="24"/>
          <w:szCs w:val="24"/>
          <w:lang w:val="es-ES" w:bidi="he-IL"/>
        </w:rPr>
      </w:pPr>
      <w:hyperlink w:anchor="_Toc9091586" w:history="1">
        <w:r>
          <w:rPr>
            <w:rStyle w:val="Hipervnculo"/>
            <w:rFonts w:ascii="Arial" w:hAnsi="Arial" w:cs="Arial"/>
            <w:noProof/>
            <w:sz w:val="24"/>
          </w:rPr>
          <w:t>PROVINCIA DE BOLÍVAR: NIVEL DE INSTRUCCIÓN DE LA POBLACIÓN EN 1990</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_Toc9091586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11</w:t>
        </w:r>
        <w:r>
          <w:rPr>
            <w:rFonts w:ascii="Arial" w:hAnsi="Arial" w:cs="Arial"/>
            <w:noProof/>
            <w:webHidden/>
            <w:sz w:val="24"/>
          </w:rPr>
          <w:fldChar w:fldCharType="end"/>
        </w:r>
      </w:hyperlink>
    </w:p>
    <w:p w:rsidR="00000000" w:rsidRDefault="0072491A">
      <w:pPr>
        <w:pStyle w:val="TDC1"/>
        <w:tabs>
          <w:tab w:val="right" w:leader="dot" w:pos="8267"/>
        </w:tabs>
        <w:rPr>
          <w:rFonts w:ascii="Arial" w:hAnsi="Arial" w:cs="Arial"/>
          <w:noProof/>
          <w:sz w:val="24"/>
          <w:szCs w:val="24"/>
          <w:lang w:val="es-ES" w:bidi="he-IL"/>
        </w:rPr>
      </w:pPr>
      <w:hyperlink w:anchor="_Toc9091587" w:history="1">
        <w:r>
          <w:rPr>
            <w:rStyle w:val="Hipervnculo"/>
            <w:rFonts w:ascii="Arial" w:hAnsi="Arial" w:cs="Arial"/>
            <w:noProof/>
            <w:sz w:val="24"/>
          </w:rPr>
          <w:t>PROVINCIA DE BOLÍVAR: ÍNDICES DE VIVIENDA</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_Toc9091587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14</w:t>
        </w:r>
        <w:r>
          <w:rPr>
            <w:rFonts w:ascii="Arial" w:hAnsi="Arial" w:cs="Arial"/>
            <w:noProof/>
            <w:webHidden/>
            <w:sz w:val="24"/>
          </w:rPr>
          <w:fldChar w:fldCharType="end"/>
        </w:r>
      </w:hyperlink>
    </w:p>
    <w:p w:rsidR="00000000" w:rsidRDefault="0072491A">
      <w:pPr>
        <w:pStyle w:val="TDC2"/>
        <w:tabs>
          <w:tab w:val="right" w:leader="dot" w:pos="8267"/>
        </w:tabs>
        <w:rPr>
          <w:rFonts w:ascii="Arial" w:hAnsi="Arial" w:cs="Arial"/>
          <w:noProof/>
          <w:sz w:val="24"/>
          <w:szCs w:val="24"/>
          <w:lang w:val="es-ES" w:bidi="he-IL"/>
        </w:rPr>
      </w:pPr>
      <w:hyperlink w:anchor="_Toc9091588" w:history="1">
        <w:r>
          <w:rPr>
            <w:rStyle w:val="Hipervnculo"/>
            <w:rFonts w:ascii="Arial" w:hAnsi="Arial" w:cs="Arial"/>
            <w:noProof/>
            <w:sz w:val="24"/>
            <w:szCs w:val="23"/>
          </w:rPr>
          <w:t>1.6 Estructura orgánica funcional del Ministerio de Educación Cultura</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_Toc9091588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15</w:t>
        </w:r>
        <w:r>
          <w:rPr>
            <w:rFonts w:ascii="Arial" w:hAnsi="Arial" w:cs="Arial"/>
            <w:noProof/>
            <w:webHidden/>
            <w:sz w:val="24"/>
          </w:rPr>
          <w:fldChar w:fldCharType="end"/>
        </w:r>
      </w:hyperlink>
    </w:p>
    <w:p w:rsidR="00000000" w:rsidRDefault="0072491A">
      <w:pPr>
        <w:pStyle w:val="TDC2"/>
        <w:tabs>
          <w:tab w:val="right" w:leader="dot" w:pos="8267"/>
        </w:tabs>
        <w:rPr>
          <w:rFonts w:ascii="Arial" w:hAnsi="Arial" w:cs="Arial"/>
          <w:noProof/>
          <w:sz w:val="24"/>
          <w:szCs w:val="24"/>
          <w:lang w:val="es-ES" w:bidi="he-IL"/>
        </w:rPr>
      </w:pPr>
      <w:hyperlink w:anchor="_Toc9091589" w:history="1">
        <w:r>
          <w:rPr>
            <w:rStyle w:val="Hipervnculo"/>
            <w:rFonts w:ascii="Arial" w:hAnsi="Arial" w:cs="Arial"/>
            <w:noProof/>
            <w:sz w:val="24"/>
            <w:szCs w:val="23"/>
          </w:rPr>
          <w:t>1.7 Datos estadísticos sobre la educación en Bolívar</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_Toc9091589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22</w:t>
        </w:r>
        <w:r>
          <w:rPr>
            <w:rFonts w:ascii="Arial" w:hAnsi="Arial" w:cs="Arial"/>
            <w:noProof/>
            <w:webHidden/>
            <w:sz w:val="24"/>
          </w:rPr>
          <w:fldChar w:fldCharType="end"/>
        </w:r>
      </w:hyperlink>
    </w:p>
    <w:p w:rsidR="00000000" w:rsidRDefault="0072491A">
      <w:pPr>
        <w:pStyle w:val="TDC1"/>
        <w:tabs>
          <w:tab w:val="right" w:leader="dot" w:pos="8267"/>
        </w:tabs>
        <w:rPr>
          <w:rFonts w:ascii="Arial" w:hAnsi="Arial" w:cs="Arial"/>
          <w:noProof/>
          <w:sz w:val="24"/>
          <w:szCs w:val="24"/>
          <w:lang w:val="es-ES" w:bidi="he-IL"/>
        </w:rPr>
      </w:pPr>
      <w:hyperlink w:anchor="_Toc9091590" w:history="1">
        <w:r>
          <w:rPr>
            <w:rStyle w:val="Hipervnculo"/>
            <w:rFonts w:ascii="Arial" w:hAnsi="Arial" w:cs="Arial"/>
            <w:noProof/>
            <w:sz w:val="24"/>
          </w:rPr>
          <w:t>PROVINCIA DE BOLÍVAR: TOTAL DE PLANTELES POR NIVEL</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_Toc9091590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25</w:t>
        </w:r>
        <w:r>
          <w:rPr>
            <w:rFonts w:ascii="Arial" w:hAnsi="Arial" w:cs="Arial"/>
            <w:noProof/>
            <w:webHidden/>
            <w:sz w:val="24"/>
          </w:rPr>
          <w:fldChar w:fldCharType="end"/>
        </w:r>
      </w:hyperlink>
    </w:p>
    <w:p w:rsidR="00000000" w:rsidRDefault="0072491A">
      <w:pPr>
        <w:pStyle w:val="TDC1"/>
        <w:tabs>
          <w:tab w:val="right" w:leader="dot" w:pos="8267"/>
        </w:tabs>
        <w:rPr>
          <w:rFonts w:ascii="Arial" w:hAnsi="Arial" w:cs="Arial"/>
          <w:noProof/>
          <w:sz w:val="24"/>
          <w:szCs w:val="24"/>
          <w:lang w:val="es-ES" w:bidi="he-IL"/>
        </w:rPr>
      </w:pPr>
      <w:hyperlink w:anchor="_Toc9091591" w:history="1">
        <w:r>
          <w:rPr>
            <w:rStyle w:val="Hipervnculo"/>
            <w:rFonts w:ascii="Arial" w:hAnsi="Arial" w:cs="Arial"/>
            <w:noProof/>
            <w:sz w:val="24"/>
          </w:rPr>
          <w:t>PROVINCIA DE BOLÍVAR: TOTAL DE PROFESORES POR NIVEL</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_Toc9091591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26</w:t>
        </w:r>
        <w:r>
          <w:rPr>
            <w:rFonts w:ascii="Arial" w:hAnsi="Arial" w:cs="Arial"/>
            <w:noProof/>
            <w:webHidden/>
            <w:sz w:val="24"/>
          </w:rPr>
          <w:fldChar w:fldCharType="end"/>
        </w:r>
      </w:hyperlink>
    </w:p>
    <w:p w:rsidR="00000000" w:rsidRDefault="0072491A">
      <w:pPr>
        <w:pStyle w:val="TDC1"/>
        <w:tabs>
          <w:tab w:val="right" w:leader="dot" w:pos="8267"/>
        </w:tabs>
        <w:rPr>
          <w:rFonts w:ascii="Arial" w:hAnsi="Arial" w:cs="Arial"/>
          <w:noProof/>
          <w:sz w:val="24"/>
          <w:szCs w:val="24"/>
          <w:lang w:val="es-ES" w:bidi="he-IL"/>
        </w:rPr>
      </w:pPr>
      <w:hyperlink w:anchor="_Toc9091593" w:history="1">
        <w:r>
          <w:rPr>
            <w:rStyle w:val="Hipervnculo"/>
            <w:rFonts w:ascii="Arial" w:hAnsi="Arial" w:cs="Arial"/>
            <w:noProof/>
            <w:sz w:val="24"/>
          </w:rPr>
          <w:t>PROVINCIA DE</w:t>
        </w:r>
        <w:r>
          <w:rPr>
            <w:rStyle w:val="Hipervnculo"/>
            <w:rFonts w:ascii="Arial" w:hAnsi="Arial" w:cs="Arial"/>
            <w:noProof/>
            <w:sz w:val="24"/>
          </w:rPr>
          <w:t xml:space="preserve"> BOLÍVAR: TOTAL DE ALUMNOS POR NIVEL</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_Toc9091593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27</w:t>
        </w:r>
        <w:r>
          <w:rPr>
            <w:rFonts w:ascii="Arial" w:hAnsi="Arial" w:cs="Arial"/>
            <w:noProof/>
            <w:webHidden/>
            <w:sz w:val="24"/>
          </w:rPr>
          <w:fldChar w:fldCharType="end"/>
        </w:r>
      </w:hyperlink>
    </w:p>
    <w:p w:rsidR="00000000" w:rsidRDefault="0072491A">
      <w:pPr>
        <w:pStyle w:val="TDC1"/>
        <w:tabs>
          <w:tab w:val="right" w:leader="dot" w:pos="8267"/>
        </w:tabs>
        <w:rPr>
          <w:rFonts w:ascii="Arial" w:hAnsi="Arial" w:cs="Arial"/>
          <w:noProof/>
          <w:sz w:val="24"/>
          <w:szCs w:val="24"/>
          <w:lang w:val="es-ES" w:bidi="he-IL"/>
        </w:rPr>
      </w:pPr>
      <w:hyperlink w:anchor="_Toc9091594" w:history="1">
        <w:r>
          <w:rPr>
            <w:rStyle w:val="Hipervnculo"/>
            <w:rFonts w:ascii="Arial" w:hAnsi="Arial" w:cs="Arial"/>
            <w:noProof/>
            <w:sz w:val="24"/>
          </w:rPr>
          <w:t>PROVINCIA DE BOLÍVAR: TOTAL DE PLANTELES POR SOSTENIMIENTO</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_Toc9091594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28</w:t>
        </w:r>
        <w:r>
          <w:rPr>
            <w:rFonts w:ascii="Arial" w:hAnsi="Arial" w:cs="Arial"/>
            <w:noProof/>
            <w:webHidden/>
            <w:sz w:val="24"/>
          </w:rPr>
          <w:fldChar w:fldCharType="end"/>
        </w:r>
      </w:hyperlink>
    </w:p>
    <w:p w:rsidR="00000000" w:rsidRDefault="0072491A">
      <w:pPr>
        <w:pStyle w:val="TDC1"/>
        <w:tabs>
          <w:tab w:val="right" w:leader="dot" w:pos="8267"/>
        </w:tabs>
        <w:rPr>
          <w:rFonts w:ascii="Arial" w:hAnsi="Arial" w:cs="Arial"/>
          <w:noProof/>
          <w:sz w:val="24"/>
          <w:szCs w:val="24"/>
          <w:lang w:val="es-ES" w:bidi="he-IL"/>
        </w:rPr>
      </w:pPr>
      <w:hyperlink w:anchor="_Toc9091595" w:history="1">
        <w:r>
          <w:rPr>
            <w:rStyle w:val="Hipervnculo"/>
            <w:rFonts w:ascii="Arial" w:hAnsi="Arial" w:cs="Arial"/>
            <w:noProof/>
            <w:sz w:val="24"/>
          </w:rPr>
          <w:t>PROVINCIA DE BOLÍVAR: TOTAL DE PRO</w:t>
        </w:r>
        <w:r>
          <w:rPr>
            <w:rStyle w:val="Hipervnculo"/>
            <w:rFonts w:ascii="Arial" w:hAnsi="Arial" w:cs="Arial"/>
            <w:noProof/>
            <w:sz w:val="24"/>
          </w:rPr>
          <w:t>FESORES POR SOSTENIMIENTO</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_Toc9091595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29</w:t>
        </w:r>
        <w:r>
          <w:rPr>
            <w:rFonts w:ascii="Arial" w:hAnsi="Arial" w:cs="Arial"/>
            <w:noProof/>
            <w:webHidden/>
            <w:sz w:val="24"/>
          </w:rPr>
          <w:fldChar w:fldCharType="end"/>
        </w:r>
      </w:hyperlink>
    </w:p>
    <w:p w:rsidR="00000000" w:rsidRDefault="0072491A">
      <w:pPr>
        <w:pStyle w:val="TDC1"/>
        <w:tabs>
          <w:tab w:val="right" w:leader="dot" w:pos="8267"/>
        </w:tabs>
        <w:rPr>
          <w:rFonts w:ascii="Arial" w:hAnsi="Arial" w:cs="Arial"/>
          <w:noProof/>
          <w:sz w:val="24"/>
          <w:szCs w:val="24"/>
          <w:lang w:val="es-ES" w:bidi="he-IL"/>
        </w:rPr>
      </w:pPr>
      <w:hyperlink w:anchor="_Toc9091596" w:history="1">
        <w:r>
          <w:rPr>
            <w:rStyle w:val="Hipervnculo"/>
            <w:rFonts w:ascii="Arial" w:hAnsi="Arial" w:cs="Arial"/>
            <w:noProof/>
            <w:sz w:val="24"/>
          </w:rPr>
          <w:t>PROVINCIA DE BOLÍVAR: TOTAL DE ALUMNOS POR SOSTENIMIENTO</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_Toc9091596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30</w:t>
        </w:r>
        <w:r>
          <w:rPr>
            <w:rFonts w:ascii="Arial" w:hAnsi="Arial" w:cs="Arial"/>
            <w:noProof/>
            <w:webHidden/>
            <w:sz w:val="24"/>
          </w:rPr>
          <w:fldChar w:fldCharType="end"/>
        </w:r>
      </w:hyperlink>
    </w:p>
    <w:p w:rsidR="00000000" w:rsidRDefault="0072491A">
      <w:pPr>
        <w:pStyle w:val="TDC1"/>
        <w:tabs>
          <w:tab w:val="right" w:leader="dot" w:pos="8267"/>
        </w:tabs>
        <w:rPr>
          <w:rFonts w:ascii="Arial" w:hAnsi="Arial" w:cs="Arial"/>
          <w:noProof/>
          <w:sz w:val="24"/>
          <w:szCs w:val="24"/>
          <w:lang w:val="es-ES" w:bidi="he-IL"/>
        </w:rPr>
      </w:pPr>
      <w:hyperlink w:anchor="_Toc9091597" w:history="1">
        <w:r>
          <w:rPr>
            <w:rStyle w:val="Hipervnculo"/>
            <w:rFonts w:ascii="Arial" w:hAnsi="Arial" w:cs="Arial"/>
            <w:noProof/>
            <w:sz w:val="24"/>
          </w:rPr>
          <w:t>PROVINCIA DE BOLÍVAR: TOTAL DE PLANTELES POR ZO</w:t>
        </w:r>
        <w:r>
          <w:rPr>
            <w:rStyle w:val="Hipervnculo"/>
            <w:rFonts w:ascii="Arial" w:hAnsi="Arial" w:cs="Arial"/>
            <w:noProof/>
            <w:sz w:val="24"/>
          </w:rPr>
          <w:t>NA</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_Toc9091597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32</w:t>
        </w:r>
        <w:r>
          <w:rPr>
            <w:rFonts w:ascii="Arial" w:hAnsi="Arial" w:cs="Arial"/>
            <w:noProof/>
            <w:webHidden/>
            <w:sz w:val="24"/>
          </w:rPr>
          <w:fldChar w:fldCharType="end"/>
        </w:r>
      </w:hyperlink>
    </w:p>
    <w:p w:rsidR="00000000" w:rsidRDefault="0072491A">
      <w:pPr>
        <w:pStyle w:val="TDC1"/>
        <w:tabs>
          <w:tab w:val="right" w:leader="dot" w:pos="8267"/>
        </w:tabs>
        <w:rPr>
          <w:rFonts w:ascii="Arial" w:hAnsi="Arial" w:cs="Arial"/>
          <w:noProof/>
          <w:sz w:val="24"/>
          <w:szCs w:val="24"/>
          <w:lang w:val="es-ES" w:bidi="he-IL"/>
        </w:rPr>
      </w:pPr>
      <w:hyperlink w:anchor="_Toc9091598" w:history="1">
        <w:r>
          <w:rPr>
            <w:rStyle w:val="Hipervnculo"/>
            <w:rFonts w:ascii="Arial" w:hAnsi="Arial" w:cs="Arial"/>
            <w:noProof/>
            <w:sz w:val="24"/>
          </w:rPr>
          <w:t>PROVINCIA DE BOLÍVAR: TOTAL DE PROFESORES POR ZONA</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_Toc9091598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33</w:t>
        </w:r>
        <w:r>
          <w:rPr>
            <w:rFonts w:ascii="Arial" w:hAnsi="Arial" w:cs="Arial"/>
            <w:noProof/>
            <w:webHidden/>
            <w:sz w:val="24"/>
          </w:rPr>
          <w:fldChar w:fldCharType="end"/>
        </w:r>
      </w:hyperlink>
    </w:p>
    <w:p w:rsidR="00000000" w:rsidRDefault="0072491A">
      <w:pPr>
        <w:pStyle w:val="TDC1"/>
        <w:tabs>
          <w:tab w:val="right" w:leader="dot" w:pos="8267"/>
        </w:tabs>
        <w:rPr>
          <w:rFonts w:ascii="Arial" w:hAnsi="Arial" w:cs="Arial"/>
          <w:noProof/>
          <w:sz w:val="24"/>
          <w:szCs w:val="24"/>
          <w:lang w:val="es-ES" w:bidi="he-IL"/>
        </w:rPr>
      </w:pPr>
      <w:hyperlink w:anchor="_Toc9091600" w:history="1">
        <w:r>
          <w:rPr>
            <w:rStyle w:val="Hipervnculo"/>
            <w:rFonts w:ascii="Arial" w:hAnsi="Arial" w:cs="Arial"/>
            <w:noProof/>
            <w:sz w:val="24"/>
          </w:rPr>
          <w:t>PROVINCIA DE BOLÍVAR: TOTAL DE ALUMNOS POR ZONA</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_Toc9091600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3</w:t>
        </w:r>
        <w:r>
          <w:rPr>
            <w:rFonts w:ascii="Arial" w:hAnsi="Arial" w:cs="Arial"/>
            <w:noProof/>
            <w:webHidden/>
            <w:sz w:val="24"/>
          </w:rPr>
          <w:t>5</w:t>
        </w:r>
        <w:r>
          <w:rPr>
            <w:rFonts w:ascii="Arial" w:hAnsi="Arial" w:cs="Arial"/>
            <w:noProof/>
            <w:webHidden/>
            <w:sz w:val="24"/>
          </w:rPr>
          <w:fldChar w:fldCharType="end"/>
        </w:r>
      </w:hyperlink>
    </w:p>
    <w:p w:rsidR="00000000" w:rsidRDefault="0072491A">
      <w:pPr>
        <w:pStyle w:val="TDC1"/>
        <w:tabs>
          <w:tab w:val="right" w:leader="dot" w:pos="8267"/>
        </w:tabs>
        <w:rPr>
          <w:rFonts w:ascii="Arial" w:hAnsi="Arial" w:cs="Arial"/>
          <w:noProof/>
          <w:sz w:val="24"/>
          <w:szCs w:val="24"/>
          <w:lang w:val="es-ES" w:bidi="he-IL"/>
        </w:rPr>
      </w:pPr>
      <w:hyperlink w:anchor="_Toc9091602" w:history="1">
        <w:r>
          <w:rPr>
            <w:rStyle w:val="Hipervnculo"/>
            <w:rFonts w:ascii="Arial" w:hAnsi="Arial" w:cs="Arial"/>
            <w:noProof/>
            <w:sz w:val="24"/>
          </w:rPr>
          <w:t>PROVINCIA DE BOLÍVAR: PERSONAL POR FUNCIONES Y SEXO</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_Toc9091602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37</w:t>
        </w:r>
        <w:r>
          <w:rPr>
            <w:rFonts w:ascii="Arial" w:hAnsi="Arial" w:cs="Arial"/>
            <w:noProof/>
            <w:webHidden/>
            <w:sz w:val="24"/>
          </w:rPr>
          <w:fldChar w:fldCharType="end"/>
        </w:r>
      </w:hyperlink>
    </w:p>
    <w:p w:rsidR="00000000" w:rsidRDefault="0072491A">
      <w:pPr>
        <w:pStyle w:val="TDC1"/>
        <w:tabs>
          <w:tab w:val="right" w:leader="dot" w:pos="8267"/>
        </w:tabs>
        <w:rPr>
          <w:rFonts w:ascii="Arial" w:hAnsi="Arial" w:cs="Arial"/>
          <w:noProof/>
          <w:sz w:val="24"/>
          <w:szCs w:val="24"/>
          <w:lang w:val="es-ES" w:bidi="he-IL"/>
        </w:rPr>
      </w:pPr>
      <w:hyperlink w:anchor="_Toc9091603" w:history="1">
        <w:r>
          <w:rPr>
            <w:rStyle w:val="Hipervnculo"/>
            <w:rFonts w:ascii="Arial" w:hAnsi="Arial" w:cs="Arial"/>
            <w:noProof/>
            <w:sz w:val="24"/>
          </w:rPr>
          <w:t>PROVINCIA DE BOLÍVAR: TOTAL DE DOCENTES POR TÍTULO Y SEXO</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_Toc9091603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38</w:t>
        </w:r>
        <w:r>
          <w:rPr>
            <w:rFonts w:ascii="Arial" w:hAnsi="Arial" w:cs="Arial"/>
            <w:noProof/>
            <w:webHidden/>
            <w:sz w:val="24"/>
          </w:rPr>
          <w:fldChar w:fldCharType="end"/>
        </w:r>
      </w:hyperlink>
    </w:p>
    <w:p w:rsidR="00000000" w:rsidRDefault="0072491A">
      <w:pPr>
        <w:pStyle w:val="TDC1"/>
        <w:tabs>
          <w:tab w:val="right" w:leader="dot" w:pos="8267"/>
        </w:tabs>
        <w:rPr>
          <w:rFonts w:ascii="Arial" w:hAnsi="Arial" w:cs="Arial"/>
          <w:noProof/>
          <w:sz w:val="24"/>
          <w:szCs w:val="24"/>
          <w:lang w:val="es-ES" w:bidi="he-IL"/>
        </w:rPr>
      </w:pPr>
      <w:hyperlink w:anchor="_Toc9091604" w:history="1">
        <w:r>
          <w:rPr>
            <w:rStyle w:val="Hipervnculo"/>
            <w:rFonts w:ascii="Arial" w:hAnsi="Arial" w:cs="Arial"/>
            <w:noProof/>
            <w:sz w:val="24"/>
          </w:rPr>
          <w:t>PROVINCIA DE BOLÍVAR: PERSONAL POR FUNCIONES Y SEXO EN PRE PRIMARIA</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_Toc9091604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39</w:t>
        </w:r>
        <w:r>
          <w:rPr>
            <w:rFonts w:ascii="Arial" w:hAnsi="Arial" w:cs="Arial"/>
            <w:noProof/>
            <w:webHidden/>
            <w:sz w:val="24"/>
          </w:rPr>
          <w:fldChar w:fldCharType="end"/>
        </w:r>
      </w:hyperlink>
    </w:p>
    <w:p w:rsidR="00000000" w:rsidRDefault="0072491A">
      <w:pPr>
        <w:pStyle w:val="TDC1"/>
        <w:tabs>
          <w:tab w:val="right" w:leader="dot" w:pos="8267"/>
        </w:tabs>
        <w:rPr>
          <w:rFonts w:ascii="Arial" w:hAnsi="Arial" w:cs="Arial"/>
          <w:noProof/>
          <w:sz w:val="24"/>
          <w:szCs w:val="24"/>
          <w:lang w:val="es-ES" w:bidi="he-IL"/>
        </w:rPr>
      </w:pPr>
      <w:hyperlink w:anchor="_Toc9091605" w:history="1">
        <w:r>
          <w:rPr>
            <w:rStyle w:val="Hipervnculo"/>
            <w:rFonts w:ascii="Arial" w:hAnsi="Arial" w:cs="Arial"/>
            <w:noProof/>
            <w:sz w:val="24"/>
          </w:rPr>
          <w:t>PROVINCIA DE BOLÍVAR: DOCENTES DE PRE PRIMARIA POR TÍTULO Y SEXO</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_Toc9091605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40</w:t>
        </w:r>
        <w:r>
          <w:rPr>
            <w:rFonts w:ascii="Arial" w:hAnsi="Arial" w:cs="Arial"/>
            <w:noProof/>
            <w:webHidden/>
            <w:sz w:val="24"/>
          </w:rPr>
          <w:fldChar w:fldCharType="end"/>
        </w:r>
      </w:hyperlink>
    </w:p>
    <w:p w:rsidR="00000000" w:rsidRDefault="0072491A">
      <w:pPr>
        <w:pStyle w:val="TDC1"/>
        <w:tabs>
          <w:tab w:val="right" w:leader="dot" w:pos="8267"/>
        </w:tabs>
        <w:rPr>
          <w:rFonts w:ascii="Arial" w:hAnsi="Arial" w:cs="Arial"/>
          <w:noProof/>
          <w:sz w:val="24"/>
          <w:szCs w:val="24"/>
          <w:lang w:val="es-ES" w:bidi="he-IL"/>
        </w:rPr>
      </w:pPr>
      <w:hyperlink w:anchor="_Toc9091606" w:history="1">
        <w:r>
          <w:rPr>
            <w:rStyle w:val="Hipervnculo"/>
            <w:rFonts w:ascii="Arial" w:hAnsi="Arial" w:cs="Arial"/>
            <w:noProof/>
            <w:sz w:val="24"/>
          </w:rPr>
          <w:t>PROVINCIA DE BOLÍVAR: PERSONAL POR FUNCIONES Y SEXO DE PRIMARIA</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_Toc9091606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41</w:t>
        </w:r>
        <w:r>
          <w:rPr>
            <w:rFonts w:ascii="Arial" w:hAnsi="Arial" w:cs="Arial"/>
            <w:noProof/>
            <w:webHidden/>
            <w:sz w:val="24"/>
          </w:rPr>
          <w:fldChar w:fldCharType="end"/>
        </w:r>
      </w:hyperlink>
    </w:p>
    <w:p w:rsidR="00000000" w:rsidRDefault="0072491A">
      <w:pPr>
        <w:pStyle w:val="TDC1"/>
        <w:tabs>
          <w:tab w:val="right" w:leader="dot" w:pos="8267"/>
        </w:tabs>
        <w:rPr>
          <w:rFonts w:ascii="Arial" w:hAnsi="Arial" w:cs="Arial"/>
          <w:noProof/>
          <w:sz w:val="24"/>
          <w:szCs w:val="24"/>
          <w:lang w:val="es-ES" w:bidi="he-IL"/>
        </w:rPr>
      </w:pPr>
      <w:hyperlink w:anchor="_Toc9091607" w:history="1">
        <w:r>
          <w:rPr>
            <w:rStyle w:val="Hipervnculo"/>
            <w:rFonts w:ascii="Arial" w:hAnsi="Arial" w:cs="Arial"/>
            <w:noProof/>
            <w:sz w:val="24"/>
          </w:rPr>
          <w:t>PROVINCIA DE BOLÍVAR: DOCENTES DE PRIMARIA POR TÍTULO Y SEXO</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_Toc9091607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42</w:t>
        </w:r>
        <w:r>
          <w:rPr>
            <w:rFonts w:ascii="Arial" w:hAnsi="Arial" w:cs="Arial"/>
            <w:noProof/>
            <w:webHidden/>
            <w:sz w:val="24"/>
          </w:rPr>
          <w:fldChar w:fldCharType="end"/>
        </w:r>
      </w:hyperlink>
    </w:p>
    <w:p w:rsidR="00000000" w:rsidRDefault="0072491A">
      <w:pPr>
        <w:pStyle w:val="TDC1"/>
        <w:tabs>
          <w:tab w:val="right" w:leader="dot" w:pos="8267"/>
        </w:tabs>
        <w:rPr>
          <w:rFonts w:ascii="Arial" w:hAnsi="Arial" w:cs="Arial"/>
          <w:noProof/>
          <w:sz w:val="24"/>
          <w:szCs w:val="24"/>
          <w:lang w:val="es-ES" w:bidi="he-IL"/>
        </w:rPr>
      </w:pPr>
      <w:hyperlink w:anchor="_Toc9091608" w:history="1">
        <w:r>
          <w:rPr>
            <w:rStyle w:val="Hipervnculo"/>
            <w:rFonts w:ascii="Arial" w:hAnsi="Arial" w:cs="Arial"/>
            <w:noProof/>
            <w:sz w:val="24"/>
          </w:rPr>
          <w:t>PROVINCIA DE BOLÍVAR: PERSONAL POR FUNCIONES Y SEXO DE SECUNDARIA</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_Toc9091608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43</w:t>
        </w:r>
        <w:r>
          <w:rPr>
            <w:rFonts w:ascii="Arial" w:hAnsi="Arial" w:cs="Arial"/>
            <w:noProof/>
            <w:webHidden/>
            <w:sz w:val="24"/>
          </w:rPr>
          <w:fldChar w:fldCharType="end"/>
        </w:r>
      </w:hyperlink>
    </w:p>
    <w:p w:rsidR="00000000" w:rsidRDefault="0072491A">
      <w:pPr>
        <w:pStyle w:val="TDC1"/>
        <w:tabs>
          <w:tab w:val="right" w:leader="dot" w:pos="8267"/>
        </w:tabs>
        <w:rPr>
          <w:rFonts w:ascii="Arial" w:hAnsi="Arial" w:cs="Arial"/>
          <w:noProof/>
          <w:sz w:val="24"/>
          <w:szCs w:val="24"/>
          <w:lang w:val="es-ES" w:bidi="he-IL"/>
        </w:rPr>
      </w:pPr>
      <w:hyperlink w:anchor="_Toc9091609" w:history="1">
        <w:r>
          <w:rPr>
            <w:rStyle w:val="Hipervnculo"/>
            <w:rFonts w:ascii="Arial" w:hAnsi="Arial" w:cs="Arial"/>
            <w:noProof/>
            <w:sz w:val="24"/>
          </w:rPr>
          <w:t>PROVINCIA DE BOLÍVAR: DOCENTES DE SECUNDARIA POR TÍTULO Y SEXO</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_Toc9091609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44</w:t>
        </w:r>
        <w:r>
          <w:rPr>
            <w:rFonts w:ascii="Arial" w:hAnsi="Arial" w:cs="Arial"/>
            <w:noProof/>
            <w:webHidden/>
            <w:sz w:val="24"/>
          </w:rPr>
          <w:fldChar w:fldCharType="end"/>
        </w:r>
      </w:hyperlink>
    </w:p>
    <w:p w:rsidR="00000000" w:rsidRDefault="0072491A">
      <w:pPr>
        <w:jc w:val="both"/>
        <w:rPr>
          <w:rFonts w:ascii="Arial" w:hAnsi="Arial" w:cs="Arial"/>
          <w:b/>
          <w:bCs/>
          <w:sz w:val="24"/>
        </w:rPr>
      </w:pPr>
      <w:r>
        <w:rPr>
          <w:rFonts w:ascii="Arial" w:hAnsi="Arial" w:cs="Arial"/>
          <w:b/>
          <w:bCs/>
          <w:sz w:val="24"/>
        </w:rPr>
        <w:fldChar w:fldCharType="end"/>
      </w:r>
      <w:r>
        <w:rPr>
          <w:rFonts w:ascii="Arial" w:hAnsi="Arial" w:cs="Arial"/>
          <w:b/>
          <w:bCs/>
          <w:sz w:val="24"/>
        </w:rPr>
        <w:br w:type="page"/>
      </w:r>
    </w:p>
    <w:p w:rsidR="00000000" w:rsidRDefault="0072491A">
      <w:pPr>
        <w:jc w:val="both"/>
        <w:rPr>
          <w:rFonts w:ascii="Arial" w:hAnsi="Arial" w:cs="Arial"/>
          <w:b/>
          <w:bCs/>
          <w:sz w:val="24"/>
        </w:rPr>
      </w:pPr>
    </w:p>
    <w:p w:rsidR="00000000" w:rsidRDefault="0072491A">
      <w:pPr>
        <w:jc w:val="both"/>
        <w:rPr>
          <w:rFonts w:ascii="Arial" w:hAnsi="Arial" w:cs="Arial"/>
          <w:b/>
          <w:bCs/>
          <w:sz w:val="24"/>
        </w:rPr>
      </w:pPr>
    </w:p>
    <w:p w:rsidR="00000000" w:rsidRDefault="0072491A">
      <w:pPr>
        <w:jc w:val="both"/>
        <w:rPr>
          <w:rFonts w:ascii="Arial" w:hAnsi="Arial" w:cs="Arial"/>
          <w:b/>
          <w:bCs/>
          <w:sz w:val="24"/>
        </w:rPr>
      </w:pPr>
    </w:p>
    <w:p w:rsidR="00000000" w:rsidRDefault="0072491A">
      <w:pPr>
        <w:jc w:val="both"/>
        <w:rPr>
          <w:rFonts w:ascii="Arial" w:hAnsi="Arial" w:cs="Arial"/>
          <w:b/>
          <w:bCs/>
          <w:sz w:val="24"/>
        </w:rPr>
      </w:pPr>
    </w:p>
    <w:p w:rsidR="00000000" w:rsidRDefault="0072491A">
      <w:pPr>
        <w:jc w:val="both"/>
        <w:rPr>
          <w:rFonts w:ascii="Arial" w:hAnsi="Arial" w:cs="Arial"/>
          <w:b/>
          <w:bCs/>
          <w:sz w:val="24"/>
        </w:rPr>
      </w:pPr>
    </w:p>
    <w:p w:rsidR="00000000" w:rsidRDefault="0072491A">
      <w:pPr>
        <w:pStyle w:val="Ttulo1"/>
        <w:rPr>
          <w:sz w:val="48"/>
        </w:rPr>
      </w:pPr>
      <w:bookmarkStart w:id="0" w:name="_Toc9091577"/>
      <w:r>
        <w:rPr>
          <w:sz w:val="48"/>
        </w:rPr>
        <w:t>Capítulo I</w:t>
      </w:r>
      <w:bookmarkEnd w:id="0"/>
    </w:p>
    <w:p w:rsidR="00000000" w:rsidRDefault="0072491A">
      <w:pPr>
        <w:jc w:val="center"/>
        <w:rPr>
          <w:rFonts w:ascii="Arial" w:hAnsi="Arial" w:cs="Arial"/>
          <w:b/>
          <w:bCs/>
          <w:sz w:val="32"/>
        </w:rPr>
      </w:pPr>
    </w:p>
    <w:p w:rsidR="00000000" w:rsidRDefault="0072491A">
      <w:pPr>
        <w:pStyle w:val="Ttulo1"/>
        <w:jc w:val="left"/>
        <w:rPr>
          <w:sz w:val="32"/>
        </w:rPr>
      </w:pPr>
      <w:r>
        <w:rPr>
          <w:sz w:val="32"/>
        </w:rPr>
        <w:t>1 Descripción  socio - demográfica de Bolívar</w:t>
      </w:r>
    </w:p>
    <w:p w:rsidR="00000000" w:rsidRDefault="0072491A">
      <w:pPr>
        <w:spacing w:line="480" w:lineRule="auto"/>
        <w:jc w:val="both"/>
        <w:rPr>
          <w:rFonts w:ascii="Arial" w:hAnsi="Arial" w:cs="Arial"/>
          <w:b/>
          <w:bCs/>
          <w:sz w:val="24"/>
        </w:rPr>
      </w:pPr>
    </w:p>
    <w:p w:rsidR="00000000" w:rsidRDefault="0072491A">
      <w:pPr>
        <w:pStyle w:val="Ttulo2"/>
        <w:spacing w:line="480" w:lineRule="auto"/>
        <w:ind w:left="119"/>
        <w:jc w:val="left"/>
        <w:rPr>
          <w:rFonts w:ascii="Arial" w:hAnsi="Arial" w:cs="Arial"/>
          <w:sz w:val="24"/>
        </w:rPr>
      </w:pPr>
      <w:bookmarkStart w:id="1" w:name="_Toc9091578"/>
      <w:r>
        <w:rPr>
          <w:rFonts w:ascii="Arial" w:hAnsi="Arial" w:cs="Arial"/>
          <w:sz w:val="24"/>
        </w:rPr>
        <w:t>1.1 Introducción</w:t>
      </w:r>
      <w:bookmarkEnd w:id="1"/>
    </w:p>
    <w:p w:rsidR="00000000" w:rsidRDefault="0072491A">
      <w:pPr>
        <w:spacing w:line="480" w:lineRule="auto"/>
        <w:jc w:val="both"/>
        <w:rPr>
          <w:rFonts w:ascii="Arial" w:hAnsi="Arial" w:cs="Arial"/>
          <w:b/>
          <w:bCs/>
          <w:sz w:val="24"/>
        </w:rPr>
      </w:pPr>
    </w:p>
    <w:p w:rsidR="00000000" w:rsidRDefault="0072491A">
      <w:pPr>
        <w:spacing w:line="480" w:lineRule="auto"/>
        <w:ind w:left="426"/>
        <w:jc w:val="both"/>
        <w:rPr>
          <w:rFonts w:ascii="Arial" w:hAnsi="Arial" w:cs="Arial"/>
          <w:sz w:val="24"/>
        </w:rPr>
      </w:pPr>
      <w:r>
        <w:rPr>
          <w:rFonts w:ascii="Arial" w:hAnsi="Arial" w:cs="Arial"/>
          <w:sz w:val="24"/>
        </w:rPr>
        <w:t>En el presente capítulo, se empieza por describir brevemente la historia de la fundación de la provincia; la geografía, orografía, hidrografía de la Hoya del Chimbo, hoya en la cual la provi</w:t>
      </w:r>
      <w:r>
        <w:rPr>
          <w:rFonts w:ascii="Arial" w:hAnsi="Arial" w:cs="Arial"/>
          <w:sz w:val="24"/>
        </w:rPr>
        <w:t>ncia de Bolívar está asentada, describiendo además el clima. Luego se presenta la producción y explotación de los recursos naturales, destacando que esta provincia es netamente agrícola; continuado la descripción de las características demográficas y socio</w:t>
      </w:r>
      <w:r>
        <w:rPr>
          <w:rFonts w:ascii="Arial" w:hAnsi="Arial" w:cs="Arial"/>
          <w:sz w:val="24"/>
        </w:rPr>
        <w:t>económicas de la población hasta llegar a la recopilación de datos acerca del magisterio. En esta parte se describe la educación por planteles, profesores y alumnos clasificándola por nivel de instrucción, sostenimiento y zona; además de la presentación de</w:t>
      </w:r>
      <w:r>
        <w:rPr>
          <w:rFonts w:ascii="Arial" w:hAnsi="Arial" w:cs="Arial"/>
          <w:sz w:val="24"/>
        </w:rPr>
        <w:t xml:space="preserve">l recurso humano en la educación de la provincia de Bolívar, en base a los boletines estadísticos: La educación en cifras, elaborados por el Sistema nacional de estadísticas educativas del Ministerio de Educación y </w:t>
      </w:r>
      <w:r>
        <w:rPr>
          <w:rFonts w:ascii="Arial" w:hAnsi="Arial" w:cs="Arial"/>
          <w:sz w:val="24"/>
        </w:rPr>
        <w:lastRenderedPageBreak/>
        <w:t>Cultura, de los años, 1993, 1994, 1995, 1</w:t>
      </w:r>
      <w:r>
        <w:rPr>
          <w:rFonts w:ascii="Arial" w:hAnsi="Arial" w:cs="Arial"/>
          <w:sz w:val="24"/>
        </w:rPr>
        <w:t>997, 1998 y 1999; comparándolos estos con los resultados del censo del magisterio</w:t>
      </w:r>
    </w:p>
    <w:p w:rsidR="00000000" w:rsidRDefault="0072491A">
      <w:pPr>
        <w:pStyle w:val="Ttulo2"/>
        <w:spacing w:line="480" w:lineRule="auto"/>
        <w:ind w:left="119"/>
        <w:jc w:val="left"/>
        <w:rPr>
          <w:rFonts w:ascii="Arial" w:hAnsi="Arial" w:cs="Arial"/>
          <w:sz w:val="24"/>
        </w:rPr>
      </w:pPr>
      <w:bookmarkStart w:id="2" w:name="_Toc9091579"/>
    </w:p>
    <w:p w:rsidR="00000000" w:rsidRDefault="0072491A">
      <w:pPr>
        <w:pStyle w:val="Ttulo2"/>
        <w:spacing w:line="480" w:lineRule="auto"/>
        <w:ind w:left="119"/>
        <w:jc w:val="left"/>
        <w:rPr>
          <w:rFonts w:ascii="Arial" w:hAnsi="Arial" w:cs="Arial"/>
          <w:sz w:val="24"/>
        </w:rPr>
      </w:pPr>
      <w:r>
        <w:rPr>
          <w:rFonts w:ascii="Arial" w:hAnsi="Arial" w:cs="Arial"/>
          <w:sz w:val="24"/>
        </w:rPr>
        <w:t>1.2 Reseña Histórica de la provincia de Bolívar</w:t>
      </w:r>
      <w:bookmarkEnd w:id="2"/>
    </w:p>
    <w:p w:rsidR="00000000" w:rsidRDefault="0072491A">
      <w:pPr>
        <w:spacing w:line="480" w:lineRule="auto"/>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t>La ciudad de Guaranda es una de las más antiguas que existieron en el Reino de Quito. Se cree que los primeros habitantes fu</w:t>
      </w:r>
      <w:r>
        <w:rPr>
          <w:rFonts w:ascii="Arial" w:hAnsi="Arial" w:cs="Arial"/>
          <w:sz w:val="24"/>
        </w:rPr>
        <w:t>eron mitimaes originarios de Cajamarca; sin embargo parece que este territorio fue habitado en la época precolonial por la nación de los Chimbis integradas por algunas parcialidades denominadas Guarangas, Tomabelas, Azancotos, Chillanes y otros.</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t xml:space="preserve">Guaranda </w:t>
      </w:r>
      <w:r>
        <w:rPr>
          <w:rFonts w:ascii="Arial" w:hAnsi="Arial" w:cs="Arial"/>
          <w:sz w:val="24"/>
        </w:rPr>
        <w:t>fue fundada por los españoles en 1534, asentándose sobre una población Guaranga que atacó a Pedro de Alvarado cuando éste se dirigía a la conquista del Reino de Quito. Durante la colonia, Guaranda formó parte del Corregimiento de Chimbo, hasta que el terre</w:t>
      </w:r>
      <w:r>
        <w:rPr>
          <w:rFonts w:ascii="Arial" w:hAnsi="Arial" w:cs="Arial"/>
          <w:sz w:val="24"/>
        </w:rPr>
        <w:t>moto de 1775 destruyó totalmente dicha ciudad; entonces pasó a  ser asentamiento de dicho corregimiento y adquirió mayor importancia. En 1811, por la situación geográfica, Guaranda era paso obligado entre las ciudades de la costa y la sierra, convirtiéndos</w:t>
      </w:r>
      <w:r>
        <w:rPr>
          <w:rFonts w:ascii="Arial" w:hAnsi="Arial" w:cs="Arial"/>
          <w:sz w:val="24"/>
        </w:rPr>
        <w:t xml:space="preserve">e en una floreciente y prospera población. El 11 de noviembre de ese mismo año la Junta </w:t>
      </w:r>
      <w:r>
        <w:rPr>
          <w:rFonts w:ascii="Arial" w:hAnsi="Arial" w:cs="Arial"/>
          <w:sz w:val="24"/>
        </w:rPr>
        <w:lastRenderedPageBreak/>
        <w:t>Suprema Gubernativa, con residencia en Quito, mediante decreto ejecutivo la elevó a la categoría de villa.</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t>Este ciudad se independizó de los españoles el 10 de noviemb</w:t>
      </w:r>
      <w:r>
        <w:rPr>
          <w:rFonts w:ascii="Arial" w:hAnsi="Arial" w:cs="Arial"/>
          <w:sz w:val="24"/>
        </w:rPr>
        <w:t>re de 1820, al día siguiente de la batalla de Camino Real, logrando el retiro de las tropas del corregidor de Guaranda; hecho que vino a facilitar el avance de las tropas de Sucre a Riobamba, Ambato, Latacunga, hasta llegar a las cimas del Pichincha, lugar</w:t>
      </w:r>
      <w:r>
        <w:rPr>
          <w:rFonts w:ascii="Arial" w:hAnsi="Arial" w:cs="Arial"/>
          <w:sz w:val="24"/>
        </w:rPr>
        <w:t xml:space="preserve"> donde el 24 de mayo de 1822 Ecuador se libera del yugo español. Participaron en la independencia de Guaranda fueron Josefina Barba, Pedro Tobar, y el ejército guayaquileño comandado por el Cap. Luis Urdaneta.</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t>Inicialmente, de acuerdo con la Ley de Divisi</w:t>
      </w:r>
      <w:r>
        <w:rPr>
          <w:rFonts w:ascii="Arial" w:hAnsi="Arial" w:cs="Arial"/>
          <w:sz w:val="24"/>
        </w:rPr>
        <w:t>ón Territorial de Colombia del 25 de junio de 1824, expedida por el Gral. Francisco de Paula Santander, Guaranda era cantón de la provincia de Chimborazo. El Dr. García Moreno, para facilitar la administración política y civil de esta sección, formó otra e</w:t>
      </w:r>
      <w:r>
        <w:rPr>
          <w:rFonts w:ascii="Arial" w:hAnsi="Arial" w:cs="Arial"/>
          <w:sz w:val="24"/>
        </w:rPr>
        <w:t>ntidad política; y se separó al cantón Guaranda en dos cantones, haciendo del pueblo de San José de Chimbo la cabecera de un nuevo cantón, creado con el mismo nombre el 3 de marzo de 1860.</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lastRenderedPageBreak/>
        <w:t>Posteriormente, a partir del 6 de octubre de 1860, el Dr. García M</w:t>
      </w:r>
      <w:r>
        <w:rPr>
          <w:rFonts w:ascii="Arial" w:hAnsi="Arial" w:cs="Arial"/>
          <w:sz w:val="24"/>
        </w:rPr>
        <w:t>oreno dispuso que los cantones de Guaranda y Chimbo formen parte de la recién formada provincia costeña de los Ríos. El 10 de enero de 1877, mediante decreto firmado por el Gral. Ignacio de Veintimilla, fue creado el cantón San Miguel de Bolívar.</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t>El 23 de</w:t>
      </w:r>
      <w:r>
        <w:rPr>
          <w:rFonts w:ascii="Arial" w:hAnsi="Arial" w:cs="Arial"/>
          <w:sz w:val="24"/>
        </w:rPr>
        <w:t xml:space="preserve"> abril de 1884, el gobierno del Dr. José María Plácido Caamaño decretó la creación de la provincia de Bolívar separándola de la provincia costeña de Los Ríos, la misma que fue inaugurada el 15 de mayo de ese mismo año; siendo su primer gobernador el Dr. Án</w:t>
      </w:r>
      <w:r>
        <w:rPr>
          <w:rFonts w:ascii="Arial" w:hAnsi="Arial" w:cs="Arial"/>
          <w:sz w:val="24"/>
        </w:rPr>
        <w:t>gel Polibio Chávez.</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p>
    <w:p w:rsidR="00000000" w:rsidRDefault="0072491A">
      <w:pPr>
        <w:pStyle w:val="Ttulo2"/>
        <w:spacing w:line="480" w:lineRule="auto"/>
        <w:ind w:left="119"/>
        <w:jc w:val="left"/>
        <w:rPr>
          <w:rFonts w:ascii="Arial" w:hAnsi="Arial" w:cs="Arial"/>
          <w:sz w:val="24"/>
        </w:rPr>
      </w:pPr>
      <w:bookmarkStart w:id="3" w:name="_Toc9091580"/>
      <w:r>
        <w:rPr>
          <w:rFonts w:ascii="Arial" w:hAnsi="Arial" w:cs="Arial"/>
          <w:sz w:val="24"/>
        </w:rPr>
        <w:t>1.3 Descripción Geográfica de la provincia de Bolívar</w:t>
      </w:r>
      <w:bookmarkEnd w:id="3"/>
    </w:p>
    <w:p w:rsidR="00000000" w:rsidRDefault="0072491A">
      <w:pPr>
        <w:spacing w:line="480" w:lineRule="auto"/>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t>La provincia de Bolívar tiene una extensión de 3953 km</w:t>
      </w:r>
      <w:r>
        <w:rPr>
          <w:rFonts w:ascii="Arial" w:hAnsi="Arial" w:cs="Arial"/>
          <w:sz w:val="24"/>
          <w:vertAlign w:val="superscript"/>
        </w:rPr>
        <w:t>2</w:t>
      </w:r>
      <w:r>
        <w:rPr>
          <w:rFonts w:ascii="Arial" w:hAnsi="Arial" w:cs="Arial"/>
          <w:sz w:val="24"/>
        </w:rPr>
        <w:t>, y limita con las provincias de Cotopaxi al norte, al sur con Chimborazo y Guayas, al este con Tungurahua y Chimborazo y al</w:t>
      </w:r>
      <w:r>
        <w:rPr>
          <w:rFonts w:ascii="Arial" w:hAnsi="Arial" w:cs="Arial"/>
          <w:sz w:val="24"/>
        </w:rPr>
        <w:t xml:space="preserve"> oeste con los Ríos.</w:t>
      </w:r>
    </w:p>
    <w:p w:rsidR="00000000" w:rsidRDefault="0072491A">
      <w:pPr>
        <w:pStyle w:val="Textoindependiente2"/>
        <w:ind w:left="426"/>
      </w:pPr>
    </w:p>
    <w:p w:rsidR="00000000" w:rsidRDefault="0072491A">
      <w:pPr>
        <w:pStyle w:val="Textoindependiente2"/>
        <w:ind w:left="426"/>
      </w:pPr>
      <w:r>
        <w:t>La provincia de Bolívar está integrada por los cantones Guaranda, Caluma, Chillanes, Chimbo, Echeandía, Las Naves y San Miguel, siendo su capital es la ciudad de Guaranda.</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sz w:val="24"/>
        </w:rPr>
      </w:pP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sz w:val="24"/>
        </w:rPr>
      </w:pPr>
      <w:r>
        <w:rPr>
          <w:rFonts w:ascii="Arial" w:hAnsi="Arial" w:cs="Arial"/>
          <w:b/>
          <w:bCs/>
          <w:sz w:val="24"/>
        </w:rPr>
        <w:t>GRAFICO 1.1</w:t>
      </w: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sz w:val="24"/>
        </w:rPr>
      </w:pPr>
    </w:p>
    <w:p w:rsidR="00000000" w:rsidRDefault="0072491A">
      <w:pPr>
        <w:pStyle w:val="Ttulo1"/>
        <w:pBdr>
          <w:top w:val="single" w:sz="4" w:space="1" w:color="auto"/>
          <w:left w:val="single" w:sz="4" w:space="4" w:color="auto"/>
          <w:bottom w:val="single" w:sz="4" w:space="1" w:color="auto"/>
          <w:right w:val="single" w:sz="4" w:space="4" w:color="auto"/>
        </w:pBdr>
        <w:ind w:left="426"/>
      </w:pPr>
      <w:bookmarkStart w:id="4" w:name="_Toc9091581"/>
      <w:r>
        <w:t>PROVINCIA DE BOLÍVAR: DIVISIÓN POLÍTICA ADMINI</w:t>
      </w:r>
      <w:r>
        <w:t>STRATIVA</w:t>
      </w:r>
      <w:bookmarkEnd w:id="4"/>
      <w:r>
        <w:t xml:space="preserve"> </w:t>
      </w: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sz w:val="24"/>
        </w:rPr>
      </w:pPr>
    </w:p>
    <w:p w:rsidR="00000000" w:rsidRDefault="007956D9">
      <w:pPr>
        <w:pBdr>
          <w:top w:val="single" w:sz="4" w:space="1" w:color="auto"/>
          <w:left w:val="single" w:sz="4" w:space="4" w:color="auto"/>
          <w:bottom w:val="single" w:sz="4" w:space="1" w:color="auto"/>
          <w:right w:val="single" w:sz="4" w:space="4" w:color="auto"/>
        </w:pBdr>
        <w:ind w:left="426"/>
        <w:jc w:val="center"/>
        <w:rPr>
          <w:rFonts w:ascii="Arial" w:hAnsi="Arial" w:cs="Arial"/>
          <w:sz w:val="24"/>
        </w:rPr>
      </w:pPr>
      <w:r>
        <w:rPr>
          <w:noProof/>
          <w:lang w:val="es-ES"/>
        </w:rPr>
        <w:drawing>
          <wp:inline distT="0" distB="0" distL="0" distR="0">
            <wp:extent cx="2501900" cy="2857500"/>
            <wp:effectExtent l="19050" t="0" r="0" b="0"/>
            <wp:docPr id="1" name="Imagen 1" descr="http://www.explored.com.ec/ecuador/grafico1/signos/boli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lored.com.ec/ecuador/grafico1/signos/bolimap.gif"/>
                    <pic:cNvPicPr>
                      <a:picLocks noChangeAspect="1" noChangeArrowheads="1"/>
                    </pic:cNvPicPr>
                  </pic:nvPicPr>
                  <pic:blipFill>
                    <a:blip r:embed="rId7"/>
                    <a:srcRect/>
                    <a:stretch>
                      <a:fillRect/>
                    </a:stretch>
                  </pic:blipFill>
                  <pic:spPr bwMode="auto">
                    <a:xfrm>
                      <a:off x="0" y="0"/>
                      <a:ext cx="2501900" cy="2857500"/>
                    </a:xfrm>
                    <a:prstGeom prst="rect">
                      <a:avLst/>
                    </a:prstGeom>
                    <a:noFill/>
                    <a:ln w="9525">
                      <a:noFill/>
                      <a:miter lim="800000"/>
                      <a:headEnd/>
                      <a:tailEnd/>
                    </a:ln>
                  </pic:spPr>
                </pic:pic>
              </a:graphicData>
            </a:graphic>
          </wp:inline>
        </w:drawing>
      </w: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rPr>
      </w:pPr>
      <w:r>
        <w:rPr>
          <w:rFonts w:ascii="Arial" w:hAnsi="Arial" w:cs="Arial"/>
          <w:b/>
          <w:bCs/>
        </w:rPr>
        <w:t>FUENTE</w:t>
      </w:r>
      <w:r>
        <w:rPr>
          <w:rFonts w:ascii="Arial" w:hAnsi="Arial" w:cs="Arial"/>
        </w:rPr>
        <w:t>: http://www.explored.com.ec/ecuador/boliv.htm</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t>La provincia de Bolívar yace sobre la hoya del Chimbo. Esta hoya está entre la Cordill</w:t>
      </w:r>
      <w:r>
        <w:rPr>
          <w:rFonts w:ascii="Arial" w:hAnsi="Arial" w:cs="Arial"/>
          <w:sz w:val="24"/>
        </w:rPr>
        <w:t xml:space="preserve">era Occidental de los Andes y la cordillera del Chimbo, convergente con la hoya del Chanchán, encerrada entre los nudos de Tiocajas y Azuay, que se unen entre sí al suroeste; formando amplias llanuras al occidente. </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t>Las principales elevaciones de la provi</w:t>
      </w:r>
      <w:r>
        <w:rPr>
          <w:rFonts w:ascii="Arial" w:hAnsi="Arial" w:cs="Arial"/>
          <w:sz w:val="24"/>
        </w:rPr>
        <w:t xml:space="preserve">ncia de Bolívar son: El Capadiac (4900 m), el Gallorumi (4200 m), y el Catanaguan (3900 m). El Chimbo es el río principal, formado por la unión de los ríos Salinas y Guaranda, que juntan sus aguas al sur de la capital de la provincia; corriendo de norte a </w:t>
      </w:r>
      <w:r>
        <w:rPr>
          <w:rFonts w:ascii="Arial" w:hAnsi="Arial" w:cs="Arial"/>
          <w:sz w:val="24"/>
        </w:rPr>
        <w:t xml:space="preserve">sur. A sus márgenes va formando mesetas, siendo las principales Guaranda, San José, San Miguel y Pallatanga. Más adelante recibe otros afluentes, entre ellos al San Lorenzo y los que vienen de la provincia de Chimborazo. </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t>Debido a que los ríos pequeños cr</w:t>
      </w:r>
      <w:r>
        <w:rPr>
          <w:rFonts w:ascii="Arial" w:hAnsi="Arial" w:cs="Arial"/>
          <w:sz w:val="24"/>
        </w:rPr>
        <w:t>uzan los valles de esta provincia, el riego de los terrenos ha sido un tanto fácil, dando lugar a que no haya terrenos secos o sin cultivar; transformando las selvas en amplias zonas agrícolas y ganaderas.</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t>Al noroeste de la pequeña ciudad de Guanujo al pi</w:t>
      </w:r>
      <w:r>
        <w:rPr>
          <w:rFonts w:ascii="Arial" w:hAnsi="Arial" w:cs="Arial"/>
          <w:sz w:val="24"/>
        </w:rPr>
        <w:t>e de una colina, los arroyos depositan sus aguas formando las lagunas de Pato-Cocha y Purig-Cocha. Las márgenes de estas lagunas se hallan cubiertas de vegetación en donde viven patos silvestres.</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t>Las mesetas altas tienen clima frío andino, estas se ubican</w:t>
      </w:r>
      <w:r>
        <w:rPr>
          <w:rFonts w:ascii="Arial" w:hAnsi="Arial" w:cs="Arial"/>
          <w:sz w:val="24"/>
        </w:rPr>
        <w:t xml:space="preserve"> entre los 3200 y 4700 metros de altitud. Las mesetas y plataformas interiores de Guanujo, Guaranda, San José y San Miguel tienen clima temperado andino. Este clima se da entre los 2500 y 3200 metros de altitud, con temperaturas que fluctúan entre los 10° </w:t>
      </w:r>
      <w:r>
        <w:rPr>
          <w:rFonts w:ascii="Arial" w:hAnsi="Arial" w:cs="Arial"/>
          <w:sz w:val="24"/>
        </w:rPr>
        <w:t>y 15° centígrados, con lluvias abundantes. Chillanes y Balzapamba tienen clima subtropical interandino, que se da entre 1800 y 2500 metros de altitud, con temperaturas que fluctúan entre los 15° y 20° centígrados y con escasas lluvias. En la zona occidenta</w:t>
      </w:r>
      <w:r>
        <w:rPr>
          <w:rFonts w:ascii="Arial" w:hAnsi="Arial" w:cs="Arial"/>
          <w:sz w:val="24"/>
        </w:rPr>
        <w:t>l también se da este clima, y son lugares propicios para la producción agrícola, pero con muy limitadas vías de comunicación.</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p>
    <w:p w:rsidR="00000000" w:rsidRDefault="0072491A">
      <w:pPr>
        <w:pStyle w:val="Ttulo2"/>
        <w:spacing w:line="480" w:lineRule="auto"/>
        <w:ind w:left="119"/>
        <w:jc w:val="left"/>
        <w:rPr>
          <w:rFonts w:ascii="Arial" w:hAnsi="Arial" w:cs="Arial"/>
          <w:sz w:val="24"/>
        </w:rPr>
      </w:pPr>
      <w:bookmarkStart w:id="5" w:name="_Toc9091582"/>
      <w:r>
        <w:rPr>
          <w:rFonts w:ascii="Arial" w:hAnsi="Arial" w:cs="Arial"/>
          <w:sz w:val="24"/>
        </w:rPr>
        <w:t>1.4 Producción y explotación de recursos naturales</w:t>
      </w:r>
      <w:bookmarkEnd w:id="5"/>
    </w:p>
    <w:p w:rsidR="00000000" w:rsidRDefault="0072491A">
      <w:pPr>
        <w:spacing w:line="480" w:lineRule="auto"/>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t>La provincia de Bolívar es la única provincia serrana que cuenta con zonas a</w:t>
      </w:r>
      <w:r>
        <w:rPr>
          <w:rFonts w:ascii="Arial" w:hAnsi="Arial" w:cs="Arial"/>
          <w:sz w:val="24"/>
        </w:rPr>
        <w:t>ptas para la agricultura y ganadería propias de la Sierra como de la Costa, gracias a la diversidad de climas que posee, como consecuencia de su posición geográfica. A pesar de su riqueza ecológica, Bolívar no tiene áreas naturales protegidas.</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t>En el secto</w:t>
      </w:r>
      <w:r>
        <w:rPr>
          <w:rFonts w:ascii="Arial" w:hAnsi="Arial" w:cs="Arial"/>
          <w:sz w:val="24"/>
        </w:rPr>
        <w:t xml:space="preserve">r agrícola es relevante la producción de trigo, papas, cebada, maíz, caña de azúcar, café, banano, complementada con una gran variedad de hortalizas, legumbres y árboles frutales. Es importante señalar que existen áreas forestales de pino y eucalipto, que </w:t>
      </w:r>
      <w:r>
        <w:rPr>
          <w:rFonts w:ascii="Arial" w:hAnsi="Arial" w:cs="Arial"/>
          <w:sz w:val="24"/>
        </w:rPr>
        <w:t xml:space="preserve">son aprovechadas por la industria maderera local. La actividad ganadera se han incrementado gracias a los extensos pastizales existentes. </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pPr>
      <w:r>
        <w:rPr>
          <w:rFonts w:ascii="Arial" w:hAnsi="Arial" w:cs="Arial"/>
          <w:sz w:val="24"/>
        </w:rPr>
        <w:t>En lo referente a minería, las zonas de Ayurco, Chimbo, Santiago, Santa Fe, Lorenzo, San Miguel y las Guardias posee</w:t>
      </w:r>
      <w:r>
        <w:rPr>
          <w:rFonts w:ascii="Arial" w:hAnsi="Arial" w:cs="Arial"/>
          <w:sz w:val="24"/>
        </w:rPr>
        <w:t>n minas de arcilla y caolín; en la parroquia de Salinas se localizan yacimientos de sal. Minerales como el zinc, cobre, plata, entre otros, son explotados aunque en menor escala. Está en proyecto concesionar terrenos en Balzapamba (3483 Has), Telimbela (20</w:t>
      </w:r>
      <w:r>
        <w:rPr>
          <w:rFonts w:ascii="Arial" w:hAnsi="Arial" w:cs="Arial"/>
          <w:sz w:val="24"/>
        </w:rPr>
        <w:t>00 Has), y Guardias (1070 Has) para la explotación de cobre y molibdeno.</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p>
    <w:p w:rsidR="00000000" w:rsidRDefault="0072491A">
      <w:pPr>
        <w:pStyle w:val="Ttulo2"/>
        <w:spacing w:line="480" w:lineRule="auto"/>
        <w:ind w:left="119"/>
        <w:jc w:val="left"/>
        <w:rPr>
          <w:rFonts w:ascii="Arial" w:hAnsi="Arial" w:cs="Arial"/>
          <w:sz w:val="24"/>
        </w:rPr>
      </w:pPr>
      <w:bookmarkStart w:id="6" w:name="_Toc9091583"/>
      <w:r>
        <w:rPr>
          <w:rFonts w:ascii="Arial" w:hAnsi="Arial" w:cs="Arial"/>
          <w:sz w:val="24"/>
        </w:rPr>
        <w:t>1.5 Características Demográficas y Sociales de la Provincia de Bolívar</w:t>
      </w:r>
      <w:bookmarkEnd w:id="6"/>
    </w:p>
    <w:p w:rsidR="00000000" w:rsidRDefault="0072491A">
      <w:pPr>
        <w:spacing w:line="480" w:lineRule="auto"/>
        <w:jc w:val="both"/>
        <w:rPr>
          <w:rFonts w:ascii="Arial" w:hAnsi="Arial" w:cs="Arial"/>
          <w:b/>
          <w:bCs/>
          <w:sz w:val="24"/>
        </w:rPr>
      </w:pPr>
    </w:p>
    <w:p w:rsidR="00000000" w:rsidRDefault="0072491A">
      <w:pPr>
        <w:pStyle w:val="Textoindependiente2"/>
        <w:ind w:left="426"/>
      </w:pPr>
      <w:r>
        <w:t>La población de la provincia de Bolívar, según los resultados del V Censo de Población de 1990, es 170593 hab</w:t>
      </w:r>
      <w:r>
        <w:t xml:space="preserve">itantes, con una densidad poblacional de 39.4 habitantes por kilómetro cuadrado, siendo Chimbo el cantón más densamente poblado, con 60.4 habitantes por  kilómetro cuadrado. El cantón menos densamente poblado es Chillanes, con 31 habitantes por  kilómetro </w:t>
      </w:r>
      <w:r>
        <w:t xml:space="preserve">cuadrado. </w:t>
      </w:r>
    </w:p>
    <w:p w:rsidR="00000000" w:rsidRDefault="0072491A">
      <w:pPr>
        <w:pStyle w:val="Textoindependiente2"/>
        <w:ind w:left="426"/>
      </w:pPr>
    </w:p>
    <w:p w:rsidR="00000000" w:rsidRDefault="0072491A">
      <w:pPr>
        <w:pStyle w:val="Textoindependiente2"/>
        <w:ind w:left="426"/>
      </w:pPr>
      <w:r>
        <w:t>La población de la provincia de Bolívar esta compuesta por el 21.1% residentes en el área urbana, y 78.9% residentes del área rural. El cantón Chillanes cuenta con el menor porcentaje de población urbana, siendo este el 9.9% de la población tot</w:t>
      </w:r>
      <w:r>
        <w:t>al del cantón. Por el contrario el cantón Echandía tiene un 35.6% de población urbana, siendo este el cantón de la provincia de Bolívar en el que más personas que viven en zonas urbanas. Esta información es obtenida de los datos definitivos del censo de po</w:t>
      </w:r>
      <w:r>
        <w:t xml:space="preserve">blación, realizado por el INEC en 1990, periodo en el cual el cantón Las Naves era parroquia rural del cantón Guaranda. </w:t>
      </w:r>
    </w:p>
    <w:p w:rsidR="00000000" w:rsidRDefault="0072491A">
      <w:pPr>
        <w:ind w:left="426"/>
        <w:jc w:val="both"/>
        <w:rPr>
          <w:rFonts w:ascii="Arial" w:hAnsi="Arial" w:cs="Arial"/>
          <w:sz w:val="24"/>
        </w:rPr>
      </w:pP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sz w:val="24"/>
        </w:rPr>
      </w:pP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sz w:val="24"/>
        </w:rPr>
      </w:pPr>
      <w:r>
        <w:rPr>
          <w:rFonts w:ascii="Arial" w:hAnsi="Arial" w:cs="Arial"/>
          <w:b/>
          <w:bCs/>
          <w:sz w:val="24"/>
        </w:rPr>
        <w:t>GRÁFICO 1.2</w:t>
      </w: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sz w:val="24"/>
        </w:rPr>
      </w:pPr>
    </w:p>
    <w:p w:rsidR="00000000" w:rsidRDefault="0072491A">
      <w:pPr>
        <w:pStyle w:val="Ttulo1"/>
        <w:pBdr>
          <w:top w:val="single" w:sz="4" w:space="1" w:color="auto"/>
          <w:left w:val="single" w:sz="4" w:space="4" w:color="auto"/>
          <w:bottom w:val="single" w:sz="4" w:space="1" w:color="auto"/>
          <w:right w:val="single" w:sz="4" w:space="4" w:color="auto"/>
        </w:pBdr>
        <w:ind w:left="426"/>
      </w:pPr>
      <w:bookmarkStart w:id="7" w:name="_Toc9091584"/>
      <w:r>
        <w:t>PROVINCIA DE BOLÍVAR: PIRÁMIDE DE EDADES DE LA SEGÚN ZONA EN 1990</w:t>
      </w:r>
      <w:bookmarkEnd w:id="7"/>
    </w:p>
    <w:p w:rsidR="00000000" w:rsidRDefault="0072491A">
      <w:pPr>
        <w:pBdr>
          <w:top w:val="single" w:sz="4" w:space="1" w:color="auto"/>
          <w:left w:val="single" w:sz="4" w:space="4" w:color="auto"/>
          <w:bottom w:val="single" w:sz="4" w:space="1" w:color="auto"/>
          <w:right w:val="single" w:sz="4" w:space="4" w:color="auto"/>
        </w:pBdr>
        <w:ind w:left="426"/>
        <w:jc w:val="center"/>
      </w:pPr>
      <w:r>
        <w:object w:dxaOrig="8011" w:dyaOrig="5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187pt" o:ole="">
            <v:imagedata r:id="rId8" o:title="" croptop="5364f"/>
          </v:shape>
          <o:OLEObject Type="Embed" ProgID="PBrush" ShapeID="_x0000_i1025" DrawAspect="Content" ObjectID="_1309089456" r:id="rId9"/>
        </w:object>
      </w: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sz w:val="24"/>
        </w:rPr>
      </w:pPr>
      <w:r>
        <w:rPr>
          <w:rFonts w:ascii="Arial" w:hAnsi="Arial" w:cs="Arial"/>
          <w:b/>
          <w:bCs/>
        </w:rPr>
        <w:t>FUENTE:</w:t>
      </w:r>
      <w:r>
        <w:rPr>
          <w:rFonts w:ascii="Arial" w:hAnsi="Arial" w:cs="Arial"/>
        </w:rPr>
        <w:t xml:space="preserve"> INEC, Resultados Definitiv</w:t>
      </w:r>
      <w:r>
        <w:rPr>
          <w:rFonts w:ascii="Arial" w:hAnsi="Arial" w:cs="Arial"/>
        </w:rPr>
        <w:t>os del V Censo de Población, 1990</w:t>
      </w:r>
    </w:p>
    <w:p w:rsidR="00000000" w:rsidRDefault="0072491A">
      <w:pPr>
        <w:pStyle w:val="Textoindependiente2"/>
        <w:ind w:left="426"/>
      </w:pPr>
    </w:p>
    <w:p w:rsidR="00000000" w:rsidRDefault="0072491A">
      <w:pPr>
        <w:pStyle w:val="Textoindependiente2"/>
        <w:ind w:left="426"/>
      </w:pPr>
      <w:r>
        <w:t>La tasa de crecimiento de la provincia de Bolívar en el periodo 1950 a 1990 es baja (2.68) con respecto a la tasa de crecimiento nacional en el mismo periodo (4.39). La población de Bolívar también comprende a la nacional</w:t>
      </w:r>
      <w:r>
        <w:t xml:space="preserve">idad indígena Quichua, la cual tiene grupos étnicos en esta provincia que se nombran según el lugar donde habitan, por ejemplo los Guaranda, Simiatug, etc. </w:t>
      </w:r>
    </w:p>
    <w:p w:rsidR="00000000" w:rsidRDefault="0072491A">
      <w:pPr>
        <w:ind w:left="426"/>
        <w:jc w:val="center"/>
        <w:rPr>
          <w:rFonts w:ascii="Arial" w:hAnsi="Arial" w:cs="Arial"/>
          <w:b/>
          <w:bCs/>
          <w:sz w:val="24"/>
        </w:rPr>
      </w:pPr>
    </w:p>
    <w:tbl>
      <w:tblPr>
        <w:tblW w:w="0" w:type="auto"/>
        <w:jc w:val="center"/>
        <w:tblInd w:w="-132"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tblPr>
      <w:tblGrid>
        <w:gridCol w:w="338"/>
        <w:gridCol w:w="2531"/>
        <w:gridCol w:w="1036"/>
        <w:gridCol w:w="1036"/>
        <w:gridCol w:w="1036"/>
        <w:gridCol w:w="1036"/>
        <w:gridCol w:w="1037"/>
        <w:gridCol w:w="499"/>
      </w:tblGrid>
      <w:tr w:rsidR="00000000">
        <w:tblPrEx>
          <w:tblCellMar>
            <w:top w:w="0" w:type="dxa"/>
            <w:bottom w:w="0" w:type="dxa"/>
          </w:tblCellMar>
        </w:tblPrEx>
        <w:trPr>
          <w:cantSplit/>
          <w:jc w:val="center"/>
        </w:trPr>
        <w:tc>
          <w:tcPr>
            <w:tcW w:w="8662" w:type="dxa"/>
            <w:gridSpan w:val="8"/>
          </w:tcPr>
          <w:p w:rsidR="00000000" w:rsidRDefault="0072491A">
            <w:pPr>
              <w:ind w:left="426"/>
              <w:jc w:val="center"/>
              <w:rPr>
                <w:rFonts w:ascii="Arial" w:hAnsi="Arial" w:cs="Arial"/>
                <w:b/>
                <w:bCs/>
                <w:sz w:val="24"/>
              </w:rPr>
            </w:pPr>
          </w:p>
          <w:p w:rsidR="00000000" w:rsidRDefault="0072491A">
            <w:pPr>
              <w:ind w:left="426"/>
              <w:jc w:val="center"/>
              <w:rPr>
                <w:rFonts w:ascii="Arial" w:hAnsi="Arial" w:cs="Arial"/>
                <w:b/>
                <w:bCs/>
                <w:sz w:val="24"/>
              </w:rPr>
            </w:pPr>
            <w:r>
              <w:rPr>
                <w:rFonts w:ascii="Arial" w:hAnsi="Arial" w:cs="Arial"/>
                <w:b/>
                <w:bCs/>
                <w:sz w:val="24"/>
              </w:rPr>
              <w:t>TABLA I</w:t>
            </w:r>
          </w:p>
          <w:p w:rsidR="00000000" w:rsidRDefault="0072491A">
            <w:pPr>
              <w:ind w:left="426"/>
              <w:jc w:val="center"/>
              <w:rPr>
                <w:rFonts w:ascii="Arial" w:hAnsi="Arial" w:cs="Arial"/>
                <w:b/>
                <w:bCs/>
                <w:sz w:val="24"/>
              </w:rPr>
            </w:pPr>
          </w:p>
          <w:p w:rsidR="00000000" w:rsidRDefault="0072491A">
            <w:pPr>
              <w:pStyle w:val="Ttulo1"/>
              <w:ind w:left="426"/>
            </w:pPr>
            <w:bookmarkStart w:id="8" w:name="_Toc9091585"/>
            <w:r>
              <w:t>PROVINCIA DE BOLÍVAR:  TASAS DE CRECIMIENTO PROMEDIO ANUAL DE LA POBLACIÓN URBANA</w:t>
            </w:r>
            <w:bookmarkEnd w:id="8"/>
            <w:r>
              <w:t xml:space="preserve"> </w:t>
            </w:r>
          </w:p>
        </w:tc>
      </w:tr>
      <w:tr w:rsidR="00000000">
        <w:tblPrEx>
          <w:tblCellMar>
            <w:top w:w="0" w:type="dxa"/>
            <w:bottom w:w="0" w:type="dxa"/>
          </w:tblCellMar>
        </w:tblPrEx>
        <w:trPr>
          <w:jc w:val="center"/>
        </w:trPr>
        <w:tc>
          <w:tcPr>
            <w:tcW w:w="353" w:type="dxa"/>
            <w:tcBorders>
              <w:right w:val="single" w:sz="6" w:space="0" w:color="000000"/>
            </w:tcBorders>
          </w:tcPr>
          <w:p w:rsidR="00000000" w:rsidRDefault="0072491A">
            <w:pPr>
              <w:ind w:left="426"/>
            </w:pPr>
          </w:p>
        </w:tc>
        <w:tc>
          <w:tcPr>
            <w:tcW w:w="2573" w:type="dxa"/>
            <w:tcBorders>
              <w:top w:val="single" w:sz="6" w:space="0" w:color="000000"/>
              <w:left w:val="single" w:sz="6" w:space="0" w:color="000000"/>
              <w:bottom w:val="single" w:sz="6" w:space="0" w:color="000000"/>
              <w:right w:val="single" w:sz="6" w:space="0" w:color="000000"/>
            </w:tcBorders>
          </w:tcPr>
          <w:p w:rsidR="00000000" w:rsidRDefault="0072491A">
            <w:pPr>
              <w:ind w:left="426"/>
              <w:jc w:val="both"/>
              <w:rPr>
                <w:rFonts w:ascii="Arial" w:hAnsi="Arial" w:cs="Arial"/>
              </w:rPr>
            </w:pPr>
            <w:r>
              <w:rPr>
                <w:rFonts w:ascii="Arial" w:hAnsi="Arial" w:cs="Arial"/>
              </w:rPr>
              <w:t>PER</w:t>
            </w:r>
            <w:r>
              <w:rPr>
                <w:rFonts w:ascii="Arial" w:hAnsi="Arial" w:cs="Arial"/>
              </w:rPr>
              <w:t>IODO INTERCENSAL</w:t>
            </w:r>
          </w:p>
        </w:tc>
        <w:tc>
          <w:tcPr>
            <w:tcW w:w="1042" w:type="dxa"/>
            <w:tcBorders>
              <w:top w:val="single" w:sz="6" w:space="0" w:color="000000"/>
              <w:left w:val="single" w:sz="6" w:space="0" w:color="000000"/>
              <w:bottom w:val="single" w:sz="6" w:space="0" w:color="000000"/>
              <w:right w:val="single" w:sz="6" w:space="0" w:color="000000"/>
            </w:tcBorders>
          </w:tcPr>
          <w:p w:rsidR="00000000" w:rsidRDefault="0072491A">
            <w:pPr>
              <w:ind w:left="426"/>
              <w:jc w:val="center"/>
              <w:rPr>
                <w:rFonts w:ascii="Arial" w:hAnsi="Arial" w:cs="Arial"/>
              </w:rPr>
            </w:pPr>
            <w:r>
              <w:rPr>
                <w:rFonts w:ascii="Arial" w:hAnsi="Arial" w:cs="Arial"/>
              </w:rPr>
              <w:t>50 - 62</w:t>
            </w:r>
          </w:p>
        </w:tc>
        <w:tc>
          <w:tcPr>
            <w:tcW w:w="1042" w:type="dxa"/>
            <w:tcBorders>
              <w:top w:val="single" w:sz="6" w:space="0" w:color="000000"/>
              <w:left w:val="single" w:sz="6" w:space="0" w:color="000000"/>
              <w:bottom w:val="single" w:sz="6" w:space="0" w:color="000000"/>
              <w:right w:val="single" w:sz="6" w:space="0" w:color="000000"/>
            </w:tcBorders>
          </w:tcPr>
          <w:p w:rsidR="00000000" w:rsidRDefault="0072491A">
            <w:pPr>
              <w:ind w:left="426"/>
              <w:jc w:val="center"/>
              <w:rPr>
                <w:rFonts w:ascii="Arial" w:hAnsi="Arial" w:cs="Arial"/>
              </w:rPr>
            </w:pPr>
            <w:r>
              <w:rPr>
                <w:rFonts w:ascii="Arial" w:hAnsi="Arial" w:cs="Arial"/>
              </w:rPr>
              <w:t>62 - 74</w:t>
            </w:r>
          </w:p>
        </w:tc>
        <w:tc>
          <w:tcPr>
            <w:tcW w:w="1042" w:type="dxa"/>
            <w:tcBorders>
              <w:top w:val="single" w:sz="6" w:space="0" w:color="000000"/>
              <w:left w:val="single" w:sz="6" w:space="0" w:color="000000"/>
              <w:bottom w:val="single" w:sz="6" w:space="0" w:color="000000"/>
              <w:right w:val="single" w:sz="6" w:space="0" w:color="000000"/>
            </w:tcBorders>
          </w:tcPr>
          <w:p w:rsidR="00000000" w:rsidRDefault="0072491A">
            <w:pPr>
              <w:ind w:left="426"/>
              <w:jc w:val="center"/>
              <w:rPr>
                <w:rFonts w:ascii="Arial" w:hAnsi="Arial" w:cs="Arial"/>
              </w:rPr>
            </w:pPr>
            <w:r>
              <w:rPr>
                <w:rFonts w:ascii="Arial" w:hAnsi="Arial" w:cs="Arial"/>
              </w:rPr>
              <w:t>74 - 82</w:t>
            </w:r>
          </w:p>
        </w:tc>
        <w:tc>
          <w:tcPr>
            <w:tcW w:w="1042" w:type="dxa"/>
            <w:tcBorders>
              <w:top w:val="single" w:sz="6" w:space="0" w:color="000000"/>
              <w:left w:val="single" w:sz="6" w:space="0" w:color="000000"/>
              <w:bottom w:val="single" w:sz="6" w:space="0" w:color="000000"/>
              <w:right w:val="single" w:sz="6" w:space="0" w:color="000000"/>
            </w:tcBorders>
          </w:tcPr>
          <w:p w:rsidR="00000000" w:rsidRDefault="0072491A">
            <w:pPr>
              <w:ind w:left="426"/>
              <w:jc w:val="center"/>
              <w:rPr>
                <w:rFonts w:ascii="Arial" w:hAnsi="Arial" w:cs="Arial"/>
              </w:rPr>
            </w:pPr>
            <w:r>
              <w:rPr>
                <w:rFonts w:ascii="Arial" w:hAnsi="Arial" w:cs="Arial"/>
              </w:rPr>
              <w:t>82 - 90</w:t>
            </w:r>
          </w:p>
        </w:tc>
        <w:tc>
          <w:tcPr>
            <w:tcW w:w="1043" w:type="dxa"/>
            <w:tcBorders>
              <w:top w:val="single" w:sz="6" w:space="0" w:color="000000"/>
              <w:left w:val="single" w:sz="6" w:space="0" w:color="000000"/>
              <w:bottom w:val="single" w:sz="6" w:space="0" w:color="000000"/>
              <w:right w:val="single" w:sz="6" w:space="0" w:color="000000"/>
            </w:tcBorders>
          </w:tcPr>
          <w:p w:rsidR="00000000" w:rsidRDefault="0072491A">
            <w:pPr>
              <w:ind w:left="426"/>
              <w:jc w:val="center"/>
              <w:rPr>
                <w:rFonts w:ascii="Arial" w:hAnsi="Arial" w:cs="Arial"/>
              </w:rPr>
            </w:pPr>
            <w:r>
              <w:rPr>
                <w:rFonts w:ascii="Arial" w:hAnsi="Arial" w:cs="Arial"/>
              </w:rPr>
              <w:t>50 - 90</w:t>
            </w:r>
          </w:p>
        </w:tc>
        <w:tc>
          <w:tcPr>
            <w:tcW w:w="525" w:type="dxa"/>
            <w:tcBorders>
              <w:left w:val="single" w:sz="6" w:space="0" w:color="000000"/>
            </w:tcBorders>
          </w:tcPr>
          <w:p w:rsidR="00000000" w:rsidRDefault="0072491A">
            <w:pPr>
              <w:ind w:left="426"/>
            </w:pPr>
          </w:p>
        </w:tc>
      </w:tr>
      <w:tr w:rsidR="00000000">
        <w:tblPrEx>
          <w:tblCellMar>
            <w:top w:w="0" w:type="dxa"/>
            <w:bottom w:w="0" w:type="dxa"/>
          </w:tblCellMar>
        </w:tblPrEx>
        <w:trPr>
          <w:jc w:val="center"/>
        </w:trPr>
        <w:tc>
          <w:tcPr>
            <w:tcW w:w="353" w:type="dxa"/>
            <w:tcBorders>
              <w:right w:val="single" w:sz="6" w:space="0" w:color="000000"/>
            </w:tcBorders>
          </w:tcPr>
          <w:p w:rsidR="00000000" w:rsidRDefault="0072491A">
            <w:pPr>
              <w:ind w:left="426"/>
            </w:pPr>
          </w:p>
        </w:tc>
        <w:tc>
          <w:tcPr>
            <w:tcW w:w="2573" w:type="dxa"/>
            <w:tcBorders>
              <w:top w:val="single" w:sz="6" w:space="0" w:color="000000"/>
              <w:left w:val="single" w:sz="6" w:space="0" w:color="000000"/>
              <w:bottom w:val="single" w:sz="6" w:space="0" w:color="000000"/>
              <w:right w:val="single" w:sz="6" w:space="0" w:color="000000"/>
            </w:tcBorders>
          </w:tcPr>
          <w:p w:rsidR="00000000" w:rsidRDefault="0072491A">
            <w:pPr>
              <w:ind w:left="426"/>
              <w:jc w:val="both"/>
              <w:rPr>
                <w:rFonts w:ascii="Arial" w:hAnsi="Arial" w:cs="Arial"/>
              </w:rPr>
            </w:pPr>
            <w:r>
              <w:rPr>
                <w:rFonts w:ascii="Arial" w:hAnsi="Arial" w:cs="Arial"/>
              </w:rPr>
              <w:t>TASA</w:t>
            </w:r>
          </w:p>
        </w:tc>
        <w:tc>
          <w:tcPr>
            <w:tcW w:w="1042" w:type="dxa"/>
            <w:tcBorders>
              <w:top w:val="single" w:sz="6" w:space="0" w:color="000000"/>
              <w:left w:val="single" w:sz="6" w:space="0" w:color="000000"/>
              <w:bottom w:val="single" w:sz="6" w:space="0" w:color="000000"/>
              <w:right w:val="single" w:sz="6" w:space="0" w:color="000000"/>
            </w:tcBorders>
          </w:tcPr>
          <w:p w:rsidR="00000000" w:rsidRDefault="0072491A">
            <w:pPr>
              <w:ind w:left="426"/>
              <w:jc w:val="center"/>
              <w:rPr>
                <w:rFonts w:ascii="Arial" w:hAnsi="Arial" w:cs="Arial"/>
              </w:rPr>
            </w:pPr>
            <w:r>
              <w:rPr>
                <w:rFonts w:ascii="Arial" w:hAnsi="Arial" w:cs="Arial"/>
              </w:rPr>
              <w:t>2.63</w:t>
            </w:r>
          </w:p>
        </w:tc>
        <w:tc>
          <w:tcPr>
            <w:tcW w:w="1042" w:type="dxa"/>
            <w:tcBorders>
              <w:top w:val="single" w:sz="6" w:space="0" w:color="000000"/>
              <w:left w:val="single" w:sz="6" w:space="0" w:color="000000"/>
              <w:bottom w:val="single" w:sz="6" w:space="0" w:color="000000"/>
              <w:right w:val="single" w:sz="6" w:space="0" w:color="000000"/>
            </w:tcBorders>
          </w:tcPr>
          <w:p w:rsidR="00000000" w:rsidRDefault="0072491A">
            <w:pPr>
              <w:ind w:left="426"/>
              <w:jc w:val="center"/>
              <w:rPr>
                <w:rFonts w:ascii="Arial" w:hAnsi="Arial" w:cs="Arial"/>
              </w:rPr>
            </w:pPr>
            <w:r>
              <w:rPr>
                <w:rFonts w:ascii="Arial" w:hAnsi="Arial" w:cs="Arial"/>
              </w:rPr>
              <w:t>1.83</w:t>
            </w:r>
          </w:p>
        </w:tc>
        <w:tc>
          <w:tcPr>
            <w:tcW w:w="1042" w:type="dxa"/>
            <w:tcBorders>
              <w:top w:val="single" w:sz="6" w:space="0" w:color="000000"/>
              <w:left w:val="single" w:sz="6" w:space="0" w:color="000000"/>
              <w:bottom w:val="single" w:sz="6" w:space="0" w:color="000000"/>
              <w:right w:val="single" w:sz="6" w:space="0" w:color="000000"/>
            </w:tcBorders>
          </w:tcPr>
          <w:p w:rsidR="00000000" w:rsidRDefault="0072491A">
            <w:pPr>
              <w:ind w:left="426"/>
              <w:jc w:val="center"/>
              <w:rPr>
                <w:rFonts w:ascii="Arial" w:hAnsi="Arial" w:cs="Arial"/>
              </w:rPr>
            </w:pPr>
            <w:r>
              <w:rPr>
                <w:rFonts w:ascii="Arial" w:hAnsi="Arial" w:cs="Arial"/>
              </w:rPr>
              <w:t>2.10</w:t>
            </w:r>
          </w:p>
        </w:tc>
        <w:tc>
          <w:tcPr>
            <w:tcW w:w="1042" w:type="dxa"/>
            <w:tcBorders>
              <w:top w:val="single" w:sz="6" w:space="0" w:color="000000"/>
              <w:left w:val="single" w:sz="6" w:space="0" w:color="000000"/>
              <w:bottom w:val="single" w:sz="6" w:space="0" w:color="000000"/>
              <w:right w:val="single" w:sz="6" w:space="0" w:color="000000"/>
            </w:tcBorders>
          </w:tcPr>
          <w:p w:rsidR="00000000" w:rsidRDefault="0072491A">
            <w:pPr>
              <w:ind w:left="426"/>
              <w:jc w:val="center"/>
              <w:rPr>
                <w:rFonts w:ascii="Arial" w:hAnsi="Arial" w:cs="Arial"/>
              </w:rPr>
            </w:pPr>
            <w:r>
              <w:rPr>
                <w:rFonts w:ascii="Arial" w:hAnsi="Arial" w:cs="Arial"/>
              </w:rPr>
              <w:t>4.59</w:t>
            </w:r>
          </w:p>
        </w:tc>
        <w:tc>
          <w:tcPr>
            <w:tcW w:w="1043" w:type="dxa"/>
            <w:tcBorders>
              <w:top w:val="single" w:sz="6" w:space="0" w:color="000000"/>
              <w:left w:val="single" w:sz="6" w:space="0" w:color="000000"/>
              <w:bottom w:val="single" w:sz="6" w:space="0" w:color="000000"/>
              <w:right w:val="single" w:sz="6" w:space="0" w:color="000000"/>
            </w:tcBorders>
          </w:tcPr>
          <w:p w:rsidR="00000000" w:rsidRDefault="0072491A">
            <w:pPr>
              <w:ind w:left="426"/>
              <w:jc w:val="center"/>
              <w:rPr>
                <w:rFonts w:ascii="Arial" w:hAnsi="Arial" w:cs="Arial"/>
              </w:rPr>
            </w:pPr>
            <w:r>
              <w:rPr>
                <w:rFonts w:ascii="Arial" w:hAnsi="Arial" w:cs="Arial"/>
              </w:rPr>
              <w:t>2.68</w:t>
            </w:r>
          </w:p>
        </w:tc>
        <w:tc>
          <w:tcPr>
            <w:tcW w:w="525" w:type="dxa"/>
            <w:tcBorders>
              <w:left w:val="single" w:sz="6" w:space="0" w:color="000000"/>
            </w:tcBorders>
          </w:tcPr>
          <w:p w:rsidR="00000000" w:rsidRDefault="0072491A">
            <w:pPr>
              <w:ind w:left="426"/>
            </w:pPr>
          </w:p>
        </w:tc>
      </w:tr>
      <w:tr w:rsidR="00000000">
        <w:tblPrEx>
          <w:tblCellMar>
            <w:top w:w="0" w:type="dxa"/>
            <w:bottom w:w="0" w:type="dxa"/>
          </w:tblCellMar>
        </w:tblPrEx>
        <w:trPr>
          <w:cantSplit/>
          <w:jc w:val="center"/>
        </w:trPr>
        <w:tc>
          <w:tcPr>
            <w:tcW w:w="8662" w:type="dxa"/>
            <w:gridSpan w:val="8"/>
          </w:tcPr>
          <w:p w:rsidR="00000000" w:rsidRDefault="0072491A">
            <w:pPr>
              <w:ind w:left="426"/>
              <w:jc w:val="center"/>
            </w:pPr>
            <w:r>
              <w:rPr>
                <w:rFonts w:ascii="Arial" w:hAnsi="Arial" w:cs="Arial"/>
                <w:b/>
                <w:bCs/>
              </w:rPr>
              <w:t xml:space="preserve">FUENTE: </w:t>
            </w:r>
            <w:r>
              <w:rPr>
                <w:rFonts w:ascii="Arial" w:hAnsi="Arial" w:cs="Arial"/>
              </w:rPr>
              <w:t>INEC, Resultados Definitivos del V Censo de Población, 1990</w:t>
            </w:r>
          </w:p>
        </w:tc>
      </w:tr>
    </w:tbl>
    <w:p w:rsidR="00000000" w:rsidRDefault="0072491A">
      <w:pPr>
        <w:pStyle w:val="Textoindependiente2"/>
        <w:ind w:left="426"/>
      </w:pPr>
    </w:p>
    <w:p w:rsidR="00000000" w:rsidRDefault="0072491A">
      <w:pPr>
        <w:pStyle w:val="Textoindependiente2"/>
        <w:ind w:left="426"/>
      </w:pPr>
      <w:r>
        <w:t>La población masculina en 1990 corresponde al 49.6% y la femenina al 50.4%. El cantón con mayo</w:t>
      </w:r>
      <w:r>
        <w:t>r porcentaje de población masculina es Caluma, representando esto el 52.1% del total de la población del cantón. Mientras tanto el cantón con mayor porcentaje de población femenina es Chimbo, siendo las mujeres el 52% de la población total del cantón.</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t xml:space="preserve">De </w:t>
      </w:r>
      <w:r>
        <w:rPr>
          <w:rFonts w:ascii="Arial" w:hAnsi="Arial" w:cs="Arial"/>
          <w:sz w:val="24"/>
        </w:rPr>
        <w:t>los datos del censo de 1990, del total de habitantes de 10 años o más, la provincia de Bolívar tiene un 18.9% de analfabetismo, porcentaje alto ya que el porcentaje nacional de analfabetismo es del 10.2%. El cantón donde más analfabetismo se presenta es Gu</w:t>
      </w:r>
      <w:r>
        <w:rPr>
          <w:rFonts w:ascii="Arial" w:hAnsi="Arial" w:cs="Arial"/>
          <w:sz w:val="24"/>
        </w:rPr>
        <w:t>aranda, con el 24.7% de la población total del cantón de años o más. El caso contrario se presenta en el cantón Caluma, donde solo el 9.9% de los habitantes del cantón son analfabetos. De la población analfabeta, el 92% residen en las zonas rurales. Del to</w:t>
      </w:r>
      <w:r>
        <w:rPr>
          <w:rFonts w:ascii="Arial" w:hAnsi="Arial" w:cs="Arial"/>
          <w:sz w:val="24"/>
        </w:rPr>
        <w:t>tal de analfabetos en la provincia, el 62% corresponde a las mujeres. De la población de 6 años o más, el 23% al menos ha concluido la primaria y el 7% al menos ha concluido la secundaria.</w:t>
      </w:r>
    </w:p>
    <w:p w:rsidR="00000000" w:rsidRDefault="0072491A">
      <w:pPr>
        <w:spacing w:line="480" w:lineRule="auto"/>
        <w:ind w:left="426"/>
        <w:jc w:val="both"/>
        <w:rPr>
          <w:rFonts w:ascii="Arial" w:hAnsi="Arial" w:cs="Arial"/>
          <w:sz w:val="24"/>
        </w:rPr>
      </w:pP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sz w:val="24"/>
        </w:rPr>
      </w:pP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sz w:val="24"/>
        </w:rPr>
      </w:pPr>
      <w:r>
        <w:rPr>
          <w:rFonts w:ascii="Arial" w:hAnsi="Arial" w:cs="Arial"/>
          <w:b/>
          <w:bCs/>
          <w:sz w:val="24"/>
        </w:rPr>
        <w:t>GRÁFICO 1.3</w:t>
      </w: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sz w:val="24"/>
        </w:rPr>
      </w:pPr>
    </w:p>
    <w:p w:rsidR="00000000" w:rsidRDefault="0072491A">
      <w:pPr>
        <w:pStyle w:val="Ttulo1"/>
        <w:pBdr>
          <w:top w:val="single" w:sz="4" w:space="1" w:color="auto"/>
          <w:left w:val="single" w:sz="4" w:space="4" w:color="auto"/>
          <w:bottom w:val="single" w:sz="4" w:space="1" w:color="auto"/>
          <w:right w:val="single" w:sz="4" w:space="4" w:color="auto"/>
        </w:pBdr>
        <w:ind w:left="426"/>
      </w:pPr>
      <w:bookmarkStart w:id="9" w:name="_Toc9091586"/>
      <w:r>
        <w:t>PROVINCIA DE BOLÍVAR: NIVEL DE INSTRUCCIÓN DE LA POB</w:t>
      </w:r>
      <w:r>
        <w:t>LACIÓN EN 1990</w:t>
      </w:r>
      <w:bookmarkEnd w:id="9"/>
    </w:p>
    <w:p w:rsidR="00000000" w:rsidRDefault="007956D9">
      <w:pPr>
        <w:pBdr>
          <w:top w:val="single" w:sz="4" w:space="1" w:color="auto"/>
          <w:left w:val="single" w:sz="4" w:space="4" w:color="auto"/>
          <w:bottom w:val="single" w:sz="4" w:space="1" w:color="auto"/>
          <w:right w:val="single" w:sz="4" w:space="4" w:color="auto"/>
        </w:pBdr>
        <w:ind w:left="426"/>
        <w:jc w:val="center"/>
      </w:pPr>
      <w:r>
        <w:rPr>
          <w:noProof/>
          <w:lang w:val="es-ES"/>
        </w:rPr>
        <w:drawing>
          <wp:inline distT="0" distB="0" distL="0" distR="0">
            <wp:extent cx="4584700" cy="2273300"/>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sz w:val="24"/>
        </w:rPr>
      </w:pPr>
      <w:r>
        <w:rPr>
          <w:rFonts w:ascii="Arial" w:hAnsi="Arial" w:cs="Arial"/>
          <w:b/>
          <w:bCs/>
        </w:rPr>
        <w:t>FUENTE:</w:t>
      </w:r>
      <w:r>
        <w:rPr>
          <w:rFonts w:ascii="Arial" w:hAnsi="Arial" w:cs="Arial"/>
        </w:rPr>
        <w:t xml:space="preserve"> INEC, Resultados Definitivos del V Censo de Población, 1990</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t>Con respecto al estado civil en la provincia de Bolívar, del total de la población de 12 años o más, se sabe por los resultados el V Censo de P</w:t>
      </w:r>
      <w:r>
        <w:rPr>
          <w:rFonts w:ascii="Arial" w:hAnsi="Arial" w:cs="Arial"/>
          <w:sz w:val="24"/>
        </w:rPr>
        <w:t>oblación de 1990, que 49.8% de los habitantes son casados, siendo este el estado civil mayoritario; el porcentaje de solteros corresponde al 41%. Luego tenemos en menor proporción a los viudos (4.6%), cónyuges en unión libre (1.7%), separados (1%), y a los</w:t>
      </w:r>
      <w:r>
        <w:rPr>
          <w:rFonts w:ascii="Arial" w:hAnsi="Arial" w:cs="Arial"/>
          <w:sz w:val="24"/>
        </w:rPr>
        <w:t xml:space="preserve"> divorciados (0.7%). El 1.1% no declaró su estado civil. Si mostramos los porcentajes de personas casadas, el cantón donde más casados residen es Guaranda, siendo estos el 47.6%. En este cantón el porcentaje de solteros corresponde al 39.7%. El cantón dond</w:t>
      </w:r>
      <w:r>
        <w:rPr>
          <w:rFonts w:ascii="Arial" w:hAnsi="Arial" w:cs="Arial"/>
          <w:sz w:val="24"/>
        </w:rPr>
        <w:t>e más personas solteras residen es Chimbo, siendo representando estos el 44.4% de la población del cantón.</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t xml:space="preserve">De acuerdo a los resultados del V Censo de Población, en la provincia de Bolívar, la población económicamente activa (PEA) corresponde al 43.3% del </w:t>
      </w:r>
      <w:r>
        <w:rPr>
          <w:rFonts w:ascii="Arial" w:hAnsi="Arial" w:cs="Arial"/>
          <w:sz w:val="24"/>
        </w:rPr>
        <w:t>total de la población de 8 años y más, y la población económicamente inactiva corresponde al 54.5%. El cantón donde más PEA reside es Guaranda, siendo esta población correspondiente al 46.4%. En Echandía solo el 38.1% de la población es económicamente acti</w:t>
      </w:r>
      <w:r>
        <w:rPr>
          <w:rFonts w:ascii="Arial" w:hAnsi="Arial" w:cs="Arial"/>
          <w:sz w:val="24"/>
        </w:rPr>
        <w:t xml:space="preserve">va. Solo el 0.09% de la PEA de la provincia de Bolívar se encuentra desocupada. El cantón con el menor porcentaje de PEA desocupada es Caluma, con el 0.6%. </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t>La PEA se encuentra distribuida de la siguiente manera en los sectores productivos: 64.8% en el se</w:t>
      </w:r>
      <w:r>
        <w:rPr>
          <w:rFonts w:ascii="Arial" w:hAnsi="Arial" w:cs="Arial"/>
          <w:sz w:val="24"/>
        </w:rPr>
        <w:t>ctor primario; 8.8% en el sector secundario; y 23.8% en el sector terciario de la economía. El cantón donde su población más se dedica a las actividades del sectores primario es Chillanes, siendo este porcentaje de población el 79.9%. El sector primario co</w:t>
      </w:r>
      <w:r>
        <w:rPr>
          <w:rFonts w:ascii="Arial" w:hAnsi="Arial" w:cs="Arial"/>
          <w:sz w:val="24"/>
        </w:rPr>
        <w:t>mprende las actividades agrícolas, la silvicultura, la caza y pesca. La PEA dedicada a las actividades del sector primario en las zonas rurales corresponde al 61.78% del total de la misma.</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t xml:space="preserve">Las actividades del sector secundario y el número de personas que </w:t>
      </w:r>
      <w:r>
        <w:rPr>
          <w:rFonts w:ascii="Arial" w:hAnsi="Arial" w:cs="Arial"/>
          <w:sz w:val="24"/>
        </w:rPr>
        <w:t>trabajan en ellas, según el V Censo de Población de 1990, son:  explotación de minas y canteras, 39; industria manufacturera, 2930; electricidad, gas y agua, 111; construcciones, 1533. Y las actividades del sector terciario y el número de personas que trab</w:t>
      </w:r>
      <w:r>
        <w:rPr>
          <w:rFonts w:ascii="Arial" w:hAnsi="Arial" w:cs="Arial"/>
          <w:sz w:val="24"/>
        </w:rPr>
        <w:t>ajan en ellas, según el V Censo de Población, son:  comercio, 2385; transporte, almacenamiento y telecomunicaciones, 1191; establecimientos financieros y de seguros, 220; servicios, 8664. El mayor porcentaje de personas que se dedican a actividades económi</w:t>
      </w:r>
      <w:r>
        <w:rPr>
          <w:rFonts w:ascii="Arial" w:hAnsi="Arial" w:cs="Arial"/>
          <w:sz w:val="24"/>
        </w:rPr>
        <w:t>cas del sector secundario y terciario viven en el cantón Guaranda, correspondiendo al 10.7% y 25.9% de la PEA del cantón, respectivamente.</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t>De la población económicamente inactiva, el 77% se ubica en las zonas rurales. Es importante resaltar que el 49% y 4</w:t>
      </w:r>
      <w:r>
        <w:rPr>
          <w:rFonts w:ascii="Arial" w:hAnsi="Arial" w:cs="Arial"/>
          <w:sz w:val="24"/>
        </w:rPr>
        <w:t>0% del total de la población económicamente inactiva, corresponde a personas que realizan quehaceres domésticos en la provincia y en las zonas rurales de la provincia, respectivamente. Los estudiantes son el segundo grupo más importante de la población eco</w:t>
      </w:r>
      <w:r>
        <w:rPr>
          <w:rFonts w:ascii="Arial" w:hAnsi="Arial" w:cs="Arial"/>
          <w:sz w:val="24"/>
        </w:rPr>
        <w:t xml:space="preserve">nómicamente inactiva, ya que ellos representan el 46% del total. Los estudiantes en el área rural, con respecto al total de la población económicamente inactiva representan el 33.3%. </w:t>
      </w:r>
    </w:p>
    <w:p w:rsidR="00000000" w:rsidRDefault="0072491A">
      <w:pPr>
        <w:spacing w:line="480" w:lineRule="auto"/>
        <w:ind w:left="426"/>
        <w:jc w:val="both"/>
        <w:rPr>
          <w:rFonts w:ascii="Arial" w:hAnsi="Arial" w:cs="Arial"/>
          <w:sz w:val="24"/>
        </w:rPr>
      </w:pPr>
    </w:p>
    <w:tbl>
      <w:tblPr>
        <w:tblW w:w="0" w:type="auto"/>
        <w:jc w:val="center"/>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tblPr>
      <w:tblGrid>
        <w:gridCol w:w="425"/>
        <w:gridCol w:w="3926"/>
        <w:gridCol w:w="1244"/>
        <w:gridCol w:w="1244"/>
        <w:gridCol w:w="1044"/>
        <w:gridCol w:w="534"/>
      </w:tblGrid>
      <w:tr w:rsidR="00000000">
        <w:tblPrEx>
          <w:tblCellMar>
            <w:top w:w="0" w:type="dxa"/>
            <w:bottom w:w="0" w:type="dxa"/>
          </w:tblCellMar>
        </w:tblPrEx>
        <w:trPr>
          <w:cantSplit/>
          <w:jc w:val="center"/>
        </w:trPr>
        <w:tc>
          <w:tcPr>
            <w:tcW w:w="7450" w:type="dxa"/>
            <w:gridSpan w:val="6"/>
          </w:tcPr>
          <w:p w:rsidR="00000000" w:rsidRDefault="0072491A">
            <w:pPr>
              <w:ind w:left="426"/>
              <w:jc w:val="center"/>
              <w:rPr>
                <w:rFonts w:ascii="Arial" w:hAnsi="Arial" w:cs="Arial"/>
                <w:b/>
                <w:bCs/>
                <w:sz w:val="24"/>
              </w:rPr>
            </w:pPr>
          </w:p>
          <w:p w:rsidR="00000000" w:rsidRDefault="0072491A">
            <w:pPr>
              <w:ind w:left="426"/>
              <w:jc w:val="center"/>
              <w:rPr>
                <w:rFonts w:ascii="Arial" w:hAnsi="Arial" w:cs="Arial"/>
                <w:b/>
                <w:bCs/>
                <w:sz w:val="24"/>
              </w:rPr>
            </w:pPr>
            <w:r>
              <w:rPr>
                <w:rFonts w:ascii="Arial" w:hAnsi="Arial" w:cs="Arial"/>
                <w:b/>
                <w:bCs/>
                <w:sz w:val="24"/>
              </w:rPr>
              <w:t>TABLA II</w:t>
            </w:r>
          </w:p>
          <w:p w:rsidR="00000000" w:rsidRDefault="0072491A">
            <w:pPr>
              <w:ind w:left="426"/>
              <w:jc w:val="center"/>
              <w:rPr>
                <w:rFonts w:ascii="Arial" w:hAnsi="Arial" w:cs="Arial"/>
                <w:b/>
                <w:bCs/>
                <w:sz w:val="24"/>
              </w:rPr>
            </w:pPr>
          </w:p>
          <w:p w:rsidR="00000000" w:rsidRDefault="0072491A">
            <w:pPr>
              <w:pStyle w:val="Ttulo1"/>
              <w:ind w:left="426"/>
            </w:pPr>
            <w:bookmarkStart w:id="10" w:name="_Toc9091587"/>
            <w:r>
              <w:t>PROVINCIA DE BOLÍVAR: ÍNDICES DE VIVIENDA</w:t>
            </w:r>
            <w:bookmarkEnd w:id="10"/>
          </w:p>
        </w:tc>
      </w:tr>
      <w:tr w:rsidR="00000000">
        <w:tblPrEx>
          <w:tblCellMar>
            <w:top w:w="0" w:type="dxa"/>
            <w:bottom w:w="0" w:type="dxa"/>
          </w:tblCellMar>
        </w:tblPrEx>
        <w:trPr>
          <w:jc w:val="center"/>
        </w:trPr>
        <w:tc>
          <w:tcPr>
            <w:tcW w:w="430" w:type="dxa"/>
            <w:tcBorders>
              <w:right w:val="single" w:sz="6" w:space="0" w:color="000000"/>
            </w:tcBorders>
          </w:tcPr>
          <w:p w:rsidR="00000000" w:rsidRDefault="0072491A">
            <w:pPr>
              <w:ind w:left="426"/>
            </w:pPr>
          </w:p>
        </w:tc>
        <w:tc>
          <w:tcPr>
            <w:tcW w:w="3960" w:type="dxa"/>
            <w:tcBorders>
              <w:top w:val="single" w:sz="6" w:space="0" w:color="000000"/>
              <w:left w:val="single" w:sz="6" w:space="0" w:color="000000"/>
              <w:bottom w:val="single" w:sz="6" w:space="0" w:color="000000"/>
              <w:right w:val="single" w:sz="6" w:space="0" w:color="000000"/>
            </w:tcBorders>
          </w:tcPr>
          <w:p w:rsidR="00000000" w:rsidRDefault="0072491A">
            <w:pPr>
              <w:ind w:left="426"/>
              <w:rPr>
                <w:rFonts w:ascii="Arial" w:hAnsi="Arial" w:cs="Arial"/>
                <w:b/>
                <w:bCs/>
                <w:szCs w:val="15"/>
              </w:rPr>
            </w:pPr>
            <w:r>
              <w:rPr>
                <w:rFonts w:ascii="Arial" w:hAnsi="Arial" w:cs="Arial"/>
                <w:b/>
                <w:bCs/>
                <w:szCs w:val="15"/>
              </w:rPr>
              <w:t>DATOS</w:t>
            </w:r>
          </w:p>
        </w:tc>
        <w:tc>
          <w:tcPr>
            <w:tcW w:w="90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hAnsi="Arial" w:cs="Arial"/>
                <w:b/>
                <w:bCs/>
                <w:szCs w:val="15"/>
              </w:rPr>
            </w:pPr>
            <w:r>
              <w:rPr>
                <w:rFonts w:ascii="Arial" w:hAnsi="Arial" w:cs="Arial"/>
                <w:b/>
                <w:bCs/>
                <w:szCs w:val="15"/>
              </w:rPr>
              <w:t>Campo</w:t>
            </w:r>
          </w:p>
        </w:tc>
        <w:tc>
          <w:tcPr>
            <w:tcW w:w="90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hAnsi="Arial" w:cs="Arial"/>
                <w:b/>
                <w:bCs/>
                <w:szCs w:val="15"/>
              </w:rPr>
            </w:pPr>
            <w:r>
              <w:rPr>
                <w:rFonts w:ascii="Arial" w:hAnsi="Arial" w:cs="Arial"/>
                <w:b/>
                <w:bCs/>
                <w:szCs w:val="15"/>
              </w:rPr>
              <w:t>Ciud</w:t>
            </w:r>
            <w:r>
              <w:rPr>
                <w:rFonts w:ascii="Arial" w:hAnsi="Arial" w:cs="Arial"/>
                <w:b/>
                <w:bCs/>
                <w:szCs w:val="15"/>
              </w:rPr>
              <w:t>ad</w:t>
            </w:r>
          </w:p>
        </w:tc>
        <w:tc>
          <w:tcPr>
            <w:tcW w:w="72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hAnsi="Arial" w:cs="Arial"/>
                <w:b/>
                <w:bCs/>
                <w:szCs w:val="15"/>
              </w:rPr>
            </w:pPr>
            <w:r>
              <w:rPr>
                <w:rFonts w:ascii="Arial" w:hAnsi="Arial" w:cs="Arial"/>
                <w:b/>
                <w:bCs/>
                <w:szCs w:val="15"/>
              </w:rPr>
              <w:t>Total</w:t>
            </w:r>
          </w:p>
        </w:tc>
        <w:tc>
          <w:tcPr>
            <w:tcW w:w="540" w:type="dxa"/>
            <w:tcBorders>
              <w:left w:val="single" w:sz="6" w:space="0" w:color="000000"/>
            </w:tcBorders>
          </w:tcPr>
          <w:p w:rsidR="00000000" w:rsidRDefault="0072491A">
            <w:pPr>
              <w:ind w:left="426"/>
            </w:pPr>
          </w:p>
        </w:tc>
      </w:tr>
      <w:tr w:rsidR="00000000">
        <w:tblPrEx>
          <w:tblCellMar>
            <w:top w:w="0" w:type="dxa"/>
            <w:bottom w:w="0" w:type="dxa"/>
          </w:tblCellMar>
        </w:tblPrEx>
        <w:trPr>
          <w:jc w:val="center"/>
        </w:trPr>
        <w:tc>
          <w:tcPr>
            <w:tcW w:w="430" w:type="dxa"/>
            <w:tcBorders>
              <w:right w:val="single" w:sz="6" w:space="0" w:color="000000"/>
            </w:tcBorders>
          </w:tcPr>
          <w:p w:rsidR="00000000" w:rsidRDefault="0072491A">
            <w:pPr>
              <w:ind w:left="426"/>
            </w:pPr>
          </w:p>
        </w:tc>
        <w:tc>
          <w:tcPr>
            <w:tcW w:w="3960" w:type="dxa"/>
            <w:tcBorders>
              <w:top w:val="single" w:sz="6" w:space="0" w:color="000000"/>
              <w:left w:val="single" w:sz="6" w:space="0" w:color="000000"/>
              <w:bottom w:val="single" w:sz="6" w:space="0" w:color="000000"/>
              <w:right w:val="single" w:sz="6" w:space="0" w:color="000000"/>
            </w:tcBorders>
          </w:tcPr>
          <w:p w:rsidR="00000000" w:rsidRDefault="0072491A">
            <w:pPr>
              <w:ind w:left="426"/>
              <w:rPr>
                <w:rFonts w:ascii="Arial" w:eastAsia="Arial Unicode MS" w:hAnsi="Arial" w:cs="Arial"/>
                <w:color w:val="000000"/>
              </w:rPr>
            </w:pPr>
            <w:r>
              <w:rPr>
                <w:rFonts w:ascii="Arial" w:hAnsi="Arial" w:cs="Arial"/>
                <w:szCs w:val="15"/>
              </w:rPr>
              <w:t>INDICE DE VIVIENDA</w:t>
            </w:r>
          </w:p>
        </w:tc>
        <w:tc>
          <w:tcPr>
            <w:tcW w:w="90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45.5</w:t>
            </w:r>
          </w:p>
        </w:tc>
        <w:tc>
          <w:tcPr>
            <w:tcW w:w="90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69.3</w:t>
            </w:r>
          </w:p>
        </w:tc>
        <w:tc>
          <w:tcPr>
            <w:tcW w:w="72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47.9</w:t>
            </w:r>
          </w:p>
        </w:tc>
        <w:tc>
          <w:tcPr>
            <w:tcW w:w="540" w:type="dxa"/>
            <w:tcBorders>
              <w:left w:val="single" w:sz="6" w:space="0" w:color="000000"/>
            </w:tcBorders>
          </w:tcPr>
          <w:p w:rsidR="00000000" w:rsidRDefault="0072491A">
            <w:pPr>
              <w:ind w:left="426"/>
            </w:pPr>
          </w:p>
        </w:tc>
      </w:tr>
      <w:tr w:rsidR="00000000">
        <w:tblPrEx>
          <w:tblCellMar>
            <w:top w:w="0" w:type="dxa"/>
            <w:bottom w:w="0" w:type="dxa"/>
          </w:tblCellMar>
        </w:tblPrEx>
        <w:trPr>
          <w:jc w:val="center"/>
        </w:trPr>
        <w:tc>
          <w:tcPr>
            <w:tcW w:w="430" w:type="dxa"/>
            <w:tcBorders>
              <w:right w:val="single" w:sz="6" w:space="0" w:color="000000"/>
            </w:tcBorders>
          </w:tcPr>
          <w:p w:rsidR="00000000" w:rsidRDefault="0072491A">
            <w:pPr>
              <w:ind w:left="426"/>
            </w:pPr>
          </w:p>
        </w:tc>
        <w:tc>
          <w:tcPr>
            <w:tcW w:w="3960" w:type="dxa"/>
            <w:tcBorders>
              <w:top w:val="single" w:sz="6" w:space="0" w:color="000000"/>
              <w:left w:val="single" w:sz="6" w:space="0" w:color="000000"/>
              <w:bottom w:val="single" w:sz="6" w:space="0" w:color="000000"/>
              <w:right w:val="single" w:sz="6" w:space="0" w:color="000000"/>
            </w:tcBorders>
          </w:tcPr>
          <w:p w:rsidR="00000000" w:rsidRDefault="0072491A">
            <w:pPr>
              <w:ind w:left="426"/>
              <w:rPr>
                <w:rFonts w:ascii="Arial" w:eastAsia="Arial Unicode MS" w:hAnsi="Arial" w:cs="Arial"/>
                <w:color w:val="000000"/>
              </w:rPr>
            </w:pPr>
            <w:r>
              <w:rPr>
                <w:rFonts w:ascii="Arial" w:hAnsi="Arial" w:cs="Arial"/>
                <w:szCs w:val="15"/>
              </w:rPr>
              <w:t>Viviendas con Agua Potable al Interior (%)</w:t>
            </w:r>
          </w:p>
        </w:tc>
        <w:tc>
          <w:tcPr>
            <w:tcW w:w="90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21.8</w:t>
            </w:r>
          </w:p>
        </w:tc>
        <w:tc>
          <w:tcPr>
            <w:tcW w:w="90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81.1</w:t>
            </w:r>
          </w:p>
        </w:tc>
        <w:tc>
          <w:tcPr>
            <w:tcW w:w="72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28.1</w:t>
            </w:r>
          </w:p>
        </w:tc>
        <w:tc>
          <w:tcPr>
            <w:tcW w:w="540" w:type="dxa"/>
            <w:tcBorders>
              <w:left w:val="single" w:sz="6" w:space="0" w:color="000000"/>
            </w:tcBorders>
          </w:tcPr>
          <w:p w:rsidR="00000000" w:rsidRDefault="0072491A">
            <w:pPr>
              <w:ind w:left="426"/>
            </w:pPr>
          </w:p>
        </w:tc>
      </w:tr>
      <w:tr w:rsidR="00000000">
        <w:tblPrEx>
          <w:tblCellMar>
            <w:top w:w="0" w:type="dxa"/>
            <w:bottom w:w="0" w:type="dxa"/>
          </w:tblCellMar>
        </w:tblPrEx>
        <w:trPr>
          <w:jc w:val="center"/>
        </w:trPr>
        <w:tc>
          <w:tcPr>
            <w:tcW w:w="430" w:type="dxa"/>
            <w:tcBorders>
              <w:right w:val="single" w:sz="6" w:space="0" w:color="000000"/>
            </w:tcBorders>
          </w:tcPr>
          <w:p w:rsidR="00000000" w:rsidRDefault="0072491A">
            <w:pPr>
              <w:ind w:left="426"/>
            </w:pPr>
          </w:p>
        </w:tc>
        <w:tc>
          <w:tcPr>
            <w:tcW w:w="3960" w:type="dxa"/>
            <w:tcBorders>
              <w:top w:val="single" w:sz="6" w:space="0" w:color="000000"/>
              <w:left w:val="single" w:sz="6" w:space="0" w:color="000000"/>
              <w:bottom w:val="single" w:sz="6" w:space="0" w:color="000000"/>
              <w:right w:val="single" w:sz="6" w:space="0" w:color="000000"/>
            </w:tcBorders>
          </w:tcPr>
          <w:p w:rsidR="00000000" w:rsidRDefault="0072491A">
            <w:pPr>
              <w:ind w:left="426"/>
              <w:rPr>
                <w:rFonts w:ascii="Arial" w:eastAsia="Arial Unicode MS" w:hAnsi="Arial" w:cs="Arial"/>
                <w:color w:val="000000"/>
              </w:rPr>
            </w:pPr>
            <w:r>
              <w:rPr>
                <w:rFonts w:ascii="Arial" w:hAnsi="Arial" w:cs="Arial"/>
                <w:szCs w:val="15"/>
              </w:rPr>
              <w:t>Viviendas con Alcantarillado (%)</w:t>
            </w:r>
          </w:p>
        </w:tc>
        <w:tc>
          <w:tcPr>
            <w:tcW w:w="90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19.1</w:t>
            </w:r>
          </w:p>
        </w:tc>
        <w:tc>
          <w:tcPr>
            <w:tcW w:w="90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85.2</w:t>
            </w:r>
          </w:p>
        </w:tc>
        <w:tc>
          <w:tcPr>
            <w:tcW w:w="72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26.2</w:t>
            </w:r>
          </w:p>
        </w:tc>
        <w:tc>
          <w:tcPr>
            <w:tcW w:w="540" w:type="dxa"/>
            <w:tcBorders>
              <w:left w:val="single" w:sz="6" w:space="0" w:color="000000"/>
            </w:tcBorders>
          </w:tcPr>
          <w:p w:rsidR="00000000" w:rsidRDefault="0072491A">
            <w:pPr>
              <w:ind w:left="426"/>
            </w:pPr>
          </w:p>
        </w:tc>
      </w:tr>
      <w:tr w:rsidR="00000000">
        <w:tblPrEx>
          <w:tblCellMar>
            <w:top w:w="0" w:type="dxa"/>
            <w:bottom w:w="0" w:type="dxa"/>
          </w:tblCellMar>
        </w:tblPrEx>
        <w:trPr>
          <w:jc w:val="center"/>
        </w:trPr>
        <w:tc>
          <w:tcPr>
            <w:tcW w:w="430" w:type="dxa"/>
            <w:tcBorders>
              <w:right w:val="single" w:sz="6" w:space="0" w:color="000000"/>
            </w:tcBorders>
          </w:tcPr>
          <w:p w:rsidR="00000000" w:rsidRDefault="0072491A">
            <w:pPr>
              <w:ind w:left="426"/>
            </w:pPr>
          </w:p>
        </w:tc>
        <w:tc>
          <w:tcPr>
            <w:tcW w:w="3960" w:type="dxa"/>
            <w:tcBorders>
              <w:top w:val="single" w:sz="6" w:space="0" w:color="000000"/>
              <w:left w:val="single" w:sz="6" w:space="0" w:color="000000"/>
              <w:bottom w:val="single" w:sz="6" w:space="0" w:color="000000"/>
              <w:right w:val="single" w:sz="6" w:space="0" w:color="000000"/>
            </w:tcBorders>
          </w:tcPr>
          <w:p w:rsidR="00000000" w:rsidRDefault="0072491A">
            <w:pPr>
              <w:ind w:left="426"/>
              <w:rPr>
                <w:rFonts w:ascii="Arial" w:eastAsia="Arial Unicode MS" w:hAnsi="Arial" w:cs="Arial"/>
                <w:color w:val="000000"/>
              </w:rPr>
            </w:pPr>
            <w:r>
              <w:rPr>
                <w:rFonts w:ascii="Arial" w:hAnsi="Arial" w:cs="Arial"/>
                <w:szCs w:val="15"/>
              </w:rPr>
              <w:t>Viviendas con Servicio de Recolección de Basura (%)</w:t>
            </w:r>
          </w:p>
        </w:tc>
        <w:tc>
          <w:tcPr>
            <w:tcW w:w="90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11.8</w:t>
            </w:r>
          </w:p>
        </w:tc>
        <w:tc>
          <w:tcPr>
            <w:tcW w:w="90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89.4</w:t>
            </w:r>
          </w:p>
        </w:tc>
        <w:tc>
          <w:tcPr>
            <w:tcW w:w="72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20.1</w:t>
            </w:r>
          </w:p>
        </w:tc>
        <w:tc>
          <w:tcPr>
            <w:tcW w:w="540" w:type="dxa"/>
            <w:tcBorders>
              <w:left w:val="single" w:sz="6" w:space="0" w:color="000000"/>
            </w:tcBorders>
          </w:tcPr>
          <w:p w:rsidR="00000000" w:rsidRDefault="0072491A">
            <w:pPr>
              <w:ind w:left="426"/>
            </w:pPr>
          </w:p>
        </w:tc>
      </w:tr>
      <w:tr w:rsidR="00000000">
        <w:tblPrEx>
          <w:tblCellMar>
            <w:top w:w="0" w:type="dxa"/>
            <w:bottom w:w="0" w:type="dxa"/>
          </w:tblCellMar>
        </w:tblPrEx>
        <w:trPr>
          <w:jc w:val="center"/>
        </w:trPr>
        <w:tc>
          <w:tcPr>
            <w:tcW w:w="430" w:type="dxa"/>
            <w:tcBorders>
              <w:right w:val="single" w:sz="6" w:space="0" w:color="000000"/>
            </w:tcBorders>
          </w:tcPr>
          <w:p w:rsidR="00000000" w:rsidRDefault="0072491A">
            <w:pPr>
              <w:ind w:left="426"/>
            </w:pPr>
          </w:p>
        </w:tc>
        <w:tc>
          <w:tcPr>
            <w:tcW w:w="3960" w:type="dxa"/>
            <w:tcBorders>
              <w:top w:val="single" w:sz="6" w:space="0" w:color="000000"/>
              <w:left w:val="single" w:sz="6" w:space="0" w:color="000000"/>
              <w:bottom w:val="single" w:sz="6" w:space="0" w:color="000000"/>
              <w:right w:val="single" w:sz="6" w:space="0" w:color="000000"/>
            </w:tcBorders>
          </w:tcPr>
          <w:p w:rsidR="00000000" w:rsidRDefault="0072491A">
            <w:pPr>
              <w:ind w:left="426"/>
              <w:rPr>
                <w:rFonts w:ascii="Arial" w:eastAsia="Arial Unicode MS" w:hAnsi="Arial" w:cs="Arial"/>
                <w:color w:val="000000"/>
              </w:rPr>
            </w:pPr>
            <w:r>
              <w:rPr>
                <w:rFonts w:ascii="Arial" w:hAnsi="Arial" w:cs="Arial"/>
                <w:szCs w:val="15"/>
              </w:rPr>
              <w:t>Viviendas con Servicio de</w:t>
            </w:r>
            <w:r>
              <w:rPr>
                <w:rFonts w:ascii="Arial" w:hAnsi="Arial" w:cs="Arial"/>
                <w:szCs w:val="15"/>
              </w:rPr>
              <w:t xml:space="preserve"> Electricidad (%)</w:t>
            </w:r>
          </w:p>
        </w:tc>
        <w:tc>
          <w:tcPr>
            <w:tcW w:w="90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48.1</w:t>
            </w:r>
          </w:p>
        </w:tc>
        <w:tc>
          <w:tcPr>
            <w:tcW w:w="90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96.6</w:t>
            </w:r>
          </w:p>
        </w:tc>
        <w:tc>
          <w:tcPr>
            <w:tcW w:w="72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53.3</w:t>
            </w:r>
          </w:p>
        </w:tc>
        <w:tc>
          <w:tcPr>
            <w:tcW w:w="540" w:type="dxa"/>
            <w:tcBorders>
              <w:left w:val="single" w:sz="6" w:space="0" w:color="000000"/>
            </w:tcBorders>
          </w:tcPr>
          <w:p w:rsidR="00000000" w:rsidRDefault="0072491A">
            <w:pPr>
              <w:ind w:left="426"/>
            </w:pPr>
          </w:p>
        </w:tc>
      </w:tr>
      <w:tr w:rsidR="00000000">
        <w:tblPrEx>
          <w:tblCellMar>
            <w:top w:w="0" w:type="dxa"/>
            <w:bottom w:w="0" w:type="dxa"/>
          </w:tblCellMar>
        </w:tblPrEx>
        <w:trPr>
          <w:jc w:val="center"/>
        </w:trPr>
        <w:tc>
          <w:tcPr>
            <w:tcW w:w="430" w:type="dxa"/>
            <w:tcBorders>
              <w:right w:val="single" w:sz="6" w:space="0" w:color="000000"/>
            </w:tcBorders>
          </w:tcPr>
          <w:p w:rsidR="00000000" w:rsidRDefault="0072491A">
            <w:pPr>
              <w:ind w:left="426"/>
            </w:pPr>
          </w:p>
        </w:tc>
        <w:tc>
          <w:tcPr>
            <w:tcW w:w="3960" w:type="dxa"/>
            <w:tcBorders>
              <w:top w:val="single" w:sz="6" w:space="0" w:color="000000"/>
              <w:left w:val="single" w:sz="6" w:space="0" w:color="000000"/>
              <w:bottom w:val="single" w:sz="6" w:space="0" w:color="000000"/>
              <w:right w:val="single" w:sz="6" w:space="0" w:color="000000"/>
            </w:tcBorders>
          </w:tcPr>
          <w:p w:rsidR="00000000" w:rsidRDefault="0072491A">
            <w:pPr>
              <w:ind w:left="426"/>
              <w:rPr>
                <w:rFonts w:ascii="Arial" w:eastAsia="Arial Unicode MS" w:hAnsi="Arial" w:cs="Arial"/>
                <w:color w:val="000000"/>
              </w:rPr>
            </w:pPr>
            <w:r>
              <w:rPr>
                <w:rFonts w:ascii="Arial" w:hAnsi="Arial" w:cs="Arial"/>
                <w:szCs w:val="15"/>
              </w:rPr>
              <w:t>Viviendas con Paredes de Hormigón, Ladrillo o Bloque (%)</w:t>
            </w:r>
          </w:p>
        </w:tc>
        <w:tc>
          <w:tcPr>
            <w:tcW w:w="90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27.6</w:t>
            </w:r>
          </w:p>
        </w:tc>
        <w:tc>
          <w:tcPr>
            <w:tcW w:w="90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60.2</w:t>
            </w:r>
          </w:p>
        </w:tc>
        <w:tc>
          <w:tcPr>
            <w:tcW w:w="72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31.0</w:t>
            </w:r>
          </w:p>
        </w:tc>
        <w:tc>
          <w:tcPr>
            <w:tcW w:w="540" w:type="dxa"/>
            <w:tcBorders>
              <w:left w:val="single" w:sz="6" w:space="0" w:color="000000"/>
            </w:tcBorders>
          </w:tcPr>
          <w:p w:rsidR="00000000" w:rsidRDefault="0072491A">
            <w:pPr>
              <w:ind w:left="426"/>
            </w:pPr>
          </w:p>
        </w:tc>
      </w:tr>
      <w:tr w:rsidR="00000000">
        <w:tblPrEx>
          <w:tblCellMar>
            <w:top w:w="0" w:type="dxa"/>
            <w:bottom w:w="0" w:type="dxa"/>
          </w:tblCellMar>
        </w:tblPrEx>
        <w:trPr>
          <w:jc w:val="center"/>
        </w:trPr>
        <w:tc>
          <w:tcPr>
            <w:tcW w:w="430" w:type="dxa"/>
            <w:tcBorders>
              <w:right w:val="single" w:sz="6" w:space="0" w:color="000000"/>
            </w:tcBorders>
          </w:tcPr>
          <w:p w:rsidR="00000000" w:rsidRDefault="0072491A">
            <w:pPr>
              <w:ind w:left="426"/>
            </w:pPr>
          </w:p>
        </w:tc>
        <w:tc>
          <w:tcPr>
            <w:tcW w:w="3960" w:type="dxa"/>
            <w:tcBorders>
              <w:top w:val="single" w:sz="6" w:space="0" w:color="000000"/>
              <w:left w:val="single" w:sz="6" w:space="0" w:color="000000"/>
              <w:bottom w:val="single" w:sz="6" w:space="0" w:color="000000"/>
              <w:right w:val="single" w:sz="6" w:space="0" w:color="000000"/>
            </w:tcBorders>
          </w:tcPr>
          <w:p w:rsidR="00000000" w:rsidRDefault="0072491A">
            <w:pPr>
              <w:ind w:left="426"/>
              <w:rPr>
                <w:rFonts w:ascii="Arial" w:eastAsia="Arial Unicode MS" w:hAnsi="Arial" w:cs="Arial"/>
                <w:color w:val="000000"/>
              </w:rPr>
            </w:pPr>
            <w:r>
              <w:rPr>
                <w:rFonts w:ascii="Arial" w:hAnsi="Arial" w:cs="Arial"/>
                <w:szCs w:val="15"/>
              </w:rPr>
              <w:t>Viviendas con Piso Adecuado (%)</w:t>
            </w:r>
          </w:p>
        </w:tc>
        <w:tc>
          <w:tcPr>
            <w:tcW w:w="90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72.6</w:t>
            </w:r>
          </w:p>
        </w:tc>
        <w:tc>
          <w:tcPr>
            <w:tcW w:w="90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94.9</w:t>
            </w:r>
          </w:p>
        </w:tc>
        <w:tc>
          <w:tcPr>
            <w:tcW w:w="72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75.0</w:t>
            </w:r>
          </w:p>
        </w:tc>
        <w:tc>
          <w:tcPr>
            <w:tcW w:w="540" w:type="dxa"/>
            <w:tcBorders>
              <w:left w:val="single" w:sz="6" w:space="0" w:color="000000"/>
            </w:tcBorders>
          </w:tcPr>
          <w:p w:rsidR="00000000" w:rsidRDefault="0072491A">
            <w:pPr>
              <w:ind w:left="426"/>
            </w:pPr>
          </w:p>
        </w:tc>
      </w:tr>
      <w:tr w:rsidR="00000000">
        <w:tblPrEx>
          <w:tblCellMar>
            <w:top w:w="0" w:type="dxa"/>
            <w:bottom w:w="0" w:type="dxa"/>
          </w:tblCellMar>
        </w:tblPrEx>
        <w:trPr>
          <w:jc w:val="center"/>
        </w:trPr>
        <w:tc>
          <w:tcPr>
            <w:tcW w:w="430" w:type="dxa"/>
            <w:tcBorders>
              <w:right w:val="single" w:sz="6" w:space="0" w:color="000000"/>
            </w:tcBorders>
          </w:tcPr>
          <w:p w:rsidR="00000000" w:rsidRDefault="0072491A">
            <w:pPr>
              <w:ind w:left="426"/>
            </w:pPr>
          </w:p>
        </w:tc>
        <w:tc>
          <w:tcPr>
            <w:tcW w:w="3960" w:type="dxa"/>
            <w:tcBorders>
              <w:top w:val="single" w:sz="6" w:space="0" w:color="000000"/>
              <w:left w:val="single" w:sz="6" w:space="0" w:color="000000"/>
              <w:bottom w:val="single" w:sz="6" w:space="0" w:color="000000"/>
              <w:right w:val="single" w:sz="6" w:space="0" w:color="000000"/>
            </w:tcBorders>
          </w:tcPr>
          <w:p w:rsidR="00000000" w:rsidRDefault="0072491A">
            <w:pPr>
              <w:ind w:left="426"/>
              <w:rPr>
                <w:rFonts w:ascii="Arial" w:eastAsia="Arial Unicode MS" w:hAnsi="Arial" w:cs="Arial"/>
                <w:color w:val="000000"/>
              </w:rPr>
            </w:pPr>
            <w:r>
              <w:rPr>
                <w:rFonts w:ascii="Arial" w:hAnsi="Arial" w:cs="Arial"/>
                <w:szCs w:val="15"/>
              </w:rPr>
              <w:t>Hogares con Servicio Higiénico (%)</w:t>
            </w:r>
          </w:p>
        </w:tc>
        <w:tc>
          <w:tcPr>
            <w:tcW w:w="90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21.2</w:t>
            </w:r>
          </w:p>
        </w:tc>
        <w:tc>
          <w:tcPr>
            <w:tcW w:w="90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70.9</w:t>
            </w:r>
          </w:p>
        </w:tc>
        <w:tc>
          <w:tcPr>
            <w:tcW w:w="72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26.5</w:t>
            </w:r>
          </w:p>
        </w:tc>
        <w:tc>
          <w:tcPr>
            <w:tcW w:w="540" w:type="dxa"/>
            <w:tcBorders>
              <w:left w:val="single" w:sz="6" w:space="0" w:color="000000"/>
            </w:tcBorders>
          </w:tcPr>
          <w:p w:rsidR="00000000" w:rsidRDefault="0072491A">
            <w:pPr>
              <w:ind w:left="426"/>
            </w:pPr>
          </w:p>
        </w:tc>
      </w:tr>
      <w:tr w:rsidR="00000000">
        <w:tblPrEx>
          <w:tblCellMar>
            <w:top w:w="0" w:type="dxa"/>
            <w:bottom w:w="0" w:type="dxa"/>
          </w:tblCellMar>
        </w:tblPrEx>
        <w:trPr>
          <w:jc w:val="center"/>
        </w:trPr>
        <w:tc>
          <w:tcPr>
            <w:tcW w:w="430" w:type="dxa"/>
            <w:tcBorders>
              <w:right w:val="single" w:sz="6" w:space="0" w:color="000000"/>
            </w:tcBorders>
          </w:tcPr>
          <w:p w:rsidR="00000000" w:rsidRDefault="0072491A">
            <w:pPr>
              <w:ind w:left="426"/>
            </w:pPr>
          </w:p>
        </w:tc>
        <w:tc>
          <w:tcPr>
            <w:tcW w:w="3960" w:type="dxa"/>
            <w:tcBorders>
              <w:top w:val="single" w:sz="6" w:space="0" w:color="000000"/>
              <w:left w:val="single" w:sz="6" w:space="0" w:color="000000"/>
              <w:bottom w:val="single" w:sz="6" w:space="0" w:color="000000"/>
              <w:right w:val="single" w:sz="6" w:space="0" w:color="000000"/>
            </w:tcBorders>
          </w:tcPr>
          <w:p w:rsidR="00000000" w:rsidRDefault="0072491A">
            <w:pPr>
              <w:ind w:left="426"/>
              <w:rPr>
                <w:rFonts w:ascii="Arial" w:eastAsia="Arial Unicode MS" w:hAnsi="Arial" w:cs="Arial"/>
                <w:color w:val="000000"/>
              </w:rPr>
            </w:pPr>
            <w:r>
              <w:rPr>
                <w:rFonts w:ascii="Arial" w:hAnsi="Arial" w:cs="Arial"/>
                <w:szCs w:val="15"/>
              </w:rPr>
              <w:t>Viviendas sin Hacinamiento (%)</w:t>
            </w:r>
          </w:p>
        </w:tc>
        <w:tc>
          <w:tcPr>
            <w:tcW w:w="90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76.0</w:t>
            </w:r>
          </w:p>
        </w:tc>
        <w:tc>
          <w:tcPr>
            <w:tcW w:w="90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89.6</w:t>
            </w:r>
          </w:p>
        </w:tc>
        <w:tc>
          <w:tcPr>
            <w:tcW w:w="720" w:type="dxa"/>
            <w:tcBorders>
              <w:top w:val="single" w:sz="6" w:space="0" w:color="000000"/>
              <w:left w:val="single" w:sz="6" w:space="0" w:color="000000"/>
              <w:bottom w:val="single" w:sz="6" w:space="0" w:color="000000"/>
              <w:right w:val="single" w:sz="6" w:space="0" w:color="000000"/>
            </w:tcBorders>
          </w:tcPr>
          <w:p w:rsidR="00000000" w:rsidRDefault="0072491A">
            <w:pPr>
              <w:ind w:left="426"/>
              <w:jc w:val="right"/>
              <w:rPr>
                <w:rFonts w:ascii="Arial" w:eastAsia="Arial Unicode MS" w:hAnsi="Arial" w:cs="Arial"/>
                <w:color w:val="000000"/>
              </w:rPr>
            </w:pPr>
            <w:r>
              <w:rPr>
                <w:rFonts w:ascii="Arial" w:hAnsi="Arial" w:cs="Arial"/>
                <w:szCs w:val="15"/>
              </w:rPr>
              <w:t>7</w:t>
            </w:r>
            <w:r>
              <w:rPr>
                <w:rFonts w:ascii="Arial" w:hAnsi="Arial" w:cs="Arial"/>
                <w:szCs w:val="15"/>
              </w:rPr>
              <w:t>7.5</w:t>
            </w:r>
          </w:p>
        </w:tc>
        <w:tc>
          <w:tcPr>
            <w:tcW w:w="540" w:type="dxa"/>
            <w:tcBorders>
              <w:left w:val="single" w:sz="6" w:space="0" w:color="000000"/>
            </w:tcBorders>
          </w:tcPr>
          <w:p w:rsidR="00000000" w:rsidRDefault="0072491A">
            <w:pPr>
              <w:ind w:left="426"/>
            </w:pPr>
          </w:p>
        </w:tc>
      </w:tr>
      <w:tr w:rsidR="00000000">
        <w:tblPrEx>
          <w:tblCellMar>
            <w:top w:w="0" w:type="dxa"/>
            <w:bottom w:w="0" w:type="dxa"/>
          </w:tblCellMar>
        </w:tblPrEx>
        <w:trPr>
          <w:cantSplit/>
          <w:jc w:val="center"/>
        </w:trPr>
        <w:tc>
          <w:tcPr>
            <w:tcW w:w="7450" w:type="dxa"/>
            <w:gridSpan w:val="6"/>
          </w:tcPr>
          <w:p w:rsidR="00000000" w:rsidRDefault="0072491A">
            <w:pPr>
              <w:ind w:left="426"/>
              <w:jc w:val="center"/>
            </w:pPr>
            <w:r>
              <w:rPr>
                <w:rFonts w:ascii="Arial" w:hAnsi="Arial" w:cs="Arial"/>
                <w:b/>
                <w:bCs/>
              </w:rPr>
              <w:t>FUENTE:</w:t>
            </w:r>
            <w:r>
              <w:rPr>
                <w:rFonts w:ascii="Arial" w:hAnsi="Arial" w:cs="Arial"/>
              </w:rPr>
              <w:t xml:space="preserve"> </w:t>
            </w:r>
            <w:hyperlink r:id="rId11" w:history="1">
              <w:r>
                <w:rPr>
                  <w:rStyle w:val="Hipervnculo"/>
                  <w:rFonts w:ascii="Arial" w:hAnsi="Arial" w:cs="Arial"/>
                </w:rPr>
                <w:t>www.siscom.or.cr/cdp/proyecu/sociales/bolivar.html</w:t>
              </w:r>
            </w:hyperlink>
          </w:p>
        </w:tc>
      </w:tr>
    </w:tbl>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t xml:space="preserve">Según el estudio </w:t>
      </w:r>
      <w:r>
        <w:rPr>
          <w:rFonts w:ascii="Arial" w:hAnsi="Arial" w:cs="Arial"/>
          <w:i/>
          <w:iCs/>
          <w:sz w:val="24"/>
        </w:rPr>
        <w:t>Desnutrición y condiciones socioeconómicas en el Ecuador</w:t>
      </w:r>
      <w:r>
        <w:rPr>
          <w:rFonts w:ascii="Arial" w:hAnsi="Arial" w:cs="Arial"/>
          <w:sz w:val="24"/>
        </w:rPr>
        <w:t>, realizado por  CONADE - UNICEF - OPS, y</w:t>
      </w:r>
      <w:r>
        <w:rPr>
          <w:rFonts w:ascii="Arial" w:hAnsi="Arial" w:cs="Arial"/>
          <w:sz w:val="24"/>
        </w:rPr>
        <w:t xml:space="preserve"> publicado en 1994 en Quito, se indica " El índice de salud es 44.9%, la cual nos indica que aproximadamente la mitad de la población al momento del estudio no sufría de algún tipo de enfermedad; la tasa de mortalidad infantil es del 72.3% y la tasa desnut</w:t>
      </w:r>
      <w:r>
        <w:rPr>
          <w:rFonts w:ascii="Arial" w:hAnsi="Arial" w:cs="Arial"/>
          <w:sz w:val="24"/>
        </w:rPr>
        <w:t>rición crónica de niños menores a cinco años es del 61.3%, por lo cual mencionamos la desnutrición como principal causa de mortalidad de los infantes. El personal de salud por cada mil habitantes es 12.1 entre médicos, paramédicos y enfermeras. En promedio</w:t>
      </w:r>
      <w:r>
        <w:rPr>
          <w:rFonts w:ascii="Arial" w:hAnsi="Arial" w:cs="Arial"/>
          <w:sz w:val="24"/>
        </w:rPr>
        <w:t xml:space="preserve"> el 47.9% de la población tiene vivienda, las cuales tienen servicios básicos como agua potable, alcantarillado, recolección de basura, electricidad, paredes de hormigón, piso adecuado, servicio y no hay hacinamiento.”</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p>
    <w:p w:rsidR="00000000" w:rsidRDefault="0072491A">
      <w:pPr>
        <w:pStyle w:val="Ttulo2"/>
        <w:spacing w:line="480" w:lineRule="auto"/>
        <w:ind w:left="119"/>
        <w:jc w:val="left"/>
        <w:rPr>
          <w:rFonts w:ascii="Arial" w:hAnsi="Arial" w:cs="Arial"/>
          <w:sz w:val="24"/>
        </w:rPr>
      </w:pPr>
      <w:bookmarkStart w:id="11" w:name="_Toc9091588"/>
      <w:r>
        <w:rPr>
          <w:rFonts w:ascii="Arial" w:hAnsi="Arial" w:cs="Arial"/>
          <w:sz w:val="24"/>
        </w:rPr>
        <w:t>1.6 Estructura orgánica funcional d</w:t>
      </w:r>
      <w:r>
        <w:rPr>
          <w:rFonts w:ascii="Arial" w:hAnsi="Arial" w:cs="Arial"/>
          <w:sz w:val="24"/>
        </w:rPr>
        <w:t>el Ministerio de Educación Cultura</w:t>
      </w:r>
      <w:bookmarkEnd w:id="11"/>
    </w:p>
    <w:p w:rsidR="00000000" w:rsidRDefault="0072491A">
      <w:pPr>
        <w:spacing w:line="480" w:lineRule="auto"/>
        <w:jc w:val="both"/>
        <w:rPr>
          <w:rFonts w:ascii="Arial" w:hAnsi="Arial" w:cs="Arial"/>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La educación ecuatoriana de acuerdo a la actual constitución de la república "es un derecho irrenunciables de las personas, deber inexcusable del estado... área prioritaria de la inversión publica, requisito del desarrol</w:t>
      </w:r>
      <w:r>
        <w:rPr>
          <w:rFonts w:ascii="Arial" w:hAnsi="Arial" w:cs="Arial"/>
          <w:color w:val="000000"/>
          <w:sz w:val="24"/>
        </w:rPr>
        <w:t xml:space="preserve">lo nacional...". </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La educación ecuatoriana esta regulada por el Ministerio de Educación y Cultura (MEC), el cual consta de varias entidades y estructuras que deberían garantizar la eficiencia institucional en la realización de planes y programas del siste</w:t>
      </w:r>
      <w:r>
        <w:rPr>
          <w:rFonts w:ascii="Arial" w:hAnsi="Arial" w:cs="Arial"/>
          <w:color w:val="000000"/>
          <w:sz w:val="24"/>
        </w:rPr>
        <w:t xml:space="preserve">ma de educación nacional. </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El sistema administrativo del Ministerio de Educación y Cultura comprende los siguientes organismos:</w:t>
      </w:r>
    </w:p>
    <w:p w:rsidR="00000000" w:rsidRDefault="0072491A">
      <w:pPr>
        <w:numPr>
          <w:ilvl w:val="0"/>
          <w:numId w:val="17"/>
        </w:numPr>
        <w:spacing w:line="480" w:lineRule="auto"/>
        <w:jc w:val="both"/>
        <w:rPr>
          <w:rFonts w:ascii="Arial" w:hAnsi="Arial" w:cs="Arial"/>
          <w:color w:val="000000"/>
          <w:sz w:val="24"/>
        </w:rPr>
      </w:pPr>
      <w:r>
        <w:rPr>
          <w:rFonts w:ascii="Arial" w:hAnsi="Arial" w:cs="Arial"/>
          <w:color w:val="000000"/>
          <w:sz w:val="24"/>
        </w:rPr>
        <w:t>Central, con la responsabilidad de ejercer el gobierno, planificar, normar y controlar el sistema educativo y cultural del país</w:t>
      </w:r>
      <w:r>
        <w:rPr>
          <w:rFonts w:ascii="Arial" w:hAnsi="Arial" w:cs="Arial"/>
          <w:color w:val="000000"/>
          <w:sz w:val="24"/>
        </w:rPr>
        <w:t>;</w:t>
      </w:r>
    </w:p>
    <w:p w:rsidR="00000000" w:rsidRDefault="0072491A">
      <w:pPr>
        <w:numPr>
          <w:ilvl w:val="0"/>
          <w:numId w:val="17"/>
        </w:numPr>
        <w:spacing w:line="480" w:lineRule="auto"/>
        <w:jc w:val="both"/>
        <w:rPr>
          <w:rFonts w:ascii="Arial" w:hAnsi="Arial" w:cs="Arial"/>
          <w:color w:val="000000"/>
          <w:sz w:val="24"/>
        </w:rPr>
      </w:pPr>
      <w:r>
        <w:rPr>
          <w:rFonts w:ascii="Arial" w:hAnsi="Arial" w:cs="Arial"/>
          <w:color w:val="000000"/>
          <w:sz w:val="24"/>
        </w:rPr>
        <w:t>Regional, con la responsabilidad de ejercer el gobierno, normar y controlar el sistema educativo y cultural de la región;</w:t>
      </w:r>
    </w:p>
    <w:p w:rsidR="00000000" w:rsidRDefault="0072491A">
      <w:pPr>
        <w:numPr>
          <w:ilvl w:val="0"/>
          <w:numId w:val="17"/>
        </w:numPr>
        <w:spacing w:line="480" w:lineRule="auto"/>
        <w:jc w:val="both"/>
        <w:rPr>
          <w:rFonts w:ascii="Arial" w:hAnsi="Arial" w:cs="Arial"/>
          <w:color w:val="000000"/>
          <w:sz w:val="24"/>
        </w:rPr>
      </w:pPr>
      <w:r>
        <w:rPr>
          <w:rFonts w:ascii="Arial" w:hAnsi="Arial" w:cs="Arial"/>
          <w:color w:val="000000"/>
          <w:sz w:val="24"/>
        </w:rPr>
        <w:t>Provincial, responsable de la organización y aplicación de todo el sistema educativo y cultural, en la actividad docente en la juris</w:t>
      </w:r>
      <w:r>
        <w:rPr>
          <w:rFonts w:ascii="Arial" w:hAnsi="Arial" w:cs="Arial"/>
          <w:color w:val="000000"/>
          <w:sz w:val="24"/>
        </w:rPr>
        <w:t xml:space="preserve">dicción provincial; y, </w:t>
      </w:r>
    </w:p>
    <w:p w:rsidR="00000000" w:rsidRDefault="0072491A">
      <w:pPr>
        <w:numPr>
          <w:ilvl w:val="0"/>
          <w:numId w:val="17"/>
        </w:numPr>
        <w:spacing w:line="480" w:lineRule="auto"/>
        <w:jc w:val="both"/>
        <w:rPr>
          <w:rFonts w:ascii="Arial" w:hAnsi="Arial" w:cs="Arial"/>
          <w:color w:val="000000"/>
          <w:sz w:val="24"/>
        </w:rPr>
      </w:pPr>
      <w:r>
        <w:rPr>
          <w:rFonts w:ascii="Arial" w:hAnsi="Arial" w:cs="Arial"/>
          <w:color w:val="000000"/>
          <w:sz w:val="24"/>
        </w:rPr>
        <w:t>Establecimientos educativos y culturales con la responsabilidad de cumplir con los fines y objetivos del MEC y ejecutar las actividades educativas y culturales.</w:t>
      </w:r>
    </w:p>
    <w:p w:rsidR="00000000" w:rsidRDefault="0072491A">
      <w:pPr>
        <w:spacing w:line="480" w:lineRule="auto"/>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La estructura orgánica del MEC esta integrada por los niveles: ejecuti</w:t>
      </w:r>
      <w:r>
        <w:rPr>
          <w:rFonts w:ascii="Arial" w:hAnsi="Arial" w:cs="Arial"/>
          <w:color w:val="000000"/>
          <w:sz w:val="24"/>
        </w:rPr>
        <w:t>vo; asesor; de apoyo; y, operativo.</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 xml:space="preserve">El </w:t>
      </w:r>
      <w:r>
        <w:rPr>
          <w:rFonts w:ascii="Arial" w:hAnsi="Arial" w:cs="Arial"/>
          <w:b/>
          <w:bCs/>
          <w:color w:val="000000"/>
          <w:sz w:val="24"/>
        </w:rPr>
        <w:t>nivel ejecutivo</w:t>
      </w:r>
      <w:r>
        <w:rPr>
          <w:rFonts w:ascii="Arial" w:hAnsi="Arial" w:cs="Arial"/>
          <w:color w:val="000000"/>
          <w:sz w:val="24"/>
        </w:rPr>
        <w:t xml:space="preserve"> del MEC es el responsable de ejercer la dirección general y el control del sistema educativo y cultural del país a nivel nacional, regional,, provincial y de establecimientos educativos. Esta constitu</w:t>
      </w:r>
      <w:r>
        <w:rPr>
          <w:rFonts w:ascii="Arial" w:hAnsi="Arial" w:cs="Arial"/>
          <w:color w:val="000000"/>
          <w:sz w:val="24"/>
        </w:rPr>
        <w:t xml:space="preserve">ido por: </w:t>
      </w:r>
      <w:r>
        <w:rPr>
          <w:rFonts w:ascii="Arial" w:hAnsi="Arial" w:cs="Arial"/>
          <w:i/>
          <w:iCs/>
          <w:color w:val="000000"/>
          <w:sz w:val="24"/>
        </w:rPr>
        <w:t>ministro de educación</w:t>
      </w:r>
      <w:r>
        <w:rPr>
          <w:rFonts w:ascii="Arial" w:hAnsi="Arial" w:cs="Arial"/>
          <w:color w:val="000000"/>
          <w:sz w:val="24"/>
        </w:rPr>
        <w:t xml:space="preserve">, </w:t>
      </w:r>
      <w:r>
        <w:rPr>
          <w:rFonts w:ascii="Arial" w:hAnsi="Arial" w:cs="Arial"/>
          <w:i/>
          <w:iCs/>
          <w:color w:val="000000"/>
          <w:sz w:val="24"/>
        </w:rPr>
        <w:t>subsecretario de educación</w:t>
      </w:r>
      <w:r>
        <w:rPr>
          <w:rFonts w:ascii="Arial" w:hAnsi="Arial" w:cs="Arial"/>
          <w:color w:val="000000"/>
          <w:sz w:val="24"/>
        </w:rPr>
        <w:t xml:space="preserve">, </w:t>
      </w:r>
      <w:r>
        <w:rPr>
          <w:rFonts w:ascii="Arial" w:hAnsi="Arial" w:cs="Arial"/>
          <w:i/>
          <w:iCs/>
          <w:color w:val="000000"/>
          <w:sz w:val="24"/>
        </w:rPr>
        <w:t>subsecretario de cultura</w:t>
      </w:r>
      <w:r>
        <w:rPr>
          <w:rFonts w:ascii="Arial" w:hAnsi="Arial" w:cs="Arial"/>
          <w:color w:val="000000"/>
          <w:sz w:val="24"/>
        </w:rPr>
        <w:t xml:space="preserve">, </w:t>
      </w:r>
      <w:r>
        <w:rPr>
          <w:rFonts w:ascii="Arial" w:hAnsi="Arial" w:cs="Arial"/>
          <w:i/>
          <w:iCs/>
          <w:color w:val="000000"/>
          <w:sz w:val="24"/>
        </w:rPr>
        <w:t>subsecretario administrativo</w:t>
      </w:r>
      <w:r>
        <w:rPr>
          <w:rFonts w:ascii="Arial" w:hAnsi="Arial" w:cs="Arial"/>
          <w:color w:val="000000"/>
          <w:sz w:val="24"/>
        </w:rPr>
        <w:t xml:space="preserve">, </w:t>
      </w:r>
      <w:r>
        <w:rPr>
          <w:rFonts w:ascii="Arial" w:hAnsi="Arial" w:cs="Arial"/>
          <w:i/>
          <w:iCs/>
          <w:color w:val="000000"/>
          <w:sz w:val="24"/>
        </w:rPr>
        <w:t>subsecretario regional de educación y cultural del litoral</w:t>
      </w:r>
      <w:r>
        <w:rPr>
          <w:rFonts w:ascii="Arial" w:hAnsi="Arial" w:cs="Arial"/>
          <w:color w:val="000000"/>
          <w:sz w:val="24"/>
        </w:rPr>
        <w:t xml:space="preserve">, y </w:t>
      </w:r>
      <w:r>
        <w:rPr>
          <w:rFonts w:ascii="Arial" w:hAnsi="Arial" w:cs="Arial"/>
          <w:i/>
          <w:iCs/>
          <w:color w:val="000000"/>
          <w:sz w:val="24"/>
        </w:rPr>
        <w:t>subsecretario regional de educación y cultural del austro</w:t>
      </w:r>
      <w:r>
        <w:rPr>
          <w:rFonts w:ascii="Arial" w:hAnsi="Arial" w:cs="Arial"/>
          <w:color w:val="000000"/>
          <w:sz w:val="24"/>
        </w:rPr>
        <w:t>.</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 xml:space="preserve">Al </w:t>
      </w:r>
      <w:r>
        <w:rPr>
          <w:rFonts w:ascii="Arial" w:hAnsi="Arial" w:cs="Arial"/>
          <w:b/>
          <w:bCs/>
          <w:color w:val="000000"/>
          <w:sz w:val="24"/>
        </w:rPr>
        <w:t>nivel asesor</w:t>
      </w:r>
      <w:r>
        <w:rPr>
          <w:rFonts w:ascii="Arial" w:hAnsi="Arial" w:cs="Arial"/>
          <w:color w:val="000000"/>
          <w:sz w:val="24"/>
        </w:rPr>
        <w:t xml:space="preserve"> de</w:t>
      </w:r>
      <w:r>
        <w:rPr>
          <w:rFonts w:ascii="Arial" w:hAnsi="Arial" w:cs="Arial"/>
          <w:color w:val="000000"/>
          <w:sz w:val="24"/>
        </w:rPr>
        <w:t xml:space="preserve">l MEC le corresponde la planificación integral del sistema educativo y cultural. Asesora y formula y efectúa estudios específicos requeridos por el nivel ejecutivo, para toma de decisiones. Este nivel esta constituido por: la </w:t>
      </w:r>
      <w:r>
        <w:rPr>
          <w:rFonts w:ascii="Arial" w:hAnsi="Arial" w:cs="Arial"/>
          <w:i/>
          <w:iCs/>
          <w:color w:val="000000"/>
          <w:sz w:val="24"/>
        </w:rPr>
        <w:t>dirección de auditoria</w:t>
      </w:r>
      <w:r>
        <w:rPr>
          <w:rFonts w:ascii="Arial" w:hAnsi="Arial" w:cs="Arial"/>
          <w:color w:val="000000"/>
          <w:sz w:val="24"/>
        </w:rPr>
        <w:t xml:space="preserve"> interna</w:t>
      </w:r>
      <w:r>
        <w:rPr>
          <w:rFonts w:ascii="Arial" w:hAnsi="Arial" w:cs="Arial"/>
          <w:color w:val="000000"/>
          <w:sz w:val="24"/>
        </w:rPr>
        <w:t xml:space="preserve">; la </w:t>
      </w:r>
      <w:r>
        <w:rPr>
          <w:rFonts w:ascii="Arial" w:hAnsi="Arial" w:cs="Arial"/>
          <w:i/>
          <w:iCs/>
          <w:color w:val="000000"/>
          <w:sz w:val="24"/>
        </w:rPr>
        <w:t>dirección de asesoría jurídica</w:t>
      </w:r>
      <w:r>
        <w:rPr>
          <w:rFonts w:ascii="Arial" w:hAnsi="Arial" w:cs="Arial"/>
          <w:color w:val="000000"/>
          <w:sz w:val="24"/>
        </w:rPr>
        <w:t xml:space="preserve">; y la </w:t>
      </w:r>
      <w:r>
        <w:rPr>
          <w:rFonts w:ascii="Arial" w:hAnsi="Arial" w:cs="Arial"/>
          <w:i/>
          <w:iCs/>
          <w:color w:val="000000"/>
          <w:sz w:val="24"/>
        </w:rPr>
        <w:t>dirección de planeamiento</w:t>
      </w:r>
      <w:r>
        <w:rPr>
          <w:rFonts w:ascii="Arial" w:hAnsi="Arial" w:cs="Arial"/>
          <w:color w:val="000000"/>
          <w:sz w:val="24"/>
        </w:rPr>
        <w:t>, la cual cuenta con las divisiones de investigación y estadística, planificación técnica, planificación financiera, proyectos específicos, evaluación; además con las direcciones de comunic</w:t>
      </w:r>
      <w:r>
        <w:rPr>
          <w:rFonts w:ascii="Arial" w:hAnsi="Arial" w:cs="Arial"/>
          <w:color w:val="000000"/>
          <w:sz w:val="24"/>
        </w:rPr>
        <w:t>ación social, desarrollo institucional, asuntos internacionales, y de planeamiento de seguridad para el desarrollo nacional.</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 xml:space="preserve">El </w:t>
      </w:r>
      <w:r>
        <w:rPr>
          <w:rFonts w:ascii="Arial" w:hAnsi="Arial" w:cs="Arial"/>
          <w:b/>
          <w:bCs/>
          <w:color w:val="000000"/>
          <w:sz w:val="24"/>
        </w:rPr>
        <w:t>nivel de apoyo</w:t>
      </w:r>
      <w:r>
        <w:rPr>
          <w:rFonts w:ascii="Arial" w:hAnsi="Arial" w:cs="Arial"/>
          <w:color w:val="000000"/>
          <w:sz w:val="24"/>
        </w:rPr>
        <w:t xml:space="preserve"> se encarga de la administración y provisión de los recursos humanos, financieros, materiales y tecnológicos; pro</w:t>
      </w:r>
      <w:r>
        <w:rPr>
          <w:rFonts w:ascii="Arial" w:hAnsi="Arial" w:cs="Arial"/>
          <w:color w:val="000000"/>
          <w:sz w:val="24"/>
        </w:rPr>
        <w:t xml:space="preserve">porciona los servicios necesarios para el cumplimiento de las actividades del MEC. El nivel de apoyo esta constituido por: la </w:t>
      </w:r>
      <w:r>
        <w:rPr>
          <w:rFonts w:ascii="Arial" w:hAnsi="Arial" w:cs="Arial"/>
          <w:i/>
          <w:iCs/>
          <w:color w:val="000000"/>
          <w:sz w:val="24"/>
        </w:rPr>
        <w:t>dirección de recursos humanos</w:t>
      </w:r>
      <w:r>
        <w:rPr>
          <w:rFonts w:ascii="Arial" w:hAnsi="Arial" w:cs="Arial"/>
          <w:color w:val="000000"/>
          <w:sz w:val="24"/>
        </w:rPr>
        <w:t xml:space="preserve">, </w:t>
      </w:r>
      <w:r>
        <w:rPr>
          <w:rFonts w:ascii="Arial" w:hAnsi="Arial" w:cs="Arial"/>
          <w:i/>
          <w:iCs/>
          <w:color w:val="000000"/>
          <w:sz w:val="24"/>
        </w:rPr>
        <w:t>dirección administrativa</w:t>
      </w:r>
      <w:r>
        <w:rPr>
          <w:rFonts w:ascii="Arial" w:hAnsi="Arial" w:cs="Arial"/>
          <w:color w:val="000000"/>
          <w:sz w:val="24"/>
        </w:rPr>
        <w:t xml:space="preserve">, </w:t>
      </w:r>
      <w:r>
        <w:rPr>
          <w:rFonts w:ascii="Arial" w:hAnsi="Arial" w:cs="Arial"/>
          <w:i/>
          <w:iCs/>
          <w:color w:val="000000"/>
          <w:sz w:val="24"/>
        </w:rPr>
        <w:t>dirección financiera</w:t>
      </w:r>
      <w:r>
        <w:rPr>
          <w:rFonts w:ascii="Arial" w:hAnsi="Arial" w:cs="Arial"/>
          <w:color w:val="000000"/>
          <w:sz w:val="24"/>
        </w:rPr>
        <w:t xml:space="preserve"> y </w:t>
      </w:r>
      <w:r>
        <w:rPr>
          <w:rFonts w:ascii="Arial" w:hAnsi="Arial" w:cs="Arial"/>
          <w:i/>
          <w:iCs/>
          <w:color w:val="000000"/>
          <w:sz w:val="24"/>
        </w:rPr>
        <w:t>centro de documentación</w:t>
      </w:r>
      <w:r>
        <w:rPr>
          <w:rFonts w:ascii="Arial" w:hAnsi="Arial" w:cs="Arial"/>
          <w:color w:val="000000"/>
          <w:sz w:val="24"/>
        </w:rPr>
        <w:t>.</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 xml:space="preserve">El </w:t>
      </w:r>
      <w:r>
        <w:rPr>
          <w:rFonts w:ascii="Arial" w:hAnsi="Arial" w:cs="Arial"/>
          <w:b/>
          <w:bCs/>
          <w:color w:val="000000"/>
          <w:sz w:val="24"/>
        </w:rPr>
        <w:t>nivel operativo</w:t>
      </w:r>
      <w:r>
        <w:rPr>
          <w:rFonts w:ascii="Arial" w:hAnsi="Arial" w:cs="Arial"/>
          <w:color w:val="000000"/>
          <w:sz w:val="24"/>
        </w:rPr>
        <w:t xml:space="preserve"> es el</w:t>
      </w:r>
      <w:r>
        <w:rPr>
          <w:rFonts w:ascii="Arial" w:hAnsi="Arial" w:cs="Arial"/>
          <w:color w:val="000000"/>
          <w:sz w:val="24"/>
        </w:rPr>
        <w:t xml:space="preserve"> responsable del desarrollo educativo y cultural. Dirige, controla, supervisa y ejecuta actividades para el cumplimiento de la finalidad y objetivos del MEC. Esta compuesto por las siguientes dependencias:</w:t>
      </w:r>
    </w:p>
    <w:p w:rsidR="00000000" w:rsidRDefault="0072491A">
      <w:pPr>
        <w:numPr>
          <w:ilvl w:val="0"/>
          <w:numId w:val="18"/>
        </w:numPr>
        <w:spacing w:line="480" w:lineRule="auto"/>
        <w:jc w:val="both"/>
        <w:rPr>
          <w:rFonts w:ascii="Arial" w:hAnsi="Arial" w:cs="Arial"/>
          <w:color w:val="000000"/>
          <w:sz w:val="24"/>
        </w:rPr>
      </w:pPr>
      <w:r>
        <w:rPr>
          <w:rFonts w:ascii="Arial" w:hAnsi="Arial" w:cs="Arial"/>
          <w:b/>
          <w:bCs/>
          <w:color w:val="000000"/>
          <w:sz w:val="24"/>
        </w:rPr>
        <w:t>Subsecretaría de cultura</w:t>
      </w:r>
      <w:r>
        <w:rPr>
          <w:rFonts w:ascii="Arial" w:hAnsi="Arial" w:cs="Arial"/>
          <w:color w:val="000000"/>
          <w:sz w:val="24"/>
        </w:rPr>
        <w:t xml:space="preserve">; compuesta por la </w:t>
      </w:r>
      <w:r>
        <w:rPr>
          <w:rFonts w:ascii="Arial" w:hAnsi="Arial" w:cs="Arial"/>
          <w:i/>
          <w:iCs/>
          <w:color w:val="000000"/>
          <w:sz w:val="24"/>
        </w:rPr>
        <w:t>direcci</w:t>
      </w:r>
      <w:r>
        <w:rPr>
          <w:rFonts w:ascii="Arial" w:hAnsi="Arial" w:cs="Arial"/>
          <w:i/>
          <w:iCs/>
          <w:color w:val="000000"/>
          <w:sz w:val="24"/>
        </w:rPr>
        <w:t>ón de desarrollo cultural</w:t>
      </w:r>
      <w:r>
        <w:rPr>
          <w:rFonts w:ascii="Arial" w:hAnsi="Arial" w:cs="Arial"/>
          <w:color w:val="000000"/>
          <w:sz w:val="24"/>
        </w:rPr>
        <w:t xml:space="preserve">, con las divisiones de planificación cultural, educación artística, y fomento cultural. Esta subsecretaría cuenta además con la </w:t>
      </w:r>
      <w:r>
        <w:rPr>
          <w:rFonts w:ascii="Arial" w:hAnsi="Arial" w:cs="Arial"/>
          <w:i/>
          <w:iCs/>
          <w:color w:val="000000"/>
          <w:sz w:val="24"/>
        </w:rPr>
        <w:t>división de registro nacional de los derechos de autor</w:t>
      </w:r>
      <w:r>
        <w:rPr>
          <w:rFonts w:ascii="Arial" w:hAnsi="Arial" w:cs="Arial"/>
          <w:color w:val="000000"/>
          <w:sz w:val="24"/>
        </w:rPr>
        <w:t>.</w:t>
      </w:r>
    </w:p>
    <w:p w:rsidR="00000000" w:rsidRDefault="0072491A">
      <w:pPr>
        <w:numPr>
          <w:ilvl w:val="0"/>
          <w:numId w:val="18"/>
        </w:numPr>
        <w:spacing w:line="480" w:lineRule="auto"/>
        <w:jc w:val="both"/>
        <w:rPr>
          <w:rFonts w:ascii="Arial" w:hAnsi="Arial" w:cs="Arial"/>
          <w:color w:val="000000"/>
          <w:sz w:val="24"/>
        </w:rPr>
      </w:pPr>
      <w:r>
        <w:rPr>
          <w:rFonts w:ascii="Arial" w:hAnsi="Arial" w:cs="Arial"/>
          <w:b/>
          <w:bCs/>
          <w:color w:val="000000"/>
          <w:sz w:val="24"/>
        </w:rPr>
        <w:t>Subsecretaría de educación</w:t>
      </w:r>
      <w:r>
        <w:rPr>
          <w:rFonts w:ascii="Arial" w:hAnsi="Arial" w:cs="Arial"/>
          <w:color w:val="000000"/>
          <w:sz w:val="24"/>
        </w:rPr>
        <w:t xml:space="preserve">, la cuanta con las </w:t>
      </w:r>
      <w:r>
        <w:rPr>
          <w:rFonts w:ascii="Arial" w:hAnsi="Arial" w:cs="Arial"/>
          <w:color w:val="000000"/>
          <w:sz w:val="24"/>
        </w:rPr>
        <w:t xml:space="preserve">siguientes unidades: </w:t>
      </w:r>
      <w:r>
        <w:rPr>
          <w:rFonts w:ascii="Arial" w:hAnsi="Arial" w:cs="Arial"/>
          <w:i/>
          <w:iCs/>
          <w:color w:val="000000"/>
          <w:sz w:val="24"/>
        </w:rPr>
        <w:t>dirección de supervisión educativa</w:t>
      </w:r>
      <w:r>
        <w:rPr>
          <w:rFonts w:ascii="Arial" w:hAnsi="Arial" w:cs="Arial"/>
          <w:color w:val="000000"/>
          <w:sz w:val="24"/>
        </w:rPr>
        <w:t xml:space="preserve">, con su división de régimen escolar y refrendación de títulos; </w:t>
      </w:r>
      <w:r>
        <w:rPr>
          <w:rFonts w:ascii="Arial" w:hAnsi="Arial" w:cs="Arial"/>
          <w:i/>
          <w:iCs/>
          <w:color w:val="000000"/>
          <w:sz w:val="24"/>
        </w:rPr>
        <w:t>dirección de educación técnica</w:t>
      </w:r>
      <w:r>
        <w:rPr>
          <w:rFonts w:ascii="Arial" w:hAnsi="Arial" w:cs="Arial"/>
          <w:color w:val="000000"/>
          <w:sz w:val="24"/>
        </w:rPr>
        <w:t xml:space="preserve">, con las divisiones de programación especializada, tecnológica, y orientación técnica; </w:t>
      </w:r>
      <w:r>
        <w:rPr>
          <w:rFonts w:ascii="Arial" w:hAnsi="Arial" w:cs="Arial"/>
          <w:i/>
          <w:iCs/>
          <w:color w:val="000000"/>
          <w:sz w:val="24"/>
        </w:rPr>
        <w:t>dirección de educac</w:t>
      </w:r>
      <w:r>
        <w:rPr>
          <w:rFonts w:ascii="Arial" w:hAnsi="Arial" w:cs="Arial"/>
          <w:i/>
          <w:iCs/>
          <w:color w:val="000000"/>
          <w:sz w:val="24"/>
        </w:rPr>
        <w:t>ión, rural</w:t>
      </w:r>
      <w:r>
        <w:rPr>
          <w:rFonts w:ascii="Arial" w:hAnsi="Arial" w:cs="Arial"/>
          <w:color w:val="000000"/>
          <w:sz w:val="24"/>
        </w:rPr>
        <w:t xml:space="preserve">, con las divisiones de educación comunitaria; y, experimentación; </w:t>
      </w:r>
      <w:r>
        <w:rPr>
          <w:rFonts w:ascii="Arial" w:hAnsi="Arial" w:cs="Arial"/>
          <w:i/>
          <w:iCs/>
          <w:color w:val="000000"/>
          <w:sz w:val="24"/>
        </w:rPr>
        <w:t>dirección de mejoramiento profesional</w:t>
      </w:r>
      <w:r>
        <w:rPr>
          <w:rFonts w:ascii="Arial" w:hAnsi="Arial" w:cs="Arial"/>
          <w:color w:val="000000"/>
          <w:sz w:val="24"/>
        </w:rPr>
        <w:t xml:space="preserve">, con las divisiones de formación docente; y, capacitación y perfeccionamiento docente; dirección de currículo, con las divisiones educación, </w:t>
      </w:r>
      <w:r>
        <w:rPr>
          <w:rFonts w:ascii="Arial" w:hAnsi="Arial" w:cs="Arial"/>
          <w:color w:val="000000"/>
          <w:sz w:val="24"/>
        </w:rPr>
        <w:t xml:space="preserve">básica, bachillerato y post bachillerato, idiomas extranjeros, orientación y bienestar estudiantil; y, educación popular permanente; por último la </w:t>
      </w:r>
      <w:r>
        <w:rPr>
          <w:rFonts w:ascii="Arial" w:hAnsi="Arial" w:cs="Arial"/>
          <w:i/>
          <w:iCs/>
          <w:color w:val="000000"/>
          <w:sz w:val="24"/>
        </w:rPr>
        <w:t>dirección de educación regular y especial</w:t>
      </w:r>
      <w:r>
        <w:rPr>
          <w:rFonts w:ascii="Arial" w:hAnsi="Arial" w:cs="Arial"/>
          <w:color w:val="000000"/>
          <w:sz w:val="24"/>
        </w:rPr>
        <w:t>, con sus divisiones de escalafón, educación especial, educación amb</w:t>
      </w:r>
      <w:r>
        <w:rPr>
          <w:rFonts w:ascii="Arial" w:hAnsi="Arial" w:cs="Arial"/>
          <w:color w:val="000000"/>
          <w:sz w:val="24"/>
        </w:rPr>
        <w:t>iental y vial; y, educación para la salud y drogas.</w:t>
      </w:r>
    </w:p>
    <w:p w:rsidR="00000000" w:rsidRDefault="0072491A">
      <w:pPr>
        <w:pStyle w:val="Sangra2detindependiente"/>
      </w:pPr>
    </w:p>
    <w:p w:rsidR="00000000" w:rsidRDefault="0072491A">
      <w:pPr>
        <w:pStyle w:val="Sangra2detindependiente"/>
      </w:pPr>
      <w:r>
        <w:t xml:space="preserve">La </w:t>
      </w:r>
      <w:r>
        <w:rPr>
          <w:i/>
          <w:iCs/>
        </w:rPr>
        <w:t>subsecretaría de educación</w:t>
      </w:r>
      <w:r>
        <w:t xml:space="preserve"> tiene a su cargo las direcciones provinciales de Imbabura, Carchi, Pichincha, Cotopaxi, Tungurahua, Chimborazo, Napo, Sucumbios, Pastaza y Orellana.</w:t>
      </w:r>
    </w:p>
    <w:p w:rsidR="00000000" w:rsidRDefault="0072491A">
      <w:pPr>
        <w:pStyle w:val="Sangra2detindependiente"/>
      </w:pPr>
    </w:p>
    <w:p w:rsidR="00000000" w:rsidRDefault="0072491A">
      <w:pPr>
        <w:pStyle w:val="Sangra2detindependiente"/>
      </w:pPr>
      <w:r>
        <w:t xml:space="preserve">Las </w:t>
      </w:r>
      <w:r>
        <w:rPr>
          <w:i/>
          <w:iCs/>
        </w:rPr>
        <w:t>direcciones provinc</w:t>
      </w:r>
      <w:r>
        <w:rPr>
          <w:i/>
          <w:iCs/>
        </w:rPr>
        <w:t>iales de educación y cultura</w:t>
      </w:r>
      <w:r>
        <w:t xml:space="preserve"> coordinaran con la </w:t>
      </w:r>
      <w:r>
        <w:rPr>
          <w:i/>
          <w:iCs/>
        </w:rPr>
        <w:t>subsecretaria de cultura</w:t>
      </w:r>
      <w:r>
        <w:t xml:space="preserve"> todas las actividades relacionadas al sistema, a través de las </w:t>
      </w:r>
      <w:r>
        <w:rPr>
          <w:i/>
          <w:iCs/>
        </w:rPr>
        <w:t>subdirecciones provinciales de cultura</w:t>
      </w:r>
      <w:r>
        <w:t xml:space="preserve"> y las </w:t>
      </w:r>
      <w:r>
        <w:rPr>
          <w:i/>
          <w:iCs/>
        </w:rPr>
        <w:t>subsecretarías regionales de educación del Litoral y del Austro</w:t>
      </w:r>
      <w:r>
        <w:t>.</w:t>
      </w:r>
    </w:p>
    <w:p w:rsidR="00000000" w:rsidRDefault="0072491A">
      <w:pPr>
        <w:spacing w:line="480" w:lineRule="auto"/>
        <w:jc w:val="both"/>
        <w:rPr>
          <w:rFonts w:ascii="Arial" w:hAnsi="Arial" w:cs="Arial"/>
          <w:color w:val="000000"/>
          <w:sz w:val="24"/>
        </w:rPr>
      </w:pPr>
    </w:p>
    <w:p w:rsidR="00000000" w:rsidRDefault="0072491A">
      <w:pPr>
        <w:spacing w:line="480" w:lineRule="auto"/>
        <w:ind w:left="426"/>
        <w:jc w:val="both"/>
        <w:rPr>
          <w:rFonts w:ascii="Arial" w:hAnsi="Arial" w:cs="Arial"/>
          <w:sz w:val="24"/>
        </w:rPr>
      </w:pPr>
      <w:r>
        <w:rPr>
          <w:rFonts w:ascii="Arial" w:hAnsi="Arial" w:cs="Arial"/>
          <w:color w:val="000000"/>
          <w:sz w:val="24"/>
        </w:rPr>
        <w:t>Como ente</w:t>
      </w:r>
      <w:r>
        <w:rPr>
          <w:rFonts w:ascii="Arial" w:hAnsi="Arial" w:cs="Arial"/>
          <w:color w:val="000000"/>
          <w:sz w:val="24"/>
        </w:rPr>
        <w:t xml:space="preserve">s descentralizadores de la </w:t>
      </w:r>
      <w:r>
        <w:rPr>
          <w:rFonts w:ascii="Arial" w:hAnsi="Arial" w:cs="Arial"/>
          <w:i/>
          <w:iCs/>
          <w:color w:val="000000"/>
          <w:sz w:val="24"/>
        </w:rPr>
        <w:t>subsecretaría de educación</w:t>
      </w:r>
      <w:r>
        <w:rPr>
          <w:rFonts w:ascii="Arial" w:hAnsi="Arial" w:cs="Arial"/>
          <w:color w:val="000000"/>
          <w:sz w:val="24"/>
        </w:rPr>
        <w:t xml:space="preserve"> existen las </w:t>
      </w:r>
      <w:r>
        <w:rPr>
          <w:rFonts w:ascii="Arial" w:hAnsi="Arial" w:cs="Arial"/>
          <w:i/>
          <w:iCs/>
          <w:sz w:val="24"/>
        </w:rPr>
        <w:t>subsecretarías regionales de educación del Litoral y del Austro</w:t>
      </w:r>
      <w:r>
        <w:rPr>
          <w:rFonts w:ascii="Arial" w:hAnsi="Arial" w:cs="Arial"/>
          <w:sz w:val="24"/>
        </w:rPr>
        <w:t xml:space="preserve">. La subsecretaría del Litoral  tiene sede en Guayaquil, y jurisdicción en las provincias de Guayas, Manabí, Los Ríos, El Oro, </w:t>
      </w:r>
      <w:r>
        <w:rPr>
          <w:rFonts w:ascii="Arial" w:hAnsi="Arial" w:cs="Arial"/>
          <w:sz w:val="24"/>
        </w:rPr>
        <w:t>Esmeraldas, Galápagos y Bolívar. Mientras la subsecretaría del Austro tiene sede en Cuenca, y jurisdicción en las provincias de Azuay, Cañar, Loja, Zamora Chinchipe y Morona Santiago.</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La estructura interna de las subsecretarías regionales esta compuesta p</w:t>
      </w:r>
      <w:r>
        <w:rPr>
          <w:rFonts w:ascii="Arial" w:hAnsi="Arial" w:cs="Arial"/>
          <w:color w:val="000000"/>
          <w:sz w:val="24"/>
        </w:rPr>
        <w:t>or:</w:t>
      </w:r>
    </w:p>
    <w:p w:rsidR="00000000" w:rsidRDefault="0072491A">
      <w:pPr>
        <w:numPr>
          <w:ilvl w:val="0"/>
          <w:numId w:val="20"/>
        </w:numPr>
        <w:spacing w:line="480" w:lineRule="auto"/>
        <w:jc w:val="both"/>
        <w:rPr>
          <w:rFonts w:ascii="Arial" w:hAnsi="Arial" w:cs="Arial"/>
          <w:color w:val="000000"/>
          <w:sz w:val="24"/>
        </w:rPr>
      </w:pPr>
      <w:r>
        <w:rPr>
          <w:rFonts w:ascii="Arial" w:hAnsi="Arial" w:cs="Arial"/>
          <w:b/>
          <w:bCs/>
          <w:color w:val="000000"/>
          <w:sz w:val="24"/>
        </w:rPr>
        <w:t>Nivel Ejecutivo</w:t>
      </w:r>
      <w:r>
        <w:rPr>
          <w:rFonts w:ascii="Arial" w:hAnsi="Arial" w:cs="Arial"/>
          <w:color w:val="000000"/>
          <w:sz w:val="24"/>
        </w:rPr>
        <w:t xml:space="preserve">, el cual esta constituido por el </w:t>
      </w:r>
      <w:r>
        <w:rPr>
          <w:rFonts w:ascii="Arial" w:hAnsi="Arial" w:cs="Arial"/>
          <w:i/>
          <w:iCs/>
          <w:color w:val="000000"/>
          <w:sz w:val="24"/>
        </w:rPr>
        <w:t>despacho del subsecretario</w:t>
      </w:r>
      <w:r>
        <w:rPr>
          <w:rFonts w:ascii="Arial" w:hAnsi="Arial" w:cs="Arial"/>
          <w:color w:val="000000"/>
          <w:sz w:val="24"/>
        </w:rPr>
        <w:t>;</w:t>
      </w:r>
    </w:p>
    <w:p w:rsidR="00000000" w:rsidRDefault="0072491A">
      <w:pPr>
        <w:numPr>
          <w:ilvl w:val="0"/>
          <w:numId w:val="20"/>
        </w:numPr>
        <w:spacing w:line="480" w:lineRule="auto"/>
        <w:jc w:val="both"/>
        <w:rPr>
          <w:rFonts w:ascii="Arial" w:hAnsi="Arial" w:cs="Arial"/>
          <w:color w:val="000000"/>
          <w:sz w:val="24"/>
        </w:rPr>
      </w:pPr>
      <w:r>
        <w:rPr>
          <w:rFonts w:ascii="Arial" w:hAnsi="Arial" w:cs="Arial"/>
          <w:b/>
          <w:bCs/>
          <w:color w:val="000000"/>
          <w:sz w:val="24"/>
        </w:rPr>
        <w:t>Nivel Asesor</w:t>
      </w:r>
      <w:r>
        <w:rPr>
          <w:rFonts w:ascii="Arial" w:hAnsi="Arial" w:cs="Arial"/>
          <w:color w:val="000000"/>
          <w:sz w:val="24"/>
        </w:rPr>
        <w:t xml:space="preserve">, el cual esta constituido por las divisiones de </w:t>
      </w:r>
      <w:r>
        <w:rPr>
          <w:rFonts w:ascii="Arial" w:hAnsi="Arial" w:cs="Arial"/>
          <w:i/>
          <w:iCs/>
          <w:color w:val="000000"/>
          <w:sz w:val="24"/>
        </w:rPr>
        <w:t>planeamiento</w:t>
      </w:r>
      <w:r>
        <w:rPr>
          <w:rFonts w:ascii="Arial" w:hAnsi="Arial" w:cs="Arial"/>
          <w:color w:val="000000"/>
          <w:sz w:val="24"/>
        </w:rPr>
        <w:t xml:space="preserve">, </w:t>
      </w:r>
      <w:r>
        <w:rPr>
          <w:rFonts w:ascii="Arial" w:hAnsi="Arial" w:cs="Arial"/>
          <w:i/>
          <w:iCs/>
          <w:color w:val="000000"/>
          <w:sz w:val="24"/>
        </w:rPr>
        <w:t>asesoría jurídica</w:t>
      </w:r>
      <w:r>
        <w:rPr>
          <w:rFonts w:ascii="Arial" w:hAnsi="Arial" w:cs="Arial"/>
          <w:color w:val="000000"/>
          <w:sz w:val="24"/>
        </w:rPr>
        <w:t xml:space="preserve">; y </w:t>
      </w:r>
      <w:r>
        <w:rPr>
          <w:rFonts w:ascii="Arial" w:hAnsi="Arial" w:cs="Arial"/>
          <w:i/>
          <w:iCs/>
          <w:color w:val="000000"/>
          <w:sz w:val="24"/>
        </w:rPr>
        <w:t>comunicación social</w:t>
      </w:r>
      <w:r>
        <w:rPr>
          <w:rFonts w:ascii="Arial" w:hAnsi="Arial" w:cs="Arial"/>
          <w:color w:val="000000"/>
          <w:sz w:val="24"/>
        </w:rPr>
        <w:t xml:space="preserve">; </w:t>
      </w:r>
    </w:p>
    <w:p w:rsidR="00000000" w:rsidRDefault="0072491A">
      <w:pPr>
        <w:numPr>
          <w:ilvl w:val="0"/>
          <w:numId w:val="20"/>
        </w:numPr>
        <w:spacing w:line="480" w:lineRule="auto"/>
        <w:jc w:val="both"/>
        <w:rPr>
          <w:rFonts w:ascii="Arial" w:hAnsi="Arial" w:cs="Arial"/>
          <w:color w:val="000000"/>
          <w:sz w:val="24"/>
        </w:rPr>
      </w:pPr>
      <w:r>
        <w:rPr>
          <w:rFonts w:ascii="Arial" w:hAnsi="Arial" w:cs="Arial"/>
          <w:b/>
          <w:bCs/>
          <w:color w:val="000000"/>
          <w:sz w:val="24"/>
        </w:rPr>
        <w:t>Nivel De Apoyo</w:t>
      </w:r>
      <w:r>
        <w:rPr>
          <w:rFonts w:ascii="Arial" w:hAnsi="Arial" w:cs="Arial"/>
          <w:color w:val="000000"/>
          <w:sz w:val="24"/>
        </w:rPr>
        <w:t xml:space="preserve">, el cual esta constituido por la </w:t>
      </w:r>
      <w:r>
        <w:rPr>
          <w:rFonts w:ascii="Arial" w:hAnsi="Arial" w:cs="Arial"/>
          <w:i/>
          <w:iCs/>
          <w:color w:val="000000"/>
          <w:sz w:val="24"/>
        </w:rPr>
        <w:t>dirección</w:t>
      </w:r>
      <w:r>
        <w:rPr>
          <w:rFonts w:ascii="Arial" w:hAnsi="Arial" w:cs="Arial"/>
          <w:i/>
          <w:iCs/>
          <w:color w:val="000000"/>
          <w:sz w:val="24"/>
        </w:rPr>
        <w:t xml:space="preserve"> administrativa</w:t>
      </w:r>
      <w:r>
        <w:rPr>
          <w:rFonts w:ascii="Arial" w:hAnsi="Arial" w:cs="Arial"/>
          <w:color w:val="000000"/>
          <w:sz w:val="24"/>
        </w:rPr>
        <w:t xml:space="preserve">; y, </w:t>
      </w:r>
    </w:p>
    <w:p w:rsidR="00000000" w:rsidRDefault="0072491A">
      <w:pPr>
        <w:numPr>
          <w:ilvl w:val="0"/>
          <w:numId w:val="20"/>
        </w:numPr>
        <w:spacing w:line="480" w:lineRule="auto"/>
        <w:jc w:val="both"/>
        <w:rPr>
          <w:rFonts w:ascii="Arial" w:hAnsi="Arial" w:cs="Arial"/>
          <w:color w:val="000000"/>
          <w:sz w:val="24"/>
        </w:rPr>
      </w:pPr>
      <w:r>
        <w:rPr>
          <w:rFonts w:ascii="Arial" w:hAnsi="Arial" w:cs="Arial"/>
          <w:b/>
          <w:bCs/>
          <w:color w:val="000000"/>
          <w:sz w:val="24"/>
        </w:rPr>
        <w:t>Nivel Operativo</w:t>
      </w:r>
      <w:r>
        <w:rPr>
          <w:rFonts w:ascii="Arial" w:hAnsi="Arial" w:cs="Arial"/>
          <w:color w:val="000000"/>
          <w:sz w:val="24"/>
        </w:rPr>
        <w:t xml:space="preserve">, compuesto por la </w:t>
      </w:r>
      <w:r>
        <w:rPr>
          <w:rFonts w:ascii="Arial" w:hAnsi="Arial" w:cs="Arial"/>
          <w:i/>
          <w:iCs/>
          <w:color w:val="000000"/>
          <w:sz w:val="24"/>
        </w:rPr>
        <w:t>dirección de educación</w:t>
      </w:r>
      <w:r>
        <w:rPr>
          <w:rFonts w:ascii="Arial" w:hAnsi="Arial" w:cs="Arial"/>
          <w:color w:val="000000"/>
          <w:sz w:val="24"/>
        </w:rPr>
        <w:t>, con sus divisiones de supervisión educativa, régimen escolar y refrendación de títulos, escalafón, educación técnica, educación rural, mejoramiento profesional, y, currículo; po</w:t>
      </w:r>
      <w:r>
        <w:rPr>
          <w:rFonts w:ascii="Arial" w:hAnsi="Arial" w:cs="Arial"/>
          <w:color w:val="000000"/>
          <w:sz w:val="24"/>
        </w:rPr>
        <w:t xml:space="preserve">r la </w:t>
      </w:r>
      <w:r>
        <w:rPr>
          <w:rFonts w:ascii="Arial" w:hAnsi="Arial" w:cs="Arial"/>
          <w:i/>
          <w:iCs/>
          <w:color w:val="000000"/>
          <w:sz w:val="24"/>
        </w:rPr>
        <w:t>dirección de cultura</w:t>
      </w:r>
      <w:r>
        <w:rPr>
          <w:rFonts w:ascii="Arial" w:hAnsi="Arial" w:cs="Arial"/>
          <w:color w:val="000000"/>
          <w:sz w:val="24"/>
        </w:rPr>
        <w:t xml:space="preserve">, y por las </w:t>
      </w:r>
      <w:r>
        <w:rPr>
          <w:rFonts w:ascii="Arial" w:hAnsi="Arial" w:cs="Arial"/>
          <w:i/>
          <w:iCs/>
          <w:color w:val="000000"/>
          <w:sz w:val="24"/>
        </w:rPr>
        <w:t>direcciones provinciales de educación</w:t>
      </w:r>
      <w:r>
        <w:rPr>
          <w:rFonts w:ascii="Arial" w:hAnsi="Arial" w:cs="Arial"/>
          <w:color w:val="000000"/>
          <w:sz w:val="24"/>
        </w:rPr>
        <w:t>.</w:t>
      </w:r>
    </w:p>
    <w:p w:rsidR="00000000" w:rsidRDefault="0072491A">
      <w:pPr>
        <w:spacing w:line="480" w:lineRule="auto"/>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En el anexo 1 se muestra el organigrama orgánico funcional del Ministerio de Educación y Cultura.</w:t>
      </w:r>
    </w:p>
    <w:p w:rsidR="00000000" w:rsidRDefault="0072491A">
      <w:pPr>
        <w:spacing w:line="480" w:lineRule="auto"/>
        <w:ind w:left="426"/>
        <w:jc w:val="both"/>
        <w:rPr>
          <w:rFonts w:ascii="Arial" w:hAnsi="Arial" w:cs="Arial"/>
          <w:color w:val="000000"/>
          <w:sz w:val="24"/>
        </w:rPr>
      </w:pPr>
      <w:r>
        <w:rPr>
          <w:rFonts w:ascii="Arial" w:hAnsi="Arial" w:cs="Arial"/>
          <w:color w:val="000000"/>
          <w:sz w:val="24"/>
        </w:rPr>
        <w:t>(Fuente: Reglamento Orgánico Funcional del Ministerio de Educación y Cultura, Reg</w:t>
      </w:r>
      <w:r>
        <w:rPr>
          <w:rFonts w:ascii="Arial" w:hAnsi="Arial" w:cs="Arial"/>
          <w:color w:val="000000"/>
          <w:sz w:val="24"/>
        </w:rPr>
        <w:t>istro oficial N° 933, expedido el lunes 8 de julio de 1996)</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 xml:space="preserve">Los entes responsables de la organización y aplicación de todo el sistema educativo y cultural, en la actividad docente en la jurisdicción provincial, son las </w:t>
      </w:r>
      <w:r>
        <w:rPr>
          <w:rFonts w:ascii="Arial" w:hAnsi="Arial" w:cs="Arial"/>
          <w:i/>
          <w:iCs/>
          <w:color w:val="000000"/>
          <w:sz w:val="24"/>
        </w:rPr>
        <w:t>direcciones provinciales de educació</w:t>
      </w:r>
      <w:r>
        <w:rPr>
          <w:rFonts w:ascii="Arial" w:hAnsi="Arial" w:cs="Arial"/>
          <w:i/>
          <w:iCs/>
          <w:color w:val="000000"/>
          <w:sz w:val="24"/>
        </w:rPr>
        <w:t>n y cultura</w:t>
      </w:r>
      <w:r>
        <w:rPr>
          <w:rFonts w:ascii="Arial" w:hAnsi="Arial" w:cs="Arial"/>
          <w:color w:val="000000"/>
          <w:sz w:val="24"/>
        </w:rPr>
        <w:t>. Estas se clasifican en grandes, medianas o pequeñas, bajo los siguientes parámetros: Capacidad de gestión técnico administrativa; Población; Volumen de recursos que administra; Infraestructura escolar; Equipamiento; y, Número de alumnos y maes</w:t>
      </w:r>
      <w:r>
        <w:rPr>
          <w:rFonts w:ascii="Arial" w:hAnsi="Arial" w:cs="Arial"/>
          <w:color w:val="000000"/>
          <w:sz w:val="24"/>
        </w:rPr>
        <w:t>tros.</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Según la calificación dada del Ministerio de Educación y Cultura a estos parámetros, la dirección de educación provincial de Bolívar es establecida como mediana; contando en su estructura orgánica los niveles ejecutivo, asesor, de apoyo y operativo.</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 xml:space="preserve">El </w:t>
      </w:r>
      <w:r>
        <w:rPr>
          <w:rFonts w:ascii="Arial" w:hAnsi="Arial" w:cs="Arial"/>
          <w:b/>
          <w:bCs/>
          <w:color w:val="000000"/>
          <w:sz w:val="24"/>
        </w:rPr>
        <w:t>nivel ejecutivo</w:t>
      </w:r>
      <w:r>
        <w:rPr>
          <w:rFonts w:ascii="Arial" w:hAnsi="Arial" w:cs="Arial"/>
          <w:color w:val="000000"/>
          <w:sz w:val="24"/>
        </w:rPr>
        <w:t xml:space="preserve"> es el responsable de establecer las políticas, ejercer la dirección general y el control del sistema educativo. Esta constituido por el </w:t>
      </w:r>
      <w:r>
        <w:rPr>
          <w:rFonts w:ascii="Arial" w:hAnsi="Arial" w:cs="Arial"/>
          <w:i/>
          <w:iCs/>
          <w:color w:val="000000"/>
          <w:sz w:val="24"/>
        </w:rPr>
        <w:t>director provincial</w:t>
      </w:r>
      <w:r>
        <w:rPr>
          <w:rFonts w:ascii="Arial" w:hAnsi="Arial" w:cs="Arial"/>
          <w:color w:val="000000"/>
          <w:sz w:val="24"/>
        </w:rPr>
        <w:t>.</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 xml:space="preserve">Al </w:t>
      </w:r>
      <w:r>
        <w:rPr>
          <w:rFonts w:ascii="Arial" w:hAnsi="Arial" w:cs="Arial"/>
          <w:b/>
          <w:bCs/>
          <w:color w:val="000000"/>
          <w:sz w:val="24"/>
        </w:rPr>
        <w:t>nivel asesor</w:t>
      </w:r>
      <w:r>
        <w:rPr>
          <w:rFonts w:ascii="Arial" w:hAnsi="Arial" w:cs="Arial"/>
          <w:color w:val="000000"/>
          <w:sz w:val="24"/>
        </w:rPr>
        <w:t xml:space="preserve"> le corresponde la planificación operativa del sistema educati</w:t>
      </w:r>
      <w:r>
        <w:rPr>
          <w:rFonts w:ascii="Arial" w:hAnsi="Arial" w:cs="Arial"/>
          <w:color w:val="000000"/>
          <w:sz w:val="24"/>
        </w:rPr>
        <w:t xml:space="preserve">vo y cultural. Formula sugerencias y recomendaciones para el nivel ejecutivo para la toma de decisiones. Este nivel esta constituido por </w:t>
      </w:r>
      <w:r>
        <w:rPr>
          <w:rFonts w:ascii="Arial" w:hAnsi="Arial" w:cs="Arial"/>
          <w:i/>
          <w:iCs/>
          <w:color w:val="000000"/>
          <w:sz w:val="24"/>
        </w:rPr>
        <w:t>la división de planeamiento</w:t>
      </w:r>
      <w:r>
        <w:rPr>
          <w:rFonts w:ascii="Arial" w:hAnsi="Arial" w:cs="Arial"/>
          <w:color w:val="000000"/>
          <w:sz w:val="24"/>
        </w:rPr>
        <w:t>, integrado por los siguientes departamentos: investigación, estadística y evaluación; plani</w:t>
      </w:r>
      <w:r>
        <w:rPr>
          <w:rFonts w:ascii="Arial" w:hAnsi="Arial" w:cs="Arial"/>
          <w:color w:val="000000"/>
          <w:sz w:val="24"/>
        </w:rPr>
        <w:t xml:space="preserve">ficación técnica y financiera; y, proyectos específicos; y por la </w:t>
      </w:r>
      <w:r>
        <w:rPr>
          <w:rFonts w:ascii="Arial" w:hAnsi="Arial" w:cs="Arial"/>
          <w:i/>
          <w:iCs/>
          <w:color w:val="000000"/>
          <w:sz w:val="24"/>
        </w:rPr>
        <w:t>división de asesoría jurídica</w:t>
      </w:r>
      <w:r>
        <w:rPr>
          <w:rFonts w:ascii="Arial" w:hAnsi="Arial" w:cs="Arial"/>
          <w:color w:val="000000"/>
          <w:sz w:val="24"/>
        </w:rPr>
        <w:t>.</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 xml:space="preserve">El </w:t>
      </w:r>
      <w:r>
        <w:rPr>
          <w:rFonts w:ascii="Arial" w:hAnsi="Arial" w:cs="Arial"/>
          <w:b/>
          <w:bCs/>
          <w:color w:val="000000"/>
          <w:sz w:val="24"/>
        </w:rPr>
        <w:t>nivel de apoyo</w:t>
      </w:r>
      <w:r>
        <w:rPr>
          <w:rFonts w:ascii="Arial" w:hAnsi="Arial" w:cs="Arial"/>
          <w:color w:val="000000"/>
          <w:sz w:val="24"/>
        </w:rPr>
        <w:t xml:space="preserve"> se encarga de la administración y provisión de los recursos humanos, financieros, materiales y tecnológicos; proporciona los servicios neces</w:t>
      </w:r>
      <w:r>
        <w:rPr>
          <w:rFonts w:ascii="Arial" w:hAnsi="Arial" w:cs="Arial"/>
          <w:color w:val="000000"/>
          <w:sz w:val="24"/>
        </w:rPr>
        <w:t xml:space="preserve">arios para el cumplimiento de las actividades de la dirección provincial. Esta constituido por la </w:t>
      </w:r>
      <w:r>
        <w:rPr>
          <w:rFonts w:ascii="Arial" w:hAnsi="Arial" w:cs="Arial"/>
          <w:i/>
          <w:iCs/>
          <w:color w:val="000000"/>
          <w:sz w:val="24"/>
        </w:rPr>
        <w:t>división administrativa</w:t>
      </w:r>
      <w:r>
        <w:rPr>
          <w:rFonts w:ascii="Arial" w:hAnsi="Arial" w:cs="Arial"/>
          <w:color w:val="000000"/>
          <w:sz w:val="24"/>
        </w:rPr>
        <w:t xml:space="preserve">, y la </w:t>
      </w:r>
      <w:r>
        <w:rPr>
          <w:rFonts w:ascii="Arial" w:hAnsi="Arial" w:cs="Arial"/>
          <w:i/>
          <w:iCs/>
          <w:color w:val="000000"/>
          <w:sz w:val="24"/>
        </w:rPr>
        <w:t>división financiera</w:t>
      </w:r>
      <w:r>
        <w:rPr>
          <w:rFonts w:ascii="Arial" w:hAnsi="Arial" w:cs="Arial"/>
          <w:color w:val="000000"/>
          <w:sz w:val="24"/>
        </w:rPr>
        <w:t xml:space="preserve">. </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 xml:space="preserve">El </w:t>
      </w:r>
      <w:r>
        <w:rPr>
          <w:rFonts w:ascii="Arial" w:hAnsi="Arial" w:cs="Arial"/>
          <w:b/>
          <w:bCs/>
          <w:color w:val="000000"/>
          <w:sz w:val="24"/>
        </w:rPr>
        <w:t>nivel operativo</w:t>
      </w:r>
      <w:r>
        <w:rPr>
          <w:rFonts w:ascii="Arial" w:hAnsi="Arial" w:cs="Arial"/>
          <w:color w:val="000000"/>
          <w:sz w:val="24"/>
        </w:rPr>
        <w:t xml:space="preserve"> es el responsable del desarrollo educativo y cultural; dirige, controla, supervisa y e</w:t>
      </w:r>
      <w:r>
        <w:rPr>
          <w:rFonts w:ascii="Arial" w:hAnsi="Arial" w:cs="Arial"/>
          <w:color w:val="000000"/>
          <w:sz w:val="24"/>
        </w:rPr>
        <w:t xml:space="preserve">jecuta actividades para el cumplimiento de objetivos de la </w:t>
      </w:r>
      <w:r>
        <w:rPr>
          <w:rFonts w:ascii="Arial" w:hAnsi="Arial" w:cs="Arial"/>
          <w:i/>
          <w:iCs/>
          <w:color w:val="000000"/>
          <w:sz w:val="24"/>
        </w:rPr>
        <w:t>dirección provincial</w:t>
      </w:r>
      <w:r>
        <w:rPr>
          <w:rFonts w:ascii="Arial" w:hAnsi="Arial" w:cs="Arial"/>
          <w:color w:val="000000"/>
          <w:sz w:val="24"/>
        </w:rPr>
        <w:t xml:space="preserve">. Esta constituido por: la </w:t>
      </w:r>
      <w:r>
        <w:rPr>
          <w:rFonts w:ascii="Arial" w:hAnsi="Arial" w:cs="Arial"/>
          <w:i/>
          <w:iCs/>
          <w:color w:val="000000"/>
          <w:sz w:val="24"/>
        </w:rPr>
        <w:t>Subdirección de Educación</w:t>
      </w:r>
      <w:r>
        <w:rPr>
          <w:rFonts w:ascii="Arial" w:hAnsi="Arial" w:cs="Arial"/>
          <w:color w:val="000000"/>
          <w:sz w:val="24"/>
        </w:rPr>
        <w:t>, la cual esta integrada por el departamento de régimen escolar, y las divisiones de supervisón educativa, educación técnica,</w:t>
      </w:r>
      <w:r>
        <w:rPr>
          <w:rFonts w:ascii="Arial" w:hAnsi="Arial" w:cs="Arial"/>
          <w:color w:val="000000"/>
          <w:sz w:val="24"/>
        </w:rPr>
        <w:t xml:space="preserve"> educación rural, mejoramiento profesional, y de currículo; la </w:t>
      </w:r>
      <w:r>
        <w:rPr>
          <w:rFonts w:ascii="Arial" w:hAnsi="Arial" w:cs="Arial"/>
          <w:i/>
          <w:iCs/>
          <w:color w:val="000000"/>
          <w:sz w:val="24"/>
        </w:rPr>
        <w:t>Subdirección de Cultura</w:t>
      </w:r>
      <w:r>
        <w:rPr>
          <w:rFonts w:ascii="Arial" w:hAnsi="Arial" w:cs="Arial"/>
          <w:color w:val="000000"/>
          <w:sz w:val="24"/>
        </w:rPr>
        <w:t xml:space="preserve">; y, los </w:t>
      </w:r>
      <w:r>
        <w:rPr>
          <w:rFonts w:ascii="Arial" w:hAnsi="Arial" w:cs="Arial"/>
          <w:i/>
          <w:iCs/>
          <w:color w:val="000000"/>
          <w:sz w:val="24"/>
        </w:rPr>
        <w:t>establecimientos educativos</w:t>
      </w:r>
      <w:r>
        <w:rPr>
          <w:rFonts w:ascii="Arial" w:hAnsi="Arial" w:cs="Arial"/>
          <w:color w:val="000000"/>
          <w:sz w:val="24"/>
        </w:rPr>
        <w:t>.</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Algo que llama la atención dentro del análisis de funciones de los empleados de la dirección provincial, es que existen tres direct</w:t>
      </w:r>
      <w:r>
        <w:rPr>
          <w:rFonts w:ascii="Arial" w:hAnsi="Arial" w:cs="Arial"/>
          <w:color w:val="000000"/>
          <w:sz w:val="24"/>
        </w:rPr>
        <w:t>ores provinciales, los cuales se encargan de la dirección provincial de educación hispana, ciclo costa; de la dirección provincial de educación hispana, ciclo sierra; y, de la dirección provincial de educación bilingüe, la cual cuenta con local propio. Enc</w:t>
      </w:r>
      <w:r>
        <w:rPr>
          <w:rFonts w:ascii="Arial" w:hAnsi="Arial" w:cs="Arial"/>
          <w:color w:val="000000"/>
          <w:sz w:val="24"/>
        </w:rPr>
        <w:t>argado del sistema educativo de la provincia Bolívar esta un jefe de división.</w:t>
      </w:r>
    </w:p>
    <w:p w:rsidR="00000000" w:rsidRDefault="0072491A">
      <w:pPr>
        <w:spacing w:line="480" w:lineRule="auto"/>
        <w:ind w:left="426"/>
        <w:jc w:val="both"/>
        <w:rPr>
          <w:rFonts w:ascii="Arial" w:hAnsi="Arial" w:cs="Arial"/>
          <w:color w:val="000000"/>
          <w:sz w:val="24"/>
        </w:rPr>
      </w:pPr>
      <w:r>
        <w:rPr>
          <w:rFonts w:ascii="Arial" w:hAnsi="Arial" w:cs="Arial"/>
          <w:color w:val="000000"/>
          <w:sz w:val="24"/>
        </w:rPr>
        <w:t xml:space="preserve"> </w:t>
      </w:r>
    </w:p>
    <w:p w:rsidR="00000000" w:rsidRDefault="0072491A">
      <w:pPr>
        <w:spacing w:line="480" w:lineRule="auto"/>
        <w:ind w:left="426"/>
        <w:jc w:val="both"/>
        <w:rPr>
          <w:rFonts w:ascii="Arial" w:hAnsi="Arial" w:cs="Arial"/>
          <w:color w:val="000000"/>
          <w:sz w:val="24"/>
        </w:rPr>
      </w:pPr>
      <w:r>
        <w:rPr>
          <w:rFonts w:ascii="Arial" w:hAnsi="Arial" w:cs="Arial"/>
          <w:color w:val="000000"/>
          <w:sz w:val="24"/>
        </w:rPr>
        <w:t>En el anexo 2 se muestra el organigrama funcional de la Dirección Provincial de Educación de Bolívar.</w:t>
      </w:r>
    </w:p>
    <w:p w:rsidR="00000000" w:rsidRDefault="0072491A">
      <w:pPr>
        <w:spacing w:line="480" w:lineRule="auto"/>
        <w:ind w:left="426"/>
        <w:jc w:val="both"/>
        <w:rPr>
          <w:rFonts w:ascii="Arial" w:hAnsi="Arial" w:cs="Arial"/>
          <w:color w:val="000000"/>
          <w:sz w:val="24"/>
        </w:rPr>
      </w:pPr>
      <w:r>
        <w:rPr>
          <w:rFonts w:ascii="Arial" w:hAnsi="Arial" w:cs="Arial"/>
          <w:color w:val="000000"/>
          <w:sz w:val="24"/>
        </w:rPr>
        <w:t xml:space="preserve">(Fuente: Reglamento Orgánico Funcional para las Direcciones Provinciales </w:t>
      </w:r>
      <w:r>
        <w:rPr>
          <w:rFonts w:ascii="Arial" w:hAnsi="Arial" w:cs="Arial"/>
          <w:color w:val="000000"/>
          <w:sz w:val="24"/>
        </w:rPr>
        <w:t>de Educación y Cultura del país, Registro oficial N° 731, expedido el miércoles 5 de julio de 1995)</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p>
    <w:p w:rsidR="00000000" w:rsidRDefault="0072491A">
      <w:pPr>
        <w:pStyle w:val="Ttulo2"/>
        <w:spacing w:line="480" w:lineRule="auto"/>
        <w:ind w:left="119"/>
        <w:jc w:val="both"/>
        <w:rPr>
          <w:rFonts w:ascii="Arial" w:hAnsi="Arial" w:cs="Arial"/>
          <w:sz w:val="24"/>
        </w:rPr>
      </w:pPr>
      <w:bookmarkStart w:id="12" w:name="_Toc9091589"/>
      <w:r>
        <w:rPr>
          <w:rFonts w:ascii="Arial" w:hAnsi="Arial" w:cs="Arial"/>
          <w:sz w:val="24"/>
        </w:rPr>
        <w:t>1.7 Datos estadísticos sobre la educación en Bolívar</w:t>
      </w:r>
      <w:bookmarkEnd w:id="12"/>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De acuerdo a lo expuesto en el libro Sistemas educativos nacionales, del Ministerio de Educación y C</w:t>
      </w:r>
      <w:r>
        <w:rPr>
          <w:rFonts w:ascii="Arial" w:hAnsi="Arial" w:cs="Arial"/>
          <w:color w:val="000000"/>
          <w:sz w:val="24"/>
        </w:rPr>
        <w:t>ultura, el  sistema educativo del Ministerio de Educación está conformado por dos subsistemas el escolarizado y el no escolarizado. El sistema escolarizado comprende la educación que se imparte en la Ley y en los reglamentos generales  y especiales; abarca</w:t>
      </w:r>
      <w:r>
        <w:rPr>
          <w:rFonts w:ascii="Arial" w:hAnsi="Arial" w:cs="Arial"/>
          <w:color w:val="000000"/>
          <w:sz w:val="24"/>
        </w:rPr>
        <w:t xml:space="preserve"> la educación regular, la educación compensatoria y la educación especial.</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La educación Regular se desarrolla en un proceso continuo, a través de los siguientes niveles:</w:t>
      </w:r>
    </w:p>
    <w:p w:rsidR="00000000" w:rsidRDefault="0072491A">
      <w:pPr>
        <w:numPr>
          <w:ilvl w:val="0"/>
          <w:numId w:val="13"/>
        </w:numPr>
        <w:spacing w:line="480" w:lineRule="auto"/>
        <w:ind w:left="426"/>
        <w:jc w:val="both"/>
        <w:rPr>
          <w:rFonts w:ascii="Arial" w:hAnsi="Arial" w:cs="Arial"/>
          <w:color w:val="000000"/>
          <w:sz w:val="24"/>
        </w:rPr>
      </w:pPr>
      <w:r>
        <w:rPr>
          <w:rFonts w:ascii="Arial" w:hAnsi="Arial" w:cs="Arial"/>
          <w:color w:val="000000"/>
          <w:sz w:val="24"/>
        </w:rPr>
        <w:t>Básica: integrada por la pre-primaria, primaria  y ciclo básico.</w:t>
      </w:r>
    </w:p>
    <w:p w:rsidR="00000000" w:rsidRDefault="0072491A">
      <w:pPr>
        <w:numPr>
          <w:ilvl w:val="0"/>
          <w:numId w:val="13"/>
        </w:numPr>
        <w:spacing w:line="480" w:lineRule="auto"/>
        <w:ind w:left="426"/>
        <w:jc w:val="both"/>
        <w:rPr>
          <w:rFonts w:ascii="Arial" w:hAnsi="Arial" w:cs="Arial"/>
          <w:color w:val="000000"/>
          <w:sz w:val="24"/>
        </w:rPr>
      </w:pPr>
      <w:r>
        <w:rPr>
          <w:rFonts w:ascii="Arial" w:hAnsi="Arial" w:cs="Arial"/>
          <w:color w:val="000000"/>
          <w:sz w:val="24"/>
        </w:rPr>
        <w:t>Medio: integrado por</w:t>
      </w:r>
      <w:r>
        <w:rPr>
          <w:rFonts w:ascii="Arial" w:hAnsi="Arial" w:cs="Arial"/>
          <w:color w:val="000000"/>
          <w:sz w:val="24"/>
        </w:rPr>
        <w:t xml:space="preserve"> el ciclo diversificado y de especialización </w:t>
      </w:r>
    </w:p>
    <w:p w:rsidR="00000000" w:rsidRDefault="0072491A">
      <w:pPr>
        <w:numPr>
          <w:ilvl w:val="0"/>
          <w:numId w:val="13"/>
        </w:numPr>
        <w:spacing w:line="480" w:lineRule="auto"/>
        <w:ind w:left="426"/>
        <w:jc w:val="both"/>
        <w:rPr>
          <w:rFonts w:ascii="Arial" w:hAnsi="Arial" w:cs="Arial"/>
          <w:color w:val="000000"/>
          <w:sz w:val="24"/>
        </w:rPr>
      </w:pPr>
      <w:r>
        <w:rPr>
          <w:rFonts w:ascii="Arial" w:hAnsi="Arial" w:cs="Arial"/>
          <w:color w:val="000000"/>
          <w:sz w:val="24"/>
        </w:rPr>
        <w:t>Superior sujeto a leyes especiales</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 xml:space="preserve">Además la  educación regular se somete a las disposiciones reglamentarias como el limite de edad, secuencia y duración de niveles y cursos. Los establecimientos de educación </w:t>
      </w:r>
      <w:r>
        <w:rPr>
          <w:rFonts w:ascii="Arial" w:hAnsi="Arial" w:cs="Arial"/>
          <w:color w:val="000000"/>
          <w:sz w:val="24"/>
        </w:rPr>
        <w:t>regular se denominan jardín de infantes, escuela, colegio, instituto pedagógico y instituto técnico</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La educación compensatoria tiene la finalidad de establecer la igualdad de oportunidades para quienes no ingresaron a los niveles de educación regular o no</w:t>
      </w:r>
      <w:r>
        <w:rPr>
          <w:rFonts w:ascii="Arial" w:hAnsi="Arial" w:cs="Arial"/>
          <w:color w:val="000000"/>
          <w:sz w:val="24"/>
        </w:rPr>
        <w:t xml:space="preserve"> los concluyeron, permite el ingreso al sistema regular en cualquier momento de acuerdo a sus necesidades y aspiraciones.</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 xml:space="preserve">Las instituciones educativas se clasifican de la siguiente forma: </w:t>
      </w:r>
    </w:p>
    <w:p w:rsidR="00000000" w:rsidRDefault="0072491A">
      <w:pPr>
        <w:numPr>
          <w:ilvl w:val="0"/>
          <w:numId w:val="15"/>
        </w:numPr>
        <w:tabs>
          <w:tab w:val="clear" w:pos="720"/>
        </w:tabs>
        <w:spacing w:line="480" w:lineRule="auto"/>
        <w:ind w:left="426"/>
        <w:jc w:val="both"/>
        <w:rPr>
          <w:rFonts w:ascii="Arial" w:hAnsi="Arial" w:cs="Arial"/>
          <w:color w:val="000000"/>
          <w:sz w:val="24"/>
        </w:rPr>
      </w:pPr>
      <w:r>
        <w:rPr>
          <w:rFonts w:ascii="Arial" w:hAnsi="Arial" w:cs="Arial"/>
          <w:color w:val="000000"/>
          <w:sz w:val="24"/>
        </w:rPr>
        <w:t>Por el financiamiento: oficiales: fiscales, municipales y de otras</w:t>
      </w:r>
      <w:r>
        <w:rPr>
          <w:rFonts w:ascii="Arial" w:hAnsi="Arial" w:cs="Arial"/>
          <w:color w:val="000000"/>
          <w:sz w:val="24"/>
        </w:rPr>
        <w:t xml:space="preserve"> instituciones públicas; particulares: pertenecen a personas naturales o jurídicas de derecho privado pueden ser laicos o confesionales; otros: los que cuentan con financiamiento parcial de entidades públicas y privadas</w:t>
      </w:r>
    </w:p>
    <w:p w:rsidR="00000000" w:rsidRDefault="0072491A">
      <w:pPr>
        <w:numPr>
          <w:ilvl w:val="0"/>
          <w:numId w:val="15"/>
        </w:numPr>
        <w:tabs>
          <w:tab w:val="clear" w:pos="720"/>
        </w:tabs>
        <w:spacing w:line="480" w:lineRule="auto"/>
        <w:ind w:left="426"/>
        <w:jc w:val="both"/>
        <w:rPr>
          <w:rFonts w:ascii="Arial" w:hAnsi="Arial" w:cs="Arial"/>
          <w:color w:val="000000"/>
          <w:sz w:val="24"/>
        </w:rPr>
      </w:pPr>
      <w:r>
        <w:rPr>
          <w:rFonts w:ascii="Arial" w:hAnsi="Arial" w:cs="Arial"/>
          <w:color w:val="000000"/>
          <w:sz w:val="24"/>
        </w:rPr>
        <w:t>Por las jornadas de trabajo: matutin</w:t>
      </w:r>
      <w:r>
        <w:rPr>
          <w:rFonts w:ascii="Arial" w:hAnsi="Arial" w:cs="Arial"/>
          <w:color w:val="000000"/>
          <w:sz w:val="24"/>
        </w:rPr>
        <w:t>os; vespertinos; nocturnos; y, de doble jornada.</w:t>
      </w:r>
    </w:p>
    <w:p w:rsidR="00000000" w:rsidRDefault="0072491A">
      <w:pPr>
        <w:numPr>
          <w:ilvl w:val="0"/>
          <w:numId w:val="15"/>
        </w:numPr>
        <w:tabs>
          <w:tab w:val="clear" w:pos="720"/>
        </w:tabs>
        <w:spacing w:line="480" w:lineRule="auto"/>
        <w:ind w:left="426"/>
        <w:jc w:val="both"/>
        <w:rPr>
          <w:rFonts w:ascii="Arial" w:hAnsi="Arial" w:cs="Arial"/>
          <w:color w:val="000000"/>
          <w:sz w:val="24"/>
        </w:rPr>
      </w:pPr>
      <w:r>
        <w:rPr>
          <w:rFonts w:ascii="Arial" w:hAnsi="Arial" w:cs="Arial"/>
          <w:color w:val="000000"/>
          <w:sz w:val="24"/>
        </w:rPr>
        <w:t>Por el alumnado: masculinos, femeninos, mixtos</w:t>
      </w:r>
    </w:p>
    <w:p w:rsidR="00000000" w:rsidRDefault="0072491A">
      <w:pPr>
        <w:numPr>
          <w:ilvl w:val="0"/>
          <w:numId w:val="15"/>
        </w:numPr>
        <w:tabs>
          <w:tab w:val="clear" w:pos="720"/>
        </w:tabs>
        <w:spacing w:line="480" w:lineRule="auto"/>
        <w:ind w:left="426"/>
        <w:jc w:val="both"/>
        <w:rPr>
          <w:rFonts w:ascii="Arial" w:hAnsi="Arial" w:cs="Arial"/>
          <w:color w:val="000000"/>
          <w:sz w:val="24"/>
        </w:rPr>
      </w:pPr>
      <w:r>
        <w:rPr>
          <w:rFonts w:ascii="Arial" w:hAnsi="Arial" w:cs="Arial"/>
          <w:color w:val="000000"/>
          <w:sz w:val="24"/>
        </w:rPr>
        <w:t>Por la ubicación geográfica: urbanos; rurales</w:t>
      </w:r>
    </w:p>
    <w:p w:rsidR="00000000" w:rsidRDefault="0072491A">
      <w:pPr>
        <w:spacing w:line="480" w:lineRule="auto"/>
        <w:ind w:left="426"/>
        <w:jc w:val="both"/>
        <w:rPr>
          <w:rFonts w:ascii="Arial" w:hAnsi="Arial" w:cs="Arial"/>
          <w:color w:val="000000"/>
          <w:sz w:val="24"/>
        </w:rPr>
      </w:pPr>
      <w:r>
        <w:rPr>
          <w:rFonts w:ascii="Arial" w:hAnsi="Arial" w:cs="Arial"/>
          <w:color w:val="000000"/>
          <w:sz w:val="24"/>
        </w:rPr>
        <w:t>(Fuente: Ministerio de Educación y Cultura)</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A continuación se presenta una recopilación de las cifras mostradas e</w:t>
      </w:r>
      <w:r>
        <w:rPr>
          <w:rFonts w:ascii="Arial" w:hAnsi="Arial" w:cs="Arial"/>
          <w:color w:val="000000"/>
          <w:sz w:val="24"/>
        </w:rPr>
        <w:t>n los boletines estadísticos: "La educación en cifras del sistema educativo" de los años 1993, 1994, 1995, 1996, 1997, 1998, 1999; concernientes a la provincia Bolívar, los cuales serán comparados con los resultados del I censo de funcionarios del Minister</w:t>
      </w:r>
      <w:r>
        <w:rPr>
          <w:rFonts w:ascii="Arial" w:hAnsi="Arial" w:cs="Arial"/>
          <w:color w:val="000000"/>
          <w:sz w:val="24"/>
        </w:rPr>
        <w:t>io de Educación y Cultura, realizado el 14 de diciembre del 2000.</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El número de planteles por nivel se puede apreciar en el gráfico 1.4, en promedio desde el año 1993 hasta 1999 la variación porcentual del número de planteles preprimarios de año tras año e</w:t>
      </w:r>
      <w:r>
        <w:rPr>
          <w:rFonts w:ascii="Arial" w:hAnsi="Arial" w:cs="Arial"/>
          <w:color w:val="000000"/>
          <w:sz w:val="24"/>
        </w:rPr>
        <w:t>s del 6.26%, la de la primaria el 1.06% y la de nivel medio de 3.04%, de acuerdo a los valores que se muestran en el gráfico 1.4 mencionado anteriormente. Tomando en cuenta los resultados del censo del magisterio, podemos apreciar que la disminución de col</w:t>
      </w:r>
      <w:r>
        <w:rPr>
          <w:rFonts w:ascii="Arial" w:hAnsi="Arial" w:cs="Arial"/>
          <w:color w:val="000000"/>
          <w:sz w:val="24"/>
        </w:rPr>
        <w:t>egios se presenta en un porcentaje del 15.24%.</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t>En promedio los porcentajes de los planteles de los niveles pre primario, primario y medio son respectivamente 7.78%, 81.78% y 10.44%  con respecto al total de planteles educativos en la provincia de Bolívar,</w:t>
      </w:r>
      <w:r>
        <w:rPr>
          <w:rFonts w:ascii="Arial" w:hAnsi="Arial" w:cs="Arial"/>
          <w:sz w:val="24"/>
        </w:rPr>
        <w:t xml:space="preserve"> de acuerdo a los datos que se muestran en el gráfico 1.4 de los años 1993 a 1999.  Cabe resaltar que la proporción de planteles por nivel varia en el año 2000, ya el porcentaje de planteles preprimarios, primarios y medios es de 5.94%, 83.09% y 10.97% res</w:t>
      </w:r>
      <w:r>
        <w:rPr>
          <w:rFonts w:ascii="Arial" w:hAnsi="Arial" w:cs="Arial"/>
          <w:sz w:val="24"/>
        </w:rPr>
        <w:t xml:space="preserve">pectivamente. </w:t>
      </w:r>
    </w:p>
    <w:p w:rsidR="00000000" w:rsidRDefault="0072491A">
      <w:pPr>
        <w:spacing w:line="480" w:lineRule="auto"/>
        <w:ind w:left="426"/>
        <w:jc w:val="both"/>
        <w:rPr>
          <w:rFonts w:ascii="Arial" w:hAnsi="Arial" w:cs="Arial"/>
          <w:sz w:val="24"/>
        </w:rPr>
      </w:pP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sz w:val="24"/>
        </w:rPr>
      </w:pP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sz w:val="24"/>
        </w:rPr>
      </w:pPr>
      <w:r>
        <w:rPr>
          <w:rFonts w:ascii="Arial" w:hAnsi="Arial" w:cs="Arial"/>
          <w:b/>
          <w:bCs/>
          <w:sz w:val="24"/>
        </w:rPr>
        <w:t>GRAFICO 1.4</w:t>
      </w: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sz w:val="24"/>
        </w:rPr>
      </w:pPr>
    </w:p>
    <w:p w:rsidR="00000000" w:rsidRDefault="0072491A">
      <w:pPr>
        <w:pStyle w:val="Ttulo1"/>
        <w:pBdr>
          <w:top w:val="single" w:sz="4" w:space="1" w:color="auto"/>
          <w:left w:val="single" w:sz="4" w:space="4" w:color="auto"/>
          <w:bottom w:val="single" w:sz="4" w:space="1" w:color="auto"/>
          <w:right w:val="single" w:sz="4" w:space="4" w:color="auto"/>
        </w:pBdr>
        <w:ind w:left="426"/>
      </w:pPr>
      <w:bookmarkStart w:id="13" w:name="_Toc9091590"/>
      <w:r>
        <w:t>PROVINCIA DE BOLÍVAR: TOTAL DE PLANTELES POR NIVEL</w:t>
      </w:r>
      <w:bookmarkEnd w:id="13"/>
    </w:p>
    <w:p w:rsidR="00000000" w:rsidRDefault="007956D9">
      <w:pPr>
        <w:pBdr>
          <w:top w:val="single" w:sz="4" w:space="1" w:color="auto"/>
          <w:left w:val="single" w:sz="4" w:space="4" w:color="auto"/>
          <w:bottom w:val="single" w:sz="4" w:space="1" w:color="auto"/>
          <w:right w:val="single" w:sz="4" w:space="4" w:color="auto"/>
        </w:pBdr>
        <w:ind w:left="426"/>
        <w:jc w:val="center"/>
        <w:rPr>
          <w:rFonts w:ascii="Arial" w:hAnsi="Arial" w:cs="Arial"/>
          <w:b/>
          <w:bCs/>
        </w:rPr>
      </w:pPr>
      <w:r>
        <w:rPr>
          <w:noProof/>
          <w:lang w:val="es-ES"/>
        </w:rPr>
        <w:drawing>
          <wp:inline distT="0" distB="0" distL="0" distR="0">
            <wp:extent cx="4584700" cy="2273300"/>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0000" w:rsidRDefault="0072491A">
      <w:pPr>
        <w:pBdr>
          <w:top w:val="single" w:sz="4" w:space="1" w:color="auto"/>
          <w:left w:val="single" w:sz="4" w:space="4" w:color="auto"/>
          <w:bottom w:val="single" w:sz="4" w:space="1" w:color="auto"/>
          <w:right w:val="single" w:sz="4" w:space="4" w:color="auto"/>
        </w:pBdr>
        <w:ind w:left="426"/>
        <w:jc w:val="both"/>
        <w:rPr>
          <w:rFonts w:ascii="Arial" w:hAnsi="Arial" w:cs="Arial"/>
          <w:sz w:val="24"/>
        </w:rPr>
      </w:pPr>
      <w:r>
        <w:rPr>
          <w:rFonts w:ascii="Arial" w:hAnsi="Arial" w:cs="Arial"/>
          <w:b/>
          <w:bCs/>
        </w:rPr>
        <w:t>FUENTE</w:t>
      </w:r>
      <w:r>
        <w:rPr>
          <w:rFonts w:ascii="Arial" w:hAnsi="Arial" w:cs="Arial"/>
        </w:rPr>
        <w:t>: Sistema nacional de estadísticas educativas, boletines estadísticos: La educación en cifras, 1993, 1994, 1995, 1997, 1998 y 1999</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t>Luego co</w:t>
      </w:r>
      <w:r>
        <w:rPr>
          <w:rFonts w:ascii="Arial" w:hAnsi="Arial" w:cs="Arial"/>
          <w:sz w:val="24"/>
        </w:rPr>
        <w:t>mpararemos estos porcentajes respectivamente con los de profesores y alumnos se observará que, a pesar de tener el más bajo porcentaje de establecimientos, el nivel medio tiene un número de profesores similar al del nivel primario, el cual tiene el mayor p</w:t>
      </w:r>
      <w:r>
        <w:rPr>
          <w:rFonts w:ascii="Arial" w:hAnsi="Arial" w:cs="Arial"/>
          <w:sz w:val="24"/>
        </w:rPr>
        <w:t>orcentaje de planteles educativos.</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t>El número de profesores para los niveles primario y medio es similar considerando la diferencia, que existe entre el número de planteles para estos niveles. La variación porcentual promedio para los niveles pre-primario,</w:t>
      </w:r>
      <w:r>
        <w:rPr>
          <w:rFonts w:ascii="Arial" w:hAnsi="Arial" w:cs="Arial"/>
          <w:sz w:val="24"/>
        </w:rPr>
        <w:t xml:space="preserve"> primario y medio es respectivamente 7.13%,  2.14% y  2.60% del número de profesores, como se muestra en el gráfico 1.5. Debe llamar la atención que para el año 2000  según los datos del censo del magisterio, el número de profesores decayó en un 6.41%.</w:t>
      </w:r>
    </w:p>
    <w:p w:rsidR="00000000" w:rsidRDefault="0072491A">
      <w:pPr>
        <w:spacing w:line="480" w:lineRule="auto"/>
        <w:ind w:left="426"/>
        <w:jc w:val="both"/>
        <w:rPr>
          <w:rFonts w:ascii="Arial" w:hAnsi="Arial" w:cs="Arial"/>
          <w:sz w:val="24"/>
        </w:rPr>
      </w:pP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sz w:val="24"/>
        </w:rPr>
      </w:pP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sz w:val="24"/>
        </w:rPr>
      </w:pPr>
      <w:r>
        <w:rPr>
          <w:rFonts w:ascii="Arial" w:hAnsi="Arial" w:cs="Arial"/>
          <w:b/>
          <w:bCs/>
          <w:sz w:val="24"/>
        </w:rPr>
        <w:t>G</w:t>
      </w:r>
      <w:r>
        <w:rPr>
          <w:rFonts w:ascii="Arial" w:hAnsi="Arial" w:cs="Arial"/>
          <w:b/>
          <w:bCs/>
          <w:sz w:val="24"/>
        </w:rPr>
        <w:t>RAFICO 1.5</w:t>
      </w: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sz w:val="24"/>
        </w:rPr>
      </w:pPr>
    </w:p>
    <w:p w:rsidR="00000000" w:rsidRDefault="0072491A">
      <w:pPr>
        <w:pStyle w:val="Ttulo1"/>
        <w:pBdr>
          <w:top w:val="single" w:sz="4" w:space="1" w:color="auto"/>
          <w:left w:val="single" w:sz="4" w:space="4" w:color="auto"/>
          <w:bottom w:val="single" w:sz="4" w:space="1" w:color="auto"/>
          <w:right w:val="single" w:sz="4" w:space="4" w:color="auto"/>
        </w:pBdr>
        <w:ind w:left="426"/>
      </w:pPr>
      <w:bookmarkStart w:id="14" w:name="_Toc9091591"/>
      <w:r>
        <w:t>PROVINCIA DE BOLÍVAR: TOTAL DE PROFESORES POR NIVEL</w:t>
      </w:r>
      <w:bookmarkEnd w:id="14"/>
    </w:p>
    <w:p w:rsidR="00000000" w:rsidRDefault="007956D9">
      <w:pPr>
        <w:pBdr>
          <w:top w:val="single" w:sz="4" w:space="1" w:color="auto"/>
          <w:left w:val="single" w:sz="4" w:space="4" w:color="auto"/>
          <w:bottom w:val="single" w:sz="4" w:space="1" w:color="auto"/>
          <w:right w:val="single" w:sz="4" w:space="4" w:color="auto"/>
        </w:pBdr>
        <w:ind w:left="426"/>
        <w:jc w:val="center"/>
        <w:rPr>
          <w:rFonts w:ascii="Arial" w:hAnsi="Arial" w:cs="Arial"/>
          <w:b/>
          <w:bCs/>
        </w:rPr>
      </w:pPr>
      <w:r>
        <w:rPr>
          <w:noProof/>
          <w:lang w:val="es-ES"/>
        </w:rPr>
        <w:drawing>
          <wp:inline distT="0" distB="0" distL="0" distR="0">
            <wp:extent cx="4533900" cy="212090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0000" w:rsidRDefault="0072491A">
      <w:pPr>
        <w:pBdr>
          <w:top w:val="single" w:sz="4" w:space="1" w:color="auto"/>
          <w:left w:val="single" w:sz="4" w:space="4" w:color="auto"/>
          <w:bottom w:val="single" w:sz="4" w:space="1" w:color="auto"/>
          <w:right w:val="single" w:sz="4" w:space="4" w:color="auto"/>
        </w:pBdr>
        <w:ind w:left="426"/>
        <w:jc w:val="both"/>
        <w:rPr>
          <w:rFonts w:ascii="Arial" w:hAnsi="Arial" w:cs="Arial"/>
          <w:sz w:val="24"/>
        </w:rPr>
      </w:pPr>
      <w:r>
        <w:rPr>
          <w:rFonts w:ascii="Arial" w:hAnsi="Arial" w:cs="Arial"/>
          <w:b/>
          <w:bCs/>
        </w:rPr>
        <w:t>FUENTE</w:t>
      </w:r>
      <w:r>
        <w:rPr>
          <w:rFonts w:ascii="Arial" w:hAnsi="Arial" w:cs="Arial"/>
        </w:rPr>
        <w:t>: Sistema nacional de estadísticas educativas, boletines estadísticos: La educación en cifras, 1993, 1994, 1995, 1997, 1998 y 1999</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color w:val="000000"/>
          <w:sz w:val="24"/>
        </w:rPr>
      </w:pPr>
      <w:r>
        <w:rPr>
          <w:rFonts w:ascii="Arial" w:hAnsi="Arial" w:cs="Arial"/>
          <w:sz w:val="24"/>
        </w:rPr>
        <w:t>El número de profesores p</w:t>
      </w:r>
      <w:r>
        <w:rPr>
          <w:rFonts w:ascii="Arial" w:hAnsi="Arial" w:cs="Arial"/>
          <w:sz w:val="24"/>
        </w:rPr>
        <w:t xml:space="preserve">ara los niveles primario y medio es similar considerando la diferencia, que existe entre el número de planteles para estos niveles.  </w:t>
      </w:r>
      <w:r>
        <w:rPr>
          <w:rFonts w:ascii="Arial" w:hAnsi="Arial" w:cs="Arial"/>
          <w:color w:val="000000"/>
          <w:sz w:val="24"/>
        </w:rPr>
        <w:t>Los porcentajes promedios en los años 1993 al 1999 del número de profesores por cada nivel con respecto al total son para e</w:t>
      </w:r>
      <w:r>
        <w:rPr>
          <w:rFonts w:ascii="Arial" w:hAnsi="Arial" w:cs="Arial"/>
          <w:color w:val="000000"/>
          <w:sz w:val="24"/>
        </w:rPr>
        <w:t>l pre primario 3.11%, el primario 54.71% y para el medio 42.19%. Los valores que corresponden a estos porcentajes se muestran en el gráfico 1.5.</w:t>
      </w:r>
    </w:p>
    <w:p w:rsidR="00000000" w:rsidRDefault="0072491A">
      <w:pPr>
        <w:spacing w:line="480" w:lineRule="auto"/>
        <w:ind w:left="426"/>
        <w:jc w:val="both"/>
        <w:rPr>
          <w:rFonts w:ascii="Arial" w:hAnsi="Arial" w:cs="Arial"/>
          <w:color w:val="000000"/>
          <w:sz w:val="24"/>
        </w:rPr>
      </w:pPr>
    </w:p>
    <w:p w:rsidR="00000000" w:rsidRDefault="0072491A">
      <w:pPr>
        <w:pStyle w:val="Ttulo1"/>
        <w:pBdr>
          <w:top w:val="single" w:sz="4" w:space="1" w:color="auto"/>
          <w:left w:val="single" w:sz="4" w:space="4" w:color="auto"/>
          <w:bottom w:val="single" w:sz="4" w:space="1" w:color="auto"/>
          <w:right w:val="single" w:sz="4" w:space="4" w:color="auto"/>
        </w:pBdr>
        <w:ind w:left="426"/>
      </w:pPr>
      <w:bookmarkStart w:id="15" w:name="_Toc1936593"/>
    </w:p>
    <w:p w:rsidR="00000000" w:rsidRDefault="0072491A">
      <w:pPr>
        <w:pStyle w:val="Ttulo1"/>
        <w:pBdr>
          <w:top w:val="single" w:sz="4" w:space="1" w:color="auto"/>
          <w:left w:val="single" w:sz="4" w:space="4" w:color="auto"/>
          <w:bottom w:val="single" w:sz="4" w:space="1" w:color="auto"/>
          <w:right w:val="single" w:sz="4" w:space="4" w:color="auto"/>
        </w:pBdr>
        <w:ind w:left="426"/>
      </w:pPr>
      <w:bookmarkStart w:id="16" w:name="_Toc9035829"/>
      <w:bookmarkStart w:id="17" w:name="_Toc9091592"/>
      <w:r>
        <w:t>GRAFICO 1.</w:t>
      </w:r>
      <w:bookmarkEnd w:id="15"/>
      <w:r>
        <w:t>6</w:t>
      </w:r>
      <w:bookmarkEnd w:id="16"/>
      <w:bookmarkEnd w:id="17"/>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color w:val="000000"/>
          <w:sz w:val="24"/>
        </w:rPr>
      </w:pPr>
    </w:p>
    <w:p w:rsidR="00000000" w:rsidRDefault="0072491A">
      <w:pPr>
        <w:pStyle w:val="Ttulo1"/>
        <w:pBdr>
          <w:top w:val="single" w:sz="4" w:space="1" w:color="auto"/>
          <w:left w:val="single" w:sz="4" w:space="4" w:color="auto"/>
          <w:bottom w:val="single" w:sz="4" w:space="1" w:color="auto"/>
          <w:right w:val="single" w:sz="4" w:space="4" w:color="auto"/>
        </w:pBdr>
        <w:ind w:left="426"/>
      </w:pPr>
      <w:bookmarkStart w:id="18" w:name="_Toc9091593"/>
      <w:r>
        <w:t>PROVINCIA DE BOLÍVAR: TOTAL DE ALUMNOS POR NIVEL</w:t>
      </w:r>
      <w:bookmarkEnd w:id="18"/>
      <w:r>
        <w:t xml:space="preserve"> </w:t>
      </w:r>
    </w:p>
    <w:p w:rsidR="00000000" w:rsidRDefault="007956D9">
      <w:pPr>
        <w:pBdr>
          <w:top w:val="single" w:sz="4" w:space="1" w:color="auto"/>
          <w:left w:val="single" w:sz="4" w:space="4" w:color="auto"/>
          <w:bottom w:val="single" w:sz="4" w:space="1" w:color="auto"/>
          <w:right w:val="single" w:sz="4" w:space="4" w:color="auto"/>
        </w:pBdr>
        <w:ind w:left="426"/>
        <w:jc w:val="center"/>
        <w:rPr>
          <w:rFonts w:ascii="Arial" w:hAnsi="Arial" w:cs="Arial"/>
          <w:b/>
          <w:bCs/>
        </w:rPr>
      </w:pPr>
      <w:r>
        <w:rPr>
          <w:noProof/>
          <w:lang w:val="es-ES"/>
        </w:rPr>
        <w:drawing>
          <wp:inline distT="0" distB="0" distL="0" distR="0">
            <wp:extent cx="4559300" cy="2070100"/>
            <wp:effectExtent l="0" t="0" r="0" b="0"/>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0000" w:rsidRDefault="0072491A">
      <w:pPr>
        <w:pBdr>
          <w:top w:val="single" w:sz="4" w:space="1" w:color="auto"/>
          <w:left w:val="single" w:sz="4" w:space="4" w:color="auto"/>
          <w:bottom w:val="single" w:sz="4" w:space="1" w:color="auto"/>
          <w:right w:val="single" w:sz="4" w:space="4" w:color="auto"/>
        </w:pBdr>
        <w:ind w:left="426"/>
        <w:jc w:val="both"/>
        <w:rPr>
          <w:rFonts w:ascii="Arial" w:hAnsi="Arial" w:cs="Arial"/>
          <w:sz w:val="24"/>
        </w:rPr>
      </w:pPr>
      <w:r>
        <w:rPr>
          <w:rFonts w:ascii="Arial" w:hAnsi="Arial" w:cs="Arial"/>
          <w:b/>
          <w:bCs/>
        </w:rPr>
        <w:t>FUENTE</w:t>
      </w:r>
      <w:r>
        <w:rPr>
          <w:rFonts w:ascii="Arial" w:hAnsi="Arial" w:cs="Arial"/>
        </w:rPr>
        <w:t>: Sistema n</w:t>
      </w:r>
      <w:r>
        <w:rPr>
          <w:rFonts w:ascii="Arial" w:hAnsi="Arial" w:cs="Arial"/>
        </w:rPr>
        <w:t>acional de estadísticas educativas, boletines estadísticos: La educación en cifras, 1993, 1994, 1995, 1997, 1998 y 1999</w:t>
      </w:r>
    </w:p>
    <w:p w:rsidR="00000000" w:rsidRDefault="0072491A">
      <w:pPr>
        <w:spacing w:line="480" w:lineRule="auto"/>
        <w:ind w:left="426"/>
        <w:jc w:val="both"/>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El número de alumnos de nivel primario es considerablemente mayor que los de pre-primario y medio, como se  lo muestra en el gráfico 1.</w:t>
      </w:r>
      <w:r>
        <w:rPr>
          <w:rFonts w:ascii="Arial" w:hAnsi="Arial" w:cs="Arial"/>
          <w:color w:val="000000"/>
          <w:sz w:val="24"/>
        </w:rPr>
        <w:t>6, en los tres niveles se puede apreciar un aumento de estudiantes, en promedio el porcentaje de aumento para los tres niveles son 6.61%, 0.72% y 2.9%. Aquí se observa que el total de alumnos para el año 2000 disminuyo en el 6.83%, pero en el nivel medio s</w:t>
      </w:r>
      <w:r>
        <w:rPr>
          <w:rFonts w:ascii="Arial" w:hAnsi="Arial" w:cs="Arial"/>
          <w:color w:val="000000"/>
          <w:sz w:val="24"/>
        </w:rPr>
        <w:t>e registró un aumento del 5.69%, más del doble del promedio anteriormente mencionado.</w:t>
      </w:r>
    </w:p>
    <w:p w:rsidR="00000000" w:rsidRDefault="0072491A">
      <w:pPr>
        <w:spacing w:line="480" w:lineRule="auto"/>
        <w:ind w:left="426"/>
        <w:jc w:val="both"/>
        <w:rPr>
          <w:rFonts w:ascii="Arial" w:hAnsi="Arial" w:cs="Arial"/>
          <w:bCs/>
          <w:sz w:val="24"/>
        </w:rPr>
      </w:pPr>
    </w:p>
    <w:p w:rsidR="00000000" w:rsidRDefault="0072491A">
      <w:pPr>
        <w:spacing w:line="480" w:lineRule="auto"/>
        <w:ind w:left="426"/>
        <w:jc w:val="both"/>
        <w:rPr>
          <w:rFonts w:ascii="Arial" w:hAnsi="Arial" w:cs="Arial"/>
          <w:color w:val="000000"/>
          <w:sz w:val="24"/>
        </w:rPr>
      </w:pPr>
      <w:r>
        <w:rPr>
          <w:rFonts w:ascii="Arial" w:hAnsi="Arial" w:cs="Arial"/>
          <w:bCs/>
          <w:sz w:val="24"/>
        </w:rPr>
        <w:t>La clasificación del tipo de planteles por sostenimiento se refiere a los establecimientos educativos que son financiados por el estado y los que son financiados por fon</w:t>
      </w:r>
      <w:r>
        <w:rPr>
          <w:rFonts w:ascii="Arial" w:hAnsi="Arial" w:cs="Arial"/>
          <w:bCs/>
          <w:sz w:val="24"/>
        </w:rPr>
        <w:t>dos privados. En el gráfico 1.7 se puede apreciar claramente que en todo el país los colegios públicos son desde el año 1993 a 1999 aproximadamente 620 con un porcentaje promedio de crecimiento del 0.97%, mientras que los demás durante este mismo período n</w:t>
      </w:r>
      <w:r>
        <w:rPr>
          <w:rFonts w:ascii="Arial" w:hAnsi="Arial" w:cs="Arial"/>
          <w:bCs/>
          <w:sz w:val="24"/>
        </w:rPr>
        <w:t>o sobrepasan los 40 establecimientos. Examinando los datos del censo del magisterio, notamos una disminución considerable de planteles fiscales del 9.74%.</w:t>
      </w: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sz w:val="24"/>
        </w:rPr>
      </w:pPr>
      <w:bookmarkStart w:id="19" w:name="_Toc507167842"/>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sz w:val="24"/>
        </w:rPr>
      </w:pPr>
      <w:r>
        <w:rPr>
          <w:rFonts w:ascii="Arial" w:hAnsi="Arial" w:cs="Arial"/>
          <w:b/>
          <w:sz w:val="24"/>
        </w:rPr>
        <w:t>GRAFICO 1.7</w:t>
      </w: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sz w:val="24"/>
        </w:rPr>
      </w:pPr>
    </w:p>
    <w:p w:rsidR="00000000" w:rsidRDefault="0072491A">
      <w:pPr>
        <w:pStyle w:val="Ttulo1"/>
        <w:pBdr>
          <w:top w:val="single" w:sz="4" w:space="1" w:color="auto"/>
          <w:left w:val="single" w:sz="4" w:space="4" w:color="auto"/>
          <w:bottom w:val="single" w:sz="4" w:space="1" w:color="auto"/>
          <w:right w:val="single" w:sz="4" w:space="4" w:color="auto"/>
        </w:pBdr>
        <w:ind w:left="426"/>
      </w:pPr>
      <w:bookmarkStart w:id="20" w:name="_Toc9091594"/>
      <w:r>
        <w:t>PROVINCIA DE BOLÍVAR: TOTAL DE PLANTELES POR SOSTENIMIENTO</w:t>
      </w:r>
      <w:bookmarkEnd w:id="20"/>
    </w:p>
    <w:p w:rsidR="00000000" w:rsidRDefault="007956D9">
      <w:pPr>
        <w:pBdr>
          <w:top w:val="single" w:sz="4" w:space="1" w:color="auto"/>
          <w:left w:val="single" w:sz="4" w:space="4" w:color="auto"/>
          <w:bottom w:val="single" w:sz="4" w:space="1" w:color="auto"/>
          <w:right w:val="single" w:sz="4" w:space="4" w:color="auto"/>
        </w:pBdr>
        <w:ind w:left="426"/>
        <w:jc w:val="center"/>
        <w:rPr>
          <w:rFonts w:ascii="Arial" w:hAnsi="Arial" w:cs="Arial"/>
          <w:b/>
          <w:bCs/>
        </w:rPr>
      </w:pPr>
      <w:r>
        <w:rPr>
          <w:noProof/>
          <w:lang w:val="es-ES"/>
        </w:rPr>
        <w:drawing>
          <wp:inline distT="0" distB="0" distL="0" distR="0">
            <wp:extent cx="4572000" cy="2108200"/>
            <wp:effectExtent l="0" t="0" r="0" b="0"/>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00000" w:rsidRDefault="0072491A">
      <w:pPr>
        <w:pBdr>
          <w:top w:val="single" w:sz="4" w:space="1" w:color="auto"/>
          <w:left w:val="single" w:sz="4" w:space="4" w:color="auto"/>
          <w:bottom w:val="single" w:sz="4" w:space="1" w:color="auto"/>
          <w:right w:val="single" w:sz="4" w:space="4" w:color="auto"/>
        </w:pBdr>
        <w:ind w:left="426"/>
        <w:jc w:val="both"/>
        <w:rPr>
          <w:rFonts w:ascii="Arial" w:hAnsi="Arial" w:cs="Arial"/>
          <w:sz w:val="24"/>
        </w:rPr>
      </w:pPr>
      <w:r>
        <w:rPr>
          <w:rFonts w:ascii="Arial" w:hAnsi="Arial" w:cs="Arial"/>
          <w:b/>
          <w:bCs/>
        </w:rPr>
        <w:t>FUENTE</w:t>
      </w:r>
      <w:r>
        <w:rPr>
          <w:rFonts w:ascii="Arial" w:hAnsi="Arial" w:cs="Arial"/>
        </w:rPr>
        <w:t>: Sistema nacional de estadísticas educativas, boletines estadísticos: La educación en cifras, 1993, 1994, 1995, 1997, 1998 y 1999</w:t>
      </w:r>
    </w:p>
    <w:bookmarkEnd w:id="19"/>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sz w:val="24"/>
        </w:rPr>
      </w:pPr>
      <w:r>
        <w:rPr>
          <w:rFonts w:ascii="Arial" w:hAnsi="Arial" w:cs="Arial"/>
          <w:sz w:val="24"/>
        </w:rPr>
        <w:t>En el gráfico 1.7 se puede apreciar los valores totales de los tipos de planteles: fiscales, municipales y particular</w:t>
      </w:r>
      <w:r>
        <w:rPr>
          <w:rFonts w:ascii="Arial" w:hAnsi="Arial" w:cs="Arial"/>
          <w:sz w:val="24"/>
        </w:rPr>
        <w:t>es. El porcentaje promedio de estos tipos de establecimientos educativos con respecto al total en los años que se muestran en el gráfico son respectivamente 96.64%, 0.04%, y 3.32%.</w:t>
      </w:r>
    </w:p>
    <w:p w:rsidR="00000000" w:rsidRDefault="0072491A">
      <w:pPr>
        <w:spacing w:line="480" w:lineRule="auto"/>
        <w:ind w:left="426"/>
        <w:jc w:val="both"/>
        <w:rPr>
          <w:rFonts w:ascii="Arial" w:hAnsi="Arial" w:cs="Arial"/>
          <w:sz w:val="24"/>
        </w:rPr>
      </w:pP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color w:val="000000"/>
          <w:sz w:val="24"/>
        </w:rPr>
      </w:pP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color w:val="000000"/>
          <w:sz w:val="24"/>
        </w:rPr>
      </w:pPr>
      <w:r>
        <w:rPr>
          <w:rFonts w:ascii="Arial" w:hAnsi="Arial" w:cs="Arial"/>
          <w:b/>
          <w:bCs/>
          <w:color w:val="000000"/>
          <w:sz w:val="24"/>
        </w:rPr>
        <w:t>GRAFICO 1.8</w:t>
      </w: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color w:val="000000"/>
          <w:sz w:val="24"/>
        </w:rPr>
      </w:pPr>
    </w:p>
    <w:p w:rsidR="00000000" w:rsidRDefault="0072491A">
      <w:pPr>
        <w:pStyle w:val="Ttulo1"/>
        <w:pBdr>
          <w:top w:val="single" w:sz="4" w:space="1" w:color="auto"/>
          <w:left w:val="single" w:sz="4" w:space="4" w:color="auto"/>
          <w:bottom w:val="single" w:sz="4" w:space="1" w:color="auto"/>
          <w:right w:val="single" w:sz="4" w:space="4" w:color="auto"/>
        </w:pBdr>
        <w:ind w:left="426"/>
      </w:pPr>
      <w:bookmarkStart w:id="21" w:name="_Toc9091595"/>
      <w:r>
        <w:t>PROVINCIA DE BOLÍVAR: TOTAL DE PROFESORES POR SOSTENIMIENTO</w:t>
      </w:r>
      <w:bookmarkEnd w:id="21"/>
    </w:p>
    <w:p w:rsidR="00000000" w:rsidRDefault="007956D9">
      <w:pPr>
        <w:pBdr>
          <w:top w:val="single" w:sz="4" w:space="1" w:color="auto"/>
          <w:left w:val="single" w:sz="4" w:space="4" w:color="auto"/>
          <w:bottom w:val="single" w:sz="4" w:space="1" w:color="auto"/>
          <w:right w:val="single" w:sz="4" w:space="4" w:color="auto"/>
        </w:pBdr>
        <w:ind w:left="426"/>
        <w:jc w:val="center"/>
        <w:rPr>
          <w:rFonts w:ascii="Arial" w:hAnsi="Arial" w:cs="Arial"/>
          <w:b/>
          <w:bCs/>
        </w:rPr>
      </w:pPr>
      <w:r>
        <w:rPr>
          <w:noProof/>
          <w:lang w:val="es-ES"/>
        </w:rPr>
        <w:drawing>
          <wp:inline distT="0" distB="0" distL="0" distR="0">
            <wp:extent cx="4559300" cy="2260600"/>
            <wp:effectExtent l="0" t="0" r="0" b="0"/>
            <wp:docPr id="8" name="Objeto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00000" w:rsidRDefault="0072491A">
      <w:pPr>
        <w:pBdr>
          <w:top w:val="single" w:sz="4" w:space="1" w:color="auto"/>
          <w:left w:val="single" w:sz="4" w:space="4" w:color="auto"/>
          <w:bottom w:val="single" w:sz="4" w:space="1" w:color="auto"/>
          <w:right w:val="single" w:sz="4" w:space="4" w:color="auto"/>
        </w:pBdr>
        <w:ind w:left="426"/>
        <w:jc w:val="both"/>
        <w:rPr>
          <w:rFonts w:ascii="Arial" w:hAnsi="Arial" w:cs="Arial"/>
          <w:sz w:val="24"/>
        </w:rPr>
      </w:pPr>
      <w:r>
        <w:rPr>
          <w:rFonts w:ascii="Arial" w:hAnsi="Arial" w:cs="Arial"/>
          <w:b/>
          <w:bCs/>
        </w:rPr>
        <w:t>FUENTE</w:t>
      </w:r>
      <w:r>
        <w:rPr>
          <w:rFonts w:ascii="Arial" w:hAnsi="Arial" w:cs="Arial"/>
        </w:rPr>
        <w:t>: Sistema nacional de estadísticas educativas, boletines estadísticos: La educación en cifras, 1993, 1994, 1995, 1997, 1998 y 1999</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El número de profesores por sostenimiento como se puede apreciar en el gráfico 1.8 es may</w:t>
      </w:r>
      <w:r>
        <w:rPr>
          <w:rFonts w:ascii="Arial" w:hAnsi="Arial" w:cs="Arial"/>
          <w:color w:val="000000"/>
          <w:sz w:val="24"/>
        </w:rPr>
        <w:t>or para los colegios fiscales con un crecimiento promedio entre los años 1993 a 1999 del 2%. Al comparar el número de establecimientos educativos con el de profesores por sostenimiento en los gráficos 1.7 y 1.8 se obtiene que existen en promedio 4.8 profes</w:t>
      </w:r>
      <w:r>
        <w:rPr>
          <w:rFonts w:ascii="Arial" w:hAnsi="Arial" w:cs="Arial"/>
          <w:color w:val="000000"/>
          <w:sz w:val="24"/>
        </w:rPr>
        <w:t>ores por cada plantel fiscal, y 6.97 profesores por cada plantel particular. Si solo tomamos en cuenta el año 2000, encontraremos que existen 5.44 profesores por cada plantel fiscal. Este resultado se da por la reducción de planteles, ya que el numero de p</w:t>
      </w:r>
      <w:r>
        <w:rPr>
          <w:rFonts w:ascii="Arial" w:hAnsi="Arial" w:cs="Arial"/>
          <w:color w:val="000000"/>
          <w:sz w:val="24"/>
        </w:rPr>
        <w:t>rofesores fiscales es similar en los años 1999 y 2000.</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 xml:space="preserve">Estos resultados muestran que el número de establecimientos públicos en la provincia de Bolívar es aproximadamente 28.32 veces mayor que los públicos urbanos y la relación del número de profesores en </w:t>
      </w:r>
      <w:r>
        <w:rPr>
          <w:rFonts w:ascii="Arial" w:hAnsi="Arial" w:cs="Arial"/>
          <w:color w:val="000000"/>
          <w:sz w:val="24"/>
        </w:rPr>
        <w:t>estos tipos de planteles es de 19.51 veces más profesores públicos que particulares.</w:t>
      </w:r>
    </w:p>
    <w:p w:rsidR="00000000" w:rsidRDefault="0072491A">
      <w:pPr>
        <w:spacing w:line="480" w:lineRule="auto"/>
        <w:ind w:left="426"/>
        <w:jc w:val="both"/>
        <w:rPr>
          <w:rFonts w:ascii="Arial" w:hAnsi="Arial" w:cs="Arial"/>
          <w:color w:val="000000"/>
          <w:sz w:val="24"/>
        </w:rPr>
      </w:pP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color w:val="000000"/>
          <w:sz w:val="24"/>
        </w:rPr>
      </w:pP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color w:val="000000"/>
          <w:sz w:val="24"/>
        </w:rPr>
      </w:pPr>
      <w:r>
        <w:rPr>
          <w:rFonts w:ascii="Arial" w:hAnsi="Arial" w:cs="Arial"/>
          <w:b/>
          <w:bCs/>
          <w:color w:val="000000"/>
          <w:sz w:val="24"/>
        </w:rPr>
        <w:t>GRAFICO 1.9</w:t>
      </w: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color w:val="000000"/>
          <w:sz w:val="24"/>
        </w:rPr>
      </w:pPr>
    </w:p>
    <w:p w:rsidR="00000000" w:rsidRDefault="0072491A">
      <w:pPr>
        <w:pStyle w:val="Ttulo1"/>
        <w:pBdr>
          <w:top w:val="single" w:sz="4" w:space="1" w:color="auto"/>
          <w:left w:val="single" w:sz="4" w:space="4" w:color="auto"/>
          <w:bottom w:val="single" w:sz="4" w:space="1" w:color="auto"/>
          <w:right w:val="single" w:sz="4" w:space="4" w:color="auto"/>
        </w:pBdr>
        <w:ind w:left="426"/>
      </w:pPr>
      <w:bookmarkStart w:id="22" w:name="_Toc9091596"/>
      <w:r>
        <w:t>PROVINCIA DE BOLÍVAR: TOTAL DE ALUMNOS POR SOSTENIMIENTO</w:t>
      </w:r>
      <w:bookmarkEnd w:id="22"/>
    </w:p>
    <w:p w:rsidR="00000000" w:rsidRDefault="007956D9">
      <w:pPr>
        <w:pBdr>
          <w:top w:val="single" w:sz="4" w:space="1" w:color="auto"/>
          <w:left w:val="single" w:sz="4" w:space="4" w:color="auto"/>
          <w:bottom w:val="single" w:sz="4" w:space="1" w:color="auto"/>
          <w:right w:val="single" w:sz="4" w:space="4" w:color="auto"/>
        </w:pBdr>
        <w:ind w:left="426"/>
        <w:jc w:val="center"/>
        <w:rPr>
          <w:rFonts w:ascii="Arial" w:hAnsi="Arial" w:cs="Arial"/>
          <w:b/>
          <w:bCs/>
        </w:rPr>
      </w:pPr>
      <w:r>
        <w:rPr>
          <w:noProof/>
          <w:lang w:val="es-ES"/>
        </w:rPr>
        <w:drawing>
          <wp:inline distT="0" distB="0" distL="0" distR="0">
            <wp:extent cx="4572000" cy="2082800"/>
            <wp:effectExtent l="0" t="0" r="0" b="0"/>
            <wp:docPr id="9" name="Objeto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00000" w:rsidRDefault="0072491A">
      <w:pPr>
        <w:pBdr>
          <w:top w:val="single" w:sz="4" w:space="1" w:color="auto"/>
          <w:left w:val="single" w:sz="4" w:space="4" w:color="auto"/>
          <w:bottom w:val="single" w:sz="4" w:space="1" w:color="auto"/>
          <w:right w:val="single" w:sz="4" w:space="4" w:color="auto"/>
        </w:pBdr>
        <w:ind w:left="426"/>
        <w:jc w:val="both"/>
        <w:rPr>
          <w:rFonts w:ascii="Arial" w:hAnsi="Arial" w:cs="Arial"/>
          <w:sz w:val="24"/>
        </w:rPr>
      </w:pPr>
      <w:r>
        <w:rPr>
          <w:rFonts w:ascii="Arial" w:hAnsi="Arial" w:cs="Arial"/>
          <w:b/>
          <w:bCs/>
        </w:rPr>
        <w:t>FUENTE</w:t>
      </w:r>
      <w:r>
        <w:rPr>
          <w:rFonts w:ascii="Arial" w:hAnsi="Arial" w:cs="Arial"/>
        </w:rPr>
        <w:t>: Sistema nacional de estadísticas educativas, boletines estadís</w:t>
      </w:r>
      <w:r>
        <w:rPr>
          <w:rFonts w:ascii="Arial" w:hAnsi="Arial" w:cs="Arial"/>
        </w:rPr>
        <w:t>ticos: La educación en cifras, 1993, 1994, 1995, 1997, 1998 y 1999</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El porcentaje  promedio del número de estudiantes con respecto al total de la provincia de los planteles fiscales es de 95.64%, seguido por los particulares con 4.35%, y los municipales co</w:t>
      </w:r>
      <w:r>
        <w:rPr>
          <w:rFonts w:ascii="Arial" w:hAnsi="Arial" w:cs="Arial"/>
          <w:color w:val="000000"/>
          <w:sz w:val="24"/>
        </w:rPr>
        <w:t>n apenas 0.01%. En el gráfico 1.9 podemos apreciar esta distribución.</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sz w:val="24"/>
        </w:rPr>
        <w:t xml:space="preserve">A partir de los datos que se muestran en los gráficos 1.8 y 1.9 se obtienen las tasas del número de estudiantes promedio por cada profesor en los tipos de establecimientos que se están </w:t>
      </w:r>
      <w:r>
        <w:rPr>
          <w:rFonts w:ascii="Arial" w:hAnsi="Arial" w:cs="Arial"/>
          <w:sz w:val="24"/>
        </w:rPr>
        <w:t>analizando, los resultados son 15.35, 13.67, 15.33 estudiantes por cada profesor en los planteles fiscales, particulares, y municipales respectivamente. Este porcentaje es similar al obtenido del año 2000 en los planteles fiscales, siendo este de 14.83 alu</w:t>
      </w:r>
      <w:r>
        <w:rPr>
          <w:rFonts w:ascii="Arial" w:hAnsi="Arial" w:cs="Arial"/>
          <w:sz w:val="24"/>
        </w:rPr>
        <w:t>mnos por profesor.</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El porcentaje de crecimiento promedio que han tenido durante los años 1993 a 1999 los colegios son: para los privados el crecimiento es del 24.59%, para los fiscales el crecimiento es del 0.97%, y de los municipales el crecimiento es de</w:t>
      </w:r>
      <w:r>
        <w:rPr>
          <w:rFonts w:ascii="Arial" w:hAnsi="Arial" w:cs="Arial"/>
          <w:color w:val="000000"/>
          <w:sz w:val="24"/>
        </w:rPr>
        <w:t>l 16.67%.</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bCs/>
          <w:sz w:val="24"/>
        </w:rPr>
      </w:pPr>
      <w:r>
        <w:rPr>
          <w:rFonts w:ascii="Arial" w:hAnsi="Arial" w:cs="Arial"/>
          <w:bCs/>
          <w:sz w:val="24"/>
        </w:rPr>
        <w:t xml:space="preserve">En el gráfico 1.7 se puede observar los valores que corresponden al número de colegios clasificados por sostenimiento y de acuerdo al análisis hecho anteriormente se puede comprobar a simple vista el crecimiento de los colegios privados, además </w:t>
      </w:r>
      <w:r>
        <w:rPr>
          <w:rFonts w:ascii="Arial" w:hAnsi="Arial" w:cs="Arial"/>
          <w:bCs/>
          <w:sz w:val="24"/>
        </w:rPr>
        <w:t>aunque el crecimiento porcentual de los colegios privados es mayor que el de los fiscales, la cantidad de planteles fiscales es del doble.</w:t>
      </w:r>
    </w:p>
    <w:p w:rsidR="00000000" w:rsidRDefault="0072491A">
      <w:pPr>
        <w:spacing w:line="480" w:lineRule="auto"/>
        <w:ind w:left="426"/>
        <w:jc w:val="both"/>
        <w:rPr>
          <w:rFonts w:ascii="Arial" w:hAnsi="Arial" w:cs="Arial"/>
          <w:bCs/>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El número de planteles por zona se puede apreciar en el gráfico 1.10, en promedio desde el año 1993 hasta 1999 la va</w:t>
      </w:r>
      <w:r>
        <w:rPr>
          <w:rFonts w:ascii="Arial" w:hAnsi="Arial" w:cs="Arial"/>
          <w:color w:val="000000"/>
          <w:sz w:val="24"/>
        </w:rPr>
        <w:t>riación porcentual del número de planteles urbanos de año tras año es del 4.59%, la de los rurales el 1.25%, de acuerdo a los valores que se muestran en el gráfico 1.10. Se duda de la veracidad de estos valores, ya que según los resultados del censo del ma</w:t>
      </w:r>
      <w:r>
        <w:rPr>
          <w:rFonts w:ascii="Arial" w:hAnsi="Arial" w:cs="Arial"/>
          <w:color w:val="000000"/>
          <w:sz w:val="24"/>
        </w:rPr>
        <w:t>gisterio, efectuado el 14 de diciembre del 2000, se observa una disminución de planteles en un 13.87%; faltando analizar la causa de este descenso.</w:t>
      </w:r>
    </w:p>
    <w:p w:rsidR="00000000" w:rsidRDefault="0072491A">
      <w:pPr>
        <w:spacing w:line="480" w:lineRule="auto"/>
        <w:ind w:left="426"/>
        <w:jc w:val="both"/>
        <w:rPr>
          <w:rFonts w:ascii="Arial" w:hAnsi="Arial" w:cs="Arial"/>
          <w:color w:val="000000"/>
          <w:sz w:val="24"/>
        </w:rPr>
      </w:pP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color w:val="000000"/>
          <w:sz w:val="24"/>
        </w:rPr>
      </w:pP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color w:val="000000"/>
          <w:sz w:val="24"/>
        </w:rPr>
      </w:pPr>
      <w:r>
        <w:rPr>
          <w:rFonts w:ascii="Arial" w:hAnsi="Arial" w:cs="Arial"/>
          <w:b/>
          <w:bCs/>
          <w:color w:val="000000"/>
          <w:sz w:val="24"/>
        </w:rPr>
        <w:t>GRAFICO 1.10</w:t>
      </w: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color w:val="000000"/>
          <w:sz w:val="24"/>
        </w:rPr>
      </w:pPr>
    </w:p>
    <w:p w:rsidR="00000000" w:rsidRDefault="0072491A">
      <w:pPr>
        <w:pStyle w:val="Ttulo1"/>
        <w:pBdr>
          <w:top w:val="single" w:sz="4" w:space="1" w:color="auto"/>
          <w:left w:val="single" w:sz="4" w:space="4" w:color="auto"/>
          <w:bottom w:val="single" w:sz="4" w:space="1" w:color="auto"/>
          <w:right w:val="single" w:sz="4" w:space="4" w:color="auto"/>
        </w:pBdr>
        <w:ind w:left="426"/>
      </w:pPr>
      <w:bookmarkStart w:id="23" w:name="_Toc9091597"/>
      <w:r>
        <w:t>PROVINCIA DE BOLÍVAR: TOTAL DE PLANTELES POR ZONA</w:t>
      </w:r>
      <w:bookmarkEnd w:id="23"/>
    </w:p>
    <w:p w:rsidR="00000000" w:rsidRDefault="007956D9">
      <w:pPr>
        <w:pBdr>
          <w:top w:val="single" w:sz="4" w:space="1" w:color="auto"/>
          <w:left w:val="single" w:sz="4" w:space="4" w:color="auto"/>
          <w:bottom w:val="single" w:sz="4" w:space="1" w:color="auto"/>
          <w:right w:val="single" w:sz="4" w:space="4" w:color="auto"/>
        </w:pBdr>
        <w:ind w:left="426"/>
        <w:jc w:val="center"/>
      </w:pPr>
      <w:r>
        <w:rPr>
          <w:noProof/>
          <w:lang w:val="es-ES"/>
        </w:rPr>
        <w:drawing>
          <wp:inline distT="0" distB="0" distL="0" distR="0">
            <wp:extent cx="4559300" cy="2273300"/>
            <wp:effectExtent l="0" t="0" r="0" b="0"/>
            <wp:docPr id="10" name="Objeto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00000" w:rsidRDefault="0072491A">
      <w:pPr>
        <w:pBdr>
          <w:top w:val="single" w:sz="4" w:space="1" w:color="auto"/>
          <w:left w:val="single" w:sz="4" w:space="4" w:color="auto"/>
          <w:bottom w:val="single" w:sz="4" w:space="1" w:color="auto"/>
          <w:right w:val="single" w:sz="4" w:space="4" w:color="auto"/>
        </w:pBdr>
        <w:ind w:left="426"/>
        <w:jc w:val="both"/>
        <w:rPr>
          <w:rFonts w:ascii="Arial" w:hAnsi="Arial" w:cs="Arial"/>
          <w:sz w:val="24"/>
        </w:rPr>
      </w:pPr>
      <w:r>
        <w:rPr>
          <w:rFonts w:ascii="Arial" w:hAnsi="Arial" w:cs="Arial"/>
          <w:b/>
          <w:bCs/>
        </w:rPr>
        <w:t>FUENTE</w:t>
      </w:r>
      <w:r>
        <w:rPr>
          <w:rFonts w:ascii="Arial" w:hAnsi="Arial" w:cs="Arial"/>
        </w:rPr>
        <w:t>: Siste</w:t>
      </w:r>
      <w:r>
        <w:rPr>
          <w:rFonts w:ascii="Arial" w:hAnsi="Arial" w:cs="Arial"/>
        </w:rPr>
        <w:t>ma nacional de estadísticas educativas, boletines estadísticos: La educación en cifras, 1993, 1994, 1995, 1997, 1998 y 1999</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bCs/>
          <w:color w:val="000000"/>
          <w:sz w:val="24"/>
        </w:rPr>
      </w:pPr>
      <w:r>
        <w:rPr>
          <w:rFonts w:ascii="Arial" w:hAnsi="Arial" w:cs="Arial"/>
          <w:bCs/>
          <w:sz w:val="24"/>
        </w:rPr>
        <w:t>En promedio los porcentajes de los planteles de zona urbana y rural son respectivamente 12.62% y 87.38%  con respecto al total de p</w:t>
      </w:r>
      <w:r>
        <w:rPr>
          <w:rFonts w:ascii="Arial" w:hAnsi="Arial" w:cs="Arial"/>
          <w:bCs/>
          <w:sz w:val="24"/>
        </w:rPr>
        <w:t>lanteles educativos en la provincia de Bolívar, de acuerdo a los datos que se muestran en el gráfico 1.10 de los años 1993 a 1999. Al comparar estos porcentajes respectivamente con los de profesores y alumnos se observa que a pesar de tener el más bajo por</w:t>
      </w:r>
      <w:r>
        <w:rPr>
          <w:rFonts w:ascii="Arial" w:hAnsi="Arial" w:cs="Arial"/>
          <w:bCs/>
          <w:sz w:val="24"/>
        </w:rPr>
        <w:t>centaje de establecimientos, los planteles urbanos tiene un número de profesores similar a los planteles rurales, el cual tiene el mayor porcentaje de planteles educativos.</w:t>
      </w:r>
    </w:p>
    <w:p w:rsidR="00000000" w:rsidRDefault="0072491A">
      <w:pPr>
        <w:spacing w:line="480" w:lineRule="auto"/>
        <w:ind w:left="426"/>
        <w:jc w:val="both"/>
        <w:rPr>
          <w:rFonts w:ascii="Arial" w:hAnsi="Arial" w:cs="Arial"/>
          <w:color w:val="000000"/>
          <w:sz w:val="24"/>
        </w:rPr>
      </w:pP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color w:val="000000"/>
          <w:sz w:val="24"/>
        </w:rPr>
      </w:pP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color w:val="000000"/>
          <w:sz w:val="24"/>
        </w:rPr>
      </w:pPr>
      <w:r>
        <w:rPr>
          <w:rFonts w:ascii="Arial" w:hAnsi="Arial" w:cs="Arial"/>
          <w:b/>
          <w:bCs/>
          <w:color w:val="000000"/>
          <w:sz w:val="24"/>
        </w:rPr>
        <w:t>GRAFICO 1.11</w:t>
      </w:r>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color w:val="000000"/>
          <w:sz w:val="24"/>
        </w:rPr>
      </w:pPr>
    </w:p>
    <w:p w:rsidR="00000000" w:rsidRDefault="0072491A">
      <w:pPr>
        <w:pStyle w:val="Ttulo1"/>
        <w:pBdr>
          <w:top w:val="single" w:sz="4" w:space="1" w:color="auto"/>
          <w:left w:val="single" w:sz="4" w:space="4" w:color="auto"/>
          <w:bottom w:val="single" w:sz="4" w:space="1" w:color="auto"/>
          <w:right w:val="single" w:sz="4" w:space="4" w:color="auto"/>
        </w:pBdr>
        <w:ind w:left="426"/>
      </w:pPr>
      <w:bookmarkStart w:id="24" w:name="_Toc9091598"/>
      <w:r>
        <w:t>PROVINCIA DE BOLÍVAR: TOTAL DE PROFESORES POR ZONA</w:t>
      </w:r>
      <w:bookmarkEnd w:id="24"/>
    </w:p>
    <w:p w:rsidR="00000000" w:rsidRDefault="007956D9">
      <w:pPr>
        <w:pBdr>
          <w:top w:val="single" w:sz="4" w:space="1" w:color="auto"/>
          <w:left w:val="single" w:sz="4" w:space="4" w:color="auto"/>
          <w:bottom w:val="single" w:sz="4" w:space="1" w:color="auto"/>
          <w:right w:val="single" w:sz="4" w:space="4" w:color="auto"/>
        </w:pBdr>
        <w:ind w:left="426"/>
        <w:jc w:val="center"/>
      </w:pPr>
      <w:r>
        <w:rPr>
          <w:noProof/>
          <w:lang w:val="es-ES"/>
        </w:rPr>
        <w:drawing>
          <wp:inline distT="0" distB="0" distL="0" distR="0">
            <wp:extent cx="4584700" cy="2273300"/>
            <wp:effectExtent l="0" t="0" r="0" b="0"/>
            <wp:docPr id="11" name="Objeto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0000" w:rsidRDefault="0072491A">
      <w:pPr>
        <w:pBdr>
          <w:top w:val="single" w:sz="4" w:space="1" w:color="auto"/>
          <w:left w:val="single" w:sz="4" w:space="4" w:color="auto"/>
          <w:bottom w:val="single" w:sz="4" w:space="1" w:color="auto"/>
          <w:right w:val="single" w:sz="4" w:space="4" w:color="auto"/>
        </w:pBdr>
        <w:ind w:left="426"/>
        <w:jc w:val="both"/>
        <w:rPr>
          <w:rFonts w:ascii="Arial" w:hAnsi="Arial" w:cs="Arial"/>
          <w:sz w:val="24"/>
        </w:rPr>
      </w:pPr>
      <w:r>
        <w:rPr>
          <w:rFonts w:ascii="Arial" w:hAnsi="Arial" w:cs="Arial"/>
          <w:b/>
          <w:bCs/>
        </w:rPr>
        <w:t>FUENTE</w:t>
      </w:r>
      <w:r>
        <w:rPr>
          <w:rFonts w:ascii="Arial" w:hAnsi="Arial" w:cs="Arial"/>
        </w:rPr>
        <w:t>: Sistema nacional de estadísticas educativas, boletines estadísticos: La educación en cifras, 1993, 1994, 1995, 1997, 1998 y 1999</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sz w:val="24"/>
        </w:rPr>
        <w:t>El número de profesores para las zonas urbanas y rurales es similar considerando la diferencia, que exist</w:t>
      </w:r>
      <w:r>
        <w:rPr>
          <w:rFonts w:ascii="Arial" w:hAnsi="Arial" w:cs="Arial"/>
          <w:sz w:val="24"/>
        </w:rPr>
        <w:t>e entre el número de planteles para estas zonas. La variación porcentual promedio para las zonas urbanas y rurales es respectivamente 3.64% y  1.6% del número de profesores, como se muestra en el gráfico 1.11. Al compara estos valores con los obtenidos del</w:t>
      </w:r>
      <w:r>
        <w:rPr>
          <w:rFonts w:ascii="Arial" w:hAnsi="Arial" w:cs="Arial"/>
          <w:sz w:val="24"/>
        </w:rPr>
        <w:t xml:space="preserve"> censo, se nota un descenso de profesores de alrededor del 5.28%. </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Los porcentajes promedios en los años 1993 al 1999 del número de profesores por cada zona con respecto al total son para la zona urbana 45.61%, y para la zona rural 54.39%. Los valores que</w:t>
      </w:r>
      <w:r>
        <w:rPr>
          <w:rFonts w:ascii="Arial" w:hAnsi="Arial" w:cs="Arial"/>
          <w:color w:val="000000"/>
          <w:sz w:val="24"/>
        </w:rPr>
        <w:t xml:space="preserve"> corresponden a estos porcentajes se muestran en el gráfico 1.11.</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 xml:space="preserve">El número de alumnos de zonas rurales es no es considerablemente mayor que los de zonas urbanas comparado con el número de planteles, como se  lo muestra en el gráfico 1.12; en ambas zonas </w:t>
      </w:r>
      <w:r>
        <w:rPr>
          <w:rFonts w:ascii="Arial" w:hAnsi="Arial" w:cs="Arial"/>
          <w:color w:val="000000"/>
          <w:sz w:val="24"/>
        </w:rPr>
        <w:t>se puede apreciar un aumento de estudiantes, en promedio el porcentaje de aumento para las zonas urbanas y rurales desde 1993 a 1999 son respectivamente 2.94% y 0.44%. No existe una variación significativa con respecto al año 2000.</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sz w:val="24"/>
        </w:rPr>
      </w:pPr>
      <w:bookmarkStart w:id="25" w:name="_Toc507167840"/>
      <w:r>
        <w:rPr>
          <w:rFonts w:ascii="Arial" w:hAnsi="Arial" w:cs="Arial"/>
          <w:sz w:val="24"/>
        </w:rPr>
        <w:t>En lo que se refiere al</w:t>
      </w:r>
      <w:r>
        <w:rPr>
          <w:rFonts w:ascii="Arial" w:hAnsi="Arial" w:cs="Arial"/>
          <w:sz w:val="24"/>
        </w:rPr>
        <w:t xml:space="preserve"> porcentaje del número de alumnos por zona con respecto al total de la provincia en promedio para los años de 1993 a 1999 se tiene en zona urbana 41.95% y en zona rural 57%, estos valores se los obtiene de los datos que se muestran en el gráfico 1.12.</w:t>
      </w:r>
      <w:bookmarkEnd w:id="25"/>
    </w:p>
    <w:p w:rsidR="00000000" w:rsidRDefault="0072491A">
      <w:pPr>
        <w:pStyle w:val="Ttulo1"/>
        <w:pBdr>
          <w:top w:val="single" w:sz="4" w:space="1" w:color="auto"/>
          <w:left w:val="single" w:sz="4" w:space="4" w:color="auto"/>
          <w:bottom w:val="single" w:sz="4" w:space="1" w:color="auto"/>
          <w:right w:val="single" w:sz="4" w:space="4" w:color="auto"/>
        </w:pBdr>
        <w:ind w:left="426"/>
      </w:pPr>
      <w:bookmarkStart w:id="26" w:name="_Toc1936594"/>
    </w:p>
    <w:p w:rsidR="00000000" w:rsidRDefault="0072491A">
      <w:pPr>
        <w:pStyle w:val="Ttulo1"/>
        <w:pBdr>
          <w:top w:val="single" w:sz="4" w:space="1" w:color="auto"/>
          <w:left w:val="single" w:sz="4" w:space="4" w:color="auto"/>
          <w:bottom w:val="single" w:sz="4" w:space="1" w:color="auto"/>
          <w:right w:val="single" w:sz="4" w:space="4" w:color="auto"/>
        </w:pBdr>
        <w:ind w:left="426"/>
      </w:pPr>
      <w:bookmarkStart w:id="27" w:name="_Toc9035830"/>
      <w:bookmarkStart w:id="28" w:name="_Toc9091599"/>
      <w:r>
        <w:t>GRA</w:t>
      </w:r>
      <w:r>
        <w:t>FICO 1.1</w:t>
      </w:r>
      <w:bookmarkEnd w:id="26"/>
      <w:r>
        <w:t>2</w:t>
      </w:r>
      <w:bookmarkEnd w:id="27"/>
      <w:bookmarkEnd w:id="28"/>
    </w:p>
    <w:p w:rsidR="00000000" w:rsidRDefault="0072491A">
      <w:pPr>
        <w:pBdr>
          <w:top w:val="single" w:sz="4" w:space="1" w:color="auto"/>
          <w:left w:val="single" w:sz="4" w:space="4" w:color="auto"/>
          <w:bottom w:val="single" w:sz="4" w:space="1" w:color="auto"/>
          <w:right w:val="single" w:sz="4" w:space="4" w:color="auto"/>
        </w:pBdr>
        <w:ind w:left="426"/>
        <w:jc w:val="center"/>
        <w:rPr>
          <w:rFonts w:ascii="Arial" w:hAnsi="Arial" w:cs="Arial"/>
          <w:b/>
          <w:bCs/>
          <w:color w:val="000000"/>
          <w:sz w:val="24"/>
        </w:rPr>
      </w:pPr>
    </w:p>
    <w:p w:rsidR="00000000" w:rsidRDefault="0072491A">
      <w:pPr>
        <w:pStyle w:val="Ttulo1"/>
        <w:pBdr>
          <w:top w:val="single" w:sz="4" w:space="1" w:color="auto"/>
          <w:left w:val="single" w:sz="4" w:space="4" w:color="auto"/>
          <w:bottom w:val="single" w:sz="4" w:space="1" w:color="auto"/>
          <w:right w:val="single" w:sz="4" w:space="4" w:color="auto"/>
        </w:pBdr>
        <w:ind w:left="426"/>
      </w:pPr>
      <w:bookmarkStart w:id="29" w:name="_Toc9091600"/>
      <w:r>
        <w:t>PROVINCIA DE BOLÍVAR: TOTAL DE ALUMNOS POR ZONA</w:t>
      </w:r>
      <w:bookmarkEnd w:id="29"/>
    </w:p>
    <w:p w:rsidR="00000000" w:rsidRDefault="007956D9">
      <w:pPr>
        <w:pBdr>
          <w:top w:val="single" w:sz="4" w:space="1" w:color="auto"/>
          <w:left w:val="single" w:sz="4" w:space="4" w:color="auto"/>
          <w:bottom w:val="single" w:sz="4" w:space="1" w:color="auto"/>
          <w:right w:val="single" w:sz="4" w:space="4" w:color="auto"/>
        </w:pBdr>
        <w:ind w:left="426"/>
        <w:jc w:val="center"/>
      </w:pPr>
      <w:r>
        <w:rPr>
          <w:noProof/>
          <w:lang w:val="es-ES"/>
        </w:rPr>
        <w:drawing>
          <wp:inline distT="0" distB="0" distL="0" distR="0">
            <wp:extent cx="4572000" cy="2171700"/>
            <wp:effectExtent l="0" t="0" r="0" b="0"/>
            <wp:docPr id="12" name="Objeto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00000" w:rsidRDefault="0072491A">
      <w:pPr>
        <w:pBdr>
          <w:top w:val="single" w:sz="4" w:space="1" w:color="auto"/>
          <w:left w:val="single" w:sz="4" w:space="4" w:color="auto"/>
          <w:bottom w:val="single" w:sz="4" w:space="1" w:color="auto"/>
          <w:right w:val="single" w:sz="4" w:space="4" w:color="auto"/>
        </w:pBdr>
        <w:ind w:left="426"/>
        <w:jc w:val="both"/>
        <w:rPr>
          <w:rFonts w:ascii="Arial" w:hAnsi="Arial" w:cs="Arial"/>
          <w:sz w:val="24"/>
        </w:rPr>
      </w:pPr>
      <w:r>
        <w:rPr>
          <w:rFonts w:ascii="Arial" w:hAnsi="Arial" w:cs="Arial"/>
          <w:b/>
          <w:bCs/>
        </w:rPr>
        <w:t>FUENTE</w:t>
      </w:r>
      <w:r>
        <w:rPr>
          <w:rFonts w:ascii="Arial" w:hAnsi="Arial" w:cs="Arial"/>
        </w:rPr>
        <w:t>: Sistema nacional de estadísticas educativas, boletines estadísticos: La educación en cifras, 1993, 1994, 1995, 1997, 1998 y 1999</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Al comparar el número de estab</w:t>
      </w:r>
      <w:r>
        <w:rPr>
          <w:rFonts w:ascii="Arial" w:hAnsi="Arial" w:cs="Arial"/>
          <w:color w:val="000000"/>
          <w:sz w:val="24"/>
        </w:rPr>
        <w:t>lecimientos educativos con el de profesores por zona como se muestra en los gráficos 1.10 y 1.11 se obtiene que en la provincia de Bolívar existen aproximadamente 17.63 profesores por cada plantel urbano y 3.04 profesores por cada plantel rural.  Si realiz</w:t>
      </w:r>
      <w:r>
        <w:rPr>
          <w:rFonts w:ascii="Arial" w:hAnsi="Arial" w:cs="Arial"/>
          <w:color w:val="000000"/>
          <w:sz w:val="24"/>
        </w:rPr>
        <w:t>amos los mismos cálculos para el año 2000, observamos que el promedio de profesores por plantel urbano es 18.88, lo cual hace notar la disminución de planteles de este tipo.</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Estos resultados muestran que a pesar de que el número de establecimientos rurale</w:t>
      </w:r>
      <w:r>
        <w:rPr>
          <w:rFonts w:ascii="Arial" w:hAnsi="Arial" w:cs="Arial"/>
          <w:color w:val="000000"/>
          <w:sz w:val="24"/>
        </w:rPr>
        <w:t>s en todo la provincia de Bolívar es aproximadamente 6.93 veces mayor que los urbanos; la relación del número de profesores en estos tipos de planteles es de 1.19 veces más profesores rurales que urbanos.</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sz w:val="24"/>
        </w:rPr>
      </w:pPr>
      <w:r>
        <w:rPr>
          <w:rFonts w:ascii="Arial" w:hAnsi="Arial" w:cs="Arial"/>
          <w:sz w:val="24"/>
        </w:rPr>
        <w:t>A partir de los datos que se muestran en los gráfi</w:t>
      </w:r>
      <w:r>
        <w:rPr>
          <w:rFonts w:ascii="Arial" w:hAnsi="Arial" w:cs="Arial"/>
          <w:sz w:val="24"/>
        </w:rPr>
        <w:t>cos 1.11 y 1.12 se obtienen las tasas del número de estudiantes promedio por cada profesor en los tipos de establecimientos, los resultados son que existen 14.19, 16.17 estudiantes por cada profesor en los colegios urbanos, y rurales respectivamente. Se ob</w:t>
      </w:r>
      <w:r>
        <w:rPr>
          <w:rFonts w:ascii="Arial" w:hAnsi="Arial" w:cs="Arial"/>
          <w:sz w:val="24"/>
        </w:rPr>
        <w:t>serva una disminución del número de alumnos por profesor en los planteles rurales en el año 2000, ya que este promedio es 15.21.</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Luego de describir por separado los profesores, alumnos y planteles educativos en la provincia de Bolívar, se presenta a conti</w:t>
      </w:r>
      <w:r>
        <w:rPr>
          <w:rFonts w:ascii="Arial" w:hAnsi="Arial" w:cs="Arial"/>
          <w:color w:val="000000"/>
          <w:sz w:val="24"/>
        </w:rPr>
        <w:t>nuación la recopilación de datos con respecto al recurso humano del magisterio. Aquí se muestra las funciones del personal y la instrucción de los docentes, por nivel educativo y por totales.</w:t>
      </w:r>
    </w:p>
    <w:p w:rsidR="00000000" w:rsidRDefault="0072491A">
      <w:pPr>
        <w:spacing w:line="480" w:lineRule="auto"/>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El personal por función se puede apreciar en la tabla III, en p</w:t>
      </w:r>
      <w:r>
        <w:rPr>
          <w:rFonts w:ascii="Arial" w:hAnsi="Arial" w:cs="Arial"/>
          <w:color w:val="000000"/>
          <w:sz w:val="24"/>
        </w:rPr>
        <w:t>romedio desde el año 1993 hasta 1999 la variación porcentual del número de directivos de año tras año es del 2.38%, la de profesores el 3.08%, la de personal administrativos es del 5.84% y la del personal administrativo de 2.44.</w:t>
      </w:r>
    </w:p>
    <w:p w:rsidR="00000000" w:rsidRDefault="0072491A">
      <w:pPr>
        <w:spacing w:line="480" w:lineRule="auto"/>
        <w:ind w:left="426"/>
        <w:jc w:val="both"/>
        <w:rPr>
          <w:rFonts w:ascii="Arial" w:hAnsi="Arial" w:cs="Arial"/>
          <w:color w:val="000000"/>
          <w:sz w:val="24"/>
        </w:rPr>
      </w:pPr>
    </w:p>
    <w:tbl>
      <w:tblPr>
        <w:tblW w:w="8659" w:type="dxa"/>
        <w:jc w:val="center"/>
        <w:tblInd w:w="-8" w:type="dxa"/>
        <w:tblCellMar>
          <w:left w:w="0" w:type="dxa"/>
          <w:right w:w="0" w:type="dxa"/>
        </w:tblCellMar>
        <w:tblLook w:val="0000"/>
      </w:tblPr>
      <w:tblGrid>
        <w:gridCol w:w="600"/>
        <w:gridCol w:w="399"/>
        <w:gridCol w:w="903"/>
        <w:gridCol w:w="855"/>
        <w:gridCol w:w="903"/>
        <w:gridCol w:w="855"/>
        <w:gridCol w:w="903"/>
        <w:gridCol w:w="855"/>
        <w:gridCol w:w="903"/>
        <w:gridCol w:w="855"/>
        <w:gridCol w:w="661"/>
      </w:tblGrid>
      <w:tr w:rsidR="00000000">
        <w:trPr>
          <w:trHeight w:val="255"/>
          <w:jc w:val="center"/>
        </w:trPr>
        <w:tc>
          <w:tcPr>
            <w:tcW w:w="600" w:type="dxa"/>
            <w:tcBorders>
              <w:top w:val="single" w:sz="6" w:space="0" w:color="000000"/>
              <w:left w:val="single" w:sz="6" w:space="0" w:color="000000"/>
              <w:bottom w:val="nil"/>
              <w:right w:val="nil"/>
            </w:tcBorders>
            <w:noWrap/>
            <w:vAlign w:val="bottom"/>
          </w:tcPr>
          <w:p w:rsidR="00000000" w:rsidRDefault="0072491A">
            <w:pPr>
              <w:rPr>
                <w:rFonts w:ascii="Arial" w:eastAsia="Arial Unicode MS" w:hAnsi="Arial" w:cs="Arial"/>
              </w:rPr>
            </w:pPr>
          </w:p>
        </w:tc>
        <w:tc>
          <w:tcPr>
            <w:tcW w:w="7414" w:type="dxa"/>
            <w:gridSpan w:val="9"/>
            <w:tcBorders>
              <w:top w:val="single" w:sz="6" w:space="0" w:color="000000"/>
              <w:left w:val="nil"/>
              <w:bottom w:val="single" w:sz="4" w:space="0" w:color="auto"/>
              <w:right w:val="nil"/>
            </w:tcBorders>
            <w:noWrap/>
            <w:vAlign w:val="bottom"/>
          </w:tcPr>
          <w:p w:rsidR="00000000" w:rsidRDefault="0072491A">
            <w:pPr>
              <w:pStyle w:val="Ttulo1"/>
            </w:pPr>
            <w:bookmarkStart w:id="30" w:name="_Toc1936595"/>
          </w:p>
          <w:p w:rsidR="00000000" w:rsidRDefault="0072491A">
            <w:pPr>
              <w:pStyle w:val="Ttulo1"/>
            </w:pPr>
            <w:bookmarkStart w:id="31" w:name="_Toc9035831"/>
            <w:bookmarkStart w:id="32" w:name="_Toc9091601"/>
            <w:r>
              <w:t>TABLA III</w:t>
            </w:r>
            <w:bookmarkEnd w:id="30"/>
            <w:bookmarkEnd w:id="31"/>
            <w:bookmarkEnd w:id="32"/>
          </w:p>
          <w:p w:rsidR="00000000" w:rsidRDefault="0072491A"/>
          <w:p w:rsidR="00000000" w:rsidRDefault="0072491A">
            <w:pPr>
              <w:pStyle w:val="Ttulo1"/>
              <w:rPr>
                <w:rFonts w:eastAsia="Arial Unicode MS"/>
              </w:rPr>
            </w:pPr>
            <w:bookmarkStart w:id="33" w:name="_Toc9091602"/>
            <w:r>
              <w:t xml:space="preserve">PROVINCIA DE </w:t>
            </w:r>
            <w:r>
              <w:t>BOLÍVAR: PERSONAL POR FUNCIONES Y SEXO</w:t>
            </w:r>
            <w:bookmarkEnd w:id="33"/>
          </w:p>
        </w:tc>
        <w:tc>
          <w:tcPr>
            <w:tcW w:w="645" w:type="dxa"/>
            <w:tcBorders>
              <w:top w:val="single" w:sz="6" w:space="0" w:color="000000"/>
              <w:left w:val="nil"/>
              <w:bottom w:val="nil"/>
              <w:right w:val="single" w:sz="6" w:space="0" w:color="000000"/>
            </w:tcBorders>
            <w:noWrap/>
            <w:vAlign w:val="bottom"/>
          </w:tcPr>
          <w:p w:rsidR="00000000" w:rsidRDefault="0072491A">
            <w:pPr>
              <w:jc w:val="center"/>
              <w:rPr>
                <w:rFonts w:ascii="Arial" w:eastAsia="Arial Unicode MS" w:hAnsi="Arial" w:cs="Arial"/>
                <w:b/>
                <w:bCs/>
              </w:rPr>
            </w:pPr>
          </w:p>
        </w:tc>
      </w:tr>
      <w:tr w:rsidR="00000000">
        <w:trPr>
          <w:cantSplit/>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vMerge w:val="restart"/>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AÑO</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DIRECTIVOS</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PROFESORES</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ADMINISTRATIVOS</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DE SERVICIO</w:t>
            </w:r>
          </w:p>
        </w:tc>
        <w:tc>
          <w:tcPr>
            <w:tcW w:w="645" w:type="dxa"/>
            <w:tcBorders>
              <w:top w:val="nil"/>
              <w:left w:val="nil"/>
              <w:bottom w:val="nil"/>
              <w:right w:val="single" w:sz="6" w:space="0" w:color="000000"/>
            </w:tcBorders>
            <w:noWrap/>
            <w:vAlign w:val="bottom"/>
          </w:tcPr>
          <w:p w:rsidR="00000000" w:rsidRDefault="0072491A">
            <w:pPr>
              <w:jc w:val="center"/>
              <w:rPr>
                <w:rFonts w:ascii="Arial" w:eastAsia="Arial Unicode MS" w:hAnsi="Arial" w:cs="Arial"/>
                <w:b/>
                <w:bCs/>
                <w:sz w:val="16"/>
                <w:szCs w:val="16"/>
              </w:rPr>
            </w:pPr>
          </w:p>
        </w:tc>
      </w:tr>
      <w:tr w:rsidR="00000000">
        <w:trPr>
          <w:cantSplit/>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vMerge/>
            <w:tcBorders>
              <w:top w:val="nil"/>
              <w:left w:val="single" w:sz="4" w:space="0" w:color="auto"/>
              <w:bottom w:val="single" w:sz="4" w:space="0" w:color="auto"/>
              <w:right w:val="single" w:sz="4" w:space="0" w:color="auto"/>
            </w:tcBorders>
            <w:vAlign w:val="center"/>
          </w:tcPr>
          <w:p w:rsidR="00000000" w:rsidRDefault="0072491A">
            <w:pPr>
              <w:rPr>
                <w:rFonts w:ascii="Arial" w:eastAsia="Arial Unicode MS" w:hAnsi="Arial" w:cs="Arial"/>
                <w:b/>
                <w:bCs/>
                <w:sz w:val="16"/>
                <w:szCs w:val="16"/>
              </w:rPr>
            </w:pP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MUJERES</w:t>
            </w:r>
          </w:p>
        </w:tc>
        <w:tc>
          <w:tcPr>
            <w:tcW w:w="645" w:type="dxa"/>
            <w:tcBorders>
              <w:top w:val="nil"/>
              <w:left w:val="nil"/>
              <w:bottom w:val="nil"/>
              <w:right w:val="single" w:sz="6" w:space="0" w:color="000000"/>
            </w:tcBorders>
            <w:noWrap/>
            <w:vAlign w:val="bottom"/>
          </w:tcPr>
          <w:p w:rsidR="00000000" w:rsidRDefault="0072491A">
            <w:pPr>
              <w:rPr>
                <w:rFonts w:ascii="Arial" w:eastAsia="Arial Unicode MS" w:hAnsi="Arial" w:cs="Arial"/>
                <w:b/>
                <w:bCs/>
                <w:sz w:val="16"/>
                <w:szCs w:val="16"/>
              </w:rPr>
            </w:pPr>
          </w:p>
        </w:tc>
      </w:tr>
      <w:tr w:rsidR="00000000">
        <w:trPr>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241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166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1083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1346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109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109</w:t>
            </w:r>
          </w:p>
        </w:tc>
        <w:tc>
          <w:tcPr>
            <w:tcW w:w="645" w:type="dxa"/>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190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152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1010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1361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127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120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105</w:t>
            </w:r>
          </w:p>
        </w:tc>
        <w:tc>
          <w:tcPr>
            <w:tcW w:w="645" w:type="dxa"/>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24</w:t>
            </w:r>
            <w:r>
              <w:rPr>
                <w:rFonts w:ascii="Arial" w:hAnsi="Arial" w:cs="Arial"/>
                <w:sz w:val="16"/>
                <w:szCs w:val="16"/>
              </w:rPr>
              <w:t>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161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1154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1445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128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127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118</w:t>
            </w:r>
          </w:p>
        </w:tc>
        <w:tc>
          <w:tcPr>
            <w:tcW w:w="645" w:type="dxa"/>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250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166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1147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1484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123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118</w:t>
            </w:r>
          </w:p>
        </w:tc>
        <w:tc>
          <w:tcPr>
            <w:tcW w:w="645" w:type="dxa"/>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258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167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1203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1561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75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140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124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113</w:t>
            </w:r>
          </w:p>
        </w:tc>
        <w:tc>
          <w:tcPr>
            <w:tcW w:w="645" w:type="dxa"/>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263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181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1216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1600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81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146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127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118</w:t>
            </w:r>
          </w:p>
        </w:tc>
        <w:tc>
          <w:tcPr>
            <w:tcW w:w="645" w:type="dxa"/>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2000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283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268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1115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1423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104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184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98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93</w:t>
            </w:r>
          </w:p>
        </w:tc>
        <w:tc>
          <w:tcPr>
            <w:tcW w:w="645" w:type="dxa"/>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cantSplit/>
          <w:trHeight w:val="255"/>
          <w:jc w:val="center"/>
        </w:trPr>
        <w:tc>
          <w:tcPr>
            <w:tcW w:w="8659" w:type="dxa"/>
            <w:gridSpan w:val="11"/>
            <w:tcBorders>
              <w:top w:val="nil"/>
              <w:left w:val="single" w:sz="6" w:space="0" w:color="000000"/>
              <w:bottom w:val="single" w:sz="6" w:space="0" w:color="000000"/>
              <w:right w:val="single" w:sz="6" w:space="0" w:color="000000"/>
            </w:tcBorders>
            <w:noWrap/>
            <w:vAlign w:val="bottom"/>
          </w:tcPr>
          <w:p w:rsidR="00000000" w:rsidRDefault="0072491A">
            <w:pPr>
              <w:jc w:val="both"/>
              <w:rPr>
                <w:rFonts w:ascii="Arial" w:hAnsi="Arial" w:cs="Arial"/>
              </w:rPr>
            </w:pPr>
            <w:r>
              <w:rPr>
                <w:rFonts w:ascii="Arial" w:hAnsi="Arial" w:cs="Arial"/>
                <w:b/>
                <w:bCs/>
              </w:rPr>
              <w:t>FUENTE</w:t>
            </w:r>
            <w:r>
              <w:rPr>
                <w:rFonts w:ascii="Arial" w:hAnsi="Arial" w:cs="Arial"/>
              </w:rPr>
              <w:t>: Sistema nacional de estadísticas educativas, boletin</w:t>
            </w:r>
            <w:r>
              <w:rPr>
                <w:rFonts w:ascii="Arial" w:hAnsi="Arial" w:cs="Arial"/>
              </w:rPr>
              <w:t xml:space="preserve">es estadísticos: </w:t>
            </w:r>
          </w:p>
          <w:p w:rsidR="00000000" w:rsidRDefault="0072491A">
            <w:pPr>
              <w:rPr>
                <w:rFonts w:ascii="Arial" w:eastAsia="Arial Unicode MS" w:hAnsi="Arial" w:cs="Arial"/>
              </w:rPr>
            </w:pPr>
            <w:r>
              <w:rPr>
                <w:rFonts w:ascii="Arial" w:hAnsi="Arial" w:cs="Arial"/>
              </w:rPr>
              <w:t>La educación en cifras, 1993, 1994, 1995, 1997, 1998 y 1999</w:t>
            </w:r>
          </w:p>
        </w:tc>
      </w:tr>
    </w:tbl>
    <w:p w:rsidR="00000000" w:rsidRDefault="0072491A">
      <w:pPr>
        <w:spacing w:line="480" w:lineRule="auto"/>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sz w:val="24"/>
        </w:rPr>
        <w:t>En promedio los porcentajes de los directivos, profesores, personal administrativo y personal de servicio son respectivamente 11.82%, 75.58%, 5.76% y 6.84%  con respecto al tot</w:t>
      </w:r>
      <w:r>
        <w:rPr>
          <w:rFonts w:ascii="Arial" w:hAnsi="Arial" w:cs="Arial"/>
          <w:sz w:val="24"/>
        </w:rPr>
        <w:t>al del personal que labora en educación en la provincia de Bolívar, de acuerdo a los datos que se muestran en la tabla III de los años 1993 a 1999.</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sz w:val="24"/>
        </w:rPr>
      </w:pPr>
      <w:r>
        <w:rPr>
          <w:rFonts w:ascii="Arial" w:hAnsi="Arial" w:cs="Arial"/>
          <w:color w:val="000000"/>
          <w:sz w:val="24"/>
        </w:rPr>
        <w:t xml:space="preserve">De los datos presentados anteriormente en la tabla III, destacamos a los profesores, </w:t>
      </w:r>
      <w:r>
        <w:rPr>
          <w:rFonts w:ascii="Arial" w:hAnsi="Arial" w:cs="Arial"/>
          <w:sz w:val="24"/>
        </w:rPr>
        <w:t>de acuerdo a los datos</w:t>
      </w:r>
      <w:r>
        <w:rPr>
          <w:rFonts w:ascii="Arial" w:hAnsi="Arial" w:cs="Arial"/>
          <w:sz w:val="24"/>
        </w:rPr>
        <w:t xml:space="preserve"> que se muestran en la tabla IV de los años 1993 a 1999, observamos que en promedio los porcentajes de profesores con títulos docentes, no docentes, menor a bachiller, y sin titulo son respectivamente 81.72%, 15.41%, 1.04% y 1.84%.</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p>
    <w:tbl>
      <w:tblPr>
        <w:tblW w:w="8595" w:type="dxa"/>
        <w:jc w:val="center"/>
        <w:tblCellMar>
          <w:left w:w="0" w:type="dxa"/>
          <w:right w:w="0" w:type="dxa"/>
        </w:tblCellMar>
        <w:tblLook w:val="0000"/>
      </w:tblPr>
      <w:tblGrid>
        <w:gridCol w:w="600"/>
        <w:gridCol w:w="490"/>
        <w:gridCol w:w="965"/>
        <w:gridCol w:w="762"/>
        <w:gridCol w:w="964"/>
        <w:gridCol w:w="762"/>
        <w:gridCol w:w="964"/>
        <w:gridCol w:w="762"/>
        <w:gridCol w:w="964"/>
        <w:gridCol w:w="762"/>
        <w:gridCol w:w="632"/>
      </w:tblGrid>
      <w:tr w:rsidR="00000000">
        <w:trPr>
          <w:trHeight w:val="255"/>
          <w:jc w:val="center"/>
        </w:trPr>
        <w:tc>
          <w:tcPr>
            <w:tcW w:w="600" w:type="dxa"/>
            <w:tcBorders>
              <w:top w:val="single" w:sz="6" w:space="0" w:color="000000"/>
              <w:left w:val="single" w:sz="6" w:space="0" w:color="000000"/>
              <w:bottom w:val="nil"/>
              <w:right w:val="nil"/>
            </w:tcBorders>
            <w:noWrap/>
            <w:vAlign w:val="bottom"/>
          </w:tcPr>
          <w:p w:rsidR="00000000" w:rsidRDefault="0072491A">
            <w:pPr>
              <w:rPr>
                <w:rFonts w:ascii="Arial" w:eastAsia="Arial Unicode MS" w:hAnsi="Arial" w:cs="Arial"/>
              </w:rPr>
            </w:pPr>
          </w:p>
        </w:tc>
        <w:tc>
          <w:tcPr>
            <w:tcW w:w="7379" w:type="dxa"/>
            <w:gridSpan w:val="9"/>
            <w:tcBorders>
              <w:top w:val="single" w:sz="6" w:space="0" w:color="000000"/>
              <w:left w:val="nil"/>
              <w:bottom w:val="single" w:sz="4" w:space="0" w:color="auto"/>
              <w:right w:val="nil"/>
            </w:tcBorders>
            <w:noWrap/>
            <w:vAlign w:val="bottom"/>
          </w:tcPr>
          <w:p w:rsidR="00000000" w:rsidRDefault="0072491A">
            <w:pPr>
              <w:jc w:val="center"/>
              <w:rPr>
                <w:rFonts w:ascii="Arial" w:hAnsi="Arial" w:cs="Arial"/>
                <w:b/>
                <w:bCs/>
                <w:color w:val="000000"/>
                <w:sz w:val="24"/>
              </w:rPr>
            </w:pPr>
          </w:p>
          <w:p w:rsidR="00000000" w:rsidRDefault="0072491A">
            <w:pPr>
              <w:jc w:val="center"/>
              <w:rPr>
                <w:rFonts w:ascii="Arial" w:hAnsi="Arial" w:cs="Arial"/>
                <w:b/>
                <w:bCs/>
                <w:color w:val="000000"/>
                <w:sz w:val="24"/>
              </w:rPr>
            </w:pPr>
            <w:r>
              <w:rPr>
                <w:rFonts w:ascii="Arial" w:hAnsi="Arial" w:cs="Arial"/>
                <w:b/>
                <w:bCs/>
                <w:color w:val="000000"/>
                <w:sz w:val="24"/>
              </w:rPr>
              <w:t>TABLA IV</w:t>
            </w:r>
          </w:p>
          <w:p w:rsidR="00000000" w:rsidRDefault="0072491A">
            <w:pPr>
              <w:jc w:val="center"/>
              <w:rPr>
                <w:rFonts w:ascii="Arial" w:hAnsi="Arial" w:cs="Arial"/>
                <w:b/>
                <w:bCs/>
                <w:color w:val="000000"/>
                <w:sz w:val="24"/>
              </w:rPr>
            </w:pPr>
          </w:p>
          <w:p w:rsidR="00000000" w:rsidRDefault="0072491A">
            <w:pPr>
              <w:pStyle w:val="Ttulo1"/>
              <w:rPr>
                <w:rFonts w:eastAsia="Arial Unicode MS"/>
              </w:rPr>
            </w:pPr>
            <w:bookmarkStart w:id="34" w:name="_Toc9091603"/>
            <w:r>
              <w:t xml:space="preserve">PROVINCIA </w:t>
            </w:r>
            <w:r>
              <w:t>DE BOLÍVAR: TOTAL DE DOCENTES POR TÍTULO Y SEXO</w:t>
            </w:r>
            <w:bookmarkEnd w:id="34"/>
          </w:p>
        </w:tc>
        <w:tc>
          <w:tcPr>
            <w:tcW w:w="616" w:type="dxa"/>
            <w:tcBorders>
              <w:top w:val="single" w:sz="6" w:space="0" w:color="000000"/>
              <w:left w:val="nil"/>
              <w:bottom w:val="nil"/>
              <w:right w:val="single" w:sz="6" w:space="0" w:color="000000"/>
            </w:tcBorders>
            <w:noWrap/>
            <w:vAlign w:val="bottom"/>
          </w:tcPr>
          <w:p w:rsidR="00000000" w:rsidRDefault="0072491A">
            <w:pPr>
              <w:jc w:val="center"/>
              <w:rPr>
                <w:rFonts w:ascii="Arial" w:eastAsia="Arial Unicode MS" w:hAnsi="Arial" w:cs="Arial"/>
                <w:b/>
                <w:bCs/>
              </w:rPr>
            </w:pPr>
          </w:p>
        </w:tc>
      </w:tr>
      <w:tr w:rsidR="00000000">
        <w:trPr>
          <w:cantSplit/>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vMerge w:val="restart"/>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AÑO</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DOCENTE</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NO DOCENTE</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MENOR BACHILLER</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SIN TITULO</w:t>
            </w:r>
          </w:p>
        </w:tc>
        <w:tc>
          <w:tcPr>
            <w:tcW w:w="0" w:type="auto"/>
            <w:tcBorders>
              <w:top w:val="nil"/>
              <w:left w:val="nil"/>
              <w:bottom w:val="nil"/>
              <w:right w:val="single" w:sz="6" w:space="0" w:color="000000"/>
            </w:tcBorders>
            <w:noWrap/>
            <w:vAlign w:val="bottom"/>
          </w:tcPr>
          <w:p w:rsidR="00000000" w:rsidRDefault="0072491A">
            <w:pPr>
              <w:jc w:val="center"/>
              <w:rPr>
                <w:rFonts w:ascii="Arial" w:eastAsia="Arial Unicode MS" w:hAnsi="Arial" w:cs="Arial"/>
                <w:b/>
                <w:bCs/>
                <w:sz w:val="16"/>
                <w:szCs w:val="16"/>
              </w:rPr>
            </w:pPr>
          </w:p>
        </w:tc>
      </w:tr>
      <w:tr w:rsidR="00000000">
        <w:trPr>
          <w:cantSplit/>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vMerge/>
            <w:tcBorders>
              <w:top w:val="nil"/>
              <w:left w:val="single" w:sz="4" w:space="0" w:color="auto"/>
              <w:bottom w:val="single" w:sz="4" w:space="0" w:color="auto"/>
              <w:right w:val="single" w:sz="4" w:space="0" w:color="auto"/>
            </w:tcBorders>
            <w:vAlign w:val="center"/>
          </w:tcPr>
          <w:p w:rsidR="00000000" w:rsidRDefault="0072491A">
            <w:pPr>
              <w:rPr>
                <w:rFonts w:ascii="Arial" w:eastAsia="Arial Unicode MS" w:hAnsi="Arial" w:cs="Arial"/>
                <w:b/>
                <w:bCs/>
                <w:sz w:val="16"/>
                <w:szCs w:val="16"/>
              </w:rPr>
            </w:pP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b/>
                <w:bCs/>
                <w:sz w:val="16"/>
                <w:szCs w:val="16"/>
              </w:rPr>
            </w:pPr>
          </w:p>
        </w:tc>
      </w:tr>
      <w:tr w:rsidR="00000000">
        <w:trPr>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904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1266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460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346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81</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996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1399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265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244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78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73</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1125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1455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263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138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1133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1476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259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159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1202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1556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255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159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1260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1620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211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151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cantSplit/>
          <w:trHeight w:val="255"/>
          <w:jc w:val="center"/>
        </w:trPr>
        <w:tc>
          <w:tcPr>
            <w:tcW w:w="0" w:type="auto"/>
            <w:gridSpan w:val="11"/>
            <w:tcBorders>
              <w:top w:val="nil"/>
              <w:left w:val="single" w:sz="6" w:space="0" w:color="000000"/>
              <w:bottom w:val="single" w:sz="6" w:space="0" w:color="000000"/>
              <w:right w:val="single" w:sz="6" w:space="0" w:color="000000"/>
            </w:tcBorders>
            <w:noWrap/>
            <w:vAlign w:val="bottom"/>
          </w:tcPr>
          <w:p w:rsidR="00000000" w:rsidRDefault="0072491A">
            <w:pPr>
              <w:jc w:val="both"/>
              <w:rPr>
                <w:rFonts w:ascii="Arial" w:hAnsi="Arial" w:cs="Arial"/>
              </w:rPr>
            </w:pPr>
            <w:r>
              <w:rPr>
                <w:rFonts w:ascii="Arial" w:hAnsi="Arial" w:cs="Arial"/>
                <w:b/>
                <w:bCs/>
              </w:rPr>
              <w:t>FUENTE</w:t>
            </w:r>
            <w:r>
              <w:rPr>
                <w:rFonts w:ascii="Arial" w:hAnsi="Arial" w:cs="Arial"/>
              </w:rPr>
              <w:t xml:space="preserve">: Sistema nacional de estadísticas educativas, boletines estadísticos: </w:t>
            </w:r>
          </w:p>
          <w:p w:rsidR="00000000" w:rsidRDefault="0072491A">
            <w:pPr>
              <w:rPr>
                <w:rFonts w:ascii="Arial" w:eastAsia="Arial Unicode MS" w:hAnsi="Arial" w:cs="Arial"/>
                <w:sz w:val="16"/>
                <w:szCs w:val="16"/>
              </w:rPr>
            </w:pPr>
            <w:r>
              <w:rPr>
                <w:rFonts w:ascii="Arial" w:hAnsi="Arial" w:cs="Arial"/>
              </w:rPr>
              <w:t>La educación en cifras, 1993, 1994, 1995, 1997, 1998 y 1999</w:t>
            </w:r>
          </w:p>
        </w:tc>
      </w:tr>
    </w:tbl>
    <w:p w:rsidR="00000000" w:rsidRDefault="0072491A">
      <w:pPr>
        <w:spacing w:line="480" w:lineRule="auto"/>
        <w:jc w:val="both"/>
        <w:rPr>
          <w:rFonts w:ascii="Arial" w:hAnsi="Arial" w:cs="Arial"/>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D</w:t>
      </w:r>
      <w:r>
        <w:rPr>
          <w:rFonts w:ascii="Arial" w:hAnsi="Arial" w:cs="Arial"/>
          <w:color w:val="000000"/>
          <w:sz w:val="24"/>
        </w:rPr>
        <w:t>e los profesores se puede apreciar en la tabla IV, que en promedio desde el año 1993 hasta 1999 la variación porcentual del número de profesores con titulo docente de año tras año presenta un crecimiento 5.87%; mientras la variación porcentual del número d</w:t>
      </w:r>
      <w:r>
        <w:rPr>
          <w:rFonts w:ascii="Arial" w:hAnsi="Arial" w:cs="Arial"/>
          <w:color w:val="000000"/>
          <w:sz w:val="24"/>
        </w:rPr>
        <w:t xml:space="preserve">e profesores con titulo no docente, de profesores con titulo menor a bachiller y de profesores sin titulo presentan un decrecimiento del 13.47%, 26.8% y 18.52% respectivamente. </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 xml:space="preserve">Al ser el recurso humano de la educación fiscal en a provincia de Bolívar la </w:t>
      </w:r>
      <w:r>
        <w:rPr>
          <w:rFonts w:ascii="Arial" w:hAnsi="Arial" w:cs="Arial"/>
          <w:color w:val="000000"/>
          <w:sz w:val="24"/>
        </w:rPr>
        <w:t>principal unidad de investigación del presente trabajo, se presenta un desglose de los datos presentado en las tablas III y IV, clasificando al mismo por el nivel de instrucción en que laboran.</w:t>
      </w:r>
    </w:p>
    <w:p w:rsidR="00000000" w:rsidRDefault="0072491A">
      <w:pPr>
        <w:jc w:val="center"/>
        <w:rPr>
          <w:rFonts w:ascii="Arial" w:hAnsi="Arial" w:cs="Arial"/>
          <w:b/>
          <w:bCs/>
          <w:color w:val="000000"/>
          <w:sz w:val="24"/>
        </w:rPr>
      </w:pPr>
    </w:p>
    <w:p w:rsidR="00000000" w:rsidRDefault="0072491A">
      <w:pPr>
        <w:jc w:val="center"/>
        <w:rPr>
          <w:rFonts w:ascii="Arial" w:hAnsi="Arial" w:cs="Arial"/>
          <w:b/>
          <w:bCs/>
          <w:color w:val="000000"/>
          <w:sz w:val="24"/>
        </w:rPr>
      </w:pPr>
    </w:p>
    <w:p w:rsidR="00000000" w:rsidRDefault="0072491A">
      <w:pPr>
        <w:jc w:val="center"/>
        <w:rPr>
          <w:rFonts w:ascii="Arial" w:hAnsi="Arial" w:cs="Arial"/>
          <w:b/>
          <w:bCs/>
          <w:color w:val="000000"/>
          <w:sz w:val="24"/>
        </w:rPr>
      </w:pPr>
    </w:p>
    <w:tbl>
      <w:tblPr>
        <w:tblW w:w="10106" w:type="dxa"/>
        <w:jc w:val="center"/>
        <w:tblInd w:w="-16" w:type="dxa"/>
        <w:tblCellMar>
          <w:left w:w="0" w:type="dxa"/>
          <w:right w:w="0" w:type="dxa"/>
        </w:tblCellMar>
        <w:tblLook w:val="0000"/>
      </w:tblPr>
      <w:tblGrid>
        <w:gridCol w:w="364"/>
        <w:gridCol w:w="701"/>
        <w:gridCol w:w="888"/>
        <w:gridCol w:w="841"/>
        <w:gridCol w:w="888"/>
        <w:gridCol w:w="841"/>
        <w:gridCol w:w="888"/>
        <w:gridCol w:w="841"/>
        <w:gridCol w:w="888"/>
        <w:gridCol w:w="841"/>
        <w:gridCol w:w="888"/>
        <w:gridCol w:w="841"/>
        <w:gridCol w:w="445"/>
      </w:tblGrid>
      <w:tr w:rsidR="00000000">
        <w:trPr>
          <w:trHeight w:val="255"/>
          <w:jc w:val="center"/>
        </w:trPr>
        <w:tc>
          <w:tcPr>
            <w:tcW w:w="348" w:type="dxa"/>
            <w:tcBorders>
              <w:top w:val="single" w:sz="6" w:space="0" w:color="000000"/>
              <w:left w:val="single" w:sz="6" w:space="0" w:color="000000"/>
              <w:bottom w:val="nil"/>
              <w:right w:val="nil"/>
            </w:tcBorders>
            <w:noWrap/>
            <w:vAlign w:val="bottom"/>
          </w:tcPr>
          <w:p w:rsidR="00000000" w:rsidRDefault="0072491A">
            <w:pPr>
              <w:rPr>
                <w:rFonts w:ascii="Arial" w:eastAsia="Arial Unicode MS" w:hAnsi="Arial" w:cs="Arial"/>
              </w:rPr>
            </w:pPr>
          </w:p>
        </w:tc>
        <w:tc>
          <w:tcPr>
            <w:tcW w:w="9329" w:type="dxa"/>
            <w:gridSpan w:val="11"/>
            <w:tcBorders>
              <w:top w:val="single" w:sz="6" w:space="0" w:color="000000"/>
              <w:left w:val="nil"/>
              <w:bottom w:val="single" w:sz="4" w:space="0" w:color="auto"/>
              <w:right w:val="nil"/>
            </w:tcBorders>
            <w:noWrap/>
            <w:vAlign w:val="bottom"/>
          </w:tcPr>
          <w:p w:rsidR="00000000" w:rsidRDefault="0072491A">
            <w:pPr>
              <w:jc w:val="center"/>
              <w:rPr>
                <w:rFonts w:ascii="Arial" w:hAnsi="Arial" w:cs="Arial"/>
                <w:b/>
                <w:bCs/>
                <w:color w:val="000000"/>
                <w:sz w:val="24"/>
              </w:rPr>
            </w:pPr>
          </w:p>
          <w:p w:rsidR="00000000" w:rsidRDefault="0072491A">
            <w:pPr>
              <w:jc w:val="center"/>
              <w:rPr>
                <w:rFonts w:ascii="Arial" w:hAnsi="Arial" w:cs="Arial"/>
                <w:b/>
                <w:bCs/>
                <w:color w:val="000000"/>
                <w:sz w:val="24"/>
              </w:rPr>
            </w:pPr>
            <w:r>
              <w:rPr>
                <w:rFonts w:ascii="Arial" w:hAnsi="Arial" w:cs="Arial"/>
                <w:b/>
                <w:bCs/>
                <w:color w:val="000000"/>
                <w:sz w:val="24"/>
              </w:rPr>
              <w:t>TABLA V</w:t>
            </w:r>
          </w:p>
          <w:p w:rsidR="00000000" w:rsidRDefault="0072491A">
            <w:pPr>
              <w:jc w:val="center"/>
              <w:rPr>
                <w:rFonts w:ascii="Arial" w:hAnsi="Arial" w:cs="Arial"/>
                <w:b/>
                <w:bCs/>
                <w:color w:val="000000"/>
                <w:sz w:val="24"/>
              </w:rPr>
            </w:pPr>
          </w:p>
          <w:p w:rsidR="00000000" w:rsidRDefault="0072491A">
            <w:pPr>
              <w:pStyle w:val="Ttulo1"/>
              <w:rPr>
                <w:rFonts w:eastAsia="Arial Unicode MS"/>
              </w:rPr>
            </w:pPr>
            <w:bookmarkStart w:id="35" w:name="_Toc9091604"/>
            <w:r>
              <w:t>PROVINCIA DE BOLÍVAR: PERSONAL POR FUNCIONES Y S</w:t>
            </w:r>
            <w:r>
              <w:t>EXO EN PRE PRIMARIA</w:t>
            </w:r>
            <w:bookmarkEnd w:id="35"/>
          </w:p>
        </w:tc>
        <w:tc>
          <w:tcPr>
            <w:tcW w:w="429" w:type="dxa"/>
            <w:tcBorders>
              <w:top w:val="single" w:sz="6" w:space="0" w:color="000000"/>
              <w:left w:val="nil"/>
              <w:bottom w:val="nil"/>
              <w:right w:val="single" w:sz="6" w:space="0" w:color="000000"/>
            </w:tcBorders>
            <w:noWrap/>
            <w:vAlign w:val="bottom"/>
          </w:tcPr>
          <w:p w:rsidR="00000000" w:rsidRDefault="0072491A">
            <w:pPr>
              <w:jc w:val="center"/>
              <w:rPr>
                <w:rFonts w:ascii="Arial" w:eastAsia="Arial Unicode MS" w:hAnsi="Arial" w:cs="Arial"/>
                <w:b/>
                <w:bCs/>
              </w:rPr>
            </w:pPr>
          </w:p>
        </w:tc>
      </w:tr>
      <w:tr w:rsidR="00000000">
        <w:trPr>
          <w:cantSplit/>
          <w:trHeight w:val="255"/>
          <w:jc w:val="center"/>
        </w:trPr>
        <w:tc>
          <w:tcPr>
            <w:tcW w:w="348" w:type="dxa"/>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654" w:type="dxa"/>
            <w:vMerge w:val="restart"/>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AÑO</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DIRECTIVOS</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PROFESORES</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PROF ESPECIALES</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ADMINISTRATIVOS</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DE SERVICIO</w:t>
            </w:r>
          </w:p>
        </w:tc>
        <w:tc>
          <w:tcPr>
            <w:tcW w:w="429" w:type="dxa"/>
            <w:tcBorders>
              <w:top w:val="nil"/>
              <w:left w:val="nil"/>
              <w:bottom w:val="nil"/>
              <w:right w:val="single" w:sz="6" w:space="0" w:color="000000"/>
            </w:tcBorders>
            <w:noWrap/>
            <w:vAlign w:val="bottom"/>
          </w:tcPr>
          <w:p w:rsidR="00000000" w:rsidRDefault="0072491A">
            <w:pPr>
              <w:jc w:val="center"/>
              <w:rPr>
                <w:rFonts w:ascii="Arial" w:eastAsia="Arial Unicode MS" w:hAnsi="Arial" w:cs="Arial"/>
                <w:b/>
                <w:bCs/>
                <w:sz w:val="16"/>
                <w:szCs w:val="16"/>
              </w:rPr>
            </w:pPr>
          </w:p>
        </w:tc>
      </w:tr>
      <w:tr w:rsidR="00000000">
        <w:trPr>
          <w:cantSplit/>
          <w:trHeight w:val="255"/>
          <w:jc w:val="center"/>
        </w:trPr>
        <w:tc>
          <w:tcPr>
            <w:tcW w:w="348" w:type="dxa"/>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654" w:type="dxa"/>
            <w:vMerge/>
            <w:tcBorders>
              <w:top w:val="nil"/>
              <w:left w:val="single" w:sz="4" w:space="0" w:color="auto"/>
              <w:bottom w:val="single" w:sz="4" w:space="0" w:color="auto"/>
              <w:right w:val="single" w:sz="4" w:space="0" w:color="auto"/>
            </w:tcBorders>
            <w:vAlign w:val="center"/>
          </w:tcPr>
          <w:p w:rsidR="00000000" w:rsidRDefault="0072491A">
            <w:pPr>
              <w:rPr>
                <w:rFonts w:ascii="Arial" w:eastAsia="Arial Unicode MS" w:hAnsi="Arial" w:cs="Arial"/>
                <w:b/>
                <w:bCs/>
                <w:sz w:val="16"/>
                <w:szCs w:val="16"/>
              </w:rPr>
            </w:pP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MUJERES</w:t>
            </w:r>
          </w:p>
        </w:tc>
        <w:tc>
          <w:tcPr>
            <w:tcW w:w="429" w:type="dxa"/>
            <w:tcBorders>
              <w:top w:val="nil"/>
              <w:left w:val="nil"/>
              <w:bottom w:val="nil"/>
              <w:right w:val="single" w:sz="6" w:space="0" w:color="000000"/>
            </w:tcBorders>
            <w:noWrap/>
            <w:vAlign w:val="bottom"/>
          </w:tcPr>
          <w:p w:rsidR="00000000" w:rsidRDefault="0072491A">
            <w:pPr>
              <w:rPr>
                <w:rFonts w:ascii="Arial" w:eastAsia="Arial Unicode MS" w:hAnsi="Arial" w:cs="Arial"/>
                <w:b/>
                <w:bCs/>
                <w:sz w:val="16"/>
                <w:szCs w:val="16"/>
              </w:rPr>
            </w:pPr>
          </w:p>
        </w:tc>
      </w:tr>
      <w:tr w:rsidR="00000000">
        <w:trPr>
          <w:trHeight w:val="255"/>
          <w:jc w:val="center"/>
        </w:trPr>
        <w:tc>
          <w:tcPr>
            <w:tcW w:w="348" w:type="dxa"/>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654" w:type="dxa"/>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15</w:t>
            </w:r>
          </w:p>
        </w:tc>
        <w:tc>
          <w:tcPr>
            <w:tcW w:w="429" w:type="dxa"/>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348" w:type="dxa"/>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654" w:type="dxa"/>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19</w:t>
            </w:r>
          </w:p>
        </w:tc>
        <w:tc>
          <w:tcPr>
            <w:tcW w:w="429" w:type="dxa"/>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348" w:type="dxa"/>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654" w:type="dxa"/>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19</w:t>
            </w:r>
          </w:p>
        </w:tc>
        <w:tc>
          <w:tcPr>
            <w:tcW w:w="429" w:type="dxa"/>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348" w:type="dxa"/>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654" w:type="dxa"/>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17</w:t>
            </w:r>
          </w:p>
        </w:tc>
        <w:tc>
          <w:tcPr>
            <w:tcW w:w="429" w:type="dxa"/>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348" w:type="dxa"/>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654" w:type="dxa"/>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16</w:t>
            </w:r>
          </w:p>
        </w:tc>
        <w:tc>
          <w:tcPr>
            <w:tcW w:w="429" w:type="dxa"/>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348" w:type="dxa"/>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654" w:type="dxa"/>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77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16</w:t>
            </w:r>
          </w:p>
        </w:tc>
        <w:tc>
          <w:tcPr>
            <w:tcW w:w="429" w:type="dxa"/>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348" w:type="dxa"/>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654" w:type="dxa"/>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2000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66</w:t>
            </w:r>
          </w:p>
        </w:tc>
        <w:tc>
          <w:tcPr>
            <w:tcW w:w="0" w:type="auto"/>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rPr>
            </w:pPr>
            <w:r>
              <w:rPr>
                <w:rFonts w:ascii="Arial" w:hAnsi="Arial" w:cs="Arial"/>
              </w:rPr>
              <w:t>*</w:t>
            </w:r>
          </w:p>
        </w:tc>
        <w:tc>
          <w:tcPr>
            <w:tcW w:w="0" w:type="auto"/>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rPr>
            </w:pPr>
            <w:r>
              <w:rPr>
                <w:rFonts w:ascii="Arial" w:hAnsi="Arial" w:cs="Arial"/>
              </w:rPr>
              <w:t>*</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15</w:t>
            </w:r>
          </w:p>
        </w:tc>
        <w:tc>
          <w:tcPr>
            <w:tcW w:w="429" w:type="dxa"/>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cantSplit/>
          <w:trHeight w:val="255"/>
          <w:jc w:val="center"/>
        </w:trPr>
        <w:tc>
          <w:tcPr>
            <w:tcW w:w="10106" w:type="dxa"/>
            <w:gridSpan w:val="13"/>
            <w:tcBorders>
              <w:top w:val="nil"/>
              <w:left w:val="single" w:sz="6" w:space="0" w:color="000000"/>
              <w:bottom w:val="single" w:sz="6" w:space="0" w:color="000000"/>
              <w:right w:val="single" w:sz="6" w:space="0" w:color="000000"/>
            </w:tcBorders>
            <w:noWrap/>
            <w:vAlign w:val="bottom"/>
          </w:tcPr>
          <w:p w:rsidR="00000000" w:rsidRDefault="0072491A">
            <w:pPr>
              <w:numPr>
                <w:ilvl w:val="0"/>
                <w:numId w:val="16"/>
              </w:numPr>
              <w:rPr>
                <w:rFonts w:ascii="Arial" w:hAnsi="Arial" w:cs="Arial"/>
              </w:rPr>
            </w:pPr>
            <w:r>
              <w:rPr>
                <w:rFonts w:ascii="Arial" w:hAnsi="Arial" w:cs="Arial"/>
              </w:rPr>
              <w:t>Los profesores de educación especial se encuentran incluidos en profesores</w:t>
            </w:r>
          </w:p>
          <w:p w:rsidR="00000000" w:rsidRDefault="0072491A">
            <w:pPr>
              <w:jc w:val="both"/>
              <w:rPr>
                <w:rFonts w:ascii="Arial" w:hAnsi="Arial" w:cs="Arial"/>
              </w:rPr>
            </w:pPr>
            <w:r>
              <w:rPr>
                <w:rFonts w:ascii="Arial" w:hAnsi="Arial" w:cs="Arial"/>
                <w:b/>
                <w:bCs/>
              </w:rPr>
              <w:t>FUENTE</w:t>
            </w:r>
            <w:r>
              <w:rPr>
                <w:rFonts w:ascii="Arial" w:hAnsi="Arial" w:cs="Arial"/>
              </w:rPr>
              <w:t>: Sistema nacional de estadística</w:t>
            </w:r>
            <w:r>
              <w:rPr>
                <w:rFonts w:ascii="Arial" w:hAnsi="Arial" w:cs="Arial"/>
              </w:rPr>
              <w:t xml:space="preserve">s educativas, boletines estadísticos: </w:t>
            </w:r>
          </w:p>
          <w:p w:rsidR="00000000" w:rsidRDefault="0072491A">
            <w:pPr>
              <w:rPr>
                <w:rFonts w:ascii="Arial" w:eastAsia="Arial Unicode MS" w:hAnsi="Arial" w:cs="Arial"/>
              </w:rPr>
            </w:pPr>
            <w:r>
              <w:rPr>
                <w:rFonts w:ascii="Arial" w:hAnsi="Arial" w:cs="Arial"/>
              </w:rPr>
              <w:t>La educación en cifras, 1993, 1994, 1995, 1997, 1998 y 1999</w:t>
            </w:r>
          </w:p>
        </w:tc>
      </w:tr>
    </w:tbl>
    <w:p w:rsidR="00000000" w:rsidRDefault="0072491A">
      <w:pPr>
        <w:spacing w:line="480" w:lineRule="auto"/>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El personal por función en pre primaria se puede apreciar en la tabla V, en promedio desde el año 1993 hasta 1999 la variación porcentual del número de dir</w:t>
      </w:r>
      <w:r>
        <w:rPr>
          <w:rFonts w:ascii="Arial" w:hAnsi="Arial" w:cs="Arial"/>
          <w:color w:val="000000"/>
          <w:sz w:val="24"/>
        </w:rPr>
        <w:t>ectivos de año tras año es del 9.45%, la de profesores el 8.96%, la de profesores de educación especial es del 9.65% y la del personal de servicio de 2.05%; mientras el personal administrativo decrece en 13%.</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sz w:val="24"/>
        </w:rPr>
      </w:pPr>
      <w:r>
        <w:rPr>
          <w:rFonts w:ascii="Arial" w:hAnsi="Arial" w:cs="Arial"/>
          <w:sz w:val="24"/>
        </w:rPr>
        <w:t>En promedio los porcentajes de los directivos,</w:t>
      </w:r>
      <w:r>
        <w:rPr>
          <w:rFonts w:ascii="Arial" w:hAnsi="Arial" w:cs="Arial"/>
          <w:sz w:val="24"/>
        </w:rPr>
        <w:t xml:space="preserve"> profesores, profesores de educación especial, personal administrativo y personal de servicio son respectivamente 17.61%, 54.92%, 9.7%, 3.56% y 14.85%  con respecto al total del personal que labora en educación pre primaria en la provincia de Bolívar, de a</w:t>
      </w:r>
      <w:r>
        <w:rPr>
          <w:rFonts w:ascii="Arial" w:hAnsi="Arial" w:cs="Arial"/>
          <w:sz w:val="24"/>
        </w:rPr>
        <w:t>cuerdo a los datos que se muestran en la tabla V de los años 1993 a 1999.</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sz w:val="24"/>
        </w:rPr>
      </w:pPr>
      <w:r>
        <w:rPr>
          <w:rFonts w:ascii="Arial" w:hAnsi="Arial" w:cs="Arial"/>
          <w:color w:val="000000"/>
          <w:sz w:val="24"/>
        </w:rPr>
        <w:t xml:space="preserve">De los datos presentados anteriormente en la tabla V, destacamos a los profesores, </w:t>
      </w:r>
      <w:r>
        <w:rPr>
          <w:rFonts w:ascii="Arial" w:hAnsi="Arial" w:cs="Arial"/>
          <w:sz w:val="24"/>
        </w:rPr>
        <w:t>de acuerdo a los datos que se muestran en la tabla VI de los años 1993 a 1999, observamos que en p</w:t>
      </w:r>
      <w:r>
        <w:rPr>
          <w:rFonts w:ascii="Arial" w:hAnsi="Arial" w:cs="Arial"/>
          <w:sz w:val="24"/>
        </w:rPr>
        <w:t>romedio los porcentajes de profesores con títulos docentes, no docentes, menor a bachiller, y sin titulo son respectivamente 86.18%, 8.13%, 0.82% y 4.87%. Se puede apreciar que a  partir de 1996 solo constan profesores con títulos, ya sean estos docentes o</w:t>
      </w:r>
      <w:r>
        <w:rPr>
          <w:rFonts w:ascii="Arial" w:hAnsi="Arial" w:cs="Arial"/>
          <w:sz w:val="24"/>
        </w:rPr>
        <w:t xml:space="preserve"> no docentes.</w:t>
      </w:r>
    </w:p>
    <w:p w:rsidR="00000000" w:rsidRDefault="0072491A">
      <w:pPr>
        <w:spacing w:line="480" w:lineRule="auto"/>
        <w:ind w:left="426"/>
        <w:jc w:val="both"/>
        <w:rPr>
          <w:rFonts w:ascii="Arial" w:hAnsi="Arial" w:cs="Arial"/>
          <w:sz w:val="24"/>
        </w:rPr>
      </w:pPr>
    </w:p>
    <w:tbl>
      <w:tblPr>
        <w:tblW w:w="8627" w:type="dxa"/>
        <w:tblInd w:w="-8" w:type="dxa"/>
        <w:tblCellMar>
          <w:left w:w="0" w:type="dxa"/>
          <w:right w:w="0" w:type="dxa"/>
        </w:tblCellMar>
        <w:tblLook w:val="0000"/>
      </w:tblPr>
      <w:tblGrid>
        <w:gridCol w:w="600"/>
        <w:gridCol w:w="491"/>
        <w:gridCol w:w="966"/>
        <w:gridCol w:w="764"/>
        <w:gridCol w:w="966"/>
        <w:gridCol w:w="764"/>
        <w:gridCol w:w="966"/>
        <w:gridCol w:w="764"/>
        <w:gridCol w:w="966"/>
        <w:gridCol w:w="764"/>
        <w:gridCol w:w="648"/>
      </w:tblGrid>
      <w:tr w:rsidR="00000000">
        <w:trPr>
          <w:trHeight w:val="255"/>
        </w:trPr>
        <w:tc>
          <w:tcPr>
            <w:tcW w:w="600" w:type="dxa"/>
            <w:tcBorders>
              <w:top w:val="single" w:sz="6" w:space="0" w:color="000000"/>
              <w:left w:val="single" w:sz="6" w:space="0" w:color="000000"/>
              <w:bottom w:val="nil"/>
              <w:right w:val="nil"/>
            </w:tcBorders>
            <w:noWrap/>
            <w:vAlign w:val="bottom"/>
          </w:tcPr>
          <w:p w:rsidR="00000000" w:rsidRDefault="0072491A">
            <w:pPr>
              <w:rPr>
                <w:rFonts w:ascii="Arial" w:eastAsia="Arial Unicode MS" w:hAnsi="Arial" w:cs="Arial"/>
              </w:rPr>
            </w:pPr>
          </w:p>
        </w:tc>
        <w:tc>
          <w:tcPr>
            <w:tcW w:w="7395" w:type="dxa"/>
            <w:gridSpan w:val="9"/>
            <w:tcBorders>
              <w:top w:val="single" w:sz="6" w:space="0" w:color="000000"/>
              <w:left w:val="nil"/>
              <w:bottom w:val="single" w:sz="4" w:space="0" w:color="auto"/>
              <w:right w:val="nil"/>
            </w:tcBorders>
            <w:noWrap/>
            <w:vAlign w:val="bottom"/>
          </w:tcPr>
          <w:p w:rsidR="00000000" w:rsidRDefault="0072491A">
            <w:pPr>
              <w:jc w:val="center"/>
              <w:rPr>
                <w:rFonts w:ascii="Arial" w:hAnsi="Arial" w:cs="Arial"/>
                <w:b/>
                <w:bCs/>
                <w:color w:val="000000"/>
                <w:sz w:val="24"/>
              </w:rPr>
            </w:pPr>
          </w:p>
          <w:p w:rsidR="00000000" w:rsidRDefault="0072491A">
            <w:pPr>
              <w:jc w:val="center"/>
              <w:rPr>
                <w:rFonts w:ascii="Arial" w:hAnsi="Arial" w:cs="Arial"/>
                <w:b/>
                <w:bCs/>
                <w:color w:val="000000"/>
                <w:sz w:val="24"/>
              </w:rPr>
            </w:pPr>
            <w:r>
              <w:rPr>
                <w:rFonts w:ascii="Arial" w:hAnsi="Arial" w:cs="Arial"/>
                <w:b/>
                <w:bCs/>
                <w:color w:val="000000"/>
                <w:sz w:val="24"/>
              </w:rPr>
              <w:t>TABLA VI</w:t>
            </w:r>
          </w:p>
          <w:p w:rsidR="00000000" w:rsidRDefault="0072491A">
            <w:pPr>
              <w:jc w:val="center"/>
              <w:rPr>
                <w:rFonts w:ascii="Arial" w:hAnsi="Arial" w:cs="Arial"/>
                <w:b/>
                <w:bCs/>
                <w:color w:val="000000"/>
                <w:sz w:val="24"/>
              </w:rPr>
            </w:pPr>
          </w:p>
          <w:p w:rsidR="00000000" w:rsidRDefault="0072491A">
            <w:pPr>
              <w:pStyle w:val="Ttulo1"/>
              <w:rPr>
                <w:rFonts w:eastAsia="Arial Unicode MS"/>
              </w:rPr>
            </w:pPr>
            <w:bookmarkStart w:id="36" w:name="_Toc1936596"/>
            <w:bookmarkStart w:id="37" w:name="_Toc9035832"/>
            <w:bookmarkStart w:id="38" w:name="_Toc9091605"/>
            <w:r>
              <w:t>PROVINCIA DE BOLÍVAR: DOCENTES DE PRE PRIMARIA POR TÍTULO Y SEXO</w:t>
            </w:r>
            <w:bookmarkEnd w:id="37"/>
            <w:bookmarkEnd w:id="38"/>
            <w:r>
              <w:t xml:space="preserve">  </w:t>
            </w:r>
            <w:bookmarkEnd w:id="36"/>
          </w:p>
        </w:tc>
        <w:tc>
          <w:tcPr>
            <w:tcW w:w="632" w:type="dxa"/>
            <w:tcBorders>
              <w:top w:val="single" w:sz="6" w:space="0" w:color="000000"/>
              <w:left w:val="nil"/>
              <w:bottom w:val="nil"/>
              <w:right w:val="single" w:sz="6" w:space="0" w:color="000000"/>
            </w:tcBorders>
            <w:noWrap/>
            <w:vAlign w:val="bottom"/>
          </w:tcPr>
          <w:p w:rsidR="00000000" w:rsidRDefault="0072491A">
            <w:pPr>
              <w:jc w:val="center"/>
              <w:rPr>
                <w:rFonts w:ascii="Arial" w:eastAsia="Arial Unicode MS" w:hAnsi="Arial" w:cs="Arial"/>
                <w:b/>
                <w:bCs/>
              </w:rPr>
            </w:pPr>
          </w:p>
        </w:tc>
      </w:tr>
      <w:tr w:rsidR="00000000">
        <w:trPr>
          <w:trHeight w:val="255"/>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 </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DOCENTE</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NO DOCENTE</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MENOR BACHILLER</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SIN TITULO</w:t>
            </w:r>
          </w:p>
        </w:tc>
        <w:tc>
          <w:tcPr>
            <w:tcW w:w="0" w:type="auto"/>
            <w:tcBorders>
              <w:top w:val="nil"/>
              <w:left w:val="nil"/>
              <w:bottom w:val="nil"/>
              <w:right w:val="single" w:sz="6" w:space="0" w:color="000000"/>
            </w:tcBorders>
            <w:noWrap/>
            <w:vAlign w:val="bottom"/>
          </w:tcPr>
          <w:p w:rsidR="00000000" w:rsidRDefault="0072491A">
            <w:pPr>
              <w:jc w:val="center"/>
              <w:rPr>
                <w:rFonts w:ascii="Arial" w:eastAsia="Arial Unicode MS" w:hAnsi="Arial" w:cs="Arial"/>
                <w:b/>
                <w:bCs/>
                <w:sz w:val="16"/>
                <w:szCs w:val="16"/>
              </w:rPr>
            </w:pPr>
          </w:p>
        </w:tc>
      </w:tr>
      <w:tr w:rsidR="00000000">
        <w:trPr>
          <w:trHeight w:val="255"/>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AÑO</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b/>
                <w:bCs/>
                <w:sz w:val="16"/>
                <w:szCs w:val="16"/>
              </w:rPr>
            </w:pPr>
          </w:p>
        </w:tc>
      </w:tr>
      <w:tr w:rsidR="00000000">
        <w:trPr>
          <w:trHeight w:val="255"/>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13</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79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17</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81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84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97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cantSplit/>
          <w:trHeight w:val="255"/>
        </w:trPr>
        <w:tc>
          <w:tcPr>
            <w:tcW w:w="0" w:type="auto"/>
            <w:gridSpan w:val="11"/>
            <w:tcBorders>
              <w:top w:val="nil"/>
              <w:left w:val="single" w:sz="6" w:space="0" w:color="000000"/>
              <w:bottom w:val="single" w:sz="6" w:space="0" w:color="000000"/>
              <w:right w:val="single" w:sz="6" w:space="0" w:color="000000"/>
            </w:tcBorders>
            <w:noWrap/>
            <w:vAlign w:val="bottom"/>
          </w:tcPr>
          <w:p w:rsidR="00000000" w:rsidRDefault="0072491A">
            <w:pPr>
              <w:jc w:val="both"/>
              <w:rPr>
                <w:rFonts w:ascii="Arial" w:hAnsi="Arial" w:cs="Arial"/>
              </w:rPr>
            </w:pPr>
            <w:r>
              <w:rPr>
                <w:rFonts w:ascii="Arial" w:hAnsi="Arial" w:cs="Arial"/>
                <w:b/>
                <w:bCs/>
              </w:rPr>
              <w:t>FUENTE</w:t>
            </w:r>
            <w:r>
              <w:rPr>
                <w:rFonts w:ascii="Arial" w:hAnsi="Arial" w:cs="Arial"/>
              </w:rPr>
              <w:t xml:space="preserve">: Sistema nacional de estadísticas educativas, boletines estadísticos: </w:t>
            </w:r>
          </w:p>
          <w:p w:rsidR="00000000" w:rsidRDefault="0072491A">
            <w:pPr>
              <w:rPr>
                <w:rFonts w:ascii="Arial" w:eastAsia="Arial Unicode MS" w:hAnsi="Arial" w:cs="Arial"/>
                <w:sz w:val="16"/>
                <w:szCs w:val="16"/>
              </w:rPr>
            </w:pPr>
            <w:r>
              <w:rPr>
                <w:rFonts w:ascii="Arial" w:hAnsi="Arial" w:cs="Arial"/>
              </w:rPr>
              <w:t>La educación en cifras, 1993, 1994, 1995, 1997, 1998 y 1999</w:t>
            </w:r>
          </w:p>
        </w:tc>
      </w:tr>
    </w:tbl>
    <w:p w:rsidR="00000000" w:rsidRDefault="0072491A">
      <w:pPr>
        <w:spacing w:line="480" w:lineRule="auto"/>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De los profe</w:t>
      </w:r>
      <w:r>
        <w:rPr>
          <w:rFonts w:ascii="Arial" w:hAnsi="Arial" w:cs="Arial"/>
          <w:color w:val="000000"/>
          <w:sz w:val="24"/>
        </w:rPr>
        <w:t>sores se puede apreciar en la tabla VI, que en promedio desde el año 1993 hasta 1999 la variación porcentual del número de profesores con titulo docente de año tras año presenta un crecimiento 8.09% y de profesores con titulo no docente en 21.57%; mientras</w:t>
      </w:r>
      <w:r>
        <w:rPr>
          <w:rFonts w:ascii="Arial" w:hAnsi="Arial" w:cs="Arial"/>
          <w:color w:val="000000"/>
          <w:sz w:val="24"/>
        </w:rPr>
        <w:t xml:space="preserve"> la variación porcentual del número de profesores con titulo menor a bachiller y de profesores sin titulo presentan un decrecimiento del 26.67% y 13.85% respectivamente.</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El personal por función en primaria se puede apreciar en la tabla VII, en promedio de</w:t>
      </w:r>
      <w:r>
        <w:rPr>
          <w:rFonts w:ascii="Arial" w:hAnsi="Arial" w:cs="Arial"/>
          <w:color w:val="000000"/>
          <w:sz w:val="24"/>
        </w:rPr>
        <w:t>sde el año 1993 hasta 1999 la variación porcentual del número de directivos de año tras año es del 1.34%, la de profesores el 2.37%, la de profesores de educación especial es del 5.16% y la del personal administrativo de 89.33%; mientras el personal de ser</w:t>
      </w:r>
      <w:r>
        <w:rPr>
          <w:rFonts w:ascii="Arial" w:hAnsi="Arial" w:cs="Arial"/>
          <w:color w:val="000000"/>
          <w:sz w:val="24"/>
        </w:rPr>
        <w:t>vicio decrece en 18.79%.</w:t>
      </w:r>
    </w:p>
    <w:p w:rsidR="00000000" w:rsidRDefault="0072491A">
      <w:pPr>
        <w:spacing w:line="480" w:lineRule="auto"/>
        <w:ind w:left="426"/>
        <w:jc w:val="both"/>
        <w:rPr>
          <w:rFonts w:ascii="Arial" w:hAnsi="Arial" w:cs="Arial"/>
          <w:color w:val="000000"/>
          <w:sz w:val="24"/>
        </w:rPr>
      </w:pPr>
    </w:p>
    <w:tbl>
      <w:tblPr>
        <w:tblW w:w="10233" w:type="dxa"/>
        <w:jc w:val="center"/>
        <w:tblCellMar>
          <w:left w:w="0" w:type="dxa"/>
          <w:right w:w="0" w:type="dxa"/>
        </w:tblCellMar>
        <w:tblLook w:val="0000"/>
      </w:tblPr>
      <w:tblGrid>
        <w:gridCol w:w="600"/>
        <w:gridCol w:w="393"/>
        <w:gridCol w:w="890"/>
        <w:gridCol w:w="842"/>
        <w:gridCol w:w="890"/>
        <w:gridCol w:w="842"/>
        <w:gridCol w:w="890"/>
        <w:gridCol w:w="842"/>
        <w:gridCol w:w="890"/>
        <w:gridCol w:w="842"/>
        <w:gridCol w:w="890"/>
        <w:gridCol w:w="842"/>
        <w:gridCol w:w="612"/>
      </w:tblGrid>
      <w:tr w:rsidR="00000000">
        <w:trPr>
          <w:trHeight w:val="255"/>
          <w:jc w:val="center"/>
        </w:trPr>
        <w:tc>
          <w:tcPr>
            <w:tcW w:w="600" w:type="dxa"/>
            <w:tcBorders>
              <w:top w:val="single" w:sz="6" w:space="0" w:color="000000"/>
              <w:left w:val="single" w:sz="6" w:space="0" w:color="000000"/>
              <w:bottom w:val="nil"/>
              <w:right w:val="nil"/>
            </w:tcBorders>
            <w:noWrap/>
            <w:vAlign w:val="bottom"/>
          </w:tcPr>
          <w:p w:rsidR="00000000" w:rsidRDefault="0072491A">
            <w:pPr>
              <w:rPr>
                <w:rFonts w:ascii="Arial" w:eastAsia="Arial Unicode MS" w:hAnsi="Arial" w:cs="Arial"/>
              </w:rPr>
            </w:pPr>
          </w:p>
        </w:tc>
        <w:tc>
          <w:tcPr>
            <w:tcW w:w="9037" w:type="dxa"/>
            <w:gridSpan w:val="11"/>
            <w:tcBorders>
              <w:top w:val="single" w:sz="6" w:space="0" w:color="000000"/>
              <w:left w:val="nil"/>
              <w:bottom w:val="single" w:sz="4" w:space="0" w:color="auto"/>
              <w:right w:val="nil"/>
            </w:tcBorders>
            <w:noWrap/>
            <w:vAlign w:val="bottom"/>
          </w:tcPr>
          <w:p w:rsidR="00000000" w:rsidRDefault="0072491A">
            <w:pPr>
              <w:jc w:val="center"/>
              <w:rPr>
                <w:rFonts w:ascii="Arial" w:hAnsi="Arial" w:cs="Arial"/>
                <w:b/>
                <w:bCs/>
                <w:color w:val="000000"/>
                <w:sz w:val="24"/>
              </w:rPr>
            </w:pPr>
          </w:p>
          <w:p w:rsidR="00000000" w:rsidRDefault="0072491A">
            <w:pPr>
              <w:jc w:val="center"/>
              <w:rPr>
                <w:rFonts w:ascii="Arial" w:hAnsi="Arial" w:cs="Arial"/>
                <w:b/>
                <w:bCs/>
                <w:color w:val="000000"/>
                <w:sz w:val="24"/>
              </w:rPr>
            </w:pPr>
            <w:r>
              <w:rPr>
                <w:rFonts w:ascii="Arial" w:hAnsi="Arial" w:cs="Arial"/>
                <w:b/>
                <w:bCs/>
                <w:color w:val="000000"/>
                <w:sz w:val="24"/>
              </w:rPr>
              <w:t>TABLA VII</w:t>
            </w:r>
          </w:p>
          <w:p w:rsidR="00000000" w:rsidRDefault="0072491A">
            <w:pPr>
              <w:jc w:val="center"/>
              <w:rPr>
                <w:rFonts w:ascii="Arial" w:hAnsi="Arial" w:cs="Arial"/>
                <w:b/>
                <w:bCs/>
                <w:color w:val="000000"/>
                <w:sz w:val="24"/>
              </w:rPr>
            </w:pPr>
          </w:p>
          <w:p w:rsidR="00000000" w:rsidRDefault="0072491A">
            <w:pPr>
              <w:pStyle w:val="Ttulo1"/>
              <w:rPr>
                <w:rFonts w:eastAsia="Arial Unicode MS"/>
              </w:rPr>
            </w:pPr>
            <w:bookmarkStart w:id="39" w:name="_Toc9091606"/>
            <w:r>
              <w:t>PROVINCIA DE BOLÍVAR: PERSONAL POR FUNCIONES Y SEXO DE PRIMARIA</w:t>
            </w:r>
            <w:bookmarkEnd w:id="39"/>
          </w:p>
        </w:tc>
        <w:tc>
          <w:tcPr>
            <w:tcW w:w="596" w:type="dxa"/>
            <w:tcBorders>
              <w:top w:val="single" w:sz="6" w:space="0" w:color="000000"/>
              <w:left w:val="nil"/>
              <w:bottom w:val="nil"/>
              <w:right w:val="single" w:sz="6" w:space="0" w:color="000000"/>
            </w:tcBorders>
            <w:noWrap/>
            <w:vAlign w:val="bottom"/>
          </w:tcPr>
          <w:p w:rsidR="00000000" w:rsidRDefault="0072491A">
            <w:pPr>
              <w:jc w:val="center"/>
              <w:rPr>
                <w:rFonts w:ascii="Arial" w:eastAsia="Arial Unicode MS" w:hAnsi="Arial" w:cs="Arial"/>
                <w:b/>
                <w:bCs/>
              </w:rPr>
            </w:pPr>
          </w:p>
        </w:tc>
      </w:tr>
      <w:tr w:rsidR="00000000">
        <w:trPr>
          <w:cantSplit/>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vMerge w:val="restart"/>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AÑO</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DIRECTIVOS</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PROFESORES</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PROF ESPECIALES</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ADMINISTRATIVOS</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DE SERVICIO</w:t>
            </w:r>
          </w:p>
        </w:tc>
        <w:tc>
          <w:tcPr>
            <w:tcW w:w="0" w:type="auto"/>
            <w:tcBorders>
              <w:top w:val="nil"/>
              <w:left w:val="nil"/>
              <w:bottom w:val="nil"/>
              <w:right w:val="single" w:sz="6" w:space="0" w:color="000000"/>
            </w:tcBorders>
            <w:noWrap/>
            <w:vAlign w:val="bottom"/>
          </w:tcPr>
          <w:p w:rsidR="00000000" w:rsidRDefault="0072491A">
            <w:pPr>
              <w:jc w:val="center"/>
              <w:rPr>
                <w:rFonts w:ascii="Arial" w:eastAsia="Arial Unicode MS" w:hAnsi="Arial" w:cs="Arial"/>
                <w:b/>
                <w:bCs/>
                <w:sz w:val="16"/>
                <w:szCs w:val="16"/>
              </w:rPr>
            </w:pPr>
          </w:p>
        </w:tc>
      </w:tr>
      <w:tr w:rsidR="00000000">
        <w:trPr>
          <w:cantSplit/>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vMerge/>
            <w:tcBorders>
              <w:top w:val="nil"/>
              <w:left w:val="single" w:sz="4" w:space="0" w:color="auto"/>
              <w:bottom w:val="single" w:sz="4" w:space="0" w:color="auto"/>
              <w:right w:val="single" w:sz="4" w:space="0" w:color="auto"/>
            </w:tcBorders>
            <w:vAlign w:val="center"/>
          </w:tcPr>
          <w:p w:rsidR="00000000" w:rsidRDefault="0072491A">
            <w:pPr>
              <w:rPr>
                <w:rFonts w:ascii="Arial" w:eastAsia="Arial Unicode MS" w:hAnsi="Arial" w:cs="Arial"/>
                <w:b/>
                <w:bCs/>
                <w:sz w:val="16"/>
                <w:szCs w:val="16"/>
              </w:rPr>
            </w:pP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HOMBRES</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w:t>
            </w:r>
            <w:r>
              <w:rPr>
                <w:rFonts w:ascii="Arial" w:hAnsi="Arial" w:cs="Arial"/>
                <w:b/>
                <w:bCs/>
                <w:sz w:val="16"/>
                <w:szCs w:val="16"/>
              </w:rPr>
              <w:t>RES</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b/>
                <w:bCs/>
                <w:sz w:val="16"/>
                <w:szCs w:val="16"/>
              </w:rPr>
            </w:pPr>
          </w:p>
        </w:tc>
      </w:tr>
      <w:tr w:rsidR="00000000">
        <w:trPr>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135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122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403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716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75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123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339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739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81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134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425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761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95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68</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408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784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94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136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140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429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808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105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148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138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124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434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818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140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200</w:t>
            </w:r>
            <w:r>
              <w:rPr>
                <w:rFonts w:ascii="Arial" w:hAnsi="Arial" w:cs="Arial"/>
                <w:b/>
                <w:bCs/>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238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216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415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813</w:t>
            </w:r>
          </w:p>
        </w:tc>
        <w:tc>
          <w:tcPr>
            <w:tcW w:w="0" w:type="auto"/>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sz w:val="16"/>
                <w:szCs w:val="16"/>
              </w:rPr>
            </w:pPr>
            <w:r>
              <w:rPr>
                <w:rFonts w:ascii="Arial" w:hAnsi="Arial" w:cs="Arial"/>
                <w:sz w:val="16"/>
                <w:szCs w:val="16"/>
              </w:rPr>
              <w:t>*</w:t>
            </w:r>
          </w:p>
        </w:tc>
        <w:tc>
          <w:tcPr>
            <w:tcW w:w="0" w:type="auto"/>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sz w:val="16"/>
                <w:szCs w:val="16"/>
              </w:rPr>
            </w:pPr>
            <w:r>
              <w:rPr>
                <w:rFonts w:ascii="Arial" w:hAnsi="Arial" w:cs="Arial"/>
                <w:sz w:val="16"/>
                <w:szCs w:val="16"/>
              </w:rPr>
              <w:t>*</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41</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cantSplit/>
          <w:trHeight w:val="255"/>
          <w:jc w:val="center"/>
        </w:trPr>
        <w:tc>
          <w:tcPr>
            <w:tcW w:w="0" w:type="auto"/>
            <w:gridSpan w:val="13"/>
            <w:tcBorders>
              <w:top w:val="nil"/>
              <w:left w:val="single" w:sz="6" w:space="0" w:color="000000"/>
              <w:bottom w:val="single" w:sz="6" w:space="0" w:color="000000"/>
              <w:right w:val="single" w:sz="6" w:space="0" w:color="000000"/>
            </w:tcBorders>
            <w:noWrap/>
            <w:vAlign w:val="bottom"/>
          </w:tcPr>
          <w:p w:rsidR="00000000" w:rsidRDefault="0072491A">
            <w:pPr>
              <w:numPr>
                <w:ilvl w:val="0"/>
                <w:numId w:val="16"/>
              </w:numPr>
              <w:rPr>
                <w:rFonts w:ascii="Arial" w:hAnsi="Arial" w:cs="Arial"/>
              </w:rPr>
            </w:pPr>
            <w:r>
              <w:rPr>
                <w:rFonts w:ascii="Arial" w:hAnsi="Arial" w:cs="Arial"/>
              </w:rPr>
              <w:t>Los profesores de educación especial se encuentran incluidos en profesores</w:t>
            </w:r>
          </w:p>
          <w:p w:rsidR="00000000" w:rsidRDefault="0072491A">
            <w:pPr>
              <w:jc w:val="both"/>
              <w:rPr>
                <w:rFonts w:ascii="Arial" w:hAnsi="Arial" w:cs="Arial"/>
              </w:rPr>
            </w:pPr>
            <w:r>
              <w:rPr>
                <w:rFonts w:ascii="Arial" w:hAnsi="Arial" w:cs="Arial"/>
                <w:b/>
                <w:bCs/>
              </w:rPr>
              <w:t>FUENTE</w:t>
            </w:r>
            <w:r>
              <w:rPr>
                <w:rFonts w:ascii="Arial" w:hAnsi="Arial" w:cs="Arial"/>
              </w:rPr>
              <w:t xml:space="preserve">: Sistema nacional de estadísticas educativas, boletines estadísticos: </w:t>
            </w:r>
          </w:p>
          <w:p w:rsidR="00000000" w:rsidRDefault="0072491A">
            <w:pPr>
              <w:ind w:left="360"/>
              <w:rPr>
                <w:rFonts w:ascii="Arial" w:eastAsia="Arial Unicode MS" w:hAnsi="Arial" w:cs="Arial"/>
              </w:rPr>
            </w:pPr>
            <w:r>
              <w:rPr>
                <w:rFonts w:ascii="Arial" w:hAnsi="Arial" w:cs="Arial"/>
              </w:rPr>
              <w:t>La educación en cifras, 1993, 1994, 1995, 1997, 1998 y 1999</w:t>
            </w:r>
          </w:p>
        </w:tc>
      </w:tr>
    </w:tbl>
    <w:p w:rsidR="00000000" w:rsidRDefault="0072491A">
      <w:pPr>
        <w:spacing w:line="480" w:lineRule="auto"/>
        <w:jc w:val="both"/>
        <w:rPr>
          <w:rFonts w:ascii="Arial" w:hAnsi="Arial" w:cs="Arial"/>
          <w:color w:val="000000"/>
          <w:sz w:val="24"/>
        </w:rPr>
      </w:pPr>
    </w:p>
    <w:p w:rsidR="00000000" w:rsidRDefault="0072491A">
      <w:pPr>
        <w:spacing w:line="480" w:lineRule="auto"/>
        <w:ind w:left="426"/>
        <w:jc w:val="both"/>
        <w:rPr>
          <w:rFonts w:ascii="Arial" w:hAnsi="Arial" w:cs="Arial"/>
          <w:sz w:val="24"/>
        </w:rPr>
      </w:pPr>
      <w:r>
        <w:rPr>
          <w:rFonts w:ascii="Arial" w:hAnsi="Arial" w:cs="Arial"/>
          <w:sz w:val="24"/>
        </w:rPr>
        <w:t>En pr</w:t>
      </w:r>
      <w:r>
        <w:rPr>
          <w:rFonts w:ascii="Arial" w:hAnsi="Arial" w:cs="Arial"/>
          <w:sz w:val="24"/>
        </w:rPr>
        <w:t>omedio los porcentajes de los directivos, profesores, profesores de educación especial, personal administrativo y personal de servicio son respectivamente 14.22%, 67.69%, 12.98%, 0.29% y 4.82%  con respecto al total del personal que labora en educación pri</w:t>
      </w:r>
      <w:r>
        <w:rPr>
          <w:rFonts w:ascii="Arial" w:hAnsi="Arial" w:cs="Arial"/>
          <w:sz w:val="24"/>
        </w:rPr>
        <w:t>maria de la provincia de Bolívar, de acuerdo a los datos que se muestran en la tabla VII de los años 1993 a 1999.</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color w:val="000000"/>
          <w:sz w:val="24"/>
        </w:rPr>
        <w:t xml:space="preserve">De los datos presentados anteriormente en la tabla VII, destacamos a los profesores, </w:t>
      </w:r>
      <w:r>
        <w:rPr>
          <w:rFonts w:ascii="Arial" w:hAnsi="Arial" w:cs="Arial"/>
          <w:sz w:val="24"/>
        </w:rPr>
        <w:t xml:space="preserve">de acuerdo a los datos que se muestran en la tabla VIII </w:t>
      </w:r>
      <w:r>
        <w:rPr>
          <w:rFonts w:ascii="Arial" w:hAnsi="Arial" w:cs="Arial"/>
          <w:sz w:val="24"/>
        </w:rPr>
        <w:t>de los años 1993 a 1999, observamos que en promedio los porcentajes de profesores con títulos docentes, no docentes, menor a bachiller, y sin titulo son respectivamente 91.64%, 5.52%, 0.93% y 1.91%. Se puede apreciar que a  partir de 1996 disminuyen los pr</w:t>
      </w:r>
      <w:r>
        <w:rPr>
          <w:rFonts w:ascii="Arial" w:hAnsi="Arial" w:cs="Arial"/>
          <w:sz w:val="24"/>
        </w:rPr>
        <w:t>ofesores con títulos menores a bachiller o sin títulos.</w:t>
      </w:r>
    </w:p>
    <w:p w:rsidR="00000000" w:rsidRDefault="0072491A">
      <w:pPr>
        <w:spacing w:line="480" w:lineRule="auto"/>
        <w:ind w:left="426"/>
        <w:jc w:val="both"/>
        <w:rPr>
          <w:rFonts w:ascii="Arial" w:hAnsi="Arial" w:cs="Arial"/>
          <w:sz w:val="24"/>
        </w:rPr>
      </w:pPr>
    </w:p>
    <w:tbl>
      <w:tblPr>
        <w:tblW w:w="8627" w:type="dxa"/>
        <w:tblInd w:w="-8" w:type="dxa"/>
        <w:tblCellMar>
          <w:left w:w="0" w:type="dxa"/>
          <w:right w:w="0" w:type="dxa"/>
        </w:tblCellMar>
        <w:tblLook w:val="0000"/>
      </w:tblPr>
      <w:tblGrid>
        <w:gridCol w:w="600"/>
        <w:gridCol w:w="491"/>
        <w:gridCol w:w="966"/>
        <w:gridCol w:w="764"/>
        <w:gridCol w:w="966"/>
        <w:gridCol w:w="764"/>
        <w:gridCol w:w="966"/>
        <w:gridCol w:w="764"/>
        <w:gridCol w:w="966"/>
        <w:gridCol w:w="764"/>
        <w:gridCol w:w="648"/>
      </w:tblGrid>
      <w:tr w:rsidR="00000000">
        <w:trPr>
          <w:trHeight w:val="255"/>
        </w:trPr>
        <w:tc>
          <w:tcPr>
            <w:tcW w:w="600" w:type="dxa"/>
            <w:tcBorders>
              <w:top w:val="single" w:sz="6" w:space="0" w:color="000000"/>
              <w:left w:val="single" w:sz="6" w:space="0" w:color="000000"/>
              <w:bottom w:val="nil"/>
              <w:right w:val="nil"/>
            </w:tcBorders>
            <w:noWrap/>
            <w:vAlign w:val="bottom"/>
          </w:tcPr>
          <w:p w:rsidR="00000000" w:rsidRDefault="0072491A">
            <w:pPr>
              <w:rPr>
                <w:rFonts w:ascii="Arial" w:eastAsia="Arial Unicode MS" w:hAnsi="Arial" w:cs="Arial"/>
              </w:rPr>
            </w:pPr>
          </w:p>
        </w:tc>
        <w:tc>
          <w:tcPr>
            <w:tcW w:w="7395" w:type="dxa"/>
            <w:gridSpan w:val="9"/>
            <w:tcBorders>
              <w:top w:val="single" w:sz="6" w:space="0" w:color="000000"/>
              <w:left w:val="nil"/>
              <w:bottom w:val="single" w:sz="4" w:space="0" w:color="auto"/>
              <w:right w:val="nil"/>
            </w:tcBorders>
            <w:noWrap/>
            <w:vAlign w:val="bottom"/>
          </w:tcPr>
          <w:p w:rsidR="00000000" w:rsidRDefault="0072491A">
            <w:pPr>
              <w:jc w:val="center"/>
              <w:rPr>
                <w:rFonts w:ascii="Arial" w:hAnsi="Arial" w:cs="Arial"/>
                <w:b/>
                <w:bCs/>
                <w:sz w:val="24"/>
              </w:rPr>
            </w:pPr>
          </w:p>
          <w:p w:rsidR="00000000" w:rsidRDefault="0072491A">
            <w:pPr>
              <w:jc w:val="center"/>
              <w:rPr>
                <w:rFonts w:ascii="Arial" w:hAnsi="Arial" w:cs="Arial"/>
                <w:b/>
                <w:bCs/>
                <w:sz w:val="24"/>
              </w:rPr>
            </w:pPr>
            <w:r>
              <w:rPr>
                <w:rFonts w:ascii="Arial" w:hAnsi="Arial" w:cs="Arial"/>
                <w:b/>
                <w:bCs/>
                <w:sz w:val="24"/>
              </w:rPr>
              <w:t>TABLA VIII</w:t>
            </w:r>
          </w:p>
          <w:p w:rsidR="00000000" w:rsidRDefault="0072491A">
            <w:pPr>
              <w:jc w:val="center"/>
              <w:rPr>
                <w:rFonts w:ascii="Arial" w:hAnsi="Arial" w:cs="Arial"/>
                <w:b/>
                <w:bCs/>
                <w:sz w:val="24"/>
              </w:rPr>
            </w:pPr>
          </w:p>
          <w:p w:rsidR="00000000" w:rsidRDefault="0072491A">
            <w:pPr>
              <w:pStyle w:val="Ttulo1"/>
              <w:rPr>
                <w:rFonts w:eastAsia="Arial Unicode MS"/>
              </w:rPr>
            </w:pPr>
            <w:bookmarkStart w:id="40" w:name="_Toc9091607"/>
            <w:r>
              <w:t>PROVINCIA DE BOLÍVAR: DOCENTES DE PRIMARIA POR TÍTULO Y SEXO</w:t>
            </w:r>
            <w:bookmarkEnd w:id="40"/>
            <w:r>
              <w:t xml:space="preserve"> </w:t>
            </w:r>
          </w:p>
        </w:tc>
        <w:tc>
          <w:tcPr>
            <w:tcW w:w="632" w:type="dxa"/>
            <w:tcBorders>
              <w:top w:val="single" w:sz="6" w:space="0" w:color="000000"/>
              <w:left w:val="nil"/>
              <w:bottom w:val="nil"/>
              <w:right w:val="single" w:sz="6" w:space="0" w:color="000000"/>
            </w:tcBorders>
            <w:noWrap/>
            <w:vAlign w:val="bottom"/>
          </w:tcPr>
          <w:p w:rsidR="00000000" w:rsidRDefault="0072491A">
            <w:pPr>
              <w:jc w:val="center"/>
              <w:rPr>
                <w:rFonts w:ascii="Arial" w:eastAsia="Arial Unicode MS" w:hAnsi="Arial" w:cs="Arial"/>
                <w:b/>
                <w:bCs/>
              </w:rPr>
            </w:pPr>
          </w:p>
        </w:tc>
      </w:tr>
      <w:tr w:rsidR="00000000">
        <w:trPr>
          <w:cantSplit/>
          <w:trHeight w:val="255"/>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vMerge w:val="restart"/>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AÑO</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DOCENTE</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NO DOCENTE</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MENOR BACHILLER</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SIN TITULO</w:t>
            </w:r>
          </w:p>
        </w:tc>
        <w:tc>
          <w:tcPr>
            <w:tcW w:w="0" w:type="auto"/>
            <w:tcBorders>
              <w:top w:val="nil"/>
              <w:left w:val="nil"/>
              <w:bottom w:val="nil"/>
              <w:right w:val="single" w:sz="6" w:space="0" w:color="000000"/>
            </w:tcBorders>
            <w:noWrap/>
            <w:vAlign w:val="bottom"/>
          </w:tcPr>
          <w:p w:rsidR="00000000" w:rsidRDefault="0072491A">
            <w:pPr>
              <w:jc w:val="center"/>
              <w:rPr>
                <w:rFonts w:ascii="Arial" w:eastAsia="Arial Unicode MS" w:hAnsi="Arial" w:cs="Arial"/>
                <w:b/>
                <w:bCs/>
                <w:sz w:val="16"/>
                <w:szCs w:val="16"/>
              </w:rPr>
            </w:pPr>
          </w:p>
        </w:tc>
      </w:tr>
      <w:tr w:rsidR="00000000">
        <w:trPr>
          <w:cantSplit/>
          <w:trHeight w:val="255"/>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vMerge/>
            <w:tcBorders>
              <w:top w:val="nil"/>
              <w:left w:val="single" w:sz="4" w:space="0" w:color="auto"/>
              <w:bottom w:val="single" w:sz="4" w:space="0" w:color="auto"/>
              <w:right w:val="single" w:sz="4" w:space="0" w:color="auto"/>
            </w:tcBorders>
            <w:vAlign w:val="center"/>
          </w:tcPr>
          <w:p w:rsidR="00000000" w:rsidRDefault="0072491A">
            <w:pPr>
              <w:rPr>
                <w:rFonts w:ascii="Arial" w:eastAsia="Arial Unicode MS" w:hAnsi="Arial" w:cs="Arial"/>
                <w:b/>
                <w:bCs/>
                <w:sz w:val="16"/>
                <w:szCs w:val="16"/>
              </w:rPr>
            </w:pP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b/>
                <w:bCs/>
                <w:sz w:val="16"/>
                <w:szCs w:val="16"/>
              </w:rPr>
            </w:pPr>
          </w:p>
        </w:tc>
      </w:tr>
      <w:tr w:rsidR="00000000">
        <w:trPr>
          <w:trHeight w:val="255"/>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491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86</w:t>
            </w:r>
            <w:r>
              <w:rPr>
                <w:rFonts w:ascii="Arial" w:hAnsi="Arial" w:cs="Arial"/>
                <w:sz w:val="16"/>
                <w:szCs w:val="16"/>
              </w:rPr>
              <w:t>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108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83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489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920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42</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609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980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600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985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625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1023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633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1030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cantSplit/>
          <w:trHeight w:val="255"/>
        </w:trPr>
        <w:tc>
          <w:tcPr>
            <w:tcW w:w="0" w:type="auto"/>
            <w:gridSpan w:val="11"/>
            <w:tcBorders>
              <w:top w:val="nil"/>
              <w:left w:val="single" w:sz="6" w:space="0" w:color="000000"/>
              <w:bottom w:val="single" w:sz="6" w:space="0" w:color="000000"/>
              <w:right w:val="single" w:sz="6" w:space="0" w:color="000000"/>
            </w:tcBorders>
            <w:noWrap/>
            <w:vAlign w:val="bottom"/>
          </w:tcPr>
          <w:p w:rsidR="00000000" w:rsidRDefault="0072491A">
            <w:pPr>
              <w:jc w:val="both"/>
              <w:rPr>
                <w:rFonts w:ascii="Arial" w:hAnsi="Arial" w:cs="Arial"/>
              </w:rPr>
            </w:pPr>
            <w:r>
              <w:rPr>
                <w:rFonts w:ascii="Arial" w:hAnsi="Arial" w:cs="Arial"/>
                <w:b/>
                <w:bCs/>
              </w:rPr>
              <w:t>FUENTE</w:t>
            </w:r>
            <w:r>
              <w:rPr>
                <w:rFonts w:ascii="Arial" w:hAnsi="Arial" w:cs="Arial"/>
              </w:rPr>
              <w:t xml:space="preserve">: Sistema nacional de estadísticas educativas, boletines estadísticos: </w:t>
            </w:r>
          </w:p>
          <w:p w:rsidR="00000000" w:rsidRDefault="0072491A">
            <w:pPr>
              <w:rPr>
                <w:rFonts w:ascii="Arial" w:eastAsia="Arial Unicode MS" w:hAnsi="Arial" w:cs="Arial"/>
                <w:sz w:val="16"/>
                <w:szCs w:val="16"/>
              </w:rPr>
            </w:pPr>
            <w:r>
              <w:rPr>
                <w:rFonts w:ascii="Arial" w:hAnsi="Arial" w:cs="Arial"/>
              </w:rPr>
              <w:t>L</w:t>
            </w:r>
            <w:r>
              <w:rPr>
                <w:rFonts w:ascii="Arial" w:hAnsi="Arial" w:cs="Arial"/>
              </w:rPr>
              <w:t>a educación en cifras, 1993, 1994, 1995, 1997, 1998 y 1999</w:t>
            </w:r>
          </w:p>
        </w:tc>
      </w:tr>
    </w:tbl>
    <w:p w:rsidR="00000000" w:rsidRDefault="0072491A">
      <w:pPr>
        <w:spacing w:line="480" w:lineRule="auto"/>
        <w:jc w:val="both"/>
        <w:rPr>
          <w:rFonts w:ascii="Arial" w:hAnsi="Arial" w:cs="Arial"/>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 xml:space="preserve">De los profesores se puede apreciar en la tabla VIII, que en promedio desde el año 1993 hasta 1999 la variación porcentual del número de profesores con titulo docente de año tras año presenta un </w:t>
      </w:r>
      <w:r>
        <w:rPr>
          <w:rFonts w:ascii="Arial" w:hAnsi="Arial" w:cs="Arial"/>
          <w:color w:val="000000"/>
          <w:sz w:val="24"/>
        </w:rPr>
        <w:t>crecimiento 4.22%; mientras la variación porcentual del número de profesores con titulo no docente, de profesores con titulo menor a bachiller y de profesores sin titulo presentan un decrecimiento del 5.45%, 23.1% y 21.75% respectivamente.</w:t>
      </w:r>
    </w:p>
    <w:p w:rsidR="00000000" w:rsidRDefault="0072491A">
      <w:pPr>
        <w:spacing w:line="480" w:lineRule="auto"/>
        <w:ind w:left="426"/>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El personal por</w:t>
      </w:r>
      <w:r>
        <w:rPr>
          <w:rFonts w:ascii="Arial" w:hAnsi="Arial" w:cs="Arial"/>
          <w:color w:val="000000"/>
          <w:sz w:val="24"/>
        </w:rPr>
        <w:t xml:space="preserve"> función en educación media se puede apreciar en la tabla IX, en promedio desde el año 1993 hasta 1999 la variación porcentual del número de directivos de año tras año es del 3.34%, la de profesores el 15.34%, la del personal administrativo de 5.88%; y la </w:t>
      </w:r>
      <w:r>
        <w:rPr>
          <w:rFonts w:ascii="Arial" w:hAnsi="Arial" w:cs="Arial"/>
          <w:color w:val="000000"/>
          <w:sz w:val="24"/>
        </w:rPr>
        <w:t>del personal de servicio es 4.04%.</w:t>
      </w:r>
    </w:p>
    <w:p w:rsidR="00000000" w:rsidRDefault="0072491A">
      <w:pPr>
        <w:ind w:left="426"/>
        <w:jc w:val="center"/>
        <w:rPr>
          <w:rFonts w:ascii="Arial" w:hAnsi="Arial" w:cs="Arial"/>
          <w:b/>
          <w:bCs/>
          <w:color w:val="000000"/>
          <w:sz w:val="24"/>
        </w:rPr>
      </w:pPr>
    </w:p>
    <w:tbl>
      <w:tblPr>
        <w:tblW w:w="9180" w:type="dxa"/>
        <w:jc w:val="center"/>
        <w:tblInd w:w="-172" w:type="dxa"/>
        <w:tblCellMar>
          <w:left w:w="0" w:type="dxa"/>
          <w:right w:w="0" w:type="dxa"/>
        </w:tblCellMar>
        <w:tblLook w:val="0000"/>
      </w:tblPr>
      <w:tblGrid>
        <w:gridCol w:w="348"/>
        <w:gridCol w:w="466"/>
        <w:gridCol w:w="1047"/>
        <w:gridCol w:w="992"/>
        <w:gridCol w:w="1047"/>
        <w:gridCol w:w="992"/>
        <w:gridCol w:w="1047"/>
        <w:gridCol w:w="992"/>
        <w:gridCol w:w="1047"/>
        <w:gridCol w:w="992"/>
        <w:gridCol w:w="210"/>
      </w:tblGrid>
      <w:tr w:rsidR="00000000">
        <w:trPr>
          <w:cantSplit/>
          <w:trHeight w:val="255"/>
          <w:jc w:val="center"/>
        </w:trPr>
        <w:tc>
          <w:tcPr>
            <w:tcW w:w="9180" w:type="dxa"/>
            <w:gridSpan w:val="11"/>
            <w:tcBorders>
              <w:top w:val="single" w:sz="6" w:space="0" w:color="000000"/>
              <w:left w:val="single" w:sz="6" w:space="0" w:color="000000"/>
              <w:bottom w:val="nil"/>
              <w:right w:val="single" w:sz="6" w:space="0" w:color="000000"/>
            </w:tcBorders>
            <w:noWrap/>
            <w:vAlign w:val="bottom"/>
          </w:tcPr>
          <w:p w:rsidR="00000000" w:rsidRDefault="0072491A">
            <w:pPr>
              <w:jc w:val="center"/>
              <w:rPr>
                <w:rFonts w:ascii="Arial" w:hAnsi="Arial" w:cs="Arial"/>
                <w:b/>
                <w:bCs/>
                <w:color w:val="000000"/>
                <w:sz w:val="24"/>
              </w:rPr>
            </w:pPr>
          </w:p>
          <w:p w:rsidR="00000000" w:rsidRDefault="0072491A">
            <w:pPr>
              <w:jc w:val="center"/>
              <w:rPr>
                <w:rFonts w:ascii="Arial" w:hAnsi="Arial" w:cs="Arial"/>
                <w:b/>
                <w:bCs/>
                <w:color w:val="000000"/>
                <w:sz w:val="24"/>
              </w:rPr>
            </w:pPr>
            <w:r>
              <w:rPr>
                <w:rFonts w:ascii="Arial" w:hAnsi="Arial" w:cs="Arial"/>
                <w:b/>
                <w:bCs/>
                <w:color w:val="000000"/>
                <w:sz w:val="24"/>
              </w:rPr>
              <w:t>TABLA IX</w:t>
            </w:r>
          </w:p>
          <w:p w:rsidR="00000000" w:rsidRDefault="0072491A">
            <w:pPr>
              <w:jc w:val="center"/>
              <w:rPr>
                <w:rFonts w:ascii="Arial" w:hAnsi="Arial" w:cs="Arial"/>
                <w:b/>
                <w:bCs/>
                <w:color w:val="000000"/>
                <w:sz w:val="24"/>
              </w:rPr>
            </w:pPr>
          </w:p>
          <w:p w:rsidR="00000000" w:rsidRDefault="0072491A">
            <w:pPr>
              <w:pStyle w:val="Ttulo1"/>
              <w:rPr>
                <w:rFonts w:eastAsia="Arial Unicode MS"/>
              </w:rPr>
            </w:pPr>
            <w:bookmarkStart w:id="41" w:name="_Toc9091608"/>
            <w:r>
              <w:t>PROVINCIA DE BOLÍVAR: PERSONAL POR FUNCIONES Y SEXO DE SECUNDARIA</w:t>
            </w:r>
            <w:bookmarkEnd w:id="41"/>
            <w:r>
              <w:t xml:space="preserve"> </w:t>
            </w:r>
          </w:p>
        </w:tc>
      </w:tr>
      <w:tr w:rsidR="00000000">
        <w:trPr>
          <w:cantSplit/>
          <w:trHeight w:val="255"/>
          <w:jc w:val="center"/>
        </w:trPr>
        <w:tc>
          <w:tcPr>
            <w:tcW w:w="276" w:type="dxa"/>
            <w:tcBorders>
              <w:top w:val="nil"/>
              <w:left w:val="single" w:sz="6" w:space="0" w:color="000000"/>
              <w:bottom w:val="nil"/>
              <w:right w:val="single" w:sz="6" w:space="0" w:color="000000"/>
            </w:tcBorders>
            <w:noWrap/>
            <w:vAlign w:val="bottom"/>
          </w:tcPr>
          <w:p w:rsidR="00000000" w:rsidRDefault="0072491A">
            <w:pPr>
              <w:rPr>
                <w:rFonts w:ascii="Arial" w:eastAsia="Arial Unicode MS" w:hAnsi="Arial" w:cs="Arial"/>
              </w:rPr>
            </w:pPr>
          </w:p>
        </w:tc>
        <w:tc>
          <w:tcPr>
            <w:tcW w:w="0" w:type="auto"/>
            <w:vMerge w:val="restart"/>
            <w:tcBorders>
              <w:top w:val="single" w:sz="6" w:space="0" w:color="000000"/>
              <w:left w:val="single" w:sz="6" w:space="0" w:color="000000"/>
              <w:bottom w:val="single" w:sz="6" w:space="0" w:color="000000"/>
              <w:right w:val="single" w:sz="6" w:space="0" w:color="000000"/>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AÑO</w:t>
            </w:r>
          </w:p>
        </w:tc>
        <w:tc>
          <w:tcPr>
            <w:tcW w:w="0" w:type="auto"/>
            <w:gridSpan w:val="2"/>
            <w:tcBorders>
              <w:top w:val="single" w:sz="6" w:space="0" w:color="000000"/>
              <w:left w:val="single" w:sz="6" w:space="0" w:color="000000"/>
              <w:bottom w:val="single" w:sz="6" w:space="0" w:color="000000"/>
              <w:right w:val="single" w:sz="6" w:space="0" w:color="000000"/>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DIRECTIVOS</w:t>
            </w:r>
          </w:p>
        </w:tc>
        <w:tc>
          <w:tcPr>
            <w:tcW w:w="0" w:type="auto"/>
            <w:gridSpan w:val="2"/>
            <w:tcBorders>
              <w:top w:val="single" w:sz="6" w:space="0" w:color="000000"/>
              <w:left w:val="single" w:sz="6" w:space="0" w:color="000000"/>
              <w:bottom w:val="single" w:sz="6" w:space="0" w:color="000000"/>
              <w:right w:val="single" w:sz="6" w:space="0" w:color="000000"/>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PROFESORES</w:t>
            </w:r>
          </w:p>
        </w:tc>
        <w:tc>
          <w:tcPr>
            <w:tcW w:w="0" w:type="auto"/>
            <w:gridSpan w:val="2"/>
            <w:tcBorders>
              <w:top w:val="single" w:sz="6" w:space="0" w:color="000000"/>
              <w:left w:val="single" w:sz="6" w:space="0" w:color="000000"/>
              <w:bottom w:val="single" w:sz="6" w:space="0" w:color="000000"/>
              <w:right w:val="single" w:sz="6" w:space="0" w:color="000000"/>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ADMINISTRATIVOS</w:t>
            </w:r>
          </w:p>
        </w:tc>
        <w:tc>
          <w:tcPr>
            <w:tcW w:w="0" w:type="auto"/>
            <w:gridSpan w:val="2"/>
            <w:tcBorders>
              <w:top w:val="single" w:sz="6" w:space="0" w:color="000000"/>
              <w:left w:val="single" w:sz="6" w:space="0" w:color="000000"/>
              <w:bottom w:val="single" w:sz="6" w:space="0" w:color="000000"/>
              <w:right w:val="single" w:sz="6" w:space="0" w:color="000000"/>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DE SERVICIO</w:t>
            </w:r>
          </w:p>
        </w:tc>
        <w:tc>
          <w:tcPr>
            <w:tcW w:w="167" w:type="dxa"/>
            <w:tcBorders>
              <w:top w:val="nil"/>
              <w:left w:val="single" w:sz="6" w:space="0" w:color="000000"/>
              <w:bottom w:val="nil"/>
              <w:right w:val="single" w:sz="6" w:space="0" w:color="000000"/>
            </w:tcBorders>
            <w:noWrap/>
            <w:vAlign w:val="bottom"/>
          </w:tcPr>
          <w:p w:rsidR="00000000" w:rsidRDefault="0072491A">
            <w:pPr>
              <w:jc w:val="center"/>
              <w:rPr>
                <w:rFonts w:ascii="Arial" w:eastAsia="Arial Unicode MS" w:hAnsi="Arial" w:cs="Arial"/>
                <w:b/>
                <w:bCs/>
                <w:sz w:val="16"/>
                <w:szCs w:val="16"/>
              </w:rPr>
            </w:pPr>
          </w:p>
        </w:tc>
      </w:tr>
      <w:tr w:rsidR="00000000">
        <w:trPr>
          <w:cantSplit/>
          <w:trHeight w:val="255"/>
          <w:jc w:val="center"/>
        </w:trPr>
        <w:tc>
          <w:tcPr>
            <w:tcW w:w="276" w:type="dxa"/>
            <w:tcBorders>
              <w:top w:val="nil"/>
              <w:left w:val="single" w:sz="6" w:space="0" w:color="000000"/>
              <w:bottom w:val="nil"/>
              <w:right w:val="single" w:sz="6" w:space="0" w:color="000000"/>
            </w:tcBorders>
            <w:noWrap/>
            <w:vAlign w:val="bottom"/>
          </w:tcPr>
          <w:p w:rsidR="00000000" w:rsidRDefault="0072491A">
            <w:pPr>
              <w:rPr>
                <w:rFonts w:ascii="Arial" w:eastAsia="Arial Unicode MS" w:hAnsi="Arial" w:cs="Arial"/>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00000" w:rsidRDefault="0072491A">
            <w:pPr>
              <w:rPr>
                <w:rFonts w:ascii="Arial" w:eastAsia="Arial Unicode MS" w:hAnsi="Arial" w:cs="Arial"/>
                <w:b/>
                <w:bCs/>
                <w:sz w:val="16"/>
                <w:szCs w:val="16"/>
              </w:rPr>
            </w:pPr>
          </w:p>
        </w:tc>
        <w:tc>
          <w:tcPr>
            <w:tcW w:w="0" w:type="auto"/>
            <w:tcBorders>
              <w:top w:val="single" w:sz="6" w:space="0" w:color="000000"/>
              <w:left w:val="single" w:sz="6" w:space="0" w:color="000000"/>
              <w:bottom w:val="single" w:sz="6" w:space="0" w:color="000000"/>
              <w:right w:val="single" w:sz="6" w:space="0" w:color="000000"/>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HOMBRES</w:t>
            </w:r>
          </w:p>
        </w:tc>
        <w:tc>
          <w:tcPr>
            <w:tcW w:w="0" w:type="auto"/>
            <w:tcBorders>
              <w:top w:val="single" w:sz="6" w:space="0" w:color="000000"/>
              <w:left w:val="single" w:sz="6" w:space="0" w:color="000000"/>
              <w:bottom w:val="single" w:sz="6" w:space="0" w:color="000000"/>
              <w:right w:val="single" w:sz="6" w:space="0" w:color="000000"/>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MUJERES</w:t>
            </w:r>
          </w:p>
        </w:tc>
        <w:tc>
          <w:tcPr>
            <w:tcW w:w="0" w:type="auto"/>
            <w:tcBorders>
              <w:top w:val="single" w:sz="6" w:space="0" w:color="000000"/>
              <w:left w:val="single" w:sz="6" w:space="0" w:color="000000"/>
              <w:bottom w:val="single" w:sz="6" w:space="0" w:color="000000"/>
              <w:right w:val="single" w:sz="6" w:space="0" w:color="000000"/>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HOMBRES</w:t>
            </w:r>
          </w:p>
        </w:tc>
        <w:tc>
          <w:tcPr>
            <w:tcW w:w="0" w:type="auto"/>
            <w:tcBorders>
              <w:top w:val="single" w:sz="6" w:space="0" w:color="000000"/>
              <w:left w:val="single" w:sz="6" w:space="0" w:color="000000"/>
              <w:bottom w:val="single" w:sz="6" w:space="0" w:color="000000"/>
              <w:right w:val="single" w:sz="6" w:space="0" w:color="000000"/>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MUJERES</w:t>
            </w:r>
          </w:p>
        </w:tc>
        <w:tc>
          <w:tcPr>
            <w:tcW w:w="0" w:type="auto"/>
            <w:tcBorders>
              <w:top w:val="single" w:sz="6" w:space="0" w:color="000000"/>
              <w:left w:val="single" w:sz="6" w:space="0" w:color="000000"/>
              <w:bottom w:val="single" w:sz="6" w:space="0" w:color="000000"/>
              <w:right w:val="single" w:sz="6" w:space="0" w:color="000000"/>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HOMBRES</w:t>
            </w:r>
          </w:p>
        </w:tc>
        <w:tc>
          <w:tcPr>
            <w:tcW w:w="0" w:type="auto"/>
            <w:tcBorders>
              <w:top w:val="single" w:sz="6" w:space="0" w:color="000000"/>
              <w:left w:val="single" w:sz="6" w:space="0" w:color="000000"/>
              <w:bottom w:val="single" w:sz="6" w:space="0" w:color="000000"/>
              <w:right w:val="single" w:sz="6" w:space="0" w:color="000000"/>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MUJERES</w:t>
            </w:r>
          </w:p>
        </w:tc>
        <w:tc>
          <w:tcPr>
            <w:tcW w:w="0" w:type="auto"/>
            <w:tcBorders>
              <w:top w:val="single" w:sz="6" w:space="0" w:color="000000"/>
              <w:left w:val="single" w:sz="6" w:space="0" w:color="000000"/>
              <w:bottom w:val="single" w:sz="6" w:space="0" w:color="000000"/>
              <w:right w:val="single" w:sz="6" w:space="0" w:color="000000"/>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HOMBRES</w:t>
            </w:r>
          </w:p>
        </w:tc>
        <w:tc>
          <w:tcPr>
            <w:tcW w:w="0" w:type="auto"/>
            <w:tcBorders>
              <w:top w:val="single" w:sz="6" w:space="0" w:color="000000"/>
              <w:left w:val="single" w:sz="6" w:space="0" w:color="000000"/>
              <w:bottom w:val="single" w:sz="6" w:space="0" w:color="000000"/>
              <w:right w:val="single" w:sz="6" w:space="0" w:color="000000"/>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MUJERES</w:t>
            </w:r>
          </w:p>
        </w:tc>
        <w:tc>
          <w:tcPr>
            <w:tcW w:w="167" w:type="dxa"/>
            <w:tcBorders>
              <w:top w:val="nil"/>
              <w:left w:val="single" w:sz="6" w:space="0" w:color="000000"/>
              <w:bottom w:val="nil"/>
              <w:right w:val="single" w:sz="6" w:space="0" w:color="000000"/>
            </w:tcBorders>
            <w:noWrap/>
            <w:vAlign w:val="bottom"/>
          </w:tcPr>
          <w:p w:rsidR="00000000" w:rsidRDefault="0072491A">
            <w:pPr>
              <w:rPr>
                <w:rFonts w:ascii="Arial" w:eastAsia="Arial Unicode MS" w:hAnsi="Arial" w:cs="Arial"/>
                <w:b/>
                <w:bCs/>
                <w:sz w:val="16"/>
                <w:szCs w:val="16"/>
              </w:rPr>
            </w:pPr>
          </w:p>
        </w:tc>
      </w:tr>
      <w:tr w:rsidR="00000000">
        <w:trPr>
          <w:trHeight w:val="255"/>
          <w:jc w:val="center"/>
        </w:trPr>
        <w:tc>
          <w:tcPr>
            <w:tcW w:w="276" w:type="dxa"/>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single" w:sz="6" w:space="0" w:color="000000"/>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1993</w:t>
            </w:r>
          </w:p>
        </w:tc>
        <w:tc>
          <w:tcPr>
            <w:tcW w:w="0" w:type="auto"/>
            <w:tcBorders>
              <w:top w:val="single" w:sz="6" w:space="0" w:color="000000"/>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106</w:t>
            </w:r>
          </w:p>
        </w:tc>
        <w:tc>
          <w:tcPr>
            <w:tcW w:w="0" w:type="auto"/>
            <w:tcBorders>
              <w:top w:val="single" w:sz="6" w:space="0" w:color="000000"/>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27</w:t>
            </w:r>
          </w:p>
        </w:tc>
        <w:tc>
          <w:tcPr>
            <w:tcW w:w="0" w:type="auto"/>
            <w:tcBorders>
              <w:top w:val="single" w:sz="6" w:space="0" w:color="000000"/>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602</w:t>
            </w:r>
          </w:p>
        </w:tc>
        <w:tc>
          <w:tcPr>
            <w:tcW w:w="0" w:type="auto"/>
            <w:tcBorders>
              <w:top w:val="single" w:sz="6" w:space="0" w:color="000000"/>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47</w:t>
            </w:r>
          </w:p>
        </w:tc>
        <w:tc>
          <w:tcPr>
            <w:tcW w:w="0" w:type="auto"/>
            <w:tcBorders>
              <w:top w:val="single" w:sz="6" w:space="0" w:color="000000"/>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56</w:t>
            </w:r>
          </w:p>
        </w:tc>
        <w:tc>
          <w:tcPr>
            <w:tcW w:w="0" w:type="auto"/>
            <w:tcBorders>
              <w:top w:val="single" w:sz="6" w:space="0" w:color="000000"/>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108</w:t>
            </w:r>
          </w:p>
        </w:tc>
        <w:tc>
          <w:tcPr>
            <w:tcW w:w="0" w:type="auto"/>
            <w:tcBorders>
              <w:top w:val="single" w:sz="6" w:space="0" w:color="000000"/>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73</w:t>
            </w:r>
          </w:p>
        </w:tc>
        <w:tc>
          <w:tcPr>
            <w:tcW w:w="0" w:type="auto"/>
            <w:tcBorders>
              <w:top w:val="single" w:sz="6" w:space="0" w:color="000000"/>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34</w:t>
            </w:r>
          </w:p>
        </w:tc>
        <w:tc>
          <w:tcPr>
            <w:tcW w:w="167" w:type="dxa"/>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276" w:type="dxa"/>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97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589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460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120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79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29</w:t>
            </w:r>
          </w:p>
        </w:tc>
        <w:tc>
          <w:tcPr>
            <w:tcW w:w="167" w:type="dxa"/>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276" w:type="dxa"/>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632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486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31</w:t>
            </w:r>
          </w:p>
        </w:tc>
        <w:tc>
          <w:tcPr>
            <w:tcW w:w="167" w:type="dxa"/>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276" w:type="dxa"/>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640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495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132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89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37</w:t>
            </w:r>
          </w:p>
        </w:tc>
        <w:tc>
          <w:tcPr>
            <w:tcW w:w="167" w:type="dxa"/>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276" w:type="dxa"/>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661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529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75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135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91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40</w:t>
            </w:r>
          </w:p>
        </w:tc>
        <w:tc>
          <w:tcPr>
            <w:tcW w:w="167" w:type="dxa"/>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276" w:type="dxa"/>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124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660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555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78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140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37</w:t>
            </w:r>
          </w:p>
        </w:tc>
        <w:tc>
          <w:tcPr>
            <w:tcW w:w="167" w:type="dxa"/>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jc w:val="center"/>
        </w:trPr>
        <w:tc>
          <w:tcPr>
            <w:tcW w:w="276" w:type="dxa"/>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2000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674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521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138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74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34</w:t>
            </w:r>
          </w:p>
        </w:tc>
        <w:tc>
          <w:tcPr>
            <w:tcW w:w="167" w:type="dxa"/>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cantSplit/>
          <w:trHeight w:val="255"/>
          <w:jc w:val="center"/>
        </w:trPr>
        <w:tc>
          <w:tcPr>
            <w:tcW w:w="9180" w:type="dxa"/>
            <w:gridSpan w:val="11"/>
            <w:tcBorders>
              <w:top w:val="nil"/>
              <w:left w:val="single" w:sz="6" w:space="0" w:color="000000"/>
              <w:bottom w:val="single" w:sz="6" w:space="0" w:color="000000"/>
              <w:right w:val="single" w:sz="6" w:space="0" w:color="000000"/>
            </w:tcBorders>
            <w:noWrap/>
            <w:vAlign w:val="bottom"/>
          </w:tcPr>
          <w:p w:rsidR="00000000" w:rsidRDefault="0072491A">
            <w:pPr>
              <w:jc w:val="both"/>
              <w:rPr>
                <w:rFonts w:ascii="Arial" w:hAnsi="Arial" w:cs="Arial"/>
              </w:rPr>
            </w:pPr>
            <w:r>
              <w:rPr>
                <w:rFonts w:ascii="Arial" w:hAnsi="Arial" w:cs="Arial"/>
                <w:b/>
                <w:bCs/>
              </w:rPr>
              <w:t>FUENTE</w:t>
            </w:r>
            <w:r>
              <w:rPr>
                <w:rFonts w:ascii="Arial" w:hAnsi="Arial" w:cs="Arial"/>
              </w:rPr>
              <w:t>: Sistema naciona</w:t>
            </w:r>
            <w:r>
              <w:rPr>
                <w:rFonts w:ascii="Arial" w:hAnsi="Arial" w:cs="Arial"/>
              </w:rPr>
              <w:t xml:space="preserve">l de estadísticas educativas, boletines estadísticos: </w:t>
            </w:r>
          </w:p>
          <w:p w:rsidR="00000000" w:rsidRDefault="0072491A">
            <w:pPr>
              <w:rPr>
                <w:rFonts w:ascii="Arial" w:eastAsia="Arial Unicode MS" w:hAnsi="Arial" w:cs="Arial"/>
              </w:rPr>
            </w:pPr>
            <w:r>
              <w:rPr>
                <w:rFonts w:ascii="Arial" w:hAnsi="Arial" w:cs="Arial"/>
              </w:rPr>
              <w:t>La educación en cifras, 1993, 1994, 1995, 1997, 1998 y 1999</w:t>
            </w:r>
          </w:p>
        </w:tc>
      </w:tr>
    </w:tbl>
    <w:p w:rsidR="00000000" w:rsidRDefault="0072491A">
      <w:pPr>
        <w:spacing w:line="480" w:lineRule="auto"/>
        <w:jc w:val="both"/>
        <w:rPr>
          <w:rFonts w:ascii="Arial" w:hAnsi="Arial" w:cs="Arial"/>
          <w:color w:val="000000"/>
          <w:sz w:val="24"/>
        </w:rPr>
      </w:pPr>
    </w:p>
    <w:p w:rsidR="00000000" w:rsidRDefault="0072491A">
      <w:pPr>
        <w:spacing w:line="480" w:lineRule="auto"/>
        <w:ind w:left="426"/>
        <w:jc w:val="both"/>
        <w:rPr>
          <w:rFonts w:ascii="Arial" w:hAnsi="Arial" w:cs="Arial"/>
          <w:sz w:val="24"/>
        </w:rPr>
      </w:pPr>
      <w:r>
        <w:rPr>
          <w:rFonts w:ascii="Arial" w:hAnsi="Arial" w:cs="Arial"/>
          <w:sz w:val="24"/>
        </w:rPr>
        <w:t>En promedio los porcentajes de los directivos, profesores, personal administrativo y personal de servicio son respectivamente 9.44%, 69.67%</w:t>
      </w:r>
      <w:r>
        <w:rPr>
          <w:rFonts w:ascii="Arial" w:hAnsi="Arial" w:cs="Arial"/>
          <w:sz w:val="24"/>
        </w:rPr>
        <w:t>, 12.82% y 8.07%  con respecto al total del personal que labora en educación primaria de la provincia de Bolívar, de acuerdo a los datos que se muestran en la tabla IX de los años 1993 a 1999.</w:t>
      </w:r>
    </w:p>
    <w:p w:rsidR="00000000" w:rsidRDefault="0072491A">
      <w:pPr>
        <w:spacing w:line="480" w:lineRule="auto"/>
        <w:ind w:left="426"/>
        <w:jc w:val="both"/>
        <w:rPr>
          <w:rFonts w:ascii="Arial" w:hAnsi="Arial" w:cs="Arial"/>
          <w:sz w:val="24"/>
        </w:rPr>
      </w:pPr>
    </w:p>
    <w:p w:rsidR="00000000" w:rsidRDefault="0072491A">
      <w:pPr>
        <w:spacing w:line="480" w:lineRule="auto"/>
        <w:ind w:left="426"/>
        <w:jc w:val="both"/>
        <w:rPr>
          <w:rFonts w:ascii="Arial" w:hAnsi="Arial" w:cs="Arial"/>
          <w:sz w:val="24"/>
        </w:rPr>
      </w:pPr>
      <w:r>
        <w:rPr>
          <w:rFonts w:ascii="Arial" w:hAnsi="Arial" w:cs="Arial"/>
          <w:color w:val="000000"/>
          <w:sz w:val="24"/>
        </w:rPr>
        <w:t>De los datos presentados anteriormente en la tabla IX, destaca</w:t>
      </w:r>
      <w:r>
        <w:rPr>
          <w:rFonts w:ascii="Arial" w:hAnsi="Arial" w:cs="Arial"/>
          <w:color w:val="000000"/>
          <w:sz w:val="24"/>
        </w:rPr>
        <w:t xml:space="preserve">mos a los profesores, </w:t>
      </w:r>
      <w:r>
        <w:rPr>
          <w:rFonts w:ascii="Arial" w:hAnsi="Arial" w:cs="Arial"/>
          <w:sz w:val="24"/>
        </w:rPr>
        <w:t>de acuerdo a los datos que se muestran en la tabla X de los años 1993 a 1999, observamos que en promedio los porcentajes de profesores con títulos docentes, no docentes, menor a bachiller, y sin titulo son respectivamente 69.34%, 27.9</w:t>
      </w:r>
      <w:r>
        <w:rPr>
          <w:rFonts w:ascii="Arial" w:hAnsi="Arial" w:cs="Arial"/>
          <w:sz w:val="24"/>
        </w:rPr>
        <w:t>9%, 1.15% y 1.53%. Se puede apreciar que en la educación media es donde más profesionales con títulos no docentes imparten instrucción, aunque tiende a disminuir esta cifra.</w:t>
      </w:r>
    </w:p>
    <w:p w:rsidR="00000000" w:rsidRDefault="0072491A">
      <w:pPr>
        <w:spacing w:line="480" w:lineRule="auto"/>
        <w:ind w:left="426"/>
        <w:jc w:val="both"/>
        <w:rPr>
          <w:rFonts w:ascii="Arial" w:hAnsi="Arial" w:cs="Arial"/>
          <w:color w:val="000000"/>
          <w:sz w:val="24"/>
        </w:rPr>
      </w:pPr>
    </w:p>
    <w:tbl>
      <w:tblPr>
        <w:tblW w:w="8603" w:type="dxa"/>
        <w:tblInd w:w="-8" w:type="dxa"/>
        <w:tblCellMar>
          <w:left w:w="0" w:type="dxa"/>
          <w:right w:w="0" w:type="dxa"/>
        </w:tblCellMar>
        <w:tblLook w:val="0000"/>
      </w:tblPr>
      <w:tblGrid>
        <w:gridCol w:w="608"/>
        <w:gridCol w:w="490"/>
        <w:gridCol w:w="965"/>
        <w:gridCol w:w="762"/>
        <w:gridCol w:w="964"/>
        <w:gridCol w:w="762"/>
        <w:gridCol w:w="964"/>
        <w:gridCol w:w="762"/>
        <w:gridCol w:w="964"/>
        <w:gridCol w:w="762"/>
        <w:gridCol w:w="632"/>
      </w:tblGrid>
      <w:tr w:rsidR="00000000">
        <w:trPr>
          <w:trHeight w:val="255"/>
        </w:trPr>
        <w:tc>
          <w:tcPr>
            <w:tcW w:w="608" w:type="dxa"/>
            <w:tcBorders>
              <w:top w:val="single" w:sz="6" w:space="0" w:color="000000"/>
              <w:left w:val="single" w:sz="6" w:space="0" w:color="000000"/>
              <w:bottom w:val="nil"/>
              <w:right w:val="nil"/>
            </w:tcBorders>
            <w:noWrap/>
            <w:vAlign w:val="bottom"/>
          </w:tcPr>
          <w:p w:rsidR="00000000" w:rsidRDefault="0072491A">
            <w:pPr>
              <w:rPr>
                <w:rFonts w:ascii="Arial" w:eastAsia="Arial Unicode MS" w:hAnsi="Arial" w:cs="Arial"/>
              </w:rPr>
            </w:pPr>
          </w:p>
        </w:tc>
        <w:tc>
          <w:tcPr>
            <w:tcW w:w="7379" w:type="dxa"/>
            <w:gridSpan w:val="9"/>
            <w:tcBorders>
              <w:top w:val="single" w:sz="6" w:space="0" w:color="000000"/>
              <w:left w:val="nil"/>
              <w:bottom w:val="single" w:sz="4" w:space="0" w:color="auto"/>
              <w:right w:val="nil"/>
            </w:tcBorders>
            <w:noWrap/>
            <w:vAlign w:val="bottom"/>
          </w:tcPr>
          <w:p w:rsidR="00000000" w:rsidRDefault="0072491A">
            <w:pPr>
              <w:jc w:val="center"/>
              <w:rPr>
                <w:rFonts w:ascii="Arial" w:hAnsi="Arial" w:cs="Arial"/>
                <w:b/>
                <w:bCs/>
                <w:color w:val="000000"/>
                <w:sz w:val="24"/>
              </w:rPr>
            </w:pPr>
          </w:p>
          <w:p w:rsidR="00000000" w:rsidRDefault="0072491A">
            <w:pPr>
              <w:jc w:val="center"/>
              <w:rPr>
                <w:rFonts w:ascii="Arial" w:hAnsi="Arial" w:cs="Arial"/>
                <w:b/>
                <w:bCs/>
                <w:color w:val="000000"/>
                <w:sz w:val="24"/>
              </w:rPr>
            </w:pPr>
            <w:r>
              <w:rPr>
                <w:rFonts w:ascii="Arial" w:hAnsi="Arial" w:cs="Arial"/>
                <w:b/>
                <w:bCs/>
                <w:color w:val="000000"/>
                <w:sz w:val="24"/>
              </w:rPr>
              <w:t>TABLA X</w:t>
            </w:r>
          </w:p>
          <w:p w:rsidR="00000000" w:rsidRDefault="0072491A">
            <w:pPr>
              <w:jc w:val="center"/>
              <w:rPr>
                <w:rFonts w:ascii="Arial" w:hAnsi="Arial" w:cs="Arial"/>
                <w:b/>
                <w:bCs/>
                <w:color w:val="000000"/>
                <w:sz w:val="24"/>
              </w:rPr>
            </w:pPr>
          </w:p>
          <w:p w:rsidR="00000000" w:rsidRDefault="0072491A">
            <w:pPr>
              <w:pStyle w:val="Ttulo1"/>
              <w:rPr>
                <w:rFonts w:eastAsia="Arial Unicode MS"/>
              </w:rPr>
            </w:pPr>
            <w:bookmarkStart w:id="42" w:name="_Toc9091609"/>
            <w:r>
              <w:t>PROVINCIA DE BOLÍVAR: DOCENTES DE SECUNDARIA POR TÍTULO Y SEXO</w:t>
            </w:r>
            <w:bookmarkEnd w:id="42"/>
          </w:p>
        </w:tc>
        <w:tc>
          <w:tcPr>
            <w:tcW w:w="616" w:type="dxa"/>
            <w:tcBorders>
              <w:top w:val="single" w:sz="6" w:space="0" w:color="000000"/>
              <w:left w:val="nil"/>
              <w:bottom w:val="nil"/>
              <w:right w:val="single" w:sz="6" w:space="0" w:color="000000"/>
            </w:tcBorders>
            <w:noWrap/>
            <w:vAlign w:val="bottom"/>
          </w:tcPr>
          <w:p w:rsidR="00000000" w:rsidRDefault="0072491A">
            <w:pPr>
              <w:jc w:val="center"/>
              <w:rPr>
                <w:rFonts w:ascii="Arial" w:eastAsia="Arial Unicode MS" w:hAnsi="Arial" w:cs="Arial"/>
                <w:b/>
                <w:bCs/>
              </w:rPr>
            </w:pPr>
          </w:p>
        </w:tc>
      </w:tr>
      <w:tr w:rsidR="00000000">
        <w:trPr>
          <w:cantSplit/>
          <w:trHeight w:val="255"/>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vMerge w:val="restart"/>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AÑO</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DOCENTE</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NO DOCENTE</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MENOR BACHILLER</w:t>
            </w:r>
          </w:p>
        </w:tc>
        <w:tc>
          <w:tcPr>
            <w:tcW w:w="0" w:type="auto"/>
            <w:gridSpan w:val="2"/>
            <w:tcBorders>
              <w:top w:val="nil"/>
              <w:left w:val="nil"/>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SIN TITULO</w:t>
            </w:r>
          </w:p>
        </w:tc>
        <w:tc>
          <w:tcPr>
            <w:tcW w:w="0" w:type="auto"/>
            <w:tcBorders>
              <w:top w:val="nil"/>
              <w:left w:val="nil"/>
              <w:bottom w:val="nil"/>
              <w:right w:val="single" w:sz="6" w:space="0" w:color="000000"/>
            </w:tcBorders>
            <w:noWrap/>
            <w:vAlign w:val="bottom"/>
          </w:tcPr>
          <w:p w:rsidR="00000000" w:rsidRDefault="0072491A">
            <w:pPr>
              <w:jc w:val="center"/>
              <w:rPr>
                <w:rFonts w:ascii="Arial" w:eastAsia="Arial Unicode MS" w:hAnsi="Arial" w:cs="Arial"/>
                <w:b/>
                <w:bCs/>
                <w:sz w:val="16"/>
                <w:szCs w:val="16"/>
              </w:rPr>
            </w:pPr>
          </w:p>
        </w:tc>
      </w:tr>
      <w:tr w:rsidR="00000000">
        <w:trPr>
          <w:cantSplit/>
          <w:trHeight w:val="255"/>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vMerge/>
            <w:tcBorders>
              <w:top w:val="nil"/>
              <w:left w:val="single" w:sz="4" w:space="0" w:color="auto"/>
              <w:bottom w:val="single" w:sz="4" w:space="0" w:color="auto"/>
              <w:right w:val="single" w:sz="4" w:space="0" w:color="auto"/>
            </w:tcBorders>
            <w:vAlign w:val="center"/>
          </w:tcPr>
          <w:p w:rsidR="00000000" w:rsidRDefault="0072491A">
            <w:pPr>
              <w:rPr>
                <w:rFonts w:ascii="Arial" w:eastAsia="Arial Unicode MS" w:hAnsi="Arial" w:cs="Arial"/>
                <w:b/>
                <w:bCs/>
                <w:sz w:val="16"/>
                <w:szCs w:val="16"/>
              </w:rPr>
            </w:pP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HOMBRE</w:t>
            </w:r>
          </w:p>
        </w:tc>
        <w:tc>
          <w:tcPr>
            <w:tcW w:w="0" w:type="auto"/>
            <w:tcBorders>
              <w:top w:val="nil"/>
              <w:left w:val="nil"/>
              <w:bottom w:val="single" w:sz="4" w:space="0" w:color="auto"/>
              <w:right w:val="single" w:sz="4" w:space="0" w:color="auto"/>
            </w:tcBorders>
            <w:noWrap/>
            <w:vAlign w:val="bottom"/>
          </w:tcPr>
          <w:p w:rsidR="00000000" w:rsidRDefault="0072491A">
            <w:pPr>
              <w:rPr>
                <w:rFonts w:ascii="Arial" w:eastAsia="Arial Unicode MS" w:hAnsi="Arial" w:cs="Arial"/>
                <w:b/>
                <w:bCs/>
                <w:sz w:val="16"/>
                <w:szCs w:val="16"/>
              </w:rPr>
            </w:pPr>
            <w:r>
              <w:rPr>
                <w:rFonts w:ascii="Arial" w:hAnsi="Arial" w:cs="Arial"/>
                <w:b/>
                <w:bCs/>
                <w:sz w:val="16"/>
                <w:szCs w:val="16"/>
              </w:rPr>
              <w:t>MUJER</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b/>
                <w:bCs/>
                <w:sz w:val="16"/>
                <w:szCs w:val="16"/>
              </w:rPr>
            </w:pPr>
          </w:p>
        </w:tc>
      </w:tr>
      <w:tr w:rsidR="00000000">
        <w:trPr>
          <w:trHeight w:val="255"/>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411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328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351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252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23</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507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400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236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203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14</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515</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394</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223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528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407</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223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570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446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20</w:t>
            </w:r>
            <w:r>
              <w:rPr>
                <w:rFonts w:ascii="Arial" w:hAnsi="Arial" w:cs="Arial"/>
                <w:sz w:val="16"/>
                <w:szCs w:val="16"/>
              </w:rPr>
              <w:t>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112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trHeight w:val="255"/>
        </w:trPr>
        <w:tc>
          <w:tcPr>
            <w:tcW w:w="0" w:type="auto"/>
            <w:tcBorders>
              <w:top w:val="nil"/>
              <w:left w:val="single" w:sz="6" w:space="0" w:color="000000"/>
              <w:bottom w:val="nil"/>
              <w:right w:val="nil"/>
            </w:tcBorders>
            <w:noWrap/>
            <w:vAlign w:val="bottom"/>
          </w:tcPr>
          <w:p w:rsidR="00000000" w:rsidRDefault="0072491A">
            <w:pPr>
              <w:rPr>
                <w:rFonts w:ascii="Arial" w:eastAsia="Arial Unicode MS" w:hAnsi="Arial" w:cs="Arial"/>
              </w:rPr>
            </w:pPr>
          </w:p>
        </w:tc>
        <w:tc>
          <w:tcPr>
            <w:tcW w:w="0" w:type="auto"/>
            <w:tcBorders>
              <w:top w:val="nil"/>
              <w:left w:val="single" w:sz="4" w:space="0" w:color="auto"/>
              <w:bottom w:val="single" w:sz="4" w:space="0" w:color="auto"/>
              <w:right w:val="single" w:sz="4" w:space="0" w:color="auto"/>
            </w:tcBorders>
            <w:noWrap/>
            <w:vAlign w:val="bottom"/>
          </w:tcPr>
          <w:p w:rsidR="00000000" w:rsidRDefault="0072491A">
            <w:pPr>
              <w:jc w:val="center"/>
              <w:rPr>
                <w:rFonts w:ascii="Arial" w:eastAsia="Arial Unicode MS" w:hAnsi="Arial" w:cs="Arial"/>
                <w:b/>
                <w:bCs/>
                <w:sz w:val="16"/>
                <w:szCs w:val="16"/>
              </w:rPr>
            </w:pPr>
            <w:r>
              <w:rPr>
                <w:rFonts w:ascii="Arial" w:hAnsi="Arial" w:cs="Arial"/>
                <w:b/>
                <w:bCs/>
                <w:sz w:val="16"/>
                <w:szCs w:val="16"/>
              </w:rPr>
              <w:t>1999</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618</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493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163</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96</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2</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1</w:t>
            </w:r>
          </w:p>
        </w:tc>
        <w:tc>
          <w:tcPr>
            <w:tcW w:w="0" w:type="auto"/>
            <w:tcBorders>
              <w:top w:val="nil"/>
              <w:left w:val="nil"/>
              <w:bottom w:val="single" w:sz="4" w:space="0" w:color="auto"/>
              <w:right w:val="single" w:sz="4" w:space="0" w:color="auto"/>
            </w:tcBorders>
            <w:noWrap/>
            <w:vAlign w:val="bottom"/>
          </w:tcPr>
          <w:p w:rsidR="00000000" w:rsidRDefault="0072491A">
            <w:pPr>
              <w:jc w:val="right"/>
              <w:rPr>
                <w:rFonts w:ascii="Arial" w:eastAsia="Arial Unicode MS" w:hAnsi="Arial" w:cs="Arial"/>
                <w:sz w:val="16"/>
                <w:szCs w:val="16"/>
              </w:rPr>
            </w:pPr>
            <w:r>
              <w:rPr>
                <w:rFonts w:ascii="Arial" w:hAnsi="Arial" w:cs="Arial"/>
                <w:sz w:val="16"/>
                <w:szCs w:val="16"/>
              </w:rPr>
              <w:t>0</w:t>
            </w:r>
          </w:p>
        </w:tc>
        <w:tc>
          <w:tcPr>
            <w:tcW w:w="0" w:type="auto"/>
            <w:tcBorders>
              <w:top w:val="nil"/>
              <w:left w:val="nil"/>
              <w:bottom w:val="nil"/>
              <w:right w:val="single" w:sz="6" w:space="0" w:color="000000"/>
            </w:tcBorders>
            <w:noWrap/>
            <w:vAlign w:val="bottom"/>
          </w:tcPr>
          <w:p w:rsidR="00000000" w:rsidRDefault="0072491A">
            <w:pPr>
              <w:rPr>
                <w:rFonts w:ascii="Arial" w:eastAsia="Arial Unicode MS" w:hAnsi="Arial" w:cs="Arial"/>
                <w:sz w:val="16"/>
                <w:szCs w:val="16"/>
              </w:rPr>
            </w:pPr>
          </w:p>
        </w:tc>
      </w:tr>
      <w:tr w:rsidR="00000000">
        <w:trPr>
          <w:cantSplit/>
          <w:trHeight w:val="255"/>
        </w:trPr>
        <w:tc>
          <w:tcPr>
            <w:tcW w:w="0" w:type="auto"/>
            <w:gridSpan w:val="11"/>
            <w:tcBorders>
              <w:top w:val="nil"/>
              <w:left w:val="single" w:sz="6" w:space="0" w:color="000000"/>
              <w:bottom w:val="single" w:sz="6" w:space="0" w:color="000000"/>
              <w:right w:val="single" w:sz="6" w:space="0" w:color="000000"/>
            </w:tcBorders>
            <w:noWrap/>
            <w:vAlign w:val="bottom"/>
          </w:tcPr>
          <w:p w:rsidR="00000000" w:rsidRDefault="0072491A">
            <w:pPr>
              <w:jc w:val="both"/>
              <w:rPr>
                <w:rFonts w:ascii="Arial" w:hAnsi="Arial" w:cs="Arial"/>
              </w:rPr>
            </w:pPr>
            <w:r>
              <w:rPr>
                <w:rFonts w:ascii="Arial" w:hAnsi="Arial" w:cs="Arial"/>
                <w:b/>
                <w:bCs/>
              </w:rPr>
              <w:t>FUENTE</w:t>
            </w:r>
            <w:r>
              <w:rPr>
                <w:rFonts w:ascii="Arial" w:hAnsi="Arial" w:cs="Arial"/>
              </w:rPr>
              <w:t xml:space="preserve">: Sistema nacional de estadísticas educativas, boletines estadísticos: </w:t>
            </w:r>
          </w:p>
          <w:p w:rsidR="00000000" w:rsidRDefault="0072491A">
            <w:pPr>
              <w:jc w:val="both"/>
              <w:rPr>
                <w:rFonts w:ascii="Arial" w:hAnsi="Arial" w:cs="Arial"/>
              </w:rPr>
            </w:pPr>
            <w:r>
              <w:rPr>
                <w:rFonts w:ascii="Arial" w:hAnsi="Arial" w:cs="Arial"/>
              </w:rPr>
              <w:t>La educación en cifras, 1993, 1994, 1995, 1997, 1998 y 1999</w:t>
            </w:r>
          </w:p>
          <w:p w:rsidR="00000000" w:rsidRDefault="0072491A">
            <w:pPr>
              <w:rPr>
                <w:rFonts w:ascii="Arial" w:eastAsia="Arial Unicode MS" w:hAnsi="Arial" w:cs="Arial"/>
                <w:szCs w:val="16"/>
              </w:rPr>
            </w:pPr>
          </w:p>
        </w:tc>
      </w:tr>
    </w:tbl>
    <w:p w:rsidR="00000000" w:rsidRDefault="0072491A">
      <w:pPr>
        <w:spacing w:line="480" w:lineRule="auto"/>
        <w:jc w:val="both"/>
        <w:rPr>
          <w:rFonts w:ascii="Arial" w:hAnsi="Arial" w:cs="Arial"/>
          <w:color w:val="000000"/>
          <w:sz w:val="24"/>
        </w:rPr>
      </w:pPr>
    </w:p>
    <w:p w:rsidR="00000000" w:rsidRDefault="0072491A">
      <w:pPr>
        <w:spacing w:line="480" w:lineRule="auto"/>
        <w:ind w:left="426"/>
        <w:jc w:val="both"/>
        <w:rPr>
          <w:rFonts w:ascii="Arial" w:hAnsi="Arial" w:cs="Arial"/>
          <w:color w:val="000000"/>
          <w:sz w:val="24"/>
        </w:rPr>
      </w:pPr>
      <w:r>
        <w:rPr>
          <w:rFonts w:ascii="Arial" w:hAnsi="Arial" w:cs="Arial"/>
          <w:color w:val="000000"/>
          <w:sz w:val="24"/>
        </w:rPr>
        <w:t>De los profesores se puede apreciar en la tabla X, que en promedio d</w:t>
      </w:r>
      <w:r>
        <w:rPr>
          <w:rFonts w:ascii="Arial" w:hAnsi="Arial" w:cs="Arial"/>
          <w:color w:val="000000"/>
          <w:sz w:val="24"/>
        </w:rPr>
        <w:t>esde el año 1993 hasta 1999 la variación porcentual del número de profesores con titulo docente de año tras año presenta un crecimiento 8.77%; mientras la variación porcentual del número de profesores con titulo no docente, de profesores con titulo menor a</w:t>
      </w:r>
      <w:r>
        <w:rPr>
          <w:rFonts w:ascii="Arial" w:hAnsi="Arial" w:cs="Arial"/>
          <w:color w:val="000000"/>
          <w:sz w:val="24"/>
        </w:rPr>
        <w:t xml:space="preserve"> bachiller y de profesores sin titulo presentan un decrecimiento del 14.89%, 23.69% y 23.33% respectivamente.</w:t>
      </w:r>
    </w:p>
    <w:p w:rsidR="0072491A" w:rsidRDefault="0072491A">
      <w:pPr>
        <w:spacing w:line="480" w:lineRule="auto"/>
        <w:ind w:left="426"/>
        <w:jc w:val="both"/>
        <w:rPr>
          <w:rFonts w:ascii="Arial" w:hAnsi="Arial" w:cs="Arial"/>
          <w:color w:val="000000"/>
          <w:sz w:val="24"/>
        </w:rPr>
      </w:pPr>
    </w:p>
    <w:sectPr w:rsidR="0072491A">
      <w:headerReference w:type="default" r:id="rId21"/>
      <w:pgSz w:w="11906" w:h="16838" w:code="9"/>
      <w:pgMar w:top="2268" w:right="1361" w:bottom="2268" w:left="2268"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91A" w:rsidRDefault="0072491A">
      <w:r>
        <w:separator/>
      </w:r>
    </w:p>
  </w:endnote>
  <w:endnote w:type="continuationSeparator" w:id="1">
    <w:p w:rsidR="0072491A" w:rsidRDefault="007249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91A" w:rsidRDefault="0072491A">
      <w:r>
        <w:separator/>
      </w:r>
    </w:p>
  </w:footnote>
  <w:footnote w:type="continuationSeparator" w:id="1">
    <w:p w:rsidR="0072491A" w:rsidRDefault="00724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2491A">
    <w:pPr>
      <w:pStyle w:val="Encabezado"/>
      <w:jc w:val="right"/>
    </w:pPr>
  </w:p>
  <w:p w:rsidR="00000000" w:rsidRDefault="0072491A">
    <w:pPr>
      <w:pStyle w:val="Encabezado"/>
      <w:jc w:val="right"/>
      <w:rPr>
        <w:rFonts w:ascii="Arial" w:hAnsi="Arial" w:cs="Arial"/>
        <w:sz w:val="24"/>
      </w:rPr>
    </w:pP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7956D9">
      <w:rPr>
        <w:rStyle w:val="Nmerodepgina"/>
        <w:rFonts w:ascii="Arial" w:hAnsi="Arial" w:cs="Arial"/>
        <w:noProof/>
        <w:sz w:val="24"/>
      </w:rPr>
      <w:t>0</w:t>
    </w:r>
    <w:r>
      <w:rPr>
        <w:rStyle w:val="Nmerodepgina"/>
        <w:rFonts w:ascii="Arial" w:hAnsi="Arial" w:cs="Arial"/>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2C4"/>
    <w:multiLevelType w:val="hybridMultilevel"/>
    <w:tmpl w:val="DEC6D9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0E86486"/>
    <w:multiLevelType w:val="hybridMultilevel"/>
    <w:tmpl w:val="7DF4841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6841E82"/>
    <w:multiLevelType w:val="hybridMultilevel"/>
    <w:tmpl w:val="442A8D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C960A68"/>
    <w:multiLevelType w:val="hybridMultilevel"/>
    <w:tmpl w:val="DB7838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164D07"/>
    <w:multiLevelType w:val="hybridMultilevel"/>
    <w:tmpl w:val="B41042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06B6BEF"/>
    <w:multiLevelType w:val="hybridMultilevel"/>
    <w:tmpl w:val="DC2063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E2B6EF0"/>
    <w:multiLevelType w:val="hybridMultilevel"/>
    <w:tmpl w:val="7CCAE3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2731317"/>
    <w:multiLevelType w:val="hybridMultilevel"/>
    <w:tmpl w:val="2C7875A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3318566C"/>
    <w:multiLevelType w:val="hybridMultilevel"/>
    <w:tmpl w:val="58F647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8955D2"/>
    <w:multiLevelType w:val="hybridMultilevel"/>
    <w:tmpl w:val="643E3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CFC28FB"/>
    <w:multiLevelType w:val="hybridMultilevel"/>
    <w:tmpl w:val="D15428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2F84C02"/>
    <w:multiLevelType w:val="hybridMultilevel"/>
    <w:tmpl w:val="72DCF54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6353352C"/>
    <w:multiLevelType w:val="hybridMultilevel"/>
    <w:tmpl w:val="46802E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5971367"/>
    <w:multiLevelType w:val="hybridMultilevel"/>
    <w:tmpl w:val="F6CEEE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99F458F"/>
    <w:multiLevelType w:val="hybridMultilevel"/>
    <w:tmpl w:val="870C39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71D53A02"/>
    <w:multiLevelType w:val="hybridMultilevel"/>
    <w:tmpl w:val="5B6222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4386336"/>
    <w:multiLevelType w:val="hybridMultilevel"/>
    <w:tmpl w:val="3EDA847E"/>
    <w:lvl w:ilvl="0" w:tplc="832EEA46">
      <w:start w:val="50"/>
      <w:numFmt w:val="bullet"/>
      <w:lvlText w:val=""/>
      <w:lvlJc w:val="left"/>
      <w:pPr>
        <w:tabs>
          <w:tab w:val="num" w:pos="720"/>
        </w:tabs>
        <w:ind w:left="720" w:hanging="360"/>
      </w:pPr>
      <w:rPr>
        <w:rFonts w:ascii="Symbol" w:eastAsia="Times New Roman" w:hAnsi="Symbol" w:cs="Arial"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59C23DF"/>
    <w:multiLevelType w:val="hybridMultilevel"/>
    <w:tmpl w:val="B07C0E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C010145"/>
    <w:multiLevelType w:val="hybridMultilevel"/>
    <w:tmpl w:val="CD4C66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FB46BCD"/>
    <w:multiLevelType w:val="hybridMultilevel"/>
    <w:tmpl w:val="D51C3A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2"/>
  </w:num>
  <w:num w:numId="4">
    <w:abstractNumId w:val="6"/>
  </w:num>
  <w:num w:numId="5">
    <w:abstractNumId w:val="15"/>
  </w:num>
  <w:num w:numId="6">
    <w:abstractNumId w:val="13"/>
  </w:num>
  <w:num w:numId="7">
    <w:abstractNumId w:val="18"/>
  </w:num>
  <w:num w:numId="8">
    <w:abstractNumId w:val="11"/>
  </w:num>
  <w:num w:numId="9">
    <w:abstractNumId w:val="1"/>
  </w:num>
  <w:num w:numId="10">
    <w:abstractNumId w:val="14"/>
  </w:num>
  <w:num w:numId="11">
    <w:abstractNumId w:val="5"/>
  </w:num>
  <w:num w:numId="12">
    <w:abstractNumId w:val="17"/>
  </w:num>
  <w:num w:numId="13">
    <w:abstractNumId w:val="7"/>
  </w:num>
  <w:num w:numId="14">
    <w:abstractNumId w:val="8"/>
  </w:num>
  <w:num w:numId="15">
    <w:abstractNumId w:val="19"/>
  </w:num>
  <w:num w:numId="16">
    <w:abstractNumId w:val="16"/>
  </w:num>
  <w:num w:numId="17">
    <w:abstractNumId w:val="2"/>
  </w:num>
  <w:num w:numId="18">
    <w:abstractNumId w:val="10"/>
  </w:num>
  <w:num w:numId="19">
    <w:abstractNumId w:val="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956D9"/>
    <w:rsid w:val="0072491A"/>
    <w:rsid w:val="007956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jc w:val="center"/>
      <w:outlineLvl w:val="0"/>
    </w:pPr>
    <w:rPr>
      <w:rFonts w:ascii="Arial" w:hAnsi="Arial" w:cs="Arial"/>
      <w:b/>
      <w:bCs/>
      <w:color w:val="000000"/>
      <w:sz w:val="24"/>
    </w:rPr>
  </w:style>
  <w:style w:type="paragraph" w:styleId="Ttulo2">
    <w:name w:val="heading 2"/>
    <w:basedOn w:val="Normal"/>
    <w:next w:val="Normal"/>
    <w:qFormat/>
    <w:pPr>
      <w:keepNext/>
      <w:ind w:left="120"/>
      <w:jc w:val="center"/>
      <w:outlineLvl w:val="1"/>
    </w:pPr>
    <w:rPr>
      <w:b/>
      <w:color w:val="000000"/>
      <w:sz w:val="23"/>
      <w:lang w:val="es-ES"/>
    </w:rPr>
  </w:style>
  <w:style w:type="paragraph" w:styleId="Ttulo3">
    <w:name w:val="heading 3"/>
    <w:basedOn w:val="Normal"/>
    <w:next w:val="Normal"/>
    <w:qFormat/>
    <w:pPr>
      <w:keepNext/>
      <w:ind w:left="120"/>
      <w:jc w:val="center"/>
      <w:outlineLvl w:val="2"/>
    </w:pPr>
    <w:rPr>
      <w:b/>
      <w:sz w:val="22"/>
      <w:lang w:val="es-ES"/>
    </w:rPr>
  </w:style>
  <w:style w:type="paragraph" w:styleId="Ttulo4">
    <w:name w:val="heading 4"/>
    <w:basedOn w:val="Normal"/>
    <w:next w:val="Normal"/>
    <w:qFormat/>
    <w:pPr>
      <w:keepNext/>
      <w:outlineLvl w:val="3"/>
    </w:pPr>
    <w:rPr>
      <w:b/>
      <w:sz w:val="28"/>
      <w:lang w:val="es-ES_tradnl"/>
    </w:rPr>
  </w:style>
  <w:style w:type="paragraph" w:styleId="Ttulo5">
    <w:name w:val="heading 5"/>
    <w:basedOn w:val="Normal"/>
    <w:next w:val="Normal"/>
    <w:qFormat/>
    <w:pPr>
      <w:keepNext/>
      <w:ind w:left="120"/>
      <w:jc w:val="center"/>
      <w:outlineLvl w:val="4"/>
    </w:pPr>
    <w:rPr>
      <w:b/>
      <w:sz w:val="23"/>
      <w:lang w:val="es-MX"/>
    </w:rPr>
  </w:style>
  <w:style w:type="paragraph" w:styleId="Ttulo6">
    <w:name w:val="heading 6"/>
    <w:basedOn w:val="Normal"/>
    <w:next w:val="Normal"/>
    <w:qFormat/>
    <w:pPr>
      <w:keepNext/>
      <w:outlineLvl w:val="5"/>
    </w:pPr>
    <w:rPr>
      <w:rFonts w:ascii="Arial" w:hAnsi="Arial" w:cs="Arial"/>
      <w:b/>
      <w:color w:val="000000"/>
      <w:sz w:val="28"/>
      <w:lang w:val="es-ES"/>
    </w:rPr>
  </w:style>
  <w:style w:type="paragraph" w:styleId="Ttulo7">
    <w:name w:val="heading 7"/>
    <w:basedOn w:val="Normal"/>
    <w:next w:val="Normal"/>
    <w:qFormat/>
    <w:pPr>
      <w:keepNext/>
      <w:jc w:val="right"/>
      <w:outlineLvl w:val="6"/>
    </w:pPr>
    <w:rPr>
      <w:rFonts w:ascii="Arial" w:hAnsi="Arial" w:cs="Arial"/>
      <w:b/>
      <w:snapToGrid w:val="0"/>
      <w:color w:val="000000"/>
      <w:sz w:val="28"/>
      <w:lang w:val="es-ES"/>
    </w:rPr>
  </w:style>
  <w:style w:type="paragraph" w:styleId="Ttulo8">
    <w:name w:val="heading 8"/>
    <w:basedOn w:val="Normal"/>
    <w:next w:val="Normal"/>
    <w:qFormat/>
    <w:pPr>
      <w:keepNext/>
      <w:jc w:val="center"/>
      <w:outlineLvl w:val="7"/>
    </w:pPr>
    <w:rPr>
      <w:rFonts w:ascii="Arial" w:hAnsi="Arial" w:cs="Arial"/>
      <w:b/>
      <w:snapToGrid w:val="0"/>
      <w:color w:val="000000"/>
      <w:sz w:val="28"/>
      <w:lang w:val="es-ES"/>
    </w:rPr>
  </w:style>
  <w:style w:type="paragraph" w:styleId="Ttulo9">
    <w:name w:val="heading 9"/>
    <w:basedOn w:val="Normal"/>
    <w:next w:val="Normal"/>
    <w:qFormat/>
    <w:pPr>
      <w:keepNext/>
      <w:outlineLvl w:val="8"/>
    </w:pPr>
    <w:rPr>
      <w:rFonts w:ascii="Arial" w:hAnsi="Arial" w:cs="Arial"/>
      <w:b/>
      <w:snapToGrid w:val="0"/>
      <w:color w:val="000000"/>
      <w:sz w:val="18"/>
      <w:lang w:val="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es-ES"/>
    </w:rPr>
  </w:style>
  <w:style w:type="paragraph" w:styleId="Sangradetextonormal">
    <w:name w:val="Body Text Indent"/>
    <w:basedOn w:val="Normal"/>
    <w:semiHidden/>
    <w:pPr>
      <w:ind w:left="120"/>
      <w:jc w:val="both"/>
    </w:pPr>
    <w:rPr>
      <w:color w:val="000000"/>
      <w:sz w:val="23"/>
      <w:lang w:val="es-ES"/>
    </w:rPr>
  </w:style>
  <w:style w:type="paragraph" w:styleId="Textoindependiente">
    <w:name w:val="Body Text"/>
    <w:basedOn w:val="Normal"/>
    <w:semiHidden/>
    <w:rPr>
      <w:rFonts w:ascii="Arial" w:hAnsi="Arial" w:cs="Arial"/>
      <w:b/>
      <w:color w:val="000000"/>
      <w:sz w:val="28"/>
      <w:lang w:val="es-ES"/>
    </w:rPr>
  </w:style>
  <w:style w:type="paragraph" w:styleId="Textoindependiente3">
    <w:name w:val="Body Text 3"/>
    <w:basedOn w:val="Normal"/>
    <w:semiHidden/>
    <w:pPr>
      <w:jc w:val="both"/>
    </w:pPr>
    <w:rPr>
      <w:rFonts w:ascii="Arial" w:hAnsi="Arial" w:cs="Arial"/>
      <w:sz w:val="28"/>
      <w:lang w:val="es-ES"/>
    </w:rPr>
  </w:style>
  <w:style w:type="paragraph" w:styleId="Sangra3detindependiente">
    <w:name w:val="Body Text Indent 3"/>
    <w:basedOn w:val="Normal"/>
    <w:semiHidden/>
    <w:pPr>
      <w:spacing w:line="480" w:lineRule="auto"/>
      <w:ind w:left="120"/>
      <w:jc w:val="both"/>
    </w:pPr>
    <w:rPr>
      <w:rFonts w:ascii="Arial" w:hAnsi="Arial" w:cs="Arial"/>
      <w:bCs/>
      <w:color w:val="000000"/>
      <w:sz w:val="24"/>
      <w:lang w:val="es-E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character" w:styleId="Hipervnculo">
    <w:name w:val="Hyperlink"/>
    <w:basedOn w:val="Fuentedeprrafopredeter"/>
    <w:semiHidden/>
    <w:rPr>
      <w:color w:val="0000FF"/>
      <w:u w:val="single"/>
    </w:rPr>
  </w:style>
  <w:style w:type="paragraph" w:styleId="Textoindependiente2">
    <w:name w:val="Body Text 2"/>
    <w:basedOn w:val="Normal"/>
    <w:semiHidden/>
    <w:pPr>
      <w:spacing w:line="480" w:lineRule="auto"/>
      <w:jc w:val="both"/>
    </w:pPr>
    <w:rPr>
      <w:rFonts w:ascii="Arial" w:hAnsi="Arial" w:cs="Arial"/>
      <w:sz w:val="24"/>
    </w:rPr>
  </w:style>
  <w:style w:type="character" w:styleId="Hipervnculovisitado">
    <w:name w:val="FollowedHyperlink"/>
    <w:basedOn w:val="Fuentedeprrafopredeter"/>
    <w:semiHidden/>
    <w:rPr>
      <w:color w:val="800080"/>
      <w:u w:val="single"/>
    </w:rPr>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paragraph" w:styleId="Sangra2detindependiente">
    <w:name w:val="Body Text Indent 2"/>
    <w:basedOn w:val="Normal"/>
    <w:semiHidden/>
    <w:pPr>
      <w:spacing w:line="480" w:lineRule="auto"/>
      <w:ind w:left="709"/>
      <w:jc w:val="both"/>
    </w:pPr>
    <w:rPr>
      <w:rFonts w:ascii="Arial" w:hAnsi="Arial" w:cs="Arial"/>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scom.or.cr/cdp/proyecu/sociales/bolivar.html" TargetMode="Externa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es-ES"/>
  <c:chart>
    <c:plotArea>
      <c:layout>
        <c:manualLayout>
          <c:layoutTarget val="inner"/>
          <c:xMode val="edge"/>
          <c:yMode val="edge"/>
          <c:x val="0.14285714285714293"/>
          <c:y val="4.9751243781094509E-2"/>
          <c:w val="0.8477751756440286"/>
          <c:h val="0.85572139303482631"/>
        </c:manualLayout>
      </c:layout>
      <c:barChart>
        <c:barDir val="col"/>
        <c:grouping val="clustered"/>
        <c:ser>
          <c:idx val="0"/>
          <c:order val="0"/>
          <c:spPr>
            <a:noFill/>
            <a:ln w="12681">
              <a:solidFill>
                <a:srgbClr val="000000"/>
              </a:solidFill>
              <a:prstDash val="solid"/>
            </a:ln>
          </c:spPr>
          <c:dLbls>
            <c:dLbl>
              <c:idx val="5"/>
              <c:layout>
                <c:manualLayout>
                  <c:xMode val="edge"/>
                  <c:yMode val="edge"/>
                  <c:x val="0.88758782201405151"/>
                  <c:y val="0.82587064676616939"/>
                </c:manualLayout>
              </c:layout>
              <c:dLblPos val="outEnd"/>
              <c:showVal val="1"/>
            </c:dLbl>
            <c:spPr>
              <a:noFill/>
              <a:ln w="25363">
                <a:noFill/>
              </a:ln>
            </c:spPr>
            <c:txPr>
              <a:bodyPr/>
              <a:lstStyle/>
              <a:p>
                <a:pPr>
                  <a:defRPr sz="849" b="0" i="0" u="none" strike="noStrike" baseline="0">
                    <a:solidFill>
                      <a:srgbClr val="000000"/>
                    </a:solidFill>
                    <a:latin typeface="Arial"/>
                    <a:ea typeface="Arial"/>
                    <a:cs typeface="Arial"/>
                  </a:defRPr>
                </a:pPr>
                <a:endParaRPr lang="es-ES"/>
              </a:p>
            </c:txPr>
            <c:showVal val="1"/>
          </c:dLbls>
          <c:cat>
            <c:strRef>
              <c:f>Hoja3!$A$1:$A$6</c:f>
              <c:strCache>
                <c:ptCount val="6"/>
                <c:pt idx="0">
                  <c:v>NINGUNO</c:v>
                </c:pt>
                <c:pt idx="1">
                  <c:v>CEN ALFABET</c:v>
                </c:pt>
                <c:pt idx="2">
                  <c:v>PRIMARIO</c:v>
                </c:pt>
                <c:pt idx="3">
                  <c:v>SECUNDARIO</c:v>
                </c:pt>
                <c:pt idx="4">
                  <c:v>SUPERIOR</c:v>
                </c:pt>
                <c:pt idx="5">
                  <c:v>POSTGRADO</c:v>
                </c:pt>
              </c:strCache>
            </c:strRef>
          </c:cat>
          <c:val>
            <c:numRef>
              <c:f>Hoja3!$C$1:$C$6</c:f>
              <c:numCache>
                <c:formatCode>0.0%</c:formatCode>
                <c:ptCount val="6"/>
                <c:pt idx="0">
                  <c:v>0.1808608241254139</c:v>
                </c:pt>
                <c:pt idx="1">
                  <c:v>1.681758346962384E-2</c:v>
                </c:pt>
                <c:pt idx="2">
                  <c:v>0.60219394471259324</c:v>
                </c:pt>
                <c:pt idx="3">
                  <c:v>0.16361242969404438</c:v>
                </c:pt>
                <c:pt idx="4">
                  <c:v>3.5517970401691343E-2</c:v>
                </c:pt>
                <c:pt idx="5">
                  <c:v>9.9724759663329262E-4</c:v>
                </c:pt>
              </c:numCache>
            </c:numRef>
          </c:val>
        </c:ser>
        <c:dLbls>
          <c:showVal val="1"/>
        </c:dLbls>
        <c:axId val="158007680"/>
        <c:axId val="158009216"/>
      </c:barChart>
      <c:catAx>
        <c:axId val="158007680"/>
        <c:scaling>
          <c:orientation val="minMax"/>
        </c:scaling>
        <c:axPos val="b"/>
        <c:numFmt formatCode="General" sourceLinked="1"/>
        <c:tickLblPos val="nextTo"/>
        <c:spPr>
          <a:ln w="3170">
            <a:solidFill>
              <a:srgbClr val="000000"/>
            </a:solidFill>
            <a:prstDash val="solid"/>
          </a:ln>
        </c:spPr>
        <c:txPr>
          <a:bodyPr rot="0" vert="horz"/>
          <a:lstStyle/>
          <a:p>
            <a:pPr>
              <a:defRPr sz="624" b="0" i="0" u="none" strike="noStrike" baseline="0">
                <a:solidFill>
                  <a:srgbClr val="000000"/>
                </a:solidFill>
                <a:latin typeface="Arial"/>
                <a:ea typeface="Arial"/>
                <a:cs typeface="Arial"/>
              </a:defRPr>
            </a:pPr>
            <a:endParaRPr lang="es-ES"/>
          </a:p>
        </c:txPr>
        <c:crossAx val="158009216"/>
        <c:crosses val="autoZero"/>
        <c:auto val="1"/>
        <c:lblAlgn val="ctr"/>
        <c:lblOffset val="100"/>
        <c:tickLblSkip val="1"/>
        <c:tickMarkSkip val="1"/>
      </c:catAx>
      <c:valAx>
        <c:axId val="158009216"/>
        <c:scaling>
          <c:orientation val="minMax"/>
        </c:scaling>
        <c:axPos val="l"/>
        <c:numFmt formatCode="0.0%" sourceLinked="1"/>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58007680"/>
        <c:crosses val="autoZero"/>
        <c:crossBetween val="between"/>
      </c:valAx>
      <c:spPr>
        <a:noFill/>
        <a:ln w="25363">
          <a:noFill/>
        </a:ln>
      </c:spPr>
    </c:plotArea>
    <c:plotVisOnly val="1"/>
    <c:dispBlanksAs val="gap"/>
  </c:chart>
  <c:spPr>
    <a:solidFill>
      <a:srgbClr val="FFFFFF"/>
    </a:solidFill>
    <a:ln w="3170">
      <a:solidFill>
        <a:srgbClr val="FFFFFF"/>
      </a:solidFill>
      <a:prstDash val="solid"/>
    </a:ln>
  </c:spPr>
  <c:txPr>
    <a:bodyPr/>
    <a:lstStyle/>
    <a:p>
      <a:pPr>
        <a:defRPr sz="1073" b="0" i="0" u="none" strike="noStrike" baseline="0">
          <a:solidFill>
            <a:srgbClr val="000000"/>
          </a:solidFill>
          <a:latin typeface="Arial"/>
          <a:ea typeface="Arial"/>
          <a:cs typeface="Arial"/>
        </a:defRPr>
      </a:pPr>
      <a:endParaRPr lang="es-E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4788732394366197"/>
          <c:y val="5.2356020942408432E-2"/>
          <c:w val="0.84272300469483585"/>
          <c:h val="0.57591623036649242"/>
        </c:manualLayout>
      </c:layout>
      <c:barChart>
        <c:barDir val="col"/>
        <c:grouping val="clustered"/>
        <c:ser>
          <c:idx val="0"/>
          <c:order val="0"/>
          <c:tx>
            <c:strRef>
              <c:f>Alumnos!$B$34</c:f>
              <c:strCache>
                <c:ptCount val="1"/>
                <c:pt idx="0">
                  <c:v>URBANA</c:v>
                </c:pt>
              </c:strCache>
            </c:strRef>
          </c:tx>
          <c:spPr>
            <a:solidFill>
              <a:srgbClr val="9999FF"/>
            </a:solidFill>
            <a:ln w="12699">
              <a:solidFill>
                <a:srgbClr val="000000"/>
              </a:solidFill>
              <a:prstDash val="solid"/>
            </a:ln>
          </c:spPr>
          <c:cat>
            <c:numRef>
              <c:f>Alumnos!$A$35:$A$42</c:f>
              <c:numCache>
                <c:formatCode>General</c:formatCode>
                <c:ptCount val="8"/>
                <c:pt idx="0">
                  <c:v>1993</c:v>
                </c:pt>
                <c:pt idx="1">
                  <c:v>1994</c:v>
                </c:pt>
                <c:pt idx="2">
                  <c:v>1995</c:v>
                </c:pt>
                <c:pt idx="3">
                  <c:v>1996</c:v>
                </c:pt>
                <c:pt idx="4">
                  <c:v>1997</c:v>
                </c:pt>
                <c:pt idx="5">
                  <c:v>1998</c:v>
                </c:pt>
                <c:pt idx="6">
                  <c:v>1999</c:v>
                </c:pt>
                <c:pt idx="7">
                  <c:v>2000</c:v>
                </c:pt>
              </c:numCache>
            </c:numRef>
          </c:cat>
          <c:val>
            <c:numRef>
              <c:f>Alumnos!$B$35:$B$42</c:f>
              <c:numCache>
                <c:formatCode>General</c:formatCode>
                <c:ptCount val="8"/>
                <c:pt idx="0">
                  <c:v>17440</c:v>
                </c:pt>
                <c:pt idx="1">
                  <c:v>17783</c:v>
                </c:pt>
                <c:pt idx="2">
                  <c:v>18056</c:v>
                </c:pt>
                <c:pt idx="3">
                  <c:v>19503</c:v>
                </c:pt>
                <c:pt idx="4">
                  <c:v>20152</c:v>
                </c:pt>
                <c:pt idx="5">
                  <c:v>20481</c:v>
                </c:pt>
                <c:pt idx="6">
                  <c:v>20725</c:v>
                </c:pt>
                <c:pt idx="7" formatCode="0.00">
                  <c:v>20253</c:v>
                </c:pt>
              </c:numCache>
            </c:numRef>
          </c:val>
        </c:ser>
        <c:ser>
          <c:idx val="1"/>
          <c:order val="1"/>
          <c:tx>
            <c:strRef>
              <c:f>Alumnos!$C$34</c:f>
              <c:strCache>
                <c:ptCount val="1"/>
                <c:pt idx="0">
                  <c:v>RURAL</c:v>
                </c:pt>
              </c:strCache>
            </c:strRef>
          </c:tx>
          <c:spPr>
            <a:solidFill>
              <a:srgbClr val="993366"/>
            </a:solidFill>
            <a:ln w="12699">
              <a:solidFill>
                <a:srgbClr val="000000"/>
              </a:solidFill>
              <a:prstDash val="solid"/>
            </a:ln>
          </c:spPr>
          <c:cat>
            <c:numRef>
              <c:f>Alumnos!$A$35:$A$42</c:f>
              <c:numCache>
                <c:formatCode>General</c:formatCode>
                <c:ptCount val="8"/>
                <c:pt idx="0">
                  <c:v>1993</c:v>
                </c:pt>
                <c:pt idx="1">
                  <c:v>1994</c:v>
                </c:pt>
                <c:pt idx="2">
                  <c:v>1995</c:v>
                </c:pt>
                <c:pt idx="3">
                  <c:v>1996</c:v>
                </c:pt>
                <c:pt idx="4">
                  <c:v>1997</c:v>
                </c:pt>
                <c:pt idx="5">
                  <c:v>1998</c:v>
                </c:pt>
                <c:pt idx="6">
                  <c:v>1999</c:v>
                </c:pt>
                <c:pt idx="7">
                  <c:v>2000</c:v>
                </c:pt>
              </c:numCache>
            </c:numRef>
          </c:cat>
          <c:val>
            <c:numRef>
              <c:f>Alumnos!$C$35:$C$42</c:f>
              <c:numCache>
                <c:formatCode>General</c:formatCode>
                <c:ptCount val="8"/>
                <c:pt idx="0">
                  <c:v>26947</c:v>
                </c:pt>
                <c:pt idx="1">
                  <c:v>23819</c:v>
                </c:pt>
                <c:pt idx="2">
                  <c:v>23731</c:v>
                </c:pt>
                <c:pt idx="3">
                  <c:v>26966</c:v>
                </c:pt>
                <c:pt idx="4">
                  <c:v>26832</c:v>
                </c:pt>
                <c:pt idx="5">
                  <c:v>26648</c:v>
                </c:pt>
                <c:pt idx="6">
                  <c:v>27230</c:v>
                </c:pt>
                <c:pt idx="7" formatCode="0.00">
                  <c:v>25718</c:v>
                </c:pt>
              </c:numCache>
            </c:numRef>
          </c:val>
        </c:ser>
        <c:axId val="159703808"/>
        <c:axId val="159705344"/>
      </c:barChart>
      <c:catAx>
        <c:axId val="159703808"/>
        <c:scaling>
          <c:orientation val="minMax"/>
        </c:scaling>
        <c:axPos val="b"/>
        <c:numFmt formatCode="General" sourceLinked="1"/>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s-ES"/>
          </a:p>
        </c:txPr>
        <c:crossAx val="159705344"/>
        <c:crosses val="autoZero"/>
        <c:auto val="1"/>
        <c:lblAlgn val="ctr"/>
        <c:lblOffset val="100"/>
        <c:tickMarkSkip val="1"/>
      </c:catAx>
      <c:valAx>
        <c:axId val="159705344"/>
        <c:scaling>
          <c:orientation val="minMax"/>
        </c:scaling>
        <c:axPos val="l"/>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59703808"/>
        <c:crosses val="autoZero"/>
        <c:crossBetween val="between"/>
      </c:valAx>
      <c:dTable>
        <c:showHorzBorder val="1"/>
        <c:showVertBorder val="1"/>
        <c:showOutline val="1"/>
        <c:showKeys val="1"/>
        <c:spPr>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dTable>
      <c:spPr>
        <a:noFill/>
        <a:ln w="12699">
          <a:solidFill>
            <a:srgbClr val="808080"/>
          </a:solidFill>
          <a:prstDash val="solid"/>
        </a:ln>
      </c:spPr>
    </c:plotArea>
    <c:plotVisOnly val="1"/>
    <c:dispBlanksAs val="gap"/>
  </c:chart>
  <c:spPr>
    <a:solidFill>
      <a:srgbClr val="FFFFFF"/>
    </a:solidFill>
    <a:ln w="3175">
      <a:solidFill>
        <a:srgbClr val="FFFFFF"/>
      </a:solidFill>
      <a:prstDash val="solid"/>
    </a:ln>
  </c:spPr>
  <c:txPr>
    <a:bodyPr/>
    <a:lstStyle/>
    <a:p>
      <a:pPr>
        <a:defRPr sz="975"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4065420560747669"/>
          <c:y val="0.05"/>
          <c:w val="0.75934579439252381"/>
          <c:h val="0.51500000000000001"/>
        </c:manualLayout>
      </c:layout>
      <c:barChart>
        <c:barDir val="col"/>
        <c:grouping val="clustered"/>
        <c:ser>
          <c:idx val="1"/>
          <c:order val="0"/>
          <c:tx>
            <c:strRef>
              <c:f>Planteles!$B$4</c:f>
              <c:strCache>
                <c:ptCount val="1"/>
                <c:pt idx="0">
                  <c:v>PREPRIMARIO</c:v>
                </c:pt>
              </c:strCache>
            </c:strRef>
          </c:tx>
          <c:spPr>
            <a:solidFill>
              <a:srgbClr val="993366"/>
            </a:solidFill>
            <a:ln w="12682">
              <a:solidFill>
                <a:srgbClr val="000000"/>
              </a:solidFill>
              <a:prstDash val="solid"/>
            </a:ln>
          </c:spPr>
          <c:cat>
            <c:numRef>
              <c:f>Planteles!$A$5:$A$12</c:f>
              <c:numCache>
                <c:formatCode>General</c:formatCode>
                <c:ptCount val="8"/>
                <c:pt idx="0">
                  <c:v>1993</c:v>
                </c:pt>
                <c:pt idx="1">
                  <c:v>1994</c:v>
                </c:pt>
                <c:pt idx="2">
                  <c:v>1995</c:v>
                </c:pt>
                <c:pt idx="3">
                  <c:v>1996</c:v>
                </c:pt>
                <c:pt idx="4">
                  <c:v>1997</c:v>
                </c:pt>
                <c:pt idx="5">
                  <c:v>1998</c:v>
                </c:pt>
                <c:pt idx="6">
                  <c:v>1999</c:v>
                </c:pt>
                <c:pt idx="7">
                  <c:v>2000</c:v>
                </c:pt>
              </c:numCache>
            </c:numRef>
          </c:cat>
          <c:val>
            <c:numRef>
              <c:f>Planteles!$B$5:$B$12</c:f>
              <c:numCache>
                <c:formatCode>General</c:formatCode>
                <c:ptCount val="8"/>
                <c:pt idx="0">
                  <c:v>42</c:v>
                </c:pt>
                <c:pt idx="1">
                  <c:v>42</c:v>
                </c:pt>
                <c:pt idx="2">
                  <c:v>42</c:v>
                </c:pt>
                <c:pt idx="3">
                  <c:v>45</c:v>
                </c:pt>
                <c:pt idx="4">
                  <c:v>47</c:v>
                </c:pt>
                <c:pt idx="5">
                  <c:v>53</c:v>
                </c:pt>
                <c:pt idx="6">
                  <c:v>60</c:v>
                </c:pt>
                <c:pt idx="7">
                  <c:v>33</c:v>
                </c:pt>
              </c:numCache>
            </c:numRef>
          </c:val>
        </c:ser>
        <c:ser>
          <c:idx val="2"/>
          <c:order val="1"/>
          <c:tx>
            <c:strRef>
              <c:f>Planteles!$C$4</c:f>
              <c:strCache>
                <c:ptCount val="1"/>
                <c:pt idx="0">
                  <c:v>PRIMARIO</c:v>
                </c:pt>
              </c:strCache>
            </c:strRef>
          </c:tx>
          <c:spPr>
            <a:solidFill>
              <a:srgbClr val="FFFFCC"/>
            </a:solidFill>
            <a:ln w="12682">
              <a:solidFill>
                <a:srgbClr val="000000"/>
              </a:solidFill>
              <a:prstDash val="solid"/>
            </a:ln>
          </c:spPr>
          <c:cat>
            <c:numRef>
              <c:f>Planteles!$A$5:$A$12</c:f>
              <c:numCache>
                <c:formatCode>General</c:formatCode>
                <c:ptCount val="8"/>
                <c:pt idx="0">
                  <c:v>1993</c:v>
                </c:pt>
                <c:pt idx="1">
                  <c:v>1994</c:v>
                </c:pt>
                <c:pt idx="2">
                  <c:v>1995</c:v>
                </c:pt>
                <c:pt idx="3">
                  <c:v>1996</c:v>
                </c:pt>
                <c:pt idx="4">
                  <c:v>1997</c:v>
                </c:pt>
                <c:pt idx="5">
                  <c:v>1998</c:v>
                </c:pt>
                <c:pt idx="6">
                  <c:v>1999</c:v>
                </c:pt>
                <c:pt idx="7">
                  <c:v>2000</c:v>
                </c:pt>
              </c:numCache>
            </c:numRef>
          </c:cat>
          <c:val>
            <c:numRef>
              <c:f>Planteles!$C$5:$C$12</c:f>
              <c:numCache>
                <c:formatCode>General</c:formatCode>
                <c:ptCount val="8"/>
                <c:pt idx="0">
                  <c:v>502</c:v>
                </c:pt>
                <c:pt idx="1">
                  <c:v>444</c:v>
                </c:pt>
                <c:pt idx="2">
                  <c:v>442</c:v>
                </c:pt>
                <c:pt idx="3">
                  <c:v>511</c:v>
                </c:pt>
                <c:pt idx="4">
                  <c:v>520</c:v>
                </c:pt>
                <c:pt idx="5">
                  <c:v>529</c:v>
                </c:pt>
                <c:pt idx="6">
                  <c:v>525</c:v>
                </c:pt>
                <c:pt idx="7">
                  <c:v>462</c:v>
                </c:pt>
              </c:numCache>
            </c:numRef>
          </c:val>
        </c:ser>
        <c:ser>
          <c:idx val="3"/>
          <c:order val="2"/>
          <c:tx>
            <c:strRef>
              <c:f>Planteles!$D$4</c:f>
              <c:strCache>
                <c:ptCount val="1"/>
                <c:pt idx="0">
                  <c:v>MEDIO</c:v>
                </c:pt>
              </c:strCache>
            </c:strRef>
          </c:tx>
          <c:spPr>
            <a:solidFill>
              <a:srgbClr val="9999FF"/>
            </a:solidFill>
            <a:ln w="12682">
              <a:solidFill>
                <a:srgbClr val="000000"/>
              </a:solidFill>
              <a:prstDash val="solid"/>
            </a:ln>
          </c:spPr>
          <c:cat>
            <c:numRef>
              <c:f>Planteles!$A$5:$A$12</c:f>
              <c:numCache>
                <c:formatCode>General</c:formatCode>
                <c:ptCount val="8"/>
                <c:pt idx="0">
                  <c:v>1993</c:v>
                </c:pt>
                <c:pt idx="1">
                  <c:v>1994</c:v>
                </c:pt>
                <c:pt idx="2">
                  <c:v>1995</c:v>
                </c:pt>
                <c:pt idx="3">
                  <c:v>1996</c:v>
                </c:pt>
                <c:pt idx="4">
                  <c:v>1997</c:v>
                </c:pt>
                <c:pt idx="5">
                  <c:v>1998</c:v>
                </c:pt>
                <c:pt idx="6">
                  <c:v>1999</c:v>
                </c:pt>
                <c:pt idx="7">
                  <c:v>2000</c:v>
                </c:pt>
              </c:numCache>
            </c:numRef>
          </c:cat>
          <c:val>
            <c:numRef>
              <c:f>Planteles!$D$5:$D$12</c:f>
              <c:numCache>
                <c:formatCode>General</c:formatCode>
                <c:ptCount val="8"/>
                <c:pt idx="0">
                  <c:v>60</c:v>
                </c:pt>
                <c:pt idx="1">
                  <c:v>55</c:v>
                </c:pt>
                <c:pt idx="2">
                  <c:v>57</c:v>
                </c:pt>
                <c:pt idx="3">
                  <c:v>63</c:v>
                </c:pt>
                <c:pt idx="4">
                  <c:v>69</c:v>
                </c:pt>
                <c:pt idx="5">
                  <c:v>69</c:v>
                </c:pt>
                <c:pt idx="6">
                  <c:v>71</c:v>
                </c:pt>
                <c:pt idx="7">
                  <c:v>61</c:v>
                </c:pt>
              </c:numCache>
            </c:numRef>
          </c:val>
        </c:ser>
        <c:axId val="158206208"/>
        <c:axId val="158216192"/>
      </c:barChart>
      <c:catAx>
        <c:axId val="158206208"/>
        <c:scaling>
          <c:orientation val="minMax"/>
        </c:scaling>
        <c:axPos val="b"/>
        <c:numFmt formatCode="General" sourceLinked="1"/>
        <c:tickLblPos val="nextTo"/>
        <c:spPr>
          <a:ln w="3171">
            <a:solidFill>
              <a:srgbClr val="000000"/>
            </a:solidFill>
            <a:prstDash val="solid"/>
          </a:ln>
        </c:spPr>
        <c:txPr>
          <a:bodyPr rot="0" vert="horz"/>
          <a:lstStyle/>
          <a:p>
            <a:pPr>
              <a:defRPr sz="1024" b="0" i="0" u="none" strike="noStrike" baseline="0">
                <a:solidFill>
                  <a:srgbClr val="000000"/>
                </a:solidFill>
                <a:latin typeface="Arial"/>
                <a:ea typeface="Arial"/>
                <a:cs typeface="Arial"/>
              </a:defRPr>
            </a:pPr>
            <a:endParaRPr lang="es-ES"/>
          </a:p>
        </c:txPr>
        <c:crossAx val="158216192"/>
        <c:crosses val="autoZero"/>
        <c:auto val="1"/>
        <c:lblAlgn val="ctr"/>
        <c:lblOffset val="100"/>
        <c:tickMarkSkip val="1"/>
      </c:catAx>
      <c:valAx>
        <c:axId val="158216192"/>
        <c:scaling>
          <c:orientation val="minMax"/>
        </c:scaling>
        <c:axPos val="l"/>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58206208"/>
        <c:crosses val="autoZero"/>
        <c:crossBetween val="between"/>
      </c:valAx>
      <c:dTable>
        <c:showHorzBorder val="1"/>
        <c:showVertBorder val="1"/>
        <c:showOutline val="1"/>
        <c:showKeys val="1"/>
        <c:spPr>
          <a:ln w="3171">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s-ES"/>
          </a:p>
        </c:txPr>
      </c:dTable>
      <c:spPr>
        <a:noFill/>
        <a:ln w="12682">
          <a:solidFill>
            <a:srgbClr val="808080"/>
          </a:solidFill>
          <a:prstDash val="solid"/>
        </a:ln>
      </c:spPr>
    </c:plotArea>
    <c:plotVisOnly val="1"/>
    <c:dispBlanksAs val="gap"/>
  </c:chart>
  <c:spPr>
    <a:solidFill>
      <a:srgbClr val="FFFFFF"/>
    </a:solidFill>
    <a:ln w="3171">
      <a:solidFill>
        <a:srgbClr val="FFFFFF"/>
      </a:solidFill>
      <a:prstDash val="solid"/>
    </a:ln>
  </c:spPr>
  <c:txPr>
    <a:bodyPr/>
    <a:lstStyle/>
    <a:p>
      <a:pPr>
        <a:defRPr sz="1024"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746411483253589"/>
          <c:y val="3.8043478260869588E-2"/>
          <c:w val="0.80143540669856483"/>
          <c:h val="0.64673913043478315"/>
        </c:manualLayout>
      </c:layout>
      <c:barChart>
        <c:barDir val="col"/>
        <c:grouping val="clustered"/>
        <c:ser>
          <c:idx val="1"/>
          <c:order val="0"/>
          <c:tx>
            <c:strRef>
              <c:f>Profesores!$B$4</c:f>
              <c:strCache>
                <c:ptCount val="1"/>
                <c:pt idx="0">
                  <c:v>PREPRIMARIO</c:v>
                </c:pt>
              </c:strCache>
            </c:strRef>
          </c:tx>
          <c:spPr>
            <a:solidFill>
              <a:srgbClr val="993366"/>
            </a:solidFill>
            <a:ln w="12700">
              <a:solidFill>
                <a:srgbClr val="000000"/>
              </a:solidFill>
              <a:prstDash val="solid"/>
            </a:ln>
          </c:spPr>
          <c:cat>
            <c:numRef>
              <c:f>Profesores!$A$5:$A$12</c:f>
              <c:numCache>
                <c:formatCode>General</c:formatCode>
                <c:ptCount val="8"/>
                <c:pt idx="0">
                  <c:v>1993</c:v>
                </c:pt>
                <c:pt idx="1">
                  <c:v>1994</c:v>
                </c:pt>
                <c:pt idx="2">
                  <c:v>1995</c:v>
                </c:pt>
                <c:pt idx="3">
                  <c:v>1996</c:v>
                </c:pt>
                <c:pt idx="4">
                  <c:v>1997</c:v>
                </c:pt>
                <c:pt idx="5">
                  <c:v>1998</c:v>
                </c:pt>
                <c:pt idx="6">
                  <c:v>1999</c:v>
                </c:pt>
                <c:pt idx="7">
                  <c:v>2000</c:v>
                </c:pt>
              </c:numCache>
            </c:numRef>
          </c:cat>
          <c:val>
            <c:numRef>
              <c:f>Profesores!$B$5:$B$12</c:f>
              <c:numCache>
                <c:formatCode>General</c:formatCode>
                <c:ptCount val="8"/>
                <c:pt idx="0">
                  <c:v>80</c:v>
                </c:pt>
                <c:pt idx="1">
                  <c:v>81</c:v>
                </c:pt>
                <c:pt idx="2">
                  <c:v>82</c:v>
                </c:pt>
                <c:pt idx="3">
                  <c:v>85</c:v>
                </c:pt>
                <c:pt idx="4">
                  <c:v>94</c:v>
                </c:pt>
                <c:pt idx="5">
                  <c:v>104</c:v>
                </c:pt>
                <c:pt idx="6">
                  <c:v>120</c:v>
                </c:pt>
                <c:pt idx="7">
                  <c:v>116</c:v>
                </c:pt>
              </c:numCache>
            </c:numRef>
          </c:val>
        </c:ser>
        <c:ser>
          <c:idx val="2"/>
          <c:order val="1"/>
          <c:tx>
            <c:strRef>
              <c:f>Profesores!$C$4</c:f>
              <c:strCache>
                <c:ptCount val="1"/>
                <c:pt idx="0">
                  <c:v>PRIMARIO</c:v>
                </c:pt>
              </c:strCache>
            </c:strRef>
          </c:tx>
          <c:spPr>
            <a:solidFill>
              <a:srgbClr val="FFFFCC"/>
            </a:solidFill>
            <a:ln w="12700">
              <a:solidFill>
                <a:srgbClr val="000000"/>
              </a:solidFill>
              <a:prstDash val="solid"/>
            </a:ln>
          </c:spPr>
          <c:cat>
            <c:numRef>
              <c:f>Profesores!$A$5:$A$12</c:f>
              <c:numCache>
                <c:formatCode>General</c:formatCode>
                <c:ptCount val="8"/>
                <c:pt idx="0">
                  <c:v>1993</c:v>
                </c:pt>
                <c:pt idx="1">
                  <c:v>1994</c:v>
                </c:pt>
                <c:pt idx="2">
                  <c:v>1995</c:v>
                </c:pt>
                <c:pt idx="3">
                  <c:v>1996</c:v>
                </c:pt>
                <c:pt idx="4">
                  <c:v>1997</c:v>
                </c:pt>
                <c:pt idx="5">
                  <c:v>1998</c:v>
                </c:pt>
                <c:pt idx="6">
                  <c:v>1999</c:v>
                </c:pt>
                <c:pt idx="7">
                  <c:v>2000</c:v>
                </c:pt>
              </c:numCache>
            </c:numRef>
          </c:cat>
          <c:val>
            <c:numRef>
              <c:f>Profesores!$C$5:$C$12</c:f>
              <c:numCache>
                <c:formatCode>General</c:formatCode>
                <c:ptCount val="8"/>
                <c:pt idx="0">
                  <c:v>1574</c:v>
                </c:pt>
                <c:pt idx="1">
                  <c:v>1445</c:v>
                </c:pt>
                <c:pt idx="2">
                  <c:v>1463</c:v>
                </c:pt>
                <c:pt idx="3">
                  <c:v>1667</c:v>
                </c:pt>
                <c:pt idx="4">
                  <c:v>1674</c:v>
                </c:pt>
                <c:pt idx="5">
                  <c:v>1746</c:v>
                </c:pt>
                <c:pt idx="6">
                  <c:v>1766</c:v>
                </c:pt>
                <c:pt idx="7">
                  <c:v>1682</c:v>
                </c:pt>
              </c:numCache>
            </c:numRef>
          </c:val>
        </c:ser>
        <c:ser>
          <c:idx val="3"/>
          <c:order val="2"/>
          <c:tx>
            <c:strRef>
              <c:f>Profesores!$D$4</c:f>
              <c:strCache>
                <c:ptCount val="1"/>
                <c:pt idx="0">
                  <c:v>MEDIO</c:v>
                </c:pt>
              </c:strCache>
            </c:strRef>
          </c:tx>
          <c:spPr>
            <a:solidFill>
              <a:srgbClr val="9999FF"/>
            </a:solidFill>
            <a:ln w="12700">
              <a:solidFill>
                <a:srgbClr val="000000"/>
              </a:solidFill>
              <a:prstDash val="solid"/>
            </a:ln>
          </c:spPr>
          <c:cat>
            <c:numRef>
              <c:f>Profesores!$A$5:$A$12</c:f>
              <c:numCache>
                <c:formatCode>General</c:formatCode>
                <c:ptCount val="8"/>
                <c:pt idx="0">
                  <c:v>1993</c:v>
                </c:pt>
                <c:pt idx="1">
                  <c:v>1994</c:v>
                </c:pt>
                <c:pt idx="2">
                  <c:v>1995</c:v>
                </c:pt>
                <c:pt idx="3">
                  <c:v>1996</c:v>
                </c:pt>
                <c:pt idx="4">
                  <c:v>1997</c:v>
                </c:pt>
                <c:pt idx="5">
                  <c:v>1998</c:v>
                </c:pt>
                <c:pt idx="6">
                  <c:v>1999</c:v>
                </c:pt>
                <c:pt idx="7">
                  <c:v>2000</c:v>
                </c:pt>
              </c:numCache>
            </c:numRef>
          </c:cat>
          <c:val>
            <c:numRef>
              <c:f>Profesores!$D$5:$D$12</c:f>
              <c:numCache>
                <c:formatCode>General</c:formatCode>
                <c:ptCount val="8"/>
                <c:pt idx="0">
                  <c:v>1182</c:v>
                </c:pt>
                <c:pt idx="1">
                  <c:v>1138</c:v>
                </c:pt>
                <c:pt idx="2">
                  <c:v>1168</c:v>
                </c:pt>
                <c:pt idx="3">
                  <c:v>1255</c:v>
                </c:pt>
                <c:pt idx="4">
                  <c:v>1279</c:v>
                </c:pt>
                <c:pt idx="5">
                  <c:v>1339</c:v>
                </c:pt>
                <c:pt idx="6">
                  <c:v>1374</c:v>
                </c:pt>
                <c:pt idx="7">
                  <c:v>1253</c:v>
                </c:pt>
              </c:numCache>
            </c:numRef>
          </c:val>
        </c:ser>
        <c:axId val="158193536"/>
        <c:axId val="158195072"/>
      </c:barChart>
      <c:catAx>
        <c:axId val="158193536"/>
        <c:scaling>
          <c:orientation val="minMax"/>
        </c:scaling>
        <c:axPos val="b"/>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s-ES"/>
          </a:p>
        </c:txPr>
        <c:crossAx val="158195072"/>
        <c:crosses val="autoZero"/>
        <c:auto val="1"/>
        <c:lblAlgn val="ctr"/>
        <c:lblOffset val="100"/>
        <c:tickMarkSkip val="1"/>
      </c:catAx>
      <c:valAx>
        <c:axId val="158195072"/>
        <c:scaling>
          <c:orientation val="minMax"/>
        </c:scaling>
        <c:axPos val="l"/>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158193536"/>
        <c:crosses val="autoZero"/>
        <c:crossBetween val="between"/>
      </c:valAx>
      <c:dTable>
        <c:showHorzBorder val="1"/>
        <c:showVertBorder val="1"/>
        <c:showOutline val="1"/>
        <c:showKeys val="1"/>
        <c:spPr>
          <a:ln w="3175">
            <a:solidFill>
              <a:srgbClr val="000000"/>
            </a:solidFill>
            <a:prstDash val="solid"/>
          </a:ln>
        </c:spPr>
        <c:txPr>
          <a:bodyPr/>
          <a:lstStyle/>
          <a:p>
            <a:pPr>
              <a:defRPr sz="575" b="0" i="0" u="none" strike="noStrike" baseline="0">
                <a:solidFill>
                  <a:srgbClr val="000000"/>
                </a:solidFill>
                <a:latin typeface="Arial"/>
                <a:ea typeface="Arial"/>
                <a:cs typeface="Arial"/>
              </a:defRPr>
            </a:pPr>
            <a:endParaRPr lang="es-ES"/>
          </a:p>
        </c:txPr>
      </c:dTable>
      <c:spPr>
        <a:noFill/>
        <a:ln w="12700">
          <a:solidFill>
            <a:srgbClr val="808080"/>
          </a:solidFill>
          <a:prstDash val="solid"/>
        </a:ln>
      </c:spPr>
    </c:plotArea>
    <c:plotVisOnly val="1"/>
    <c:dispBlanksAs val="gap"/>
  </c:chart>
  <c:spPr>
    <a:solidFill>
      <a:srgbClr val="FFFFFF"/>
    </a:solidFill>
    <a:ln w="3175">
      <a:solidFill>
        <a:srgbClr val="FFFFFF"/>
      </a:solidFill>
      <a:prstDash val="solid"/>
    </a:ln>
  </c:spPr>
  <c:txPr>
    <a:bodyPr/>
    <a:lstStyle/>
    <a:p>
      <a:pPr>
        <a:defRPr sz="950"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2641509433962273"/>
          <c:y val="5.4945054945054944E-2"/>
          <c:w val="0.76415094339622669"/>
          <c:h val="0.43956043956043966"/>
        </c:manualLayout>
      </c:layout>
      <c:barChart>
        <c:barDir val="col"/>
        <c:grouping val="clustered"/>
        <c:ser>
          <c:idx val="1"/>
          <c:order val="0"/>
          <c:tx>
            <c:strRef>
              <c:f>Alumnos!$B$4</c:f>
              <c:strCache>
                <c:ptCount val="1"/>
                <c:pt idx="0">
                  <c:v>PREPRIMARIO</c:v>
                </c:pt>
              </c:strCache>
            </c:strRef>
          </c:tx>
          <c:spPr>
            <a:solidFill>
              <a:srgbClr val="993366"/>
            </a:solidFill>
            <a:ln w="12661">
              <a:solidFill>
                <a:srgbClr val="000000"/>
              </a:solidFill>
              <a:prstDash val="solid"/>
            </a:ln>
          </c:spPr>
          <c:cat>
            <c:numRef>
              <c:f>Alumnos!$A$5:$A$12</c:f>
              <c:numCache>
                <c:formatCode>General</c:formatCode>
                <c:ptCount val="8"/>
                <c:pt idx="0">
                  <c:v>1993</c:v>
                </c:pt>
                <c:pt idx="1">
                  <c:v>1994</c:v>
                </c:pt>
                <c:pt idx="2">
                  <c:v>1995</c:v>
                </c:pt>
                <c:pt idx="3">
                  <c:v>1996</c:v>
                </c:pt>
                <c:pt idx="4">
                  <c:v>1997</c:v>
                </c:pt>
                <c:pt idx="5">
                  <c:v>1998</c:v>
                </c:pt>
                <c:pt idx="6">
                  <c:v>1999</c:v>
                </c:pt>
                <c:pt idx="7">
                  <c:v>2000</c:v>
                </c:pt>
              </c:numCache>
            </c:numRef>
          </c:cat>
          <c:val>
            <c:numRef>
              <c:f>Alumnos!$B$5:$B$12</c:f>
              <c:numCache>
                <c:formatCode>General</c:formatCode>
                <c:ptCount val="8"/>
                <c:pt idx="0">
                  <c:v>1144</c:v>
                </c:pt>
                <c:pt idx="1">
                  <c:v>1176</c:v>
                </c:pt>
                <c:pt idx="2">
                  <c:v>1214</c:v>
                </c:pt>
                <c:pt idx="3">
                  <c:v>1291</c:v>
                </c:pt>
                <c:pt idx="4">
                  <c:v>1323</c:v>
                </c:pt>
                <c:pt idx="5">
                  <c:v>1543</c:v>
                </c:pt>
                <c:pt idx="6">
                  <c:v>1669</c:v>
                </c:pt>
                <c:pt idx="7">
                  <c:v>1019</c:v>
                </c:pt>
              </c:numCache>
            </c:numRef>
          </c:val>
        </c:ser>
        <c:ser>
          <c:idx val="2"/>
          <c:order val="1"/>
          <c:tx>
            <c:strRef>
              <c:f>Alumnos!$C$4</c:f>
              <c:strCache>
                <c:ptCount val="1"/>
                <c:pt idx="0">
                  <c:v>PRIMARIO</c:v>
                </c:pt>
              </c:strCache>
            </c:strRef>
          </c:tx>
          <c:spPr>
            <a:solidFill>
              <a:srgbClr val="FFFFCC"/>
            </a:solidFill>
            <a:ln w="12661">
              <a:solidFill>
                <a:srgbClr val="000000"/>
              </a:solidFill>
              <a:prstDash val="solid"/>
            </a:ln>
          </c:spPr>
          <c:cat>
            <c:numRef>
              <c:f>Alumnos!$A$5:$A$12</c:f>
              <c:numCache>
                <c:formatCode>General</c:formatCode>
                <c:ptCount val="8"/>
                <c:pt idx="0">
                  <c:v>1993</c:v>
                </c:pt>
                <c:pt idx="1">
                  <c:v>1994</c:v>
                </c:pt>
                <c:pt idx="2">
                  <c:v>1995</c:v>
                </c:pt>
                <c:pt idx="3">
                  <c:v>1996</c:v>
                </c:pt>
                <c:pt idx="4">
                  <c:v>1997</c:v>
                </c:pt>
                <c:pt idx="5">
                  <c:v>1998</c:v>
                </c:pt>
                <c:pt idx="6">
                  <c:v>1999</c:v>
                </c:pt>
                <c:pt idx="7">
                  <c:v>2000</c:v>
                </c:pt>
              </c:numCache>
            </c:numRef>
          </c:cat>
          <c:val>
            <c:numRef>
              <c:f>Alumnos!$C$5:$C$12</c:f>
              <c:numCache>
                <c:formatCode>General</c:formatCode>
                <c:ptCount val="8"/>
                <c:pt idx="0">
                  <c:v>32478</c:v>
                </c:pt>
                <c:pt idx="1">
                  <c:v>30004</c:v>
                </c:pt>
                <c:pt idx="2">
                  <c:v>29822</c:v>
                </c:pt>
                <c:pt idx="3">
                  <c:v>33600</c:v>
                </c:pt>
                <c:pt idx="4">
                  <c:v>33416</c:v>
                </c:pt>
                <c:pt idx="5">
                  <c:v>33242</c:v>
                </c:pt>
                <c:pt idx="6">
                  <c:v>33551</c:v>
                </c:pt>
                <c:pt idx="7">
                  <c:v>30202</c:v>
                </c:pt>
              </c:numCache>
            </c:numRef>
          </c:val>
        </c:ser>
        <c:ser>
          <c:idx val="3"/>
          <c:order val="2"/>
          <c:tx>
            <c:strRef>
              <c:f>Alumnos!$D$4</c:f>
              <c:strCache>
                <c:ptCount val="1"/>
                <c:pt idx="0">
                  <c:v>MEDIO</c:v>
                </c:pt>
              </c:strCache>
            </c:strRef>
          </c:tx>
          <c:spPr>
            <a:solidFill>
              <a:srgbClr val="9999FF"/>
            </a:solidFill>
            <a:ln w="12661">
              <a:solidFill>
                <a:srgbClr val="000000"/>
              </a:solidFill>
              <a:prstDash val="solid"/>
            </a:ln>
          </c:spPr>
          <c:cat>
            <c:numRef>
              <c:f>Alumnos!$A$5:$A$12</c:f>
              <c:numCache>
                <c:formatCode>General</c:formatCode>
                <c:ptCount val="8"/>
                <c:pt idx="0">
                  <c:v>1993</c:v>
                </c:pt>
                <c:pt idx="1">
                  <c:v>1994</c:v>
                </c:pt>
                <c:pt idx="2">
                  <c:v>1995</c:v>
                </c:pt>
                <c:pt idx="3">
                  <c:v>1996</c:v>
                </c:pt>
                <c:pt idx="4">
                  <c:v>1997</c:v>
                </c:pt>
                <c:pt idx="5">
                  <c:v>1998</c:v>
                </c:pt>
                <c:pt idx="6">
                  <c:v>1999</c:v>
                </c:pt>
                <c:pt idx="7">
                  <c:v>2000</c:v>
                </c:pt>
              </c:numCache>
            </c:numRef>
          </c:cat>
          <c:val>
            <c:numRef>
              <c:f>Alumnos!$D$5:$D$12</c:f>
              <c:numCache>
                <c:formatCode>General</c:formatCode>
                <c:ptCount val="8"/>
                <c:pt idx="0">
                  <c:v>10763</c:v>
                </c:pt>
                <c:pt idx="1">
                  <c:v>10422</c:v>
                </c:pt>
                <c:pt idx="2">
                  <c:v>10751</c:v>
                </c:pt>
                <c:pt idx="3">
                  <c:v>11578</c:v>
                </c:pt>
                <c:pt idx="4">
                  <c:v>12245</c:v>
                </c:pt>
                <c:pt idx="5">
                  <c:v>12344</c:v>
                </c:pt>
                <c:pt idx="6">
                  <c:v>12735</c:v>
                </c:pt>
                <c:pt idx="7">
                  <c:v>13460</c:v>
                </c:pt>
              </c:numCache>
            </c:numRef>
          </c:val>
        </c:ser>
        <c:axId val="157967872"/>
        <c:axId val="157969408"/>
      </c:barChart>
      <c:catAx>
        <c:axId val="157967872"/>
        <c:scaling>
          <c:orientation val="minMax"/>
        </c:scaling>
        <c:axPos val="b"/>
        <c:numFmt formatCode="General" sourceLinked="1"/>
        <c:tickLblPos val="nextTo"/>
        <c:spPr>
          <a:ln w="3165">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es-ES"/>
          </a:p>
        </c:txPr>
        <c:crossAx val="157969408"/>
        <c:crosses val="autoZero"/>
        <c:auto val="1"/>
        <c:lblAlgn val="ctr"/>
        <c:lblOffset val="100"/>
        <c:tickMarkSkip val="1"/>
      </c:catAx>
      <c:valAx>
        <c:axId val="157969408"/>
        <c:scaling>
          <c:orientation val="minMax"/>
        </c:scaling>
        <c:axPos val="l"/>
        <c:numFmt formatCode="General" sourceLinked="1"/>
        <c:tickLblPos val="nextTo"/>
        <c:spPr>
          <a:ln w="3165">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s-ES"/>
          </a:p>
        </c:txPr>
        <c:crossAx val="157967872"/>
        <c:crosses val="autoZero"/>
        <c:crossBetween val="between"/>
      </c:valAx>
      <c:dTable>
        <c:showHorzBorder val="1"/>
        <c:showVertBorder val="1"/>
        <c:showOutline val="1"/>
        <c:showKeys val="1"/>
        <c:spPr>
          <a:ln w="3165">
            <a:solidFill>
              <a:srgbClr val="000000"/>
            </a:solidFill>
            <a:prstDash val="solid"/>
          </a:ln>
        </c:spPr>
        <c:txPr>
          <a:bodyPr/>
          <a:lstStyle/>
          <a:p>
            <a:pPr>
              <a:defRPr sz="798" b="0" i="0" u="none" strike="noStrike" baseline="0">
                <a:solidFill>
                  <a:srgbClr val="000000"/>
                </a:solidFill>
                <a:latin typeface="Arial"/>
                <a:ea typeface="Arial"/>
                <a:cs typeface="Arial"/>
              </a:defRPr>
            </a:pPr>
            <a:endParaRPr lang="es-ES"/>
          </a:p>
        </c:txPr>
      </c:dTable>
      <c:spPr>
        <a:noFill/>
        <a:ln w="12661">
          <a:solidFill>
            <a:srgbClr val="808080"/>
          </a:solidFill>
          <a:prstDash val="solid"/>
        </a:ln>
      </c:spPr>
    </c:plotArea>
    <c:plotVisOnly val="1"/>
    <c:dispBlanksAs val="gap"/>
  </c:chart>
  <c:spPr>
    <a:solidFill>
      <a:srgbClr val="FFFFFF"/>
    </a:solidFill>
    <a:ln w="3165">
      <a:solidFill>
        <a:srgbClr val="FFFFFF"/>
      </a:solidFill>
      <a:prstDash val="solid"/>
    </a:ln>
  </c:spPr>
  <c:txPr>
    <a:bodyPr/>
    <a:lstStyle/>
    <a:p>
      <a:pPr>
        <a:defRPr sz="922"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8309859154929589"/>
          <c:y val="3.7837837837837854E-2"/>
          <c:w val="0.80516431924882625"/>
          <c:h val="0.6378378378378381"/>
        </c:manualLayout>
      </c:layout>
      <c:barChart>
        <c:barDir val="col"/>
        <c:grouping val="clustered"/>
        <c:ser>
          <c:idx val="1"/>
          <c:order val="0"/>
          <c:tx>
            <c:strRef>
              <c:f>Planteles!$B$18</c:f>
              <c:strCache>
                <c:ptCount val="1"/>
                <c:pt idx="0">
                  <c:v>FISCALES</c:v>
                </c:pt>
              </c:strCache>
            </c:strRef>
          </c:tx>
          <c:spPr>
            <a:solidFill>
              <a:srgbClr val="993366"/>
            </a:solidFill>
            <a:ln w="12700">
              <a:solidFill>
                <a:srgbClr val="000000"/>
              </a:solidFill>
              <a:prstDash val="solid"/>
            </a:ln>
          </c:spPr>
          <c:cat>
            <c:numRef>
              <c:f>Planteles!$A$19:$A$26</c:f>
              <c:numCache>
                <c:formatCode>General</c:formatCode>
                <c:ptCount val="8"/>
                <c:pt idx="0">
                  <c:v>1993</c:v>
                </c:pt>
                <c:pt idx="1">
                  <c:v>1994</c:v>
                </c:pt>
                <c:pt idx="2">
                  <c:v>1995</c:v>
                </c:pt>
                <c:pt idx="3">
                  <c:v>1996</c:v>
                </c:pt>
                <c:pt idx="4">
                  <c:v>1997</c:v>
                </c:pt>
                <c:pt idx="5">
                  <c:v>1998</c:v>
                </c:pt>
                <c:pt idx="6">
                  <c:v>1999</c:v>
                </c:pt>
                <c:pt idx="7">
                  <c:v>2000</c:v>
                </c:pt>
              </c:numCache>
            </c:numRef>
          </c:cat>
          <c:val>
            <c:numRef>
              <c:f>Planteles!$B$19:$B$26</c:f>
              <c:numCache>
                <c:formatCode>General</c:formatCode>
                <c:ptCount val="8"/>
                <c:pt idx="0">
                  <c:v>589</c:v>
                </c:pt>
                <c:pt idx="1">
                  <c:v>538</c:v>
                </c:pt>
                <c:pt idx="2">
                  <c:v>530</c:v>
                </c:pt>
                <c:pt idx="3">
                  <c:v>605</c:v>
                </c:pt>
                <c:pt idx="4">
                  <c:v>608</c:v>
                </c:pt>
                <c:pt idx="5">
                  <c:v>621</c:v>
                </c:pt>
                <c:pt idx="6">
                  <c:v>616</c:v>
                </c:pt>
                <c:pt idx="7">
                  <c:v>556</c:v>
                </c:pt>
              </c:numCache>
            </c:numRef>
          </c:val>
        </c:ser>
        <c:ser>
          <c:idx val="2"/>
          <c:order val="1"/>
          <c:tx>
            <c:strRef>
              <c:f>Planteles!$C$18</c:f>
              <c:strCache>
                <c:ptCount val="1"/>
                <c:pt idx="0">
                  <c:v>MUNICIPALES</c:v>
                </c:pt>
              </c:strCache>
            </c:strRef>
          </c:tx>
          <c:spPr>
            <a:solidFill>
              <a:srgbClr val="FFFFCC"/>
            </a:solidFill>
            <a:ln w="12700">
              <a:solidFill>
                <a:srgbClr val="000000"/>
              </a:solidFill>
              <a:prstDash val="solid"/>
            </a:ln>
          </c:spPr>
          <c:cat>
            <c:numRef>
              <c:f>Planteles!$A$19:$A$26</c:f>
              <c:numCache>
                <c:formatCode>General</c:formatCode>
                <c:ptCount val="8"/>
                <c:pt idx="0">
                  <c:v>1993</c:v>
                </c:pt>
                <c:pt idx="1">
                  <c:v>1994</c:v>
                </c:pt>
                <c:pt idx="2">
                  <c:v>1995</c:v>
                </c:pt>
                <c:pt idx="3">
                  <c:v>1996</c:v>
                </c:pt>
                <c:pt idx="4">
                  <c:v>1997</c:v>
                </c:pt>
                <c:pt idx="5">
                  <c:v>1998</c:v>
                </c:pt>
                <c:pt idx="6">
                  <c:v>1999</c:v>
                </c:pt>
                <c:pt idx="7">
                  <c:v>2000</c:v>
                </c:pt>
              </c:numCache>
            </c:numRef>
          </c:cat>
          <c:val>
            <c:numRef>
              <c:f>Planteles!$C$19:$C$26</c:f>
              <c:numCache>
                <c:formatCode>General</c:formatCode>
                <c:ptCount val="8"/>
                <c:pt idx="0">
                  <c:v>0</c:v>
                </c:pt>
                <c:pt idx="1">
                  <c:v>0</c:v>
                </c:pt>
                <c:pt idx="2">
                  <c:v>0</c:v>
                </c:pt>
                <c:pt idx="3">
                  <c:v>0</c:v>
                </c:pt>
                <c:pt idx="4">
                  <c:v>0</c:v>
                </c:pt>
                <c:pt idx="5">
                  <c:v>1</c:v>
                </c:pt>
                <c:pt idx="6">
                  <c:v>1</c:v>
                </c:pt>
                <c:pt idx="7">
                  <c:v>0</c:v>
                </c:pt>
              </c:numCache>
            </c:numRef>
          </c:val>
        </c:ser>
        <c:ser>
          <c:idx val="3"/>
          <c:order val="2"/>
          <c:tx>
            <c:strRef>
              <c:f>Planteles!$D$18</c:f>
              <c:strCache>
                <c:ptCount val="1"/>
                <c:pt idx="0">
                  <c:v>PARTICULARES</c:v>
                </c:pt>
              </c:strCache>
            </c:strRef>
          </c:tx>
          <c:spPr>
            <a:solidFill>
              <a:srgbClr val="9999FF"/>
            </a:solidFill>
            <a:ln w="12700">
              <a:solidFill>
                <a:srgbClr val="000000"/>
              </a:solidFill>
              <a:prstDash val="solid"/>
            </a:ln>
          </c:spPr>
          <c:cat>
            <c:numRef>
              <c:f>Planteles!$A$19:$A$26</c:f>
              <c:numCache>
                <c:formatCode>General</c:formatCode>
                <c:ptCount val="8"/>
                <c:pt idx="0">
                  <c:v>1993</c:v>
                </c:pt>
                <c:pt idx="1">
                  <c:v>1994</c:v>
                </c:pt>
                <c:pt idx="2">
                  <c:v>1995</c:v>
                </c:pt>
                <c:pt idx="3">
                  <c:v>1996</c:v>
                </c:pt>
                <c:pt idx="4">
                  <c:v>1997</c:v>
                </c:pt>
                <c:pt idx="5">
                  <c:v>1998</c:v>
                </c:pt>
                <c:pt idx="6">
                  <c:v>1999</c:v>
                </c:pt>
                <c:pt idx="7">
                  <c:v>2000</c:v>
                </c:pt>
              </c:numCache>
            </c:numRef>
          </c:cat>
          <c:val>
            <c:numRef>
              <c:f>Planteles!$D$19:$D$26</c:f>
              <c:numCache>
                <c:formatCode>General</c:formatCode>
                <c:ptCount val="8"/>
                <c:pt idx="0">
                  <c:v>15</c:v>
                </c:pt>
                <c:pt idx="1">
                  <c:v>9</c:v>
                </c:pt>
                <c:pt idx="2">
                  <c:v>11</c:v>
                </c:pt>
                <c:pt idx="3">
                  <c:v>14</c:v>
                </c:pt>
                <c:pt idx="4">
                  <c:v>28</c:v>
                </c:pt>
                <c:pt idx="5">
                  <c:v>29</c:v>
                </c:pt>
                <c:pt idx="6">
                  <c:v>39</c:v>
                </c:pt>
                <c:pt idx="7">
                  <c:v>9</c:v>
                </c:pt>
              </c:numCache>
            </c:numRef>
          </c:val>
        </c:ser>
        <c:axId val="158487680"/>
        <c:axId val="158489216"/>
      </c:barChart>
      <c:catAx>
        <c:axId val="158487680"/>
        <c:scaling>
          <c:orientation val="minMax"/>
        </c:scaling>
        <c:axPos val="b"/>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s-ES"/>
          </a:p>
        </c:txPr>
        <c:crossAx val="158489216"/>
        <c:crosses val="autoZero"/>
        <c:auto val="1"/>
        <c:lblAlgn val="ctr"/>
        <c:lblOffset val="100"/>
        <c:tickMarkSkip val="1"/>
      </c:catAx>
      <c:valAx>
        <c:axId val="158489216"/>
        <c:scaling>
          <c:orientation val="minMax"/>
        </c:scaling>
        <c:axPos val="l"/>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158487680"/>
        <c:crosses val="autoZero"/>
        <c:crossBetween val="between"/>
      </c:valAx>
      <c:dTable>
        <c:showHorzBorder val="1"/>
        <c:showVertBorder val="1"/>
        <c:showOutline val="1"/>
        <c:showKeys val="1"/>
        <c:spPr>
          <a:ln w="3175">
            <a:solidFill>
              <a:srgbClr val="000000"/>
            </a:solidFill>
            <a:prstDash val="solid"/>
          </a:ln>
        </c:spPr>
        <c:txPr>
          <a:bodyPr/>
          <a:lstStyle/>
          <a:p>
            <a:pPr>
              <a:defRPr sz="575" b="0" i="0" u="none" strike="noStrike" baseline="0">
                <a:solidFill>
                  <a:srgbClr val="000000"/>
                </a:solidFill>
                <a:latin typeface="Arial"/>
                <a:ea typeface="Arial"/>
                <a:cs typeface="Arial"/>
              </a:defRPr>
            </a:pPr>
            <a:endParaRPr lang="es-ES"/>
          </a:p>
        </c:txPr>
      </c:dTable>
      <c:spPr>
        <a:noFill/>
        <a:ln w="12700">
          <a:solidFill>
            <a:srgbClr val="808080"/>
          </a:solidFill>
          <a:prstDash val="solid"/>
        </a:ln>
      </c:spPr>
    </c:plotArea>
    <c:plotVisOnly val="1"/>
    <c:dispBlanksAs val="gap"/>
  </c:chart>
  <c:spPr>
    <a:solidFill>
      <a:srgbClr val="FFFFFF"/>
    </a:solidFill>
    <a:ln w="3175">
      <a:solidFill>
        <a:srgbClr val="FFFFFF"/>
      </a:solidFill>
      <a:prstDash val="solid"/>
    </a:ln>
  </c:spPr>
  <c:txPr>
    <a:bodyPr/>
    <a:lstStyle/>
    <a:p>
      <a:pPr>
        <a:defRPr sz="950" b="0"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075471698113209"/>
          <c:y val="3.5175879396984931E-2"/>
          <c:w val="0.79245283018867951"/>
          <c:h val="0.67336683417085452"/>
        </c:manualLayout>
      </c:layout>
      <c:barChart>
        <c:barDir val="col"/>
        <c:grouping val="clustered"/>
        <c:ser>
          <c:idx val="1"/>
          <c:order val="0"/>
          <c:tx>
            <c:strRef>
              <c:f>Profesores!$B$19</c:f>
              <c:strCache>
                <c:ptCount val="1"/>
                <c:pt idx="0">
                  <c:v>FISCALES</c:v>
                </c:pt>
              </c:strCache>
            </c:strRef>
          </c:tx>
          <c:spPr>
            <a:solidFill>
              <a:srgbClr val="993366"/>
            </a:solidFill>
            <a:ln w="12717">
              <a:solidFill>
                <a:srgbClr val="000000"/>
              </a:solidFill>
              <a:prstDash val="solid"/>
            </a:ln>
          </c:spPr>
          <c:cat>
            <c:numRef>
              <c:f>Profesores!$A$20:$A$27</c:f>
              <c:numCache>
                <c:formatCode>General</c:formatCode>
                <c:ptCount val="8"/>
                <c:pt idx="0">
                  <c:v>1993</c:v>
                </c:pt>
                <c:pt idx="1">
                  <c:v>1994</c:v>
                </c:pt>
                <c:pt idx="2">
                  <c:v>1995</c:v>
                </c:pt>
                <c:pt idx="3">
                  <c:v>1996</c:v>
                </c:pt>
                <c:pt idx="4">
                  <c:v>1997</c:v>
                </c:pt>
                <c:pt idx="5">
                  <c:v>1998</c:v>
                </c:pt>
                <c:pt idx="6">
                  <c:v>1999</c:v>
                </c:pt>
                <c:pt idx="7">
                  <c:v>2000</c:v>
                </c:pt>
              </c:numCache>
            </c:numRef>
          </c:cat>
          <c:val>
            <c:numRef>
              <c:f>Profesores!$B$20:$B$27</c:f>
              <c:numCache>
                <c:formatCode>General</c:formatCode>
                <c:ptCount val="8"/>
                <c:pt idx="0">
                  <c:v>2711</c:v>
                </c:pt>
                <c:pt idx="1">
                  <c:v>2549</c:v>
                </c:pt>
                <c:pt idx="2">
                  <c:v>2595</c:v>
                </c:pt>
                <c:pt idx="3">
                  <c:v>2881</c:v>
                </c:pt>
                <c:pt idx="4">
                  <c:v>2915</c:v>
                </c:pt>
                <c:pt idx="5">
                  <c:v>3028</c:v>
                </c:pt>
                <c:pt idx="6">
                  <c:v>3030</c:v>
                </c:pt>
                <c:pt idx="7" formatCode="0">
                  <c:v>3026</c:v>
                </c:pt>
              </c:numCache>
            </c:numRef>
          </c:val>
        </c:ser>
        <c:ser>
          <c:idx val="2"/>
          <c:order val="1"/>
          <c:tx>
            <c:strRef>
              <c:f>Profesores!$C$19</c:f>
              <c:strCache>
                <c:ptCount val="1"/>
                <c:pt idx="0">
                  <c:v>MUNICIPALES</c:v>
                </c:pt>
              </c:strCache>
            </c:strRef>
          </c:tx>
          <c:spPr>
            <a:solidFill>
              <a:srgbClr val="FFFFCC"/>
            </a:solidFill>
            <a:ln w="12717">
              <a:solidFill>
                <a:srgbClr val="000000"/>
              </a:solidFill>
              <a:prstDash val="solid"/>
            </a:ln>
          </c:spPr>
          <c:cat>
            <c:numRef>
              <c:f>Profesores!$A$20:$A$27</c:f>
              <c:numCache>
                <c:formatCode>General</c:formatCode>
                <c:ptCount val="8"/>
                <c:pt idx="0">
                  <c:v>1993</c:v>
                </c:pt>
                <c:pt idx="1">
                  <c:v>1994</c:v>
                </c:pt>
                <c:pt idx="2">
                  <c:v>1995</c:v>
                </c:pt>
                <c:pt idx="3">
                  <c:v>1996</c:v>
                </c:pt>
                <c:pt idx="4">
                  <c:v>1997</c:v>
                </c:pt>
                <c:pt idx="5">
                  <c:v>1998</c:v>
                </c:pt>
                <c:pt idx="6">
                  <c:v>1999</c:v>
                </c:pt>
                <c:pt idx="7">
                  <c:v>2000</c:v>
                </c:pt>
              </c:numCache>
            </c:numRef>
          </c:cat>
          <c:val>
            <c:numRef>
              <c:f>Profesores!$C$20:$C$27</c:f>
              <c:numCache>
                <c:formatCode>General</c:formatCode>
                <c:ptCount val="8"/>
                <c:pt idx="0">
                  <c:v>0</c:v>
                </c:pt>
                <c:pt idx="1">
                  <c:v>0</c:v>
                </c:pt>
                <c:pt idx="2">
                  <c:v>0</c:v>
                </c:pt>
                <c:pt idx="3">
                  <c:v>0</c:v>
                </c:pt>
                <c:pt idx="4">
                  <c:v>0</c:v>
                </c:pt>
                <c:pt idx="5">
                  <c:v>1</c:v>
                </c:pt>
                <c:pt idx="6">
                  <c:v>2</c:v>
                </c:pt>
                <c:pt idx="7" formatCode="0">
                  <c:v>0</c:v>
                </c:pt>
              </c:numCache>
            </c:numRef>
          </c:val>
        </c:ser>
        <c:ser>
          <c:idx val="3"/>
          <c:order val="2"/>
          <c:tx>
            <c:strRef>
              <c:f>Profesores!$D$19</c:f>
              <c:strCache>
                <c:ptCount val="1"/>
                <c:pt idx="0">
                  <c:v>PARTICULARES</c:v>
                </c:pt>
              </c:strCache>
            </c:strRef>
          </c:tx>
          <c:spPr>
            <a:solidFill>
              <a:srgbClr val="9999FF"/>
            </a:solidFill>
            <a:ln w="12717">
              <a:solidFill>
                <a:srgbClr val="000000"/>
              </a:solidFill>
              <a:prstDash val="solid"/>
            </a:ln>
          </c:spPr>
          <c:cat>
            <c:numRef>
              <c:f>Profesores!$A$20:$A$27</c:f>
              <c:numCache>
                <c:formatCode>General</c:formatCode>
                <c:ptCount val="8"/>
                <c:pt idx="0">
                  <c:v>1993</c:v>
                </c:pt>
                <c:pt idx="1">
                  <c:v>1994</c:v>
                </c:pt>
                <c:pt idx="2">
                  <c:v>1995</c:v>
                </c:pt>
                <c:pt idx="3">
                  <c:v>1996</c:v>
                </c:pt>
                <c:pt idx="4">
                  <c:v>1997</c:v>
                </c:pt>
                <c:pt idx="5">
                  <c:v>1998</c:v>
                </c:pt>
                <c:pt idx="6">
                  <c:v>1999</c:v>
                </c:pt>
                <c:pt idx="7">
                  <c:v>2000</c:v>
                </c:pt>
              </c:numCache>
            </c:numRef>
          </c:cat>
          <c:val>
            <c:numRef>
              <c:f>Profesores!$D$20:$D$27</c:f>
              <c:numCache>
                <c:formatCode>General</c:formatCode>
                <c:ptCount val="8"/>
                <c:pt idx="0">
                  <c:v>125</c:v>
                </c:pt>
                <c:pt idx="1">
                  <c:v>115</c:v>
                </c:pt>
                <c:pt idx="2">
                  <c:v>118</c:v>
                </c:pt>
                <c:pt idx="3">
                  <c:v>126</c:v>
                </c:pt>
                <c:pt idx="4">
                  <c:v>138</c:v>
                </c:pt>
                <c:pt idx="5">
                  <c:v>160</c:v>
                </c:pt>
                <c:pt idx="6">
                  <c:v>228</c:v>
                </c:pt>
                <c:pt idx="7" formatCode="0">
                  <c:v>61</c:v>
                </c:pt>
              </c:numCache>
            </c:numRef>
          </c:val>
        </c:ser>
        <c:axId val="158970624"/>
        <c:axId val="158972160"/>
      </c:barChart>
      <c:catAx>
        <c:axId val="158970624"/>
        <c:scaling>
          <c:orientation val="minMax"/>
        </c:scaling>
        <c:axPos val="b"/>
        <c:numFmt formatCode="General" sourceLinked="1"/>
        <c:tickLblPos val="nextTo"/>
        <c:spPr>
          <a:ln w="3179">
            <a:solidFill>
              <a:srgbClr val="000000"/>
            </a:solidFill>
            <a:prstDash val="solid"/>
          </a:ln>
        </c:spPr>
        <c:txPr>
          <a:bodyPr rot="0" vert="horz"/>
          <a:lstStyle/>
          <a:p>
            <a:pPr>
              <a:defRPr sz="1026" b="0" i="0" u="none" strike="noStrike" baseline="0">
                <a:solidFill>
                  <a:srgbClr val="000000"/>
                </a:solidFill>
                <a:latin typeface="Arial"/>
                <a:ea typeface="Arial"/>
                <a:cs typeface="Arial"/>
              </a:defRPr>
            </a:pPr>
            <a:endParaRPr lang="es-ES"/>
          </a:p>
        </c:txPr>
        <c:crossAx val="158972160"/>
        <c:crosses val="autoZero"/>
        <c:auto val="1"/>
        <c:lblAlgn val="ctr"/>
        <c:lblOffset val="100"/>
        <c:tickMarkSkip val="1"/>
      </c:catAx>
      <c:valAx>
        <c:axId val="158972160"/>
        <c:scaling>
          <c:orientation val="minMax"/>
        </c:scaling>
        <c:axPos val="l"/>
        <c:numFmt formatCode="General" sourceLinked="1"/>
        <c:tickLblPos val="nextTo"/>
        <c:spPr>
          <a:ln w="3179">
            <a:solidFill>
              <a:srgbClr val="000000"/>
            </a:solidFill>
            <a:prstDash val="solid"/>
          </a:ln>
        </c:spPr>
        <c:txPr>
          <a:bodyPr rot="0" vert="horz"/>
          <a:lstStyle/>
          <a:p>
            <a:pPr>
              <a:defRPr sz="576" b="0" i="0" u="none" strike="noStrike" baseline="0">
                <a:solidFill>
                  <a:srgbClr val="000000"/>
                </a:solidFill>
                <a:latin typeface="Arial"/>
                <a:ea typeface="Arial"/>
                <a:cs typeface="Arial"/>
              </a:defRPr>
            </a:pPr>
            <a:endParaRPr lang="es-ES"/>
          </a:p>
        </c:txPr>
        <c:crossAx val="158970624"/>
        <c:crosses val="autoZero"/>
        <c:crossBetween val="between"/>
      </c:valAx>
      <c:dTable>
        <c:showHorzBorder val="1"/>
        <c:showVertBorder val="1"/>
        <c:showOutline val="1"/>
        <c:showKeys val="1"/>
        <c:spPr>
          <a:ln w="3179">
            <a:solidFill>
              <a:srgbClr val="000000"/>
            </a:solidFill>
            <a:prstDash val="solid"/>
          </a:ln>
        </c:spPr>
        <c:txPr>
          <a:bodyPr/>
          <a:lstStyle/>
          <a:p>
            <a:pPr>
              <a:defRPr sz="576" b="0" i="0" u="none" strike="noStrike" baseline="0">
                <a:solidFill>
                  <a:srgbClr val="000000"/>
                </a:solidFill>
                <a:latin typeface="Arial"/>
                <a:ea typeface="Arial"/>
                <a:cs typeface="Arial"/>
              </a:defRPr>
            </a:pPr>
            <a:endParaRPr lang="es-ES"/>
          </a:p>
        </c:txPr>
      </c:dTable>
      <c:spPr>
        <a:noFill/>
        <a:ln w="12717">
          <a:solidFill>
            <a:srgbClr val="808080"/>
          </a:solidFill>
          <a:prstDash val="solid"/>
        </a:ln>
      </c:spPr>
    </c:plotArea>
    <c:plotVisOnly val="1"/>
    <c:dispBlanksAs val="gap"/>
  </c:chart>
  <c:spPr>
    <a:solidFill>
      <a:srgbClr val="FFFFFF"/>
    </a:solidFill>
    <a:ln w="3179">
      <a:solidFill>
        <a:srgbClr val="FFFFFF"/>
      </a:solidFill>
      <a:prstDash val="solid"/>
    </a:ln>
  </c:spPr>
  <c:txPr>
    <a:bodyPr/>
    <a:lstStyle/>
    <a:p>
      <a:pPr>
        <a:defRPr sz="1026" b="0" i="0" u="none" strike="noStrike" baseline="0">
          <a:solidFill>
            <a:srgbClr val="000000"/>
          </a:solidFill>
          <a:latin typeface="Arial"/>
          <a:ea typeface="Arial"/>
          <a:cs typeface="Arial"/>
        </a:defRPr>
      </a:pPr>
      <a:endParaRPr lang="es-E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065727699530516"/>
          <c:y val="3.8251366120218594E-2"/>
          <c:w val="0.79342723004694837"/>
          <c:h val="0.63934426229508245"/>
        </c:manualLayout>
      </c:layout>
      <c:barChart>
        <c:barDir val="col"/>
        <c:grouping val="clustered"/>
        <c:ser>
          <c:idx val="1"/>
          <c:order val="0"/>
          <c:tx>
            <c:strRef>
              <c:f>Alumnos!$B$19</c:f>
              <c:strCache>
                <c:ptCount val="1"/>
                <c:pt idx="0">
                  <c:v>FISCALES</c:v>
                </c:pt>
              </c:strCache>
            </c:strRef>
          </c:tx>
          <c:spPr>
            <a:solidFill>
              <a:srgbClr val="993366"/>
            </a:solidFill>
            <a:ln w="12681">
              <a:solidFill>
                <a:srgbClr val="000000"/>
              </a:solidFill>
              <a:prstDash val="solid"/>
            </a:ln>
          </c:spPr>
          <c:cat>
            <c:numRef>
              <c:f>Alumnos!$A$20:$A$27</c:f>
              <c:numCache>
                <c:formatCode>General</c:formatCode>
                <c:ptCount val="8"/>
                <c:pt idx="0">
                  <c:v>1993</c:v>
                </c:pt>
                <c:pt idx="1">
                  <c:v>1994</c:v>
                </c:pt>
                <c:pt idx="2">
                  <c:v>1995</c:v>
                </c:pt>
                <c:pt idx="3">
                  <c:v>1996</c:v>
                </c:pt>
                <c:pt idx="4">
                  <c:v>1997</c:v>
                </c:pt>
                <c:pt idx="5">
                  <c:v>1998</c:v>
                </c:pt>
                <c:pt idx="6">
                  <c:v>1999</c:v>
                </c:pt>
                <c:pt idx="7">
                  <c:v>2000</c:v>
                </c:pt>
              </c:numCache>
            </c:numRef>
          </c:cat>
          <c:val>
            <c:numRef>
              <c:f>Alumnos!$B$20:$B$27</c:f>
              <c:numCache>
                <c:formatCode>General</c:formatCode>
                <c:ptCount val="8"/>
                <c:pt idx="0">
                  <c:v>42577</c:v>
                </c:pt>
                <c:pt idx="1">
                  <c:v>39950</c:v>
                </c:pt>
                <c:pt idx="2">
                  <c:v>40112</c:v>
                </c:pt>
                <c:pt idx="3">
                  <c:v>44656</c:v>
                </c:pt>
                <c:pt idx="4">
                  <c:v>44784</c:v>
                </c:pt>
                <c:pt idx="5">
                  <c:v>44943</c:v>
                </c:pt>
                <c:pt idx="6">
                  <c:v>45435</c:v>
                </c:pt>
                <c:pt idx="7" formatCode="0">
                  <c:v>44883</c:v>
                </c:pt>
              </c:numCache>
            </c:numRef>
          </c:val>
        </c:ser>
        <c:ser>
          <c:idx val="2"/>
          <c:order val="1"/>
          <c:tx>
            <c:strRef>
              <c:f>Alumnos!$C$19</c:f>
              <c:strCache>
                <c:ptCount val="1"/>
                <c:pt idx="0">
                  <c:v>MUNICIPALES</c:v>
                </c:pt>
              </c:strCache>
            </c:strRef>
          </c:tx>
          <c:spPr>
            <a:solidFill>
              <a:srgbClr val="FFFFCC"/>
            </a:solidFill>
            <a:ln w="12681">
              <a:solidFill>
                <a:srgbClr val="000000"/>
              </a:solidFill>
              <a:prstDash val="solid"/>
            </a:ln>
          </c:spPr>
          <c:cat>
            <c:numRef>
              <c:f>Alumnos!$A$20:$A$27</c:f>
              <c:numCache>
                <c:formatCode>General</c:formatCode>
                <c:ptCount val="8"/>
                <c:pt idx="0">
                  <c:v>1993</c:v>
                </c:pt>
                <c:pt idx="1">
                  <c:v>1994</c:v>
                </c:pt>
                <c:pt idx="2">
                  <c:v>1995</c:v>
                </c:pt>
                <c:pt idx="3">
                  <c:v>1996</c:v>
                </c:pt>
                <c:pt idx="4">
                  <c:v>1997</c:v>
                </c:pt>
                <c:pt idx="5">
                  <c:v>1998</c:v>
                </c:pt>
                <c:pt idx="6">
                  <c:v>1999</c:v>
                </c:pt>
                <c:pt idx="7">
                  <c:v>2000</c:v>
                </c:pt>
              </c:numCache>
            </c:numRef>
          </c:cat>
          <c:val>
            <c:numRef>
              <c:f>Alumnos!$C$20:$C$27</c:f>
              <c:numCache>
                <c:formatCode>General</c:formatCode>
                <c:ptCount val="8"/>
                <c:pt idx="0">
                  <c:v>0</c:v>
                </c:pt>
                <c:pt idx="1">
                  <c:v>0</c:v>
                </c:pt>
                <c:pt idx="2">
                  <c:v>0</c:v>
                </c:pt>
                <c:pt idx="3">
                  <c:v>0</c:v>
                </c:pt>
                <c:pt idx="4">
                  <c:v>0</c:v>
                </c:pt>
                <c:pt idx="5">
                  <c:v>16</c:v>
                </c:pt>
                <c:pt idx="6">
                  <c:v>30</c:v>
                </c:pt>
                <c:pt idx="7" formatCode="0">
                  <c:v>0</c:v>
                </c:pt>
              </c:numCache>
            </c:numRef>
          </c:val>
        </c:ser>
        <c:ser>
          <c:idx val="3"/>
          <c:order val="2"/>
          <c:tx>
            <c:strRef>
              <c:f>Alumnos!$D$19</c:f>
              <c:strCache>
                <c:ptCount val="1"/>
                <c:pt idx="0">
                  <c:v>PARTICULARES</c:v>
                </c:pt>
              </c:strCache>
            </c:strRef>
          </c:tx>
          <c:spPr>
            <a:solidFill>
              <a:srgbClr val="9999FF"/>
            </a:solidFill>
            <a:ln w="12681">
              <a:solidFill>
                <a:srgbClr val="000000"/>
              </a:solidFill>
              <a:prstDash val="solid"/>
            </a:ln>
          </c:spPr>
          <c:cat>
            <c:numRef>
              <c:f>Alumnos!$A$20:$A$27</c:f>
              <c:numCache>
                <c:formatCode>General</c:formatCode>
                <c:ptCount val="8"/>
                <c:pt idx="0">
                  <c:v>1993</c:v>
                </c:pt>
                <c:pt idx="1">
                  <c:v>1994</c:v>
                </c:pt>
                <c:pt idx="2">
                  <c:v>1995</c:v>
                </c:pt>
                <c:pt idx="3">
                  <c:v>1996</c:v>
                </c:pt>
                <c:pt idx="4">
                  <c:v>1997</c:v>
                </c:pt>
                <c:pt idx="5">
                  <c:v>1998</c:v>
                </c:pt>
                <c:pt idx="6">
                  <c:v>1999</c:v>
                </c:pt>
                <c:pt idx="7">
                  <c:v>2000</c:v>
                </c:pt>
              </c:numCache>
            </c:numRef>
          </c:cat>
          <c:val>
            <c:numRef>
              <c:f>Alumnos!$D$20:$D$27</c:f>
              <c:numCache>
                <c:formatCode>General</c:formatCode>
                <c:ptCount val="8"/>
                <c:pt idx="0">
                  <c:v>1810</c:v>
                </c:pt>
                <c:pt idx="1">
                  <c:v>1652</c:v>
                </c:pt>
                <c:pt idx="2">
                  <c:v>1675</c:v>
                </c:pt>
                <c:pt idx="3">
                  <c:v>1813</c:v>
                </c:pt>
                <c:pt idx="4">
                  <c:v>2200</c:v>
                </c:pt>
                <c:pt idx="5">
                  <c:v>2170</c:v>
                </c:pt>
                <c:pt idx="6">
                  <c:v>2490</c:v>
                </c:pt>
                <c:pt idx="7" formatCode="0">
                  <c:v>1088</c:v>
                </c:pt>
              </c:numCache>
            </c:numRef>
          </c:val>
        </c:ser>
        <c:axId val="158683520"/>
        <c:axId val="158685056"/>
      </c:barChart>
      <c:catAx>
        <c:axId val="158683520"/>
        <c:scaling>
          <c:orientation val="minMax"/>
        </c:scaling>
        <c:axPos val="b"/>
        <c:numFmt formatCode="General" sourceLinked="1"/>
        <c:tickLblPos val="nextTo"/>
        <c:spPr>
          <a:ln w="3170">
            <a:solidFill>
              <a:srgbClr val="000000"/>
            </a:solidFill>
            <a:prstDash val="solid"/>
          </a:ln>
        </c:spPr>
        <c:txPr>
          <a:bodyPr rot="0" vert="horz"/>
          <a:lstStyle/>
          <a:p>
            <a:pPr>
              <a:defRPr sz="949" b="0" i="0" u="none" strike="noStrike" baseline="0">
                <a:solidFill>
                  <a:srgbClr val="000000"/>
                </a:solidFill>
                <a:latin typeface="Arial"/>
                <a:ea typeface="Arial"/>
                <a:cs typeface="Arial"/>
              </a:defRPr>
            </a:pPr>
            <a:endParaRPr lang="es-ES"/>
          </a:p>
        </c:txPr>
        <c:crossAx val="158685056"/>
        <c:crosses val="autoZero"/>
        <c:auto val="1"/>
        <c:lblAlgn val="ctr"/>
        <c:lblOffset val="100"/>
        <c:tickMarkSkip val="1"/>
      </c:catAx>
      <c:valAx>
        <c:axId val="158685056"/>
        <c:scaling>
          <c:orientation val="minMax"/>
        </c:scaling>
        <c:axPos val="l"/>
        <c:numFmt formatCode="General" sourceLinked="1"/>
        <c:tickLblPos val="nextTo"/>
        <c:spPr>
          <a:ln w="3170">
            <a:solidFill>
              <a:srgbClr val="000000"/>
            </a:solidFill>
            <a:prstDash val="solid"/>
          </a:ln>
        </c:spPr>
        <c:txPr>
          <a:bodyPr rot="0" vert="horz"/>
          <a:lstStyle/>
          <a:p>
            <a:pPr>
              <a:defRPr sz="574" b="0" i="0" u="none" strike="noStrike" baseline="0">
                <a:solidFill>
                  <a:srgbClr val="000000"/>
                </a:solidFill>
                <a:latin typeface="Arial"/>
                <a:ea typeface="Arial"/>
                <a:cs typeface="Arial"/>
              </a:defRPr>
            </a:pPr>
            <a:endParaRPr lang="es-ES"/>
          </a:p>
        </c:txPr>
        <c:crossAx val="158683520"/>
        <c:crosses val="autoZero"/>
        <c:crossBetween val="between"/>
      </c:valAx>
      <c:dTable>
        <c:showHorzBorder val="1"/>
        <c:showVertBorder val="1"/>
        <c:showOutline val="1"/>
        <c:showKeys val="1"/>
        <c:spPr>
          <a:ln w="3170">
            <a:solidFill>
              <a:srgbClr val="000000"/>
            </a:solidFill>
            <a:prstDash val="solid"/>
          </a:ln>
        </c:spPr>
        <c:txPr>
          <a:bodyPr/>
          <a:lstStyle/>
          <a:p>
            <a:pPr>
              <a:defRPr sz="574" b="0" i="0" u="none" strike="noStrike" baseline="0">
                <a:solidFill>
                  <a:srgbClr val="000000"/>
                </a:solidFill>
                <a:latin typeface="Arial"/>
                <a:ea typeface="Arial"/>
                <a:cs typeface="Arial"/>
              </a:defRPr>
            </a:pPr>
            <a:endParaRPr lang="es-ES"/>
          </a:p>
        </c:txPr>
      </c:dTable>
      <c:spPr>
        <a:noFill/>
        <a:ln w="12681">
          <a:solidFill>
            <a:srgbClr val="808080"/>
          </a:solidFill>
          <a:prstDash val="solid"/>
        </a:ln>
      </c:spPr>
    </c:plotArea>
    <c:plotVisOnly val="1"/>
    <c:dispBlanksAs val="gap"/>
  </c:chart>
  <c:spPr>
    <a:solidFill>
      <a:srgbClr val="FFFFFF"/>
    </a:solidFill>
    <a:ln w="3170">
      <a:solidFill>
        <a:srgbClr val="FFFFFF"/>
      </a:solidFill>
      <a:prstDash val="solid"/>
    </a:ln>
  </c:spPr>
  <c:txPr>
    <a:bodyPr/>
    <a:lstStyle/>
    <a:p>
      <a:pPr>
        <a:defRPr sz="949" b="0" i="0" u="none" strike="noStrike" baseline="0">
          <a:solidFill>
            <a:srgbClr val="000000"/>
          </a:solidFill>
          <a:latin typeface="Arial"/>
          <a:ea typeface="Arial"/>
          <a:cs typeface="Arial"/>
        </a:defRPr>
      </a:pPr>
      <a:endParaRPr lang="es-E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3375796178343949"/>
          <c:y val="4.80769230769231E-2"/>
          <c:w val="0.86624203821656065"/>
          <c:h val="0.65384615384615385"/>
        </c:manualLayout>
      </c:layout>
      <c:barChart>
        <c:barDir val="col"/>
        <c:grouping val="clustered"/>
        <c:ser>
          <c:idx val="1"/>
          <c:order val="0"/>
          <c:tx>
            <c:strRef>
              <c:f>Planteles!$B$33</c:f>
              <c:strCache>
                <c:ptCount val="1"/>
                <c:pt idx="0">
                  <c:v>URBANA</c:v>
                </c:pt>
              </c:strCache>
            </c:strRef>
          </c:tx>
          <c:spPr>
            <a:solidFill>
              <a:srgbClr val="993366"/>
            </a:solidFill>
            <a:ln w="12681">
              <a:solidFill>
                <a:srgbClr val="000000"/>
              </a:solidFill>
              <a:prstDash val="solid"/>
            </a:ln>
          </c:spPr>
          <c:cat>
            <c:numRef>
              <c:f>Planteles!$A$34:$A$41</c:f>
              <c:numCache>
                <c:formatCode>General</c:formatCode>
                <c:ptCount val="8"/>
                <c:pt idx="0">
                  <c:v>1993</c:v>
                </c:pt>
                <c:pt idx="1">
                  <c:v>1994</c:v>
                </c:pt>
                <c:pt idx="2">
                  <c:v>1995</c:v>
                </c:pt>
                <c:pt idx="3">
                  <c:v>1996</c:v>
                </c:pt>
                <c:pt idx="4">
                  <c:v>1997</c:v>
                </c:pt>
                <c:pt idx="5">
                  <c:v>1998</c:v>
                </c:pt>
                <c:pt idx="6">
                  <c:v>1999</c:v>
                </c:pt>
                <c:pt idx="7">
                  <c:v>2000</c:v>
                </c:pt>
              </c:numCache>
            </c:numRef>
          </c:cat>
          <c:val>
            <c:numRef>
              <c:f>Planteles!$B$34:$B$41</c:f>
              <c:numCache>
                <c:formatCode>General</c:formatCode>
                <c:ptCount val="8"/>
                <c:pt idx="0">
                  <c:v>69</c:v>
                </c:pt>
                <c:pt idx="1">
                  <c:v>70</c:v>
                </c:pt>
                <c:pt idx="2">
                  <c:v>70</c:v>
                </c:pt>
                <c:pt idx="3">
                  <c:v>76</c:v>
                </c:pt>
                <c:pt idx="4">
                  <c:v>79</c:v>
                </c:pt>
                <c:pt idx="5">
                  <c:v>82</c:v>
                </c:pt>
                <c:pt idx="6">
                  <c:v>90</c:v>
                </c:pt>
                <c:pt idx="7" formatCode="0">
                  <c:v>74</c:v>
                </c:pt>
              </c:numCache>
            </c:numRef>
          </c:val>
        </c:ser>
        <c:ser>
          <c:idx val="2"/>
          <c:order val="1"/>
          <c:tx>
            <c:strRef>
              <c:f>Planteles!$C$33</c:f>
              <c:strCache>
                <c:ptCount val="1"/>
                <c:pt idx="0">
                  <c:v>RURAL</c:v>
                </c:pt>
              </c:strCache>
            </c:strRef>
          </c:tx>
          <c:spPr>
            <a:solidFill>
              <a:srgbClr val="FFFFCC"/>
            </a:solidFill>
            <a:ln w="12681">
              <a:solidFill>
                <a:srgbClr val="000000"/>
              </a:solidFill>
              <a:prstDash val="solid"/>
            </a:ln>
          </c:spPr>
          <c:cat>
            <c:numRef>
              <c:f>Planteles!$A$34:$A$41</c:f>
              <c:numCache>
                <c:formatCode>General</c:formatCode>
                <c:ptCount val="8"/>
                <c:pt idx="0">
                  <c:v>1993</c:v>
                </c:pt>
                <c:pt idx="1">
                  <c:v>1994</c:v>
                </c:pt>
                <c:pt idx="2">
                  <c:v>1995</c:v>
                </c:pt>
                <c:pt idx="3">
                  <c:v>1996</c:v>
                </c:pt>
                <c:pt idx="4">
                  <c:v>1997</c:v>
                </c:pt>
                <c:pt idx="5">
                  <c:v>1998</c:v>
                </c:pt>
                <c:pt idx="6">
                  <c:v>1999</c:v>
                </c:pt>
                <c:pt idx="7">
                  <c:v>2000</c:v>
                </c:pt>
              </c:numCache>
            </c:numRef>
          </c:cat>
          <c:val>
            <c:numRef>
              <c:f>Planteles!$C$34:$C$41</c:f>
              <c:numCache>
                <c:formatCode>General</c:formatCode>
                <c:ptCount val="8"/>
                <c:pt idx="0">
                  <c:v>535</c:v>
                </c:pt>
                <c:pt idx="1">
                  <c:v>471</c:v>
                </c:pt>
                <c:pt idx="2">
                  <c:v>471</c:v>
                </c:pt>
                <c:pt idx="3">
                  <c:v>543</c:v>
                </c:pt>
                <c:pt idx="4">
                  <c:v>557</c:v>
                </c:pt>
                <c:pt idx="5">
                  <c:v>569</c:v>
                </c:pt>
                <c:pt idx="6">
                  <c:v>566</c:v>
                </c:pt>
                <c:pt idx="7" formatCode="0">
                  <c:v>491</c:v>
                </c:pt>
              </c:numCache>
            </c:numRef>
          </c:val>
        </c:ser>
        <c:axId val="159247360"/>
        <c:axId val="159249152"/>
      </c:barChart>
      <c:catAx>
        <c:axId val="159247360"/>
        <c:scaling>
          <c:orientation val="minMax"/>
        </c:scaling>
        <c:axPos val="b"/>
        <c:numFmt formatCode="General" sourceLinked="1"/>
        <c:tickLblPos val="nextTo"/>
        <c:spPr>
          <a:ln w="3170">
            <a:solidFill>
              <a:srgbClr val="000000"/>
            </a:solidFill>
            <a:prstDash val="solid"/>
          </a:ln>
        </c:spPr>
        <c:txPr>
          <a:bodyPr rot="0" vert="horz"/>
          <a:lstStyle/>
          <a:p>
            <a:pPr>
              <a:defRPr sz="1073" b="0" i="0" u="none" strike="noStrike" baseline="0">
                <a:solidFill>
                  <a:srgbClr val="000000"/>
                </a:solidFill>
                <a:latin typeface="Arial"/>
                <a:ea typeface="Arial"/>
                <a:cs typeface="Arial"/>
              </a:defRPr>
            </a:pPr>
            <a:endParaRPr lang="es-ES"/>
          </a:p>
        </c:txPr>
        <c:crossAx val="159249152"/>
        <c:crosses val="autoZero"/>
        <c:auto val="1"/>
        <c:lblAlgn val="ctr"/>
        <c:lblOffset val="100"/>
        <c:tickMarkSkip val="1"/>
      </c:catAx>
      <c:valAx>
        <c:axId val="159249152"/>
        <c:scaling>
          <c:orientation val="minMax"/>
        </c:scaling>
        <c:axPos val="l"/>
        <c:numFmt formatCode="General" sourceLinked="1"/>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59247360"/>
        <c:crosses val="autoZero"/>
        <c:crossBetween val="between"/>
      </c:valAx>
      <c:dTable>
        <c:showHorzBorder val="1"/>
        <c:showVertBorder val="1"/>
        <c:showOutline val="1"/>
        <c:showKeys val="1"/>
        <c:spPr>
          <a:ln w="3170">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s-ES"/>
          </a:p>
        </c:txPr>
      </c:dTable>
      <c:spPr>
        <a:noFill/>
        <a:ln w="12681">
          <a:solidFill>
            <a:srgbClr val="808080"/>
          </a:solidFill>
          <a:prstDash val="solid"/>
        </a:ln>
      </c:spPr>
    </c:plotArea>
    <c:plotVisOnly val="1"/>
    <c:dispBlanksAs val="gap"/>
  </c:chart>
  <c:spPr>
    <a:solidFill>
      <a:srgbClr val="FFFFFF"/>
    </a:solidFill>
    <a:ln w="3170">
      <a:solidFill>
        <a:srgbClr val="FFFFFF"/>
      </a:solidFill>
      <a:prstDash val="solid"/>
    </a:ln>
  </c:spPr>
  <c:txPr>
    <a:bodyPr/>
    <a:lstStyle/>
    <a:p>
      <a:pPr>
        <a:defRPr sz="1073" b="0" i="0" u="none" strike="noStrike" baseline="0">
          <a:solidFill>
            <a:srgbClr val="000000"/>
          </a:solidFill>
          <a:latin typeface="Arial"/>
          <a:ea typeface="Arial"/>
          <a:cs typeface="Arial"/>
        </a:defRPr>
      </a:pPr>
      <a:endParaRPr lang="es-E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3319238900634256"/>
          <c:y val="4.80769230769231E-2"/>
          <c:w val="0.8646934460887955"/>
          <c:h val="0.65384615384615385"/>
        </c:manualLayout>
      </c:layout>
      <c:barChart>
        <c:barDir val="col"/>
        <c:grouping val="clustered"/>
        <c:ser>
          <c:idx val="1"/>
          <c:order val="0"/>
          <c:tx>
            <c:strRef>
              <c:f>Profesores!$B$34</c:f>
              <c:strCache>
                <c:ptCount val="1"/>
                <c:pt idx="0">
                  <c:v>URBANA</c:v>
                </c:pt>
              </c:strCache>
            </c:strRef>
          </c:tx>
          <c:spPr>
            <a:solidFill>
              <a:srgbClr val="993366"/>
            </a:solidFill>
            <a:ln w="12681">
              <a:solidFill>
                <a:srgbClr val="000000"/>
              </a:solidFill>
              <a:prstDash val="solid"/>
            </a:ln>
          </c:spPr>
          <c:cat>
            <c:numRef>
              <c:f>Profesores!$A$35:$A$42</c:f>
              <c:numCache>
                <c:formatCode>General</c:formatCode>
                <c:ptCount val="8"/>
                <c:pt idx="0">
                  <c:v>1993</c:v>
                </c:pt>
                <c:pt idx="1">
                  <c:v>1994</c:v>
                </c:pt>
                <c:pt idx="2">
                  <c:v>1995</c:v>
                </c:pt>
                <c:pt idx="3">
                  <c:v>1996</c:v>
                </c:pt>
                <c:pt idx="4">
                  <c:v>1997</c:v>
                </c:pt>
                <c:pt idx="5">
                  <c:v>1998</c:v>
                </c:pt>
                <c:pt idx="6">
                  <c:v>1999</c:v>
                </c:pt>
                <c:pt idx="7">
                  <c:v>2000</c:v>
                </c:pt>
              </c:numCache>
            </c:numRef>
          </c:cat>
          <c:val>
            <c:numRef>
              <c:f>Profesores!$B$35:$B$42</c:f>
              <c:numCache>
                <c:formatCode>General</c:formatCode>
                <c:ptCount val="8"/>
                <c:pt idx="0">
                  <c:v>1221</c:v>
                </c:pt>
                <c:pt idx="1">
                  <c:v>1232</c:v>
                </c:pt>
                <c:pt idx="2">
                  <c:v>1268</c:v>
                </c:pt>
                <c:pt idx="3">
                  <c:v>1370</c:v>
                </c:pt>
                <c:pt idx="4">
                  <c:v>1396</c:v>
                </c:pt>
                <c:pt idx="5">
                  <c:v>1452</c:v>
                </c:pt>
                <c:pt idx="6">
                  <c:v>1511</c:v>
                </c:pt>
                <c:pt idx="7">
                  <c:v>1397</c:v>
                </c:pt>
              </c:numCache>
            </c:numRef>
          </c:val>
        </c:ser>
        <c:ser>
          <c:idx val="2"/>
          <c:order val="1"/>
          <c:tx>
            <c:strRef>
              <c:f>Profesores!$C$34</c:f>
              <c:strCache>
                <c:ptCount val="1"/>
                <c:pt idx="0">
                  <c:v>RURAL</c:v>
                </c:pt>
              </c:strCache>
            </c:strRef>
          </c:tx>
          <c:spPr>
            <a:solidFill>
              <a:srgbClr val="FFFFCC"/>
            </a:solidFill>
            <a:ln w="12681">
              <a:solidFill>
                <a:srgbClr val="000000"/>
              </a:solidFill>
              <a:prstDash val="solid"/>
            </a:ln>
          </c:spPr>
          <c:cat>
            <c:numRef>
              <c:f>Profesores!$A$35:$A$42</c:f>
              <c:numCache>
                <c:formatCode>General</c:formatCode>
                <c:ptCount val="8"/>
                <c:pt idx="0">
                  <c:v>1993</c:v>
                </c:pt>
                <c:pt idx="1">
                  <c:v>1994</c:v>
                </c:pt>
                <c:pt idx="2">
                  <c:v>1995</c:v>
                </c:pt>
                <c:pt idx="3">
                  <c:v>1996</c:v>
                </c:pt>
                <c:pt idx="4">
                  <c:v>1997</c:v>
                </c:pt>
                <c:pt idx="5">
                  <c:v>1998</c:v>
                </c:pt>
                <c:pt idx="6">
                  <c:v>1999</c:v>
                </c:pt>
                <c:pt idx="7">
                  <c:v>2000</c:v>
                </c:pt>
              </c:numCache>
            </c:numRef>
          </c:cat>
          <c:val>
            <c:numRef>
              <c:f>Profesores!$C$35:$C$42</c:f>
              <c:numCache>
                <c:formatCode>General</c:formatCode>
                <c:ptCount val="8"/>
                <c:pt idx="0">
                  <c:v>1615</c:v>
                </c:pt>
                <c:pt idx="1">
                  <c:v>1432</c:v>
                </c:pt>
                <c:pt idx="2">
                  <c:v>1445</c:v>
                </c:pt>
                <c:pt idx="3">
                  <c:v>1637</c:v>
                </c:pt>
                <c:pt idx="4">
                  <c:v>1651</c:v>
                </c:pt>
                <c:pt idx="5">
                  <c:v>1737</c:v>
                </c:pt>
                <c:pt idx="6">
                  <c:v>1749</c:v>
                </c:pt>
                <c:pt idx="7">
                  <c:v>1691</c:v>
                </c:pt>
              </c:numCache>
            </c:numRef>
          </c:val>
        </c:ser>
        <c:axId val="159418240"/>
        <c:axId val="159419776"/>
      </c:barChart>
      <c:catAx>
        <c:axId val="159418240"/>
        <c:scaling>
          <c:orientation val="minMax"/>
        </c:scaling>
        <c:axPos val="b"/>
        <c:numFmt formatCode="General" sourceLinked="1"/>
        <c:tickLblPos val="nextTo"/>
        <c:spPr>
          <a:ln w="3170">
            <a:solidFill>
              <a:srgbClr val="000000"/>
            </a:solidFill>
            <a:prstDash val="solid"/>
          </a:ln>
        </c:spPr>
        <c:txPr>
          <a:bodyPr rot="0" vert="horz"/>
          <a:lstStyle/>
          <a:p>
            <a:pPr>
              <a:defRPr sz="1073" b="0" i="0" u="none" strike="noStrike" baseline="0">
                <a:solidFill>
                  <a:srgbClr val="000000"/>
                </a:solidFill>
                <a:latin typeface="Arial"/>
                <a:ea typeface="Arial"/>
                <a:cs typeface="Arial"/>
              </a:defRPr>
            </a:pPr>
            <a:endParaRPr lang="es-ES"/>
          </a:p>
        </c:txPr>
        <c:crossAx val="159419776"/>
        <c:crosses val="autoZero"/>
        <c:auto val="1"/>
        <c:lblAlgn val="ctr"/>
        <c:lblOffset val="100"/>
        <c:tickMarkSkip val="1"/>
      </c:catAx>
      <c:valAx>
        <c:axId val="159419776"/>
        <c:scaling>
          <c:orientation val="minMax"/>
        </c:scaling>
        <c:axPos val="l"/>
        <c:numFmt formatCode="General" sourceLinked="1"/>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59418240"/>
        <c:crosses val="autoZero"/>
        <c:crossBetween val="between"/>
      </c:valAx>
      <c:dTable>
        <c:showHorzBorder val="1"/>
        <c:showVertBorder val="1"/>
        <c:showOutline val="1"/>
        <c:showKeys val="1"/>
        <c:spPr>
          <a:ln w="3170">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s-ES"/>
          </a:p>
        </c:txPr>
      </c:dTable>
      <c:spPr>
        <a:noFill/>
        <a:ln w="12681">
          <a:solidFill>
            <a:srgbClr val="808080"/>
          </a:solidFill>
          <a:prstDash val="solid"/>
        </a:ln>
      </c:spPr>
    </c:plotArea>
    <c:plotVisOnly val="1"/>
    <c:dispBlanksAs val="gap"/>
  </c:chart>
  <c:spPr>
    <a:solidFill>
      <a:srgbClr val="FFFFFF"/>
    </a:solidFill>
    <a:ln w="3170">
      <a:solidFill>
        <a:srgbClr val="FFFFFF"/>
      </a:solidFill>
      <a:prstDash val="solid"/>
    </a:ln>
  </c:spPr>
  <c:txPr>
    <a:bodyPr/>
    <a:lstStyle/>
    <a:p>
      <a:pPr>
        <a:defRPr sz="1073"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8151</Words>
  <Characters>44835</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Reseña Histórica de la provincia de Bolívar</vt:lpstr>
    </vt:vector>
  </TitlesOfParts>
  <Company>Ingeniería Estadística Informática</Company>
  <LinksUpToDate>false</LinksUpToDate>
  <CharactersWithSpaces>52881</CharactersWithSpaces>
  <SharedDoc>false</SharedDoc>
  <HLinks>
    <vt:vector size="192" baseType="variant">
      <vt:variant>
        <vt:i4>5111838</vt:i4>
      </vt:variant>
      <vt:variant>
        <vt:i4>192</vt:i4>
      </vt:variant>
      <vt:variant>
        <vt:i4>0</vt:i4>
      </vt:variant>
      <vt:variant>
        <vt:i4>5</vt:i4>
      </vt:variant>
      <vt:variant>
        <vt:lpwstr>http://www.siscom.or.cr/cdp/proyecu/sociales/bolivar.html</vt:lpwstr>
      </vt:variant>
      <vt:variant>
        <vt:lpwstr/>
      </vt:variant>
      <vt:variant>
        <vt:i4>2490374</vt:i4>
      </vt:variant>
      <vt:variant>
        <vt:i4>176</vt:i4>
      </vt:variant>
      <vt:variant>
        <vt:i4>0</vt:i4>
      </vt:variant>
      <vt:variant>
        <vt:i4>5</vt:i4>
      </vt:variant>
      <vt:variant>
        <vt:lpwstr/>
      </vt:variant>
      <vt:variant>
        <vt:lpwstr>_Toc9091609</vt:lpwstr>
      </vt:variant>
      <vt:variant>
        <vt:i4>2490374</vt:i4>
      </vt:variant>
      <vt:variant>
        <vt:i4>170</vt:i4>
      </vt:variant>
      <vt:variant>
        <vt:i4>0</vt:i4>
      </vt:variant>
      <vt:variant>
        <vt:i4>5</vt:i4>
      </vt:variant>
      <vt:variant>
        <vt:lpwstr/>
      </vt:variant>
      <vt:variant>
        <vt:lpwstr>_Toc9091608</vt:lpwstr>
      </vt:variant>
      <vt:variant>
        <vt:i4>2490374</vt:i4>
      </vt:variant>
      <vt:variant>
        <vt:i4>164</vt:i4>
      </vt:variant>
      <vt:variant>
        <vt:i4>0</vt:i4>
      </vt:variant>
      <vt:variant>
        <vt:i4>5</vt:i4>
      </vt:variant>
      <vt:variant>
        <vt:lpwstr/>
      </vt:variant>
      <vt:variant>
        <vt:lpwstr>_Toc9091607</vt:lpwstr>
      </vt:variant>
      <vt:variant>
        <vt:i4>2490374</vt:i4>
      </vt:variant>
      <vt:variant>
        <vt:i4>158</vt:i4>
      </vt:variant>
      <vt:variant>
        <vt:i4>0</vt:i4>
      </vt:variant>
      <vt:variant>
        <vt:i4>5</vt:i4>
      </vt:variant>
      <vt:variant>
        <vt:lpwstr/>
      </vt:variant>
      <vt:variant>
        <vt:lpwstr>_Toc9091606</vt:lpwstr>
      </vt:variant>
      <vt:variant>
        <vt:i4>2490374</vt:i4>
      </vt:variant>
      <vt:variant>
        <vt:i4>152</vt:i4>
      </vt:variant>
      <vt:variant>
        <vt:i4>0</vt:i4>
      </vt:variant>
      <vt:variant>
        <vt:i4>5</vt:i4>
      </vt:variant>
      <vt:variant>
        <vt:lpwstr/>
      </vt:variant>
      <vt:variant>
        <vt:lpwstr>_Toc9091605</vt:lpwstr>
      </vt:variant>
      <vt:variant>
        <vt:i4>2490374</vt:i4>
      </vt:variant>
      <vt:variant>
        <vt:i4>146</vt:i4>
      </vt:variant>
      <vt:variant>
        <vt:i4>0</vt:i4>
      </vt:variant>
      <vt:variant>
        <vt:i4>5</vt:i4>
      </vt:variant>
      <vt:variant>
        <vt:lpwstr/>
      </vt:variant>
      <vt:variant>
        <vt:lpwstr>_Toc9091604</vt:lpwstr>
      </vt:variant>
      <vt:variant>
        <vt:i4>2490374</vt:i4>
      </vt:variant>
      <vt:variant>
        <vt:i4>140</vt:i4>
      </vt:variant>
      <vt:variant>
        <vt:i4>0</vt:i4>
      </vt:variant>
      <vt:variant>
        <vt:i4>5</vt:i4>
      </vt:variant>
      <vt:variant>
        <vt:lpwstr/>
      </vt:variant>
      <vt:variant>
        <vt:lpwstr>_Toc9091603</vt:lpwstr>
      </vt:variant>
      <vt:variant>
        <vt:i4>2490374</vt:i4>
      </vt:variant>
      <vt:variant>
        <vt:i4>134</vt:i4>
      </vt:variant>
      <vt:variant>
        <vt:i4>0</vt:i4>
      </vt:variant>
      <vt:variant>
        <vt:i4>5</vt:i4>
      </vt:variant>
      <vt:variant>
        <vt:lpwstr/>
      </vt:variant>
      <vt:variant>
        <vt:lpwstr>_Toc9091602</vt:lpwstr>
      </vt:variant>
      <vt:variant>
        <vt:i4>2490374</vt:i4>
      </vt:variant>
      <vt:variant>
        <vt:i4>128</vt:i4>
      </vt:variant>
      <vt:variant>
        <vt:i4>0</vt:i4>
      </vt:variant>
      <vt:variant>
        <vt:i4>5</vt:i4>
      </vt:variant>
      <vt:variant>
        <vt:lpwstr/>
      </vt:variant>
      <vt:variant>
        <vt:lpwstr>_Toc9091600</vt:lpwstr>
      </vt:variant>
      <vt:variant>
        <vt:i4>3080197</vt:i4>
      </vt:variant>
      <vt:variant>
        <vt:i4>122</vt:i4>
      </vt:variant>
      <vt:variant>
        <vt:i4>0</vt:i4>
      </vt:variant>
      <vt:variant>
        <vt:i4>5</vt:i4>
      </vt:variant>
      <vt:variant>
        <vt:lpwstr/>
      </vt:variant>
      <vt:variant>
        <vt:lpwstr>_Toc9091598</vt:lpwstr>
      </vt:variant>
      <vt:variant>
        <vt:i4>3080197</vt:i4>
      </vt:variant>
      <vt:variant>
        <vt:i4>116</vt:i4>
      </vt:variant>
      <vt:variant>
        <vt:i4>0</vt:i4>
      </vt:variant>
      <vt:variant>
        <vt:i4>5</vt:i4>
      </vt:variant>
      <vt:variant>
        <vt:lpwstr/>
      </vt:variant>
      <vt:variant>
        <vt:lpwstr>_Toc9091597</vt:lpwstr>
      </vt:variant>
      <vt:variant>
        <vt:i4>3080197</vt:i4>
      </vt:variant>
      <vt:variant>
        <vt:i4>110</vt:i4>
      </vt:variant>
      <vt:variant>
        <vt:i4>0</vt:i4>
      </vt:variant>
      <vt:variant>
        <vt:i4>5</vt:i4>
      </vt:variant>
      <vt:variant>
        <vt:lpwstr/>
      </vt:variant>
      <vt:variant>
        <vt:lpwstr>_Toc9091596</vt:lpwstr>
      </vt:variant>
      <vt:variant>
        <vt:i4>3080197</vt:i4>
      </vt:variant>
      <vt:variant>
        <vt:i4>104</vt:i4>
      </vt:variant>
      <vt:variant>
        <vt:i4>0</vt:i4>
      </vt:variant>
      <vt:variant>
        <vt:i4>5</vt:i4>
      </vt:variant>
      <vt:variant>
        <vt:lpwstr/>
      </vt:variant>
      <vt:variant>
        <vt:lpwstr>_Toc9091595</vt:lpwstr>
      </vt:variant>
      <vt:variant>
        <vt:i4>3080197</vt:i4>
      </vt:variant>
      <vt:variant>
        <vt:i4>98</vt:i4>
      </vt:variant>
      <vt:variant>
        <vt:i4>0</vt:i4>
      </vt:variant>
      <vt:variant>
        <vt:i4>5</vt:i4>
      </vt:variant>
      <vt:variant>
        <vt:lpwstr/>
      </vt:variant>
      <vt:variant>
        <vt:lpwstr>_Toc9091594</vt:lpwstr>
      </vt:variant>
      <vt:variant>
        <vt:i4>3080197</vt:i4>
      </vt:variant>
      <vt:variant>
        <vt:i4>92</vt:i4>
      </vt:variant>
      <vt:variant>
        <vt:i4>0</vt:i4>
      </vt:variant>
      <vt:variant>
        <vt:i4>5</vt:i4>
      </vt:variant>
      <vt:variant>
        <vt:lpwstr/>
      </vt:variant>
      <vt:variant>
        <vt:lpwstr>_Toc9091593</vt:lpwstr>
      </vt:variant>
      <vt:variant>
        <vt:i4>3080197</vt:i4>
      </vt:variant>
      <vt:variant>
        <vt:i4>86</vt:i4>
      </vt:variant>
      <vt:variant>
        <vt:i4>0</vt:i4>
      </vt:variant>
      <vt:variant>
        <vt:i4>5</vt:i4>
      </vt:variant>
      <vt:variant>
        <vt:lpwstr/>
      </vt:variant>
      <vt:variant>
        <vt:lpwstr>_Toc9091591</vt:lpwstr>
      </vt:variant>
      <vt:variant>
        <vt:i4>3080197</vt:i4>
      </vt:variant>
      <vt:variant>
        <vt:i4>80</vt:i4>
      </vt:variant>
      <vt:variant>
        <vt:i4>0</vt:i4>
      </vt:variant>
      <vt:variant>
        <vt:i4>5</vt:i4>
      </vt:variant>
      <vt:variant>
        <vt:lpwstr/>
      </vt:variant>
      <vt:variant>
        <vt:lpwstr>_Toc9091590</vt:lpwstr>
      </vt:variant>
      <vt:variant>
        <vt:i4>3014661</vt:i4>
      </vt:variant>
      <vt:variant>
        <vt:i4>74</vt:i4>
      </vt:variant>
      <vt:variant>
        <vt:i4>0</vt:i4>
      </vt:variant>
      <vt:variant>
        <vt:i4>5</vt:i4>
      </vt:variant>
      <vt:variant>
        <vt:lpwstr/>
      </vt:variant>
      <vt:variant>
        <vt:lpwstr>_Toc9091589</vt:lpwstr>
      </vt:variant>
      <vt:variant>
        <vt:i4>3014661</vt:i4>
      </vt:variant>
      <vt:variant>
        <vt:i4>68</vt:i4>
      </vt:variant>
      <vt:variant>
        <vt:i4>0</vt:i4>
      </vt:variant>
      <vt:variant>
        <vt:i4>5</vt:i4>
      </vt:variant>
      <vt:variant>
        <vt:lpwstr/>
      </vt:variant>
      <vt:variant>
        <vt:lpwstr>_Toc9091588</vt:lpwstr>
      </vt:variant>
      <vt:variant>
        <vt:i4>3014661</vt:i4>
      </vt:variant>
      <vt:variant>
        <vt:i4>62</vt:i4>
      </vt:variant>
      <vt:variant>
        <vt:i4>0</vt:i4>
      </vt:variant>
      <vt:variant>
        <vt:i4>5</vt:i4>
      </vt:variant>
      <vt:variant>
        <vt:lpwstr/>
      </vt:variant>
      <vt:variant>
        <vt:lpwstr>_Toc9091587</vt:lpwstr>
      </vt:variant>
      <vt:variant>
        <vt:i4>3014661</vt:i4>
      </vt:variant>
      <vt:variant>
        <vt:i4>56</vt:i4>
      </vt:variant>
      <vt:variant>
        <vt:i4>0</vt:i4>
      </vt:variant>
      <vt:variant>
        <vt:i4>5</vt:i4>
      </vt:variant>
      <vt:variant>
        <vt:lpwstr/>
      </vt:variant>
      <vt:variant>
        <vt:lpwstr>_Toc9091586</vt:lpwstr>
      </vt:variant>
      <vt:variant>
        <vt:i4>3014661</vt:i4>
      </vt:variant>
      <vt:variant>
        <vt:i4>50</vt:i4>
      </vt:variant>
      <vt:variant>
        <vt:i4>0</vt:i4>
      </vt:variant>
      <vt:variant>
        <vt:i4>5</vt:i4>
      </vt:variant>
      <vt:variant>
        <vt:lpwstr/>
      </vt:variant>
      <vt:variant>
        <vt:lpwstr>_Toc9091585</vt:lpwstr>
      </vt:variant>
      <vt:variant>
        <vt:i4>3014661</vt:i4>
      </vt:variant>
      <vt:variant>
        <vt:i4>44</vt:i4>
      </vt:variant>
      <vt:variant>
        <vt:i4>0</vt:i4>
      </vt:variant>
      <vt:variant>
        <vt:i4>5</vt:i4>
      </vt:variant>
      <vt:variant>
        <vt:lpwstr/>
      </vt:variant>
      <vt:variant>
        <vt:lpwstr>_Toc9091584</vt:lpwstr>
      </vt:variant>
      <vt:variant>
        <vt:i4>3014661</vt:i4>
      </vt:variant>
      <vt:variant>
        <vt:i4>38</vt:i4>
      </vt:variant>
      <vt:variant>
        <vt:i4>0</vt:i4>
      </vt:variant>
      <vt:variant>
        <vt:i4>5</vt:i4>
      </vt:variant>
      <vt:variant>
        <vt:lpwstr/>
      </vt:variant>
      <vt:variant>
        <vt:lpwstr>_Toc9091583</vt:lpwstr>
      </vt:variant>
      <vt:variant>
        <vt:i4>3014661</vt:i4>
      </vt:variant>
      <vt:variant>
        <vt:i4>32</vt:i4>
      </vt:variant>
      <vt:variant>
        <vt:i4>0</vt:i4>
      </vt:variant>
      <vt:variant>
        <vt:i4>5</vt:i4>
      </vt:variant>
      <vt:variant>
        <vt:lpwstr/>
      </vt:variant>
      <vt:variant>
        <vt:lpwstr>_Toc9091582</vt:lpwstr>
      </vt:variant>
      <vt:variant>
        <vt:i4>3014661</vt:i4>
      </vt:variant>
      <vt:variant>
        <vt:i4>26</vt:i4>
      </vt:variant>
      <vt:variant>
        <vt:i4>0</vt:i4>
      </vt:variant>
      <vt:variant>
        <vt:i4>5</vt:i4>
      </vt:variant>
      <vt:variant>
        <vt:lpwstr/>
      </vt:variant>
      <vt:variant>
        <vt:lpwstr>_Toc9091581</vt:lpwstr>
      </vt:variant>
      <vt:variant>
        <vt:i4>3014661</vt:i4>
      </vt:variant>
      <vt:variant>
        <vt:i4>20</vt:i4>
      </vt:variant>
      <vt:variant>
        <vt:i4>0</vt:i4>
      </vt:variant>
      <vt:variant>
        <vt:i4>5</vt:i4>
      </vt:variant>
      <vt:variant>
        <vt:lpwstr/>
      </vt:variant>
      <vt:variant>
        <vt:lpwstr>_Toc9091580</vt:lpwstr>
      </vt:variant>
      <vt:variant>
        <vt:i4>2162693</vt:i4>
      </vt:variant>
      <vt:variant>
        <vt:i4>14</vt:i4>
      </vt:variant>
      <vt:variant>
        <vt:i4>0</vt:i4>
      </vt:variant>
      <vt:variant>
        <vt:i4>5</vt:i4>
      </vt:variant>
      <vt:variant>
        <vt:lpwstr/>
      </vt:variant>
      <vt:variant>
        <vt:lpwstr>_Toc9091579</vt:lpwstr>
      </vt:variant>
      <vt:variant>
        <vt:i4>2162693</vt:i4>
      </vt:variant>
      <vt:variant>
        <vt:i4>8</vt:i4>
      </vt:variant>
      <vt:variant>
        <vt:i4>0</vt:i4>
      </vt:variant>
      <vt:variant>
        <vt:i4>5</vt:i4>
      </vt:variant>
      <vt:variant>
        <vt:lpwstr/>
      </vt:variant>
      <vt:variant>
        <vt:lpwstr>_Toc9091578</vt:lpwstr>
      </vt:variant>
      <vt:variant>
        <vt:i4>2162693</vt:i4>
      </vt:variant>
      <vt:variant>
        <vt:i4>2</vt:i4>
      </vt:variant>
      <vt:variant>
        <vt:i4>0</vt:i4>
      </vt:variant>
      <vt:variant>
        <vt:i4>5</vt:i4>
      </vt:variant>
      <vt:variant>
        <vt:lpwstr/>
      </vt:variant>
      <vt:variant>
        <vt:lpwstr>_Toc9091577</vt:lpwstr>
      </vt:variant>
      <vt:variant>
        <vt:i4>7798886</vt:i4>
      </vt:variant>
      <vt:variant>
        <vt:i4>9073</vt:i4>
      </vt:variant>
      <vt:variant>
        <vt:i4>1025</vt:i4>
      </vt:variant>
      <vt:variant>
        <vt:i4>1</vt:i4>
      </vt:variant>
      <vt:variant>
        <vt:lpwstr>http://www.explored.com.ec/ecuador/grafico1/signos/bolimap.gif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Reseña Histórica de la provincia de Bolívar</dc:title>
  <dc:subject/>
  <dc:creator>Carlos Ronquillo Franco</dc:creator>
  <cp:keywords/>
  <dc:description/>
  <cp:lastModifiedBy>Ayudante</cp:lastModifiedBy>
  <cp:revision>2</cp:revision>
  <cp:lastPrinted>2002-06-07T07:43:00Z</cp:lastPrinted>
  <dcterms:created xsi:type="dcterms:W3CDTF">2009-07-14T20:11:00Z</dcterms:created>
  <dcterms:modified xsi:type="dcterms:W3CDTF">2009-07-14T20:11:00Z</dcterms:modified>
</cp:coreProperties>
</file>