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1750"/>
        <w:gridCol w:w="5760"/>
        <w:gridCol w:w="1701"/>
      </w:tblGrid>
      <w:tr w:rsidR="00000000">
        <w:tblPrEx>
          <w:tblCellMar>
            <w:top w:w="0" w:type="dxa"/>
            <w:bottom w:w="0" w:type="dxa"/>
          </w:tblCellMar>
        </w:tblPrEx>
        <w:tc>
          <w:tcPr>
            <w:tcW w:w="1750" w:type="dxa"/>
            <w:vAlign w:val="center"/>
          </w:tcPr>
          <w:p w:rsidR="00000000" w:rsidRDefault="006F5FAE">
            <w:pPr>
              <w:pStyle w:val="Textocomentario"/>
              <w:jc w:val="both"/>
              <w:rPr>
                <w:rFonts w:ascii="Arial" w:hAnsi="Arial"/>
                <w:b/>
                <w:sz w:val="24"/>
                <w:lang w:val="es-MX"/>
              </w:rPr>
            </w:pPr>
          </w:p>
        </w:tc>
        <w:tc>
          <w:tcPr>
            <w:tcW w:w="5760" w:type="dxa"/>
            <w:vAlign w:val="center"/>
          </w:tcPr>
          <w:p w:rsidR="00000000" w:rsidRDefault="006F5FAE">
            <w:pPr>
              <w:pStyle w:val="Titulodeldocumento"/>
              <w:jc w:val="both"/>
              <w:rPr>
                <w:rFonts w:ascii="Arial" w:hAnsi="Arial"/>
                <w:sz w:val="24"/>
              </w:rPr>
            </w:pPr>
            <w:r>
              <w:rPr>
                <w:rFonts w:ascii="Arial" w:hAnsi="Arial"/>
                <w:sz w:val="24"/>
              </w:rPr>
              <w:t>NORMA DE Calidad del Aire ambiente</w:t>
            </w:r>
          </w:p>
        </w:tc>
        <w:tc>
          <w:tcPr>
            <w:tcW w:w="1701" w:type="dxa"/>
            <w:vAlign w:val="center"/>
          </w:tcPr>
          <w:p w:rsidR="00000000" w:rsidRDefault="006F5FAE">
            <w:pPr>
              <w:pStyle w:val="Textocomentario"/>
              <w:jc w:val="both"/>
              <w:rPr>
                <w:rFonts w:ascii="Arial" w:hAnsi="Arial"/>
                <w:sz w:val="24"/>
                <w:lang w:val="es-MX"/>
              </w:rPr>
            </w:pPr>
          </w:p>
        </w:tc>
      </w:tr>
    </w:tbl>
    <w:p w:rsidR="00000000" w:rsidRDefault="006F5FAE">
      <w:pPr>
        <w:pStyle w:val="Ttulo1"/>
        <w:jc w:val="both"/>
        <w:rPr>
          <w:rFonts w:ascii="Arial" w:hAnsi="Arial"/>
          <w:sz w:val="24"/>
        </w:rPr>
      </w:pPr>
      <w:r>
        <w:rPr>
          <w:rFonts w:ascii="Arial" w:hAnsi="Arial"/>
          <w:sz w:val="24"/>
        </w:rPr>
        <w:t>Introducción</w:t>
      </w:r>
    </w:p>
    <w:p w:rsidR="00000000" w:rsidRDefault="006F5FAE">
      <w:pPr>
        <w:jc w:val="both"/>
        <w:rPr>
          <w:rFonts w:ascii="Arial" w:hAnsi="Arial"/>
          <w:sz w:val="24"/>
        </w:rPr>
      </w:pPr>
      <w:r>
        <w:rPr>
          <w:rFonts w:ascii="Arial" w:hAnsi="Arial"/>
          <w:sz w:val="24"/>
        </w:rPr>
        <w:t>La presente norma técnica es dictada bajo el amparo de la Ley de Gestión Ambiental y del Reglamento a la Ley de Gestión Ambiental para la Prevención y Control de la Contaminación Ambiental y se somete a la</w:t>
      </w:r>
      <w:r>
        <w:rPr>
          <w:rFonts w:ascii="Arial" w:hAnsi="Arial"/>
          <w:sz w:val="24"/>
        </w:rPr>
        <w:t>s disposiciones de éstos, es de aplicación obligatoria y rige en todo el territorio nacional.</w:t>
      </w:r>
    </w:p>
    <w:p w:rsidR="00000000" w:rsidRDefault="006F5FAE">
      <w:pPr>
        <w:jc w:val="both"/>
        <w:rPr>
          <w:rFonts w:ascii="Arial" w:hAnsi="Arial"/>
          <w:sz w:val="24"/>
        </w:rPr>
      </w:pPr>
    </w:p>
    <w:p w:rsidR="00000000" w:rsidRDefault="006F5FAE">
      <w:pPr>
        <w:jc w:val="both"/>
        <w:rPr>
          <w:rFonts w:ascii="Arial" w:hAnsi="Arial"/>
          <w:sz w:val="24"/>
        </w:rPr>
      </w:pPr>
      <w:r>
        <w:rPr>
          <w:rFonts w:ascii="Arial" w:hAnsi="Arial"/>
          <w:sz w:val="24"/>
        </w:rPr>
        <w:t>La presente norma técnica determina o establece:</w:t>
      </w:r>
    </w:p>
    <w:p w:rsidR="00000000" w:rsidRDefault="006F5FAE">
      <w:pPr>
        <w:jc w:val="both"/>
        <w:rPr>
          <w:rFonts w:ascii="Arial" w:hAnsi="Arial"/>
          <w:sz w:val="24"/>
        </w:rPr>
      </w:pPr>
    </w:p>
    <w:p w:rsidR="00000000" w:rsidRDefault="006F5FAE">
      <w:pPr>
        <w:jc w:val="both"/>
        <w:rPr>
          <w:rFonts w:ascii="Arial" w:hAnsi="Arial"/>
          <w:sz w:val="24"/>
          <w:lang w:val="es-ES" w:eastAsia="es-ES"/>
        </w:rPr>
      </w:pPr>
      <w:r>
        <w:rPr>
          <w:rFonts w:ascii="Arial" w:hAnsi="Arial"/>
          <w:sz w:val="24"/>
          <w:lang w:val="es-ES" w:eastAsia="es-ES"/>
        </w:rPr>
        <w:t>Los objetivos de calidad del aire ambiente.</w:t>
      </w:r>
    </w:p>
    <w:p w:rsidR="00000000" w:rsidRDefault="006F5FAE">
      <w:pPr>
        <w:jc w:val="both"/>
        <w:rPr>
          <w:rFonts w:ascii="Arial" w:hAnsi="Arial"/>
          <w:sz w:val="24"/>
        </w:rPr>
      </w:pPr>
      <w:r>
        <w:rPr>
          <w:rFonts w:ascii="Arial" w:hAnsi="Arial"/>
          <w:sz w:val="24"/>
          <w:lang w:val="es-ES" w:eastAsia="es-ES"/>
        </w:rPr>
        <w:t>Los métodos y procedimientos a la determinación de los contaminante</w:t>
      </w:r>
      <w:r>
        <w:rPr>
          <w:rFonts w:ascii="Arial" w:hAnsi="Arial"/>
          <w:sz w:val="24"/>
          <w:lang w:val="es-ES" w:eastAsia="es-ES"/>
        </w:rPr>
        <w:t>s en el aire ambiente.</w:t>
      </w:r>
    </w:p>
    <w:p w:rsidR="00000000" w:rsidRDefault="006F5FAE">
      <w:pPr>
        <w:pStyle w:val="Ttulo1"/>
        <w:jc w:val="both"/>
        <w:rPr>
          <w:rFonts w:ascii="Arial" w:hAnsi="Arial"/>
          <w:sz w:val="24"/>
        </w:rPr>
      </w:pPr>
      <w:r>
        <w:rPr>
          <w:rFonts w:ascii="Arial" w:hAnsi="Arial"/>
          <w:sz w:val="24"/>
        </w:rPr>
        <w:t>Objeto</w:t>
      </w:r>
    </w:p>
    <w:p w:rsidR="00000000" w:rsidRDefault="006F5FAE">
      <w:pPr>
        <w:jc w:val="both"/>
        <w:rPr>
          <w:rFonts w:ascii="Arial" w:hAnsi="Arial"/>
          <w:sz w:val="24"/>
        </w:rPr>
      </w:pPr>
      <w:r>
        <w:rPr>
          <w:rFonts w:ascii="Arial" w:hAnsi="Arial"/>
          <w:sz w:val="24"/>
        </w:rPr>
        <w:t>La presente norma tiene como objetivo principal el preservar la salud de las personas, la calidad del aire ambiente, el bienestar de los ecosistemas y del ambiente en general.  Para cumplir con este objetivo, esta norma establ</w:t>
      </w:r>
      <w:r>
        <w:rPr>
          <w:rFonts w:ascii="Arial" w:hAnsi="Arial"/>
          <w:sz w:val="24"/>
        </w:rPr>
        <w:t>ece los límites máximos permisibles de contaminantes en el aire ambiente a nivel del suelo.  La norma también provee los métodos y procedimientos destinados a la determinación de las concentraciones de contaminantes en el aire ambiente.</w:t>
      </w:r>
    </w:p>
    <w:p w:rsidR="00000000" w:rsidRDefault="006F5FAE">
      <w:pPr>
        <w:jc w:val="both"/>
        <w:rPr>
          <w:rFonts w:ascii="Arial" w:hAnsi="Arial"/>
          <w:sz w:val="24"/>
        </w:rPr>
      </w:pPr>
    </w:p>
    <w:p w:rsidR="00000000" w:rsidRDefault="006F5FAE">
      <w:pPr>
        <w:pStyle w:val="Ttulo1"/>
        <w:jc w:val="both"/>
        <w:rPr>
          <w:rFonts w:ascii="Arial" w:hAnsi="Arial"/>
          <w:sz w:val="24"/>
        </w:rPr>
      </w:pPr>
      <w:r>
        <w:rPr>
          <w:rFonts w:ascii="Arial" w:hAnsi="Arial"/>
          <w:sz w:val="24"/>
        </w:rPr>
        <w:t>DEFINICIONES</w:t>
      </w:r>
    </w:p>
    <w:p w:rsidR="00000000" w:rsidRDefault="006F5FAE">
      <w:pPr>
        <w:jc w:val="both"/>
        <w:rPr>
          <w:rFonts w:ascii="Arial" w:hAnsi="Arial"/>
          <w:sz w:val="24"/>
        </w:rPr>
      </w:pPr>
      <w:r>
        <w:rPr>
          <w:rFonts w:ascii="Arial" w:hAnsi="Arial"/>
          <w:sz w:val="24"/>
        </w:rPr>
        <w:t xml:space="preserve">Para </w:t>
      </w:r>
      <w:r>
        <w:rPr>
          <w:rFonts w:ascii="Arial" w:hAnsi="Arial"/>
          <w:sz w:val="24"/>
        </w:rPr>
        <w:t>el propósito de esta norma se consideran las definiciones establecidas en el Reglamento a la Ley de Prevención y Control de la Contaminación, y las que a continuación se indican:</w:t>
      </w:r>
    </w:p>
    <w:p w:rsidR="00000000" w:rsidRDefault="006F5FAE">
      <w:pPr>
        <w:pStyle w:val="Ttulo2"/>
        <w:jc w:val="both"/>
        <w:rPr>
          <w:rFonts w:ascii="Arial" w:hAnsi="Arial"/>
          <w:sz w:val="24"/>
          <w:lang w:val="es-ES"/>
        </w:rPr>
      </w:pPr>
      <w:r>
        <w:rPr>
          <w:rFonts w:ascii="Arial" w:hAnsi="Arial"/>
          <w:sz w:val="24"/>
          <w:lang w:val="es-ES"/>
        </w:rPr>
        <w:t>Aire</w:t>
      </w:r>
    </w:p>
    <w:p w:rsidR="00000000" w:rsidRDefault="006F5FAE">
      <w:pPr>
        <w:jc w:val="both"/>
        <w:rPr>
          <w:rFonts w:ascii="Arial" w:hAnsi="Arial"/>
          <w:sz w:val="24"/>
        </w:rPr>
      </w:pPr>
      <w:r>
        <w:rPr>
          <w:rFonts w:ascii="Arial" w:hAnsi="Arial"/>
          <w:sz w:val="24"/>
        </w:rPr>
        <w:t>O también aire ambiente, es cualquier porción no confinada de la atmósfe</w:t>
      </w:r>
      <w:r>
        <w:rPr>
          <w:rFonts w:ascii="Arial" w:hAnsi="Arial"/>
          <w:sz w:val="24"/>
        </w:rPr>
        <w:t>ra, y se define como mezcla gaseosa cuya composición normal es, de por lo menos, veinte por ciento (20%) de oxígeno, setenta y siete por ciento (77%) nitrógeno y proporciones variables de gases inertes y vapor de agua, en relación volumétrica.</w:t>
      </w:r>
    </w:p>
    <w:p w:rsidR="00000000" w:rsidRDefault="006F5FAE">
      <w:pPr>
        <w:pStyle w:val="Ttulo2"/>
        <w:jc w:val="both"/>
        <w:rPr>
          <w:rFonts w:ascii="Arial" w:hAnsi="Arial"/>
          <w:sz w:val="24"/>
          <w:lang w:val="es-ES"/>
        </w:rPr>
      </w:pPr>
      <w:r>
        <w:rPr>
          <w:rFonts w:ascii="Arial" w:hAnsi="Arial"/>
          <w:sz w:val="24"/>
          <w:lang w:val="es-ES"/>
        </w:rPr>
        <w:t>Chimenea</w:t>
      </w:r>
    </w:p>
    <w:p w:rsidR="00000000" w:rsidRDefault="006F5FAE">
      <w:pPr>
        <w:jc w:val="both"/>
        <w:rPr>
          <w:rFonts w:ascii="Arial" w:hAnsi="Arial"/>
          <w:sz w:val="24"/>
          <w:lang w:val="es-ES"/>
        </w:rPr>
      </w:pPr>
      <w:r>
        <w:rPr>
          <w:rFonts w:ascii="Arial" w:hAnsi="Arial"/>
          <w:sz w:val="24"/>
          <w:lang w:val="es-ES"/>
        </w:rPr>
        <w:t>Con</w:t>
      </w:r>
      <w:r>
        <w:rPr>
          <w:rFonts w:ascii="Arial" w:hAnsi="Arial"/>
          <w:sz w:val="24"/>
          <w:lang w:val="es-ES"/>
        </w:rPr>
        <w:t>ducto que facilita el transporte hacia la atmósfera de los productos de combustión generados en la fuente fija.</w:t>
      </w:r>
    </w:p>
    <w:p w:rsidR="00000000" w:rsidRDefault="006F5FAE">
      <w:pPr>
        <w:pStyle w:val="Ttulo2"/>
        <w:jc w:val="both"/>
        <w:rPr>
          <w:rFonts w:ascii="Arial" w:hAnsi="Arial"/>
          <w:sz w:val="24"/>
          <w:lang w:val="es-ES"/>
        </w:rPr>
      </w:pPr>
      <w:r>
        <w:rPr>
          <w:rFonts w:ascii="Arial" w:hAnsi="Arial"/>
          <w:sz w:val="24"/>
          <w:lang w:val="es-ES"/>
        </w:rPr>
        <w:lastRenderedPageBreak/>
        <w:t>Combustión</w:t>
      </w:r>
    </w:p>
    <w:p w:rsidR="00000000" w:rsidRDefault="006F5FAE">
      <w:pPr>
        <w:jc w:val="both"/>
        <w:rPr>
          <w:rFonts w:ascii="Arial" w:hAnsi="Arial"/>
          <w:sz w:val="24"/>
          <w:lang w:val="es-ES"/>
        </w:rPr>
      </w:pPr>
      <w:r>
        <w:rPr>
          <w:rFonts w:ascii="Arial" w:hAnsi="Arial"/>
          <w:sz w:val="24"/>
          <w:lang w:val="es-ES"/>
        </w:rPr>
        <w:t>Oxidación rápida, que consiste en una combinación del oxígeno con aquellos materiales o sustancias capaces de oxidarse, dando como re</w:t>
      </w:r>
      <w:r>
        <w:rPr>
          <w:rFonts w:ascii="Arial" w:hAnsi="Arial"/>
          <w:sz w:val="24"/>
          <w:lang w:val="es-ES"/>
        </w:rPr>
        <w:t>sultado la generación de gases, partículas, luz y calor.</w:t>
      </w:r>
    </w:p>
    <w:p w:rsidR="00000000" w:rsidRDefault="006F5FAE">
      <w:pPr>
        <w:jc w:val="both"/>
        <w:rPr>
          <w:rFonts w:ascii="Arial" w:hAnsi="Arial"/>
          <w:sz w:val="24"/>
          <w:lang w:val="es-ES"/>
        </w:rPr>
      </w:pPr>
    </w:p>
    <w:p w:rsidR="00000000" w:rsidRDefault="006F5FAE">
      <w:pPr>
        <w:pStyle w:val="Ttulo2"/>
        <w:jc w:val="both"/>
        <w:rPr>
          <w:rFonts w:ascii="Arial" w:hAnsi="Arial"/>
          <w:sz w:val="24"/>
          <w:lang w:val="es-ES"/>
        </w:rPr>
      </w:pPr>
      <w:r>
        <w:rPr>
          <w:rFonts w:ascii="Arial" w:hAnsi="Arial"/>
          <w:sz w:val="24"/>
          <w:lang w:val="es-ES"/>
        </w:rPr>
        <w:t>Condiciones de referencia</w:t>
      </w:r>
    </w:p>
    <w:p w:rsidR="00000000" w:rsidRDefault="006F5FAE">
      <w:pPr>
        <w:jc w:val="both"/>
        <w:rPr>
          <w:rFonts w:ascii="Arial" w:hAnsi="Arial"/>
          <w:sz w:val="24"/>
          <w:lang w:val="es-ES"/>
        </w:rPr>
      </w:pPr>
      <w:r>
        <w:rPr>
          <w:rFonts w:ascii="Arial" w:hAnsi="Arial"/>
          <w:sz w:val="24"/>
          <w:lang w:val="es-ES"/>
        </w:rPr>
        <w:t>Veinticinco grados centígrados (25 °C)  y setecientos sesenta milímetros de mercurio de presión (760 mm Hg).</w:t>
      </w:r>
    </w:p>
    <w:p w:rsidR="00000000" w:rsidRDefault="006F5FAE">
      <w:pPr>
        <w:pStyle w:val="Ttulo2"/>
        <w:jc w:val="both"/>
        <w:rPr>
          <w:rFonts w:ascii="Arial" w:hAnsi="Arial"/>
          <w:sz w:val="24"/>
          <w:lang w:val="es-ES"/>
        </w:rPr>
      </w:pPr>
      <w:r>
        <w:rPr>
          <w:rFonts w:ascii="Arial" w:hAnsi="Arial"/>
          <w:sz w:val="24"/>
          <w:lang w:val="es-ES"/>
        </w:rPr>
        <w:t>Contaminante del aire</w:t>
      </w:r>
    </w:p>
    <w:p w:rsidR="00000000" w:rsidRDefault="006F5FAE">
      <w:pPr>
        <w:jc w:val="both"/>
        <w:rPr>
          <w:rFonts w:ascii="Arial" w:hAnsi="Arial"/>
          <w:sz w:val="24"/>
          <w:lang w:val="es-ES"/>
        </w:rPr>
      </w:pPr>
      <w:r>
        <w:rPr>
          <w:rFonts w:ascii="Arial" w:hAnsi="Arial"/>
          <w:sz w:val="24"/>
          <w:lang w:val="es-ES"/>
        </w:rPr>
        <w:t xml:space="preserve">Cualquier sustancia o material emitido a </w:t>
      </w:r>
      <w:r>
        <w:rPr>
          <w:rFonts w:ascii="Arial" w:hAnsi="Arial"/>
          <w:sz w:val="24"/>
          <w:lang w:val="es-ES"/>
        </w:rPr>
        <w:t>la atmósfera, sea por actividad humana o por procesos naturales, y que afecta adversamente al hombre o al ambiente.</w:t>
      </w:r>
    </w:p>
    <w:p w:rsidR="00000000" w:rsidRDefault="006F5FAE">
      <w:pPr>
        <w:pStyle w:val="Ttulo2"/>
        <w:jc w:val="both"/>
        <w:rPr>
          <w:rFonts w:ascii="Arial" w:hAnsi="Arial"/>
          <w:sz w:val="24"/>
          <w:lang w:val="es-ES"/>
        </w:rPr>
      </w:pPr>
      <w:r>
        <w:rPr>
          <w:rFonts w:ascii="Arial" w:hAnsi="Arial"/>
          <w:sz w:val="24"/>
          <w:lang w:val="es-ES"/>
        </w:rPr>
        <w:t>Contaminantes comunes del aire</w:t>
      </w:r>
    </w:p>
    <w:p w:rsidR="00000000" w:rsidRDefault="006F5FAE">
      <w:pPr>
        <w:jc w:val="both"/>
        <w:rPr>
          <w:rFonts w:ascii="Arial" w:hAnsi="Arial"/>
          <w:sz w:val="24"/>
          <w:lang w:val="es-ES"/>
        </w:rPr>
      </w:pPr>
      <w:r>
        <w:rPr>
          <w:rFonts w:ascii="Arial" w:hAnsi="Arial"/>
          <w:sz w:val="24"/>
          <w:lang w:val="es-ES"/>
        </w:rPr>
        <w:t>Cualquier contaminante del aire para los cuales, en esta norma, se especifica un valor máximo de concentració</w:t>
      </w:r>
      <w:r>
        <w:rPr>
          <w:rFonts w:ascii="Arial" w:hAnsi="Arial"/>
          <w:sz w:val="24"/>
          <w:lang w:val="es-ES"/>
        </w:rPr>
        <w:t>n permitida a nivel del suelo en el aire ambiente, para diferentes períodos de tiempo.</w:t>
      </w:r>
    </w:p>
    <w:p w:rsidR="00000000" w:rsidRDefault="006F5FAE">
      <w:pPr>
        <w:pStyle w:val="Ttulo2"/>
        <w:jc w:val="both"/>
        <w:rPr>
          <w:rFonts w:ascii="Arial" w:hAnsi="Arial"/>
          <w:sz w:val="24"/>
          <w:lang w:val="es-ES"/>
        </w:rPr>
      </w:pPr>
      <w:r>
        <w:rPr>
          <w:rFonts w:ascii="Arial" w:hAnsi="Arial"/>
          <w:sz w:val="24"/>
          <w:lang w:val="es-ES"/>
        </w:rPr>
        <w:t>Contaminante peligroso del aire</w:t>
      </w:r>
    </w:p>
    <w:p w:rsidR="00000000" w:rsidRDefault="006F5FAE">
      <w:pPr>
        <w:jc w:val="both"/>
        <w:rPr>
          <w:rFonts w:ascii="Arial" w:hAnsi="Arial"/>
          <w:sz w:val="24"/>
          <w:lang w:val="es-ES"/>
        </w:rPr>
      </w:pPr>
      <w:r>
        <w:rPr>
          <w:rFonts w:ascii="Arial" w:hAnsi="Arial"/>
          <w:sz w:val="24"/>
          <w:lang w:val="es-ES"/>
        </w:rPr>
        <w:t>Son aquellos contaminantes del aire no contemplados en esta norma pero que pueden presentar una amenaza de efectos adversos en la salud h</w:t>
      </w:r>
      <w:r>
        <w:rPr>
          <w:rFonts w:ascii="Arial" w:hAnsi="Arial"/>
          <w:sz w:val="24"/>
          <w:lang w:val="es-ES"/>
        </w:rPr>
        <w:t>umana o en el ambiente.  Algunos de estos contaminantes, pero que no se limitan a los mismos, son asbesto, berilio, mercurio, benceno, cloruro de vinilo.</w:t>
      </w:r>
    </w:p>
    <w:p w:rsidR="00000000" w:rsidRDefault="006F5FAE">
      <w:pPr>
        <w:pStyle w:val="Ttulo2"/>
        <w:jc w:val="both"/>
        <w:rPr>
          <w:rFonts w:ascii="Arial" w:hAnsi="Arial"/>
          <w:sz w:val="24"/>
          <w:lang w:val="es-ES"/>
        </w:rPr>
      </w:pPr>
      <w:r>
        <w:rPr>
          <w:rFonts w:ascii="Arial" w:hAnsi="Arial"/>
          <w:sz w:val="24"/>
          <w:lang w:val="es-ES"/>
        </w:rPr>
        <w:t>Contaminación del aire</w:t>
      </w:r>
    </w:p>
    <w:p w:rsidR="00000000" w:rsidRDefault="006F5FAE">
      <w:pPr>
        <w:jc w:val="both"/>
        <w:rPr>
          <w:rFonts w:ascii="Arial" w:hAnsi="Arial"/>
          <w:sz w:val="24"/>
          <w:lang w:val="es-ES"/>
        </w:rPr>
      </w:pPr>
      <w:r>
        <w:rPr>
          <w:rFonts w:ascii="Arial" w:hAnsi="Arial"/>
          <w:sz w:val="24"/>
          <w:lang w:val="es-ES"/>
        </w:rPr>
        <w:t>La presencia de sustancias en la atmósfera, que resultan de actividades humanas</w:t>
      </w:r>
      <w:r>
        <w:rPr>
          <w:rFonts w:ascii="Arial" w:hAnsi="Arial"/>
          <w:sz w:val="24"/>
          <w:lang w:val="es-ES"/>
        </w:rPr>
        <w:t xml:space="preserve"> o de procesos naturales, presentes en concentración suficiente, por un tiempo suficiente y bajo circunstancias tales que interfieren con el confort, la salud o el bienestar de los seres humanos o del ambiente.</w:t>
      </w:r>
    </w:p>
    <w:p w:rsidR="00000000" w:rsidRDefault="006F5FAE">
      <w:pPr>
        <w:pStyle w:val="Ttulo2"/>
        <w:jc w:val="both"/>
        <w:rPr>
          <w:rFonts w:ascii="Arial" w:hAnsi="Arial"/>
          <w:sz w:val="24"/>
          <w:lang w:val="es-ES"/>
        </w:rPr>
      </w:pPr>
      <w:r>
        <w:rPr>
          <w:rFonts w:ascii="Arial" w:hAnsi="Arial"/>
          <w:sz w:val="24"/>
          <w:lang w:val="es-ES"/>
        </w:rPr>
        <w:t>Diámetro aerodinámico</w:t>
      </w:r>
    </w:p>
    <w:p w:rsidR="00000000" w:rsidRDefault="006F5FAE">
      <w:pPr>
        <w:jc w:val="both"/>
        <w:rPr>
          <w:rFonts w:ascii="Arial" w:hAnsi="Arial"/>
          <w:sz w:val="24"/>
          <w:lang w:val="es-ES"/>
        </w:rPr>
      </w:pPr>
      <w:r>
        <w:rPr>
          <w:rFonts w:ascii="Arial" w:hAnsi="Arial"/>
          <w:sz w:val="24"/>
          <w:lang w:val="es-ES"/>
        </w:rPr>
        <w:t>Para una partícula espe</w:t>
      </w:r>
      <w:r>
        <w:rPr>
          <w:rFonts w:ascii="Arial" w:hAnsi="Arial"/>
          <w:sz w:val="24"/>
          <w:lang w:val="es-ES"/>
        </w:rPr>
        <w:t>cífica, es el diámetro de una esfera con densidad unitaria (densidad del agua) que se sedimenta en aire quieto a la misma velocidad que la partícula en cuestión.</w:t>
      </w:r>
    </w:p>
    <w:p w:rsidR="00000000" w:rsidRDefault="006F5FAE">
      <w:pPr>
        <w:pStyle w:val="Ttulo2"/>
        <w:jc w:val="both"/>
        <w:rPr>
          <w:rFonts w:ascii="Arial" w:hAnsi="Arial"/>
          <w:sz w:val="24"/>
          <w:lang w:val="es-ES"/>
        </w:rPr>
      </w:pPr>
      <w:r>
        <w:rPr>
          <w:rFonts w:ascii="Arial" w:hAnsi="Arial"/>
          <w:sz w:val="24"/>
          <w:lang w:val="es-ES"/>
        </w:rPr>
        <w:lastRenderedPageBreak/>
        <w:t>Emisión</w:t>
      </w:r>
    </w:p>
    <w:p w:rsidR="00000000" w:rsidRDefault="006F5FAE">
      <w:pPr>
        <w:jc w:val="both"/>
        <w:rPr>
          <w:rFonts w:ascii="Arial" w:hAnsi="Arial"/>
          <w:sz w:val="24"/>
          <w:lang w:val="es-ES"/>
        </w:rPr>
      </w:pPr>
      <w:r>
        <w:rPr>
          <w:rFonts w:ascii="Arial" w:hAnsi="Arial"/>
          <w:sz w:val="24"/>
          <w:lang w:val="es-ES"/>
        </w:rPr>
        <w:t xml:space="preserve">La descarga de sustancias en la atmósfera.  Para propósitos de esta norma, la emisión </w:t>
      </w:r>
      <w:r>
        <w:rPr>
          <w:rFonts w:ascii="Arial" w:hAnsi="Arial"/>
          <w:sz w:val="24"/>
          <w:lang w:val="es-ES"/>
        </w:rPr>
        <w:t>se refiere a la descarga de sustancias provenientes de actividades humanas.</w:t>
      </w:r>
    </w:p>
    <w:p w:rsidR="00000000" w:rsidRDefault="006F5FAE">
      <w:pPr>
        <w:pStyle w:val="Ttulo2"/>
        <w:jc w:val="both"/>
        <w:rPr>
          <w:rFonts w:ascii="Arial" w:hAnsi="Arial"/>
          <w:sz w:val="24"/>
          <w:lang w:val="es-ES"/>
        </w:rPr>
      </w:pPr>
      <w:r>
        <w:rPr>
          <w:rFonts w:ascii="Arial" w:hAnsi="Arial"/>
          <w:sz w:val="24"/>
          <w:lang w:val="es-ES"/>
        </w:rPr>
        <w:t>Episodio crítico de contaminación del aire</w:t>
      </w:r>
    </w:p>
    <w:p w:rsidR="00000000" w:rsidRDefault="006F5FAE">
      <w:pPr>
        <w:jc w:val="both"/>
        <w:rPr>
          <w:rFonts w:ascii="Arial" w:hAnsi="Arial"/>
          <w:sz w:val="24"/>
          <w:lang w:val="es-ES"/>
        </w:rPr>
      </w:pPr>
      <w:r>
        <w:rPr>
          <w:rFonts w:ascii="Arial" w:hAnsi="Arial"/>
          <w:sz w:val="24"/>
          <w:lang w:val="es-ES"/>
        </w:rPr>
        <w:t>Es la presencia de altas concentraciones de contaminantes comunes del aire y por períodos cortos de tiempo, como resultado de condiciones</w:t>
      </w:r>
      <w:r>
        <w:rPr>
          <w:rFonts w:ascii="Arial" w:hAnsi="Arial"/>
          <w:sz w:val="24"/>
          <w:lang w:val="es-ES"/>
        </w:rPr>
        <w:t xml:space="preserve"> meteorológicas desfavorables que impiden la dispersión de los contaminantes previamente emitidos.</w:t>
      </w:r>
    </w:p>
    <w:p w:rsidR="00000000" w:rsidRDefault="006F5FAE">
      <w:pPr>
        <w:pStyle w:val="Ttulo2"/>
        <w:jc w:val="both"/>
        <w:rPr>
          <w:rFonts w:ascii="Arial" w:hAnsi="Arial"/>
          <w:sz w:val="24"/>
          <w:lang w:val="es-ES"/>
        </w:rPr>
      </w:pPr>
      <w:r>
        <w:rPr>
          <w:rFonts w:ascii="Arial" w:hAnsi="Arial"/>
          <w:sz w:val="24"/>
          <w:lang w:val="es-ES"/>
        </w:rPr>
        <w:t>Fuente fija de combustión</w:t>
      </w:r>
    </w:p>
    <w:p w:rsidR="00000000" w:rsidRDefault="006F5FAE">
      <w:pPr>
        <w:jc w:val="both"/>
        <w:rPr>
          <w:rFonts w:ascii="Arial" w:hAnsi="Arial"/>
          <w:sz w:val="24"/>
          <w:lang w:val="es-ES"/>
        </w:rPr>
      </w:pPr>
      <w:r>
        <w:rPr>
          <w:rFonts w:ascii="Arial" w:hAnsi="Arial"/>
          <w:sz w:val="24"/>
          <w:lang w:val="es-ES"/>
        </w:rPr>
        <w:t>Es aquella instalación o conjunto de instalaciones, que tiene como finalidad desarrollar operaciones o procesos industriales, comer</w:t>
      </w:r>
      <w:r>
        <w:rPr>
          <w:rFonts w:ascii="Arial" w:hAnsi="Arial"/>
          <w:sz w:val="24"/>
          <w:lang w:val="es-ES"/>
        </w:rPr>
        <w:t>ciales o de servicios, y que emite o puede emitir contaminantes al aire, debido a proceso de combustión, desde un lugar fijo o inamovible.</w:t>
      </w:r>
    </w:p>
    <w:p w:rsidR="00000000" w:rsidRDefault="006F5FAE">
      <w:pPr>
        <w:jc w:val="both"/>
        <w:rPr>
          <w:rFonts w:ascii="Arial" w:hAnsi="Arial"/>
          <w:sz w:val="24"/>
          <w:lang w:val="es-ES"/>
        </w:rPr>
      </w:pPr>
    </w:p>
    <w:p w:rsidR="00000000" w:rsidRDefault="006F5FAE">
      <w:pPr>
        <w:jc w:val="both"/>
        <w:rPr>
          <w:rFonts w:ascii="Arial" w:hAnsi="Arial"/>
          <w:sz w:val="24"/>
          <w:lang w:val="es-ES"/>
        </w:rPr>
      </w:pPr>
    </w:p>
    <w:p w:rsidR="00000000" w:rsidRDefault="006F5FAE">
      <w:pPr>
        <w:jc w:val="both"/>
        <w:rPr>
          <w:rFonts w:ascii="Arial" w:hAnsi="Arial"/>
          <w:sz w:val="24"/>
          <w:lang w:val="es-ES"/>
        </w:rPr>
      </w:pPr>
    </w:p>
    <w:p w:rsidR="00000000" w:rsidRDefault="006F5FAE">
      <w:pPr>
        <w:pStyle w:val="Ttulo2"/>
        <w:jc w:val="both"/>
        <w:rPr>
          <w:rFonts w:ascii="Arial" w:hAnsi="Arial"/>
          <w:sz w:val="24"/>
          <w:lang w:val="es-ES"/>
        </w:rPr>
      </w:pPr>
      <w:r>
        <w:rPr>
          <w:rFonts w:ascii="Arial" w:hAnsi="Arial"/>
          <w:sz w:val="24"/>
          <w:lang w:val="es-ES"/>
        </w:rPr>
        <w:t>ISO</w:t>
      </w:r>
    </w:p>
    <w:p w:rsidR="00000000" w:rsidRDefault="006F5FAE">
      <w:pPr>
        <w:jc w:val="both"/>
        <w:rPr>
          <w:rFonts w:ascii="Arial" w:hAnsi="Arial"/>
          <w:sz w:val="24"/>
          <w:lang w:val="es-ES"/>
        </w:rPr>
      </w:pPr>
      <w:r>
        <w:rPr>
          <w:rFonts w:ascii="Arial" w:hAnsi="Arial"/>
          <w:sz w:val="24"/>
          <w:lang w:val="es-ES"/>
        </w:rPr>
        <w:t>Organización Internacional para la Normalización.</w:t>
      </w:r>
    </w:p>
    <w:p w:rsidR="00000000" w:rsidRDefault="006F5FAE">
      <w:pPr>
        <w:pStyle w:val="Ttulo2"/>
        <w:jc w:val="both"/>
        <w:rPr>
          <w:rFonts w:ascii="Arial" w:hAnsi="Arial"/>
          <w:sz w:val="24"/>
          <w:lang w:val="es-ES"/>
        </w:rPr>
      </w:pPr>
      <w:r>
        <w:rPr>
          <w:rFonts w:ascii="Arial" w:hAnsi="Arial"/>
          <w:sz w:val="24"/>
          <w:lang w:val="es-ES"/>
        </w:rPr>
        <w:t>Línea base</w:t>
      </w:r>
    </w:p>
    <w:p w:rsidR="00000000" w:rsidRDefault="006F5FAE">
      <w:pPr>
        <w:jc w:val="both"/>
        <w:rPr>
          <w:rFonts w:ascii="Arial" w:hAnsi="Arial"/>
          <w:color w:val="800000"/>
          <w:sz w:val="24"/>
        </w:rPr>
      </w:pPr>
      <w:r>
        <w:rPr>
          <w:rFonts w:ascii="Arial" w:hAnsi="Arial"/>
          <w:sz w:val="24"/>
        </w:rPr>
        <w:t>Denota el estado de un sistema alterado en un mom</w:t>
      </w:r>
      <w:r>
        <w:rPr>
          <w:rFonts w:ascii="Arial" w:hAnsi="Arial"/>
          <w:sz w:val="24"/>
        </w:rPr>
        <w:t>ento en particular, antes de un cambio posterior.  Se define también como las condiciones en el momento de la investigación dentro de un área que puede estar influenciada por actividades humanas.</w:t>
      </w:r>
    </w:p>
    <w:p w:rsidR="00000000" w:rsidRDefault="006F5FAE">
      <w:pPr>
        <w:pStyle w:val="Ttulo2"/>
        <w:jc w:val="both"/>
        <w:rPr>
          <w:rFonts w:ascii="Arial" w:hAnsi="Arial"/>
          <w:sz w:val="24"/>
          <w:lang w:val="es-ES"/>
        </w:rPr>
      </w:pPr>
      <w:r>
        <w:rPr>
          <w:rFonts w:ascii="Arial" w:hAnsi="Arial"/>
          <w:sz w:val="24"/>
          <w:lang w:val="es-ES"/>
        </w:rPr>
        <w:t>Material particulado</w:t>
      </w:r>
    </w:p>
    <w:p w:rsidR="00000000" w:rsidRDefault="006F5FAE">
      <w:pPr>
        <w:jc w:val="both"/>
        <w:rPr>
          <w:rFonts w:ascii="Arial" w:hAnsi="Arial"/>
          <w:sz w:val="24"/>
          <w:lang w:val="es-ES"/>
        </w:rPr>
      </w:pPr>
      <w:r>
        <w:rPr>
          <w:rFonts w:ascii="Arial" w:hAnsi="Arial"/>
          <w:sz w:val="24"/>
          <w:lang w:val="es-ES"/>
        </w:rPr>
        <w:t xml:space="preserve">Está constituido por material sólido o </w:t>
      </w:r>
      <w:r>
        <w:rPr>
          <w:rFonts w:ascii="Arial" w:hAnsi="Arial"/>
          <w:sz w:val="24"/>
          <w:lang w:val="es-ES"/>
        </w:rPr>
        <w:t>líquido en forma de partículas, con excepción del agua no combinada, presente en la atmósfera en condiciones normales.  Se designa como PM</w:t>
      </w:r>
      <w:r>
        <w:rPr>
          <w:rFonts w:ascii="Arial" w:hAnsi="Arial"/>
          <w:sz w:val="24"/>
          <w:vertAlign w:val="subscript"/>
          <w:lang w:val="es-ES"/>
        </w:rPr>
        <w:t>2,5</w:t>
      </w:r>
      <w:r>
        <w:rPr>
          <w:rFonts w:ascii="Arial" w:hAnsi="Arial"/>
          <w:sz w:val="24"/>
          <w:lang w:val="es-ES"/>
        </w:rPr>
        <w:t xml:space="preserve"> al material particulado cuyo diámetro aerodinámico es menor a 2,5 micrones.   Se designa como PM</w:t>
      </w:r>
      <w:r>
        <w:rPr>
          <w:rFonts w:ascii="Arial" w:hAnsi="Arial"/>
          <w:sz w:val="24"/>
          <w:vertAlign w:val="subscript"/>
          <w:lang w:val="es-ES"/>
        </w:rPr>
        <w:t>10</w:t>
      </w:r>
      <w:r>
        <w:rPr>
          <w:rFonts w:ascii="Arial" w:hAnsi="Arial"/>
          <w:sz w:val="24"/>
          <w:lang w:val="es-ES"/>
        </w:rPr>
        <w:t xml:space="preserve"> al material par</w:t>
      </w:r>
      <w:r>
        <w:rPr>
          <w:rFonts w:ascii="Arial" w:hAnsi="Arial"/>
          <w:sz w:val="24"/>
          <w:lang w:val="es-ES"/>
        </w:rPr>
        <w:t>ticulado de diámetro aerodinámico menor a 10 micrones.</w:t>
      </w:r>
    </w:p>
    <w:p w:rsidR="00000000" w:rsidRDefault="006F5FAE">
      <w:pPr>
        <w:pStyle w:val="Ttulo2"/>
        <w:jc w:val="both"/>
        <w:rPr>
          <w:rFonts w:ascii="Arial" w:hAnsi="Arial"/>
          <w:sz w:val="24"/>
          <w:lang w:val="es-ES"/>
        </w:rPr>
      </w:pPr>
      <w:r>
        <w:rPr>
          <w:rFonts w:ascii="Arial" w:hAnsi="Arial"/>
          <w:sz w:val="24"/>
          <w:lang w:val="es-ES"/>
        </w:rPr>
        <w:t>Micrón</w:t>
      </w:r>
    </w:p>
    <w:p w:rsidR="00000000" w:rsidRDefault="006F5FAE">
      <w:pPr>
        <w:jc w:val="both"/>
        <w:rPr>
          <w:rFonts w:ascii="Arial" w:hAnsi="Arial"/>
          <w:sz w:val="24"/>
          <w:lang w:val="es-ES"/>
        </w:rPr>
      </w:pPr>
      <w:r>
        <w:rPr>
          <w:rFonts w:ascii="Arial" w:hAnsi="Arial"/>
          <w:sz w:val="24"/>
          <w:lang w:val="es-ES"/>
        </w:rPr>
        <w:t>Millonésima parte de un metro.</w:t>
      </w:r>
    </w:p>
    <w:p w:rsidR="00000000" w:rsidRDefault="006F5FAE">
      <w:pPr>
        <w:pStyle w:val="Ttulo2"/>
        <w:jc w:val="both"/>
        <w:rPr>
          <w:rFonts w:ascii="Arial" w:hAnsi="Arial"/>
          <w:sz w:val="24"/>
          <w:lang w:val="es-ES"/>
        </w:rPr>
      </w:pPr>
      <w:r>
        <w:rPr>
          <w:rFonts w:ascii="Arial" w:hAnsi="Arial"/>
          <w:sz w:val="24"/>
          <w:lang w:val="es-ES"/>
        </w:rPr>
        <w:t>Monitoreo</w:t>
      </w:r>
    </w:p>
    <w:p w:rsidR="00000000" w:rsidRDefault="006F5FAE">
      <w:pPr>
        <w:jc w:val="both"/>
        <w:rPr>
          <w:rFonts w:ascii="Arial" w:hAnsi="Arial"/>
          <w:sz w:val="24"/>
          <w:lang w:val="es-ES"/>
        </w:rPr>
      </w:pPr>
      <w:r>
        <w:rPr>
          <w:rFonts w:ascii="Arial" w:hAnsi="Arial"/>
          <w:sz w:val="24"/>
          <w:lang w:val="es-ES"/>
        </w:rPr>
        <w:t>Es el proceso programado de colectar muestras, efectuar mediciones, y realizar el subsiguiente registro, de varias características del ambiente, a menudo</w:t>
      </w:r>
      <w:r>
        <w:rPr>
          <w:rFonts w:ascii="Arial" w:hAnsi="Arial"/>
          <w:sz w:val="24"/>
          <w:lang w:val="es-ES"/>
        </w:rPr>
        <w:t xml:space="preserve"> con el fin de evaluar conformidad con objetivos específicos.</w:t>
      </w:r>
    </w:p>
    <w:p w:rsidR="00000000" w:rsidRDefault="006F5FAE">
      <w:pPr>
        <w:pStyle w:val="Ttulo2"/>
        <w:jc w:val="both"/>
        <w:rPr>
          <w:rFonts w:ascii="Arial" w:hAnsi="Arial"/>
          <w:sz w:val="24"/>
          <w:lang w:val="es-ES"/>
        </w:rPr>
      </w:pPr>
      <w:r>
        <w:rPr>
          <w:rFonts w:ascii="Arial" w:hAnsi="Arial"/>
          <w:sz w:val="24"/>
          <w:lang w:val="es-ES"/>
        </w:rPr>
        <w:t>Nivel de fondo (background)</w:t>
      </w:r>
    </w:p>
    <w:p w:rsidR="00000000" w:rsidRDefault="006F5FAE">
      <w:pPr>
        <w:jc w:val="both"/>
        <w:rPr>
          <w:rFonts w:ascii="Arial" w:hAnsi="Arial"/>
          <w:sz w:val="24"/>
        </w:rPr>
      </w:pPr>
      <w:r>
        <w:rPr>
          <w:rFonts w:ascii="Arial" w:hAnsi="Arial"/>
          <w:sz w:val="24"/>
        </w:rPr>
        <w:t>Denota las condiciones ambientales imperantes antes de cualquier perturbación originada en actividades humanas, esto es, sólo con los procesos naturales en actividad.</w:t>
      </w:r>
    </w:p>
    <w:p w:rsidR="00000000" w:rsidRDefault="006F5FAE">
      <w:pPr>
        <w:pStyle w:val="Ttulo2"/>
        <w:jc w:val="both"/>
        <w:rPr>
          <w:rFonts w:ascii="Arial" w:hAnsi="Arial"/>
          <w:sz w:val="24"/>
          <w:lang w:val="es-ES"/>
        </w:rPr>
      </w:pPr>
      <w:r>
        <w:rPr>
          <w:rFonts w:ascii="Arial" w:hAnsi="Arial"/>
          <w:sz w:val="24"/>
          <w:lang w:val="es-ES"/>
        </w:rPr>
        <w:t>Norma de calidad de aire</w:t>
      </w:r>
    </w:p>
    <w:p w:rsidR="00000000" w:rsidRDefault="006F5FAE">
      <w:pPr>
        <w:jc w:val="both"/>
        <w:rPr>
          <w:rFonts w:ascii="Arial" w:hAnsi="Arial"/>
          <w:sz w:val="24"/>
          <w:lang w:val="es-ES"/>
        </w:rPr>
      </w:pPr>
      <w:r>
        <w:rPr>
          <w:rFonts w:ascii="Arial" w:hAnsi="Arial"/>
          <w:sz w:val="24"/>
          <w:lang w:val="es-ES"/>
        </w:rPr>
        <w:t>Es el valor que establece el límite máximo permisible de concentración, a nivel del suelo, de un contaminante del aire durante un tiempo promedio de muestreo determinado, definido con el propósito de proteger la salud y el ambient</w:t>
      </w:r>
      <w:r>
        <w:rPr>
          <w:rFonts w:ascii="Arial" w:hAnsi="Arial"/>
          <w:sz w:val="24"/>
          <w:lang w:val="es-ES"/>
        </w:rPr>
        <w:t>e.  Los límites permisibles descritos en esta norma de calidad de aire ambiente se aplicarán para aquellas concentraciones de contaminantes que se determinen fuera de los límites del predio de los sujetos de control o regulados.</w:t>
      </w:r>
    </w:p>
    <w:p w:rsidR="00000000" w:rsidRDefault="006F5FAE">
      <w:pPr>
        <w:pStyle w:val="Ttulo2"/>
        <w:jc w:val="both"/>
        <w:rPr>
          <w:rFonts w:ascii="Arial" w:hAnsi="Arial"/>
          <w:sz w:val="24"/>
          <w:lang w:val="es-ES"/>
        </w:rPr>
      </w:pPr>
      <w:r>
        <w:rPr>
          <w:rFonts w:ascii="Arial" w:hAnsi="Arial"/>
          <w:sz w:val="24"/>
          <w:lang w:val="es-ES"/>
        </w:rPr>
        <w:t>Norma de emisión</w:t>
      </w:r>
    </w:p>
    <w:p w:rsidR="00000000" w:rsidRDefault="006F5FAE">
      <w:pPr>
        <w:jc w:val="both"/>
        <w:rPr>
          <w:rFonts w:ascii="Arial" w:hAnsi="Arial"/>
          <w:sz w:val="24"/>
          <w:lang w:val="es-ES"/>
        </w:rPr>
      </w:pPr>
      <w:r>
        <w:rPr>
          <w:rFonts w:ascii="Arial" w:hAnsi="Arial"/>
          <w:sz w:val="24"/>
          <w:lang w:val="es-ES"/>
        </w:rPr>
        <w:t>Es el valo</w:t>
      </w:r>
      <w:r>
        <w:rPr>
          <w:rFonts w:ascii="Arial" w:hAnsi="Arial"/>
          <w:sz w:val="24"/>
          <w:lang w:val="es-ES"/>
        </w:rPr>
        <w:t>r que señala la descarga máxima permisible de los contaminantes del aire definidos.</w:t>
      </w:r>
    </w:p>
    <w:p w:rsidR="00000000" w:rsidRDefault="006F5FAE">
      <w:pPr>
        <w:pStyle w:val="Ttulo2"/>
        <w:jc w:val="both"/>
        <w:rPr>
          <w:rFonts w:ascii="Arial" w:hAnsi="Arial"/>
          <w:sz w:val="24"/>
          <w:lang w:val="es-ES"/>
        </w:rPr>
      </w:pPr>
      <w:r>
        <w:rPr>
          <w:rFonts w:ascii="Arial" w:hAnsi="Arial"/>
          <w:sz w:val="24"/>
          <w:lang w:val="es-ES"/>
        </w:rPr>
        <w:t>Olor ofensivo</w:t>
      </w:r>
    </w:p>
    <w:p w:rsidR="00000000" w:rsidRDefault="006F5FAE">
      <w:pPr>
        <w:jc w:val="both"/>
        <w:rPr>
          <w:rFonts w:ascii="Arial" w:hAnsi="Arial"/>
          <w:sz w:val="24"/>
          <w:lang w:val="es-ES"/>
        </w:rPr>
      </w:pPr>
      <w:r>
        <w:rPr>
          <w:rFonts w:ascii="Arial" w:hAnsi="Arial"/>
          <w:sz w:val="24"/>
          <w:lang w:val="es-ES"/>
        </w:rPr>
        <w:t>Es el olor, generado por sustancias o actividades industriales, comerciales o de servicio, que produce molestia aunque no cause daño a la salud humana.</w:t>
      </w:r>
    </w:p>
    <w:p w:rsidR="00000000" w:rsidRDefault="006F5FAE">
      <w:pPr>
        <w:jc w:val="both"/>
        <w:rPr>
          <w:rFonts w:ascii="Arial" w:hAnsi="Arial"/>
          <w:sz w:val="24"/>
          <w:lang w:val="es-ES"/>
        </w:rPr>
      </w:pPr>
    </w:p>
    <w:p w:rsidR="00000000" w:rsidRDefault="006F5FAE">
      <w:pPr>
        <w:jc w:val="both"/>
        <w:rPr>
          <w:rFonts w:ascii="Arial" w:hAnsi="Arial"/>
          <w:sz w:val="24"/>
          <w:lang w:val="es-ES"/>
        </w:rPr>
      </w:pPr>
    </w:p>
    <w:p w:rsidR="00000000" w:rsidRDefault="006F5FAE">
      <w:pPr>
        <w:jc w:val="both"/>
        <w:rPr>
          <w:rFonts w:ascii="Arial" w:hAnsi="Arial"/>
          <w:sz w:val="24"/>
          <w:lang w:val="es-ES"/>
        </w:rPr>
      </w:pPr>
    </w:p>
    <w:p w:rsidR="00000000" w:rsidRDefault="006F5FAE">
      <w:pPr>
        <w:jc w:val="both"/>
        <w:rPr>
          <w:rFonts w:ascii="Arial" w:hAnsi="Arial"/>
          <w:sz w:val="24"/>
          <w:lang w:val="es-ES"/>
        </w:rPr>
      </w:pPr>
    </w:p>
    <w:p w:rsidR="00000000" w:rsidRDefault="006F5FAE">
      <w:pPr>
        <w:pStyle w:val="Ttulo2"/>
        <w:jc w:val="both"/>
        <w:rPr>
          <w:rFonts w:ascii="Arial" w:hAnsi="Arial"/>
          <w:sz w:val="24"/>
          <w:lang w:val="es-ES"/>
        </w:rPr>
      </w:pPr>
      <w:r>
        <w:rPr>
          <w:rFonts w:ascii="Arial" w:hAnsi="Arial"/>
          <w:sz w:val="24"/>
          <w:lang w:val="es-ES"/>
        </w:rPr>
        <w:t>Pa</w:t>
      </w:r>
      <w:r>
        <w:rPr>
          <w:rFonts w:ascii="Arial" w:hAnsi="Arial"/>
          <w:sz w:val="24"/>
          <w:lang w:val="es-ES"/>
        </w:rPr>
        <w:t>rtículas Sedimentables</w:t>
      </w:r>
    </w:p>
    <w:p w:rsidR="00000000" w:rsidRDefault="006F5FAE">
      <w:pPr>
        <w:jc w:val="both"/>
        <w:rPr>
          <w:rFonts w:ascii="Arial" w:hAnsi="Arial"/>
          <w:sz w:val="24"/>
          <w:lang w:val="es-ES"/>
        </w:rPr>
      </w:pPr>
      <w:r>
        <w:rPr>
          <w:rFonts w:ascii="Arial" w:hAnsi="Arial"/>
          <w:sz w:val="24"/>
          <w:lang w:val="es-ES"/>
        </w:rPr>
        <w:t>Material particulado, sólido o líquido, en general de tamaño mayor a 10 micrones, y que es capaz de permanecer en suspensión temporal en el aire ambiente.</w:t>
      </w:r>
    </w:p>
    <w:p w:rsidR="00000000" w:rsidRDefault="006F5FAE">
      <w:pPr>
        <w:pStyle w:val="Ttulo2"/>
        <w:jc w:val="both"/>
        <w:rPr>
          <w:rFonts w:ascii="Arial" w:hAnsi="Arial"/>
          <w:sz w:val="24"/>
          <w:lang w:val="es-ES"/>
        </w:rPr>
      </w:pPr>
      <w:r>
        <w:rPr>
          <w:rFonts w:ascii="Arial" w:hAnsi="Arial"/>
          <w:sz w:val="24"/>
          <w:lang w:val="es-ES"/>
        </w:rPr>
        <w:t>US EPA</w:t>
      </w:r>
    </w:p>
    <w:p w:rsidR="00000000" w:rsidRDefault="006F5FAE">
      <w:pPr>
        <w:jc w:val="both"/>
        <w:rPr>
          <w:rFonts w:ascii="Arial" w:hAnsi="Arial"/>
          <w:sz w:val="24"/>
          <w:lang w:val="es-ES"/>
        </w:rPr>
      </w:pPr>
      <w:r>
        <w:rPr>
          <w:rFonts w:ascii="Arial" w:hAnsi="Arial"/>
          <w:sz w:val="24"/>
          <w:lang w:val="es-ES"/>
        </w:rPr>
        <w:t>Agencia de Protección Ambiental de los Estados Unidos de América.</w:t>
      </w:r>
    </w:p>
    <w:p w:rsidR="00000000" w:rsidRDefault="006F5FAE">
      <w:pPr>
        <w:jc w:val="both"/>
        <w:rPr>
          <w:rFonts w:ascii="Arial" w:hAnsi="Arial"/>
          <w:sz w:val="24"/>
        </w:rPr>
      </w:pPr>
    </w:p>
    <w:p w:rsidR="00000000" w:rsidRDefault="006F5FAE">
      <w:pPr>
        <w:pStyle w:val="Ttulo1"/>
        <w:jc w:val="both"/>
        <w:rPr>
          <w:rFonts w:ascii="Arial" w:hAnsi="Arial"/>
          <w:sz w:val="24"/>
        </w:rPr>
      </w:pPr>
      <w:r>
        <w:rPr>
          <w:rFonts w:ascii="Arial" w:hAnsi="Arial"/>
          <w:sz w:val="24"/>
        </w:rPr>
        <w:t>Clas</w:t>
      </w:r>
      <w:r>
        <w:rPr>
          <w:rFonts w:ascii="Arial" w:hAnsi="Arial"/>
          <w:sz w:val="24"/>
        </w:rPr>
        <w:t>ificación</w:t>
      </w:r>
    </w:p>
    <w:p w:rsidR="00000000" w:rsidRDefault="006F5FAE">
      <w:pPr>
        <w:jc w:val="both"/>
        <w:rPr>
          <w:rFonts w:ascii="Arial" w:hAnsi="Arial"/>
          <w:sz w:val="24"/>
        </w:rPr>
      </w:pPr>
      <w:r>
        <w:rPr>
          <w:rFonts w:ascii="Arial" w:hAnsi="Arial"/>
          <w:sz w:val="24"/>
        </w:rPr>
        <w:t>Esta norma establece los límites máximos permisibles de concentraciones de contaminantes comunes, a nivel del suelo, en el aire ambiente.  La norma establece la presente clasificación:</w:t>
      </w:r>
    </w:p>
    <w:p w:rsidR="00000000" w:rsidRDefault="006F5FAE">
      <w:pPr>
        <w:jc w:val="both"/>
        <w:rPr>
          <w:rFonts w:ascii="Arial" w:hAnsi="Arial"/>
          <w:sz w:val="24"/>
        </w:rPr>
      </w:pPr>
    </w:p>
    <w:p w:rsidR="00000000" w:rsidRDefault="006F5FAE">
      <w:pPr>
        <w:jc w:val="both"/>
        <w:rPr>
          <w:rFonts w:ascii="Arial" w:hAnsi="Arial"/>
          <w:sz w:val="24"/>
        </w:rPr>
      </w:pPr>
      <w:r>
        <w:rPr>
          <w:rFonts w:ascii="Arial" w:hAnsi="Arial"/>
          <w:sz w:val="24"/>
        </w:rPr>
        <w:t>Norma de calidad de aire ambiente</w:t>
      </w:r>
    </w:p>
    <w:p w:rsidR="00000000" w:rsidRDefault="006F5FAE" w:rsidP="006F5FAE">
      <w:pPr>
        <w:pStyle w:val="Textocomentario"/>
        <w:numPr>
          <w:ilvl w:val="1"/>
          <w:numId w:val="2"/>
        </w:numPr>
        <w:jc w:val="both"/>
        <w:rPr>
          <w:rFonts w:ascii="Arial" w:hAnsi="Arial"/>
          <w:sz w:val="24"/>
          <w:lang w:val="es-MX"/>
        </w:rPr>
      </w:pPr>
      <w:r>
        <w:rPr>
          <w:rFonts w:ascii="Arial" w:hAnsi="Arial"/>
          <w:sz w:val="24"/>
          <w:lang w:val="es-MX"/>
        </w:rPr>
        <w:t>Contaminantes del aire amb</w:t>
      </w:r>
      <w:r>
        <w:rPr>
          <w:rFonts w:ascii="Arial" w:hAnsi="Arial"/>
          <w:sz w:val="24"/>
          <w:lang w:val="es-MX"/>
        </w:rPr>
        <w:t>iente.</w:t>
      </w:r>
    </w:p>
    <w:p w:rsidR="00000000" w:rsidRDefault="006F5FAE" w:rsidP="006F5FAE">
      <w:pPr>
        <w:pStyle w:val="Textocomentario"/>
        <w:numPr>
          <w:ilvl w:val="1"/>
          <w:numId w:val="2"/>
        </w:numPr>
        <w:jc w:val="both"/>
        <w:rPr>
          <w:rFonts w:ascii="Arial" w:hAnsi="Arial"/>
          <w:sz w:val="24"/>
          <w:lang w:val="es-MX"/>
        </w:rPr>
      </w:pPr>
      <w:r>
        <w:rPr>
          <w:rFonts w:ascii="Arial" w:hAnsi="Arial"/>
          <w:sz w:val="24"/>
          <w:lang w:val="es-MX"/>
        </w:rPr>
        <w:t>Normas generales para concentraciones de contaminantes comunes en el aire ambiente.</w:t>
      </w:r>
    </w:p>
    <w:p w:rsidR="00000000" w:rsidRDefault="006F5FAE" w:rsidP="006F5FAE">
      <w:pPr>
        <w:pStyle w:val="Textocomentario"/>
        <w:numPr>
          <w:ilvl w:val="1"/>
          <w:numId w:val="2"/>
        </w:numPr>
        <w:jc w:val="both"/>
        <w:rPr>
          <w:rFonts w:ascii="Arial" w:hAnsi="Arial"/>
          <w:sz w:val="24"/>
          <w:lang w:val="es-MX"/>
        </w:rPr>
      </w:pPr>
      <w:r>
        <w:rPr>
          <w:rFonts w:ascii="Arial" w:hAnsi="Arial"/>
          <w:sz w:val="24"/>
          <w:lang w:val="es-MX"/>
        </w:rPr>
        <w:t>Planes de alerta, alarma y emergencia de la calidad del aire.</w:t>
      </w:r>
    </w:p>
    <w:p w:rsidR="00000000" w:rsidRDefault="006F5FAE" w:rsidP="006F5FAE">
      <w:pPr>
        <w:pStyle w:val="Textocomentario"/>
        <w:numPr>
          <w:ilvl w:val="1"/>
          <w:numId w:val="2"/>
        </w:numPr>
        <w:jc w:val="both"/>
        <w:rPr>
          <w:rFonts w:ascii="Arial" w:hAnsi="Arial"/>
          <w:sz w:val="24"/>
          <w:lang w:val="es-MX"/>
        </w:rPr>
      </w:pPr>
      <w:r>
        <w:rPr>
          <w:rFonts w:ascii="Arial" w:hAnsi="Arial"/>
          <w:sz w:val="24"/>
          <w:lang w:val="es-MX"/>
        </w:rPr>
        <w:t>Métodos de medición de concentración de contaminantes comunes del aire ambiente.</w:t>
      </w:r>
    </w:p>
    <w:p w:rsidR="00000000" w:rsidRDefault="006F5FAE" w:rsidP="006F5FAE">
      <w:pPr>
        <w:pStyle w:val="Textocomentario"/>
        <w:numPr>
          <w:ilvl w:val="1"/>
          <w:numId w:val="2"/>
        </w:numPr>
        <w:jc w:val="both"/>
        <w:rPr>
          <w:rFonts w:ascii="Arial" w:hAnsi="Arial"/>
          <w:sz w:val="24"/>
        </w:rPr>
      </w:pPr>
      <w:r>
        <w:rPr>
          <w:rFonts w:ascii="Arial" w:hAnsi="Arial"/>
          <w:sz w:val="24"/>
        </w:rPr>
        <w:t>De las molestias o pel</w:t>
      </w:r>
      <w:r>
        <w:rPr>
          <w:rFonts w:ascii="Arial" w:hAnsi="Arial"/>
          <w:sz w:val="24"/>
        </w:rPr>
        <w:t>igros inducidos por otros contaminantes del aire.</w:t>
      </w:r>
    </w:p>
    <w:p w:rsidR="00000000" w:rsidRDefault="006F5FAE">
      <w:pPr>
        <w:pStyle w:val="Ttulo1"/>
        <w:jc w:val="both"/>
        <w:rPr>
          <w:rFonts w:ascii="Arial" w:hAnsi="Arial"/>
          <w:sz w:val="24"/>
        </w:rPr>
      </w:pPr>
      <w:r>
        <w:rPr>
          <w:rFonts w:ascii="Arial" w:hAnsi="Arial"/>
          <w:sz w:val="24"/>
        </w:rPr>
        <w:t>Requisitos</w:t>
      </w:r>
    </w:p>
    <w:p w:rsidR="00000000" w:rsidRDefault="006F5FAE">
      <w:pPr>
        <w:pStyle w:val="Ttulo2"/>
        <w:jc w:val="both"/>
        <w:rPr>
          <w:rFonts w:ascii="Arial" w:hAnsi="Arial"/>
          <w:sz w:val="24"/>
        </w:rPr>
      </w:pPr>
      <w:r>
        <w:rPr>
          <w:rFonts w:ascii="Arial" w:hAnsi="Arial"/>
          <w:sz w:val="24"/>
        </w:rPr>
        <w:t>Norma de calidad de aire ambiente</w:t>
      </w:r>
    </w:p>
    <w:p w:rsidR="00000000" w:rsidRDefault="006F5FAE">
      <w:pPr>
        <w:jc w:val="both"/>
        <w:rPr>
          <w:rFonts w:ascii="Arial" w:hAnsi="Arial"/>
          <w:sz w:val="24"/>
        </w:rPr>
      </w:pPr>
      <w:r>
        <w:rPr>
          <w:rFonts w:ascii="Arial" w:hAnsi="Arial"/>
          <w:sz w:val="24"/>
        </w:rPr>
        <w:t>4.1.1 De los contaminantes del aire ambiente</w:t>
      </w:r>
    </w:p>
    <w:p w:rsidR="00000000" w:rsidRDefault="006F5FAE">
      <w:pPr>
        <w:jc w:val="both"/>
        <w:rPr>
          <w:rFonts w:ascii="Arial" w:hAnsi="Arial"/>
          <w:sz w:val="24"/>
        </w:rPr>
      </w:pPr>
    </w:p>
    <w:p w:rsidR="00000000" w:rsidRDefault="006F5FAE">
      <w:pPr>
        <w:jc w:val="both"/>
        <w:rPr>
          <w:rFonts w:ascii="Arial" w:hAnsi="Arial"/>
          <w:sz w:val="24"/>
          <w:lang w:val="es-ES"/>
        </w:rPr>
      </w:pPr>
      <w:r>
        <w:rPr>
          <w:rFonts w:ascii="Arial" w:hAnsi="Arial"/>
          <w:sz w:val="24"/>
          <w:lang w:val="es-ES"/>
        </w:rPr>
        <w:t>4.1.1.1 Para efectos de esta norma se establecen como contaminantes comunes del aire ambiente a los siguientes:</w:t>
      </w:r>
    </w:p>
    <w:p w:rsidR="00000000" w:rsidRDefault="006F5FAE">
      <w:pPr>
        <w:jc w:val="both"/>
        <w:rPr>
          <w:rFonts w:ascii="Arial" w:hAnsi="Arial"/>
          <w:sz w:val="24"/>
          <w:lang w:val="es-ES"/>
        </w:rPr>
      </w:pPr>
    </w:p>
    <w:p w:rsidR="00000000" w:rsidRDefault="006F5FAE">
      <w:pPr>
        <w:jc w:val="both"/>
        <w:rPr>
          <w:rFonts w:ascii="Arial" w:hAnsi="Arial"/>
          <w:sz w:val="24"/>
          <w:lang w:val="es-ES"/>
        </w:rPr>
      </w:pPr>
      <w:r>
        <w:rPr>
          <w:rFonts w:ascii="Arial" w:hAnsi="Arial"/>
          <w:sz w:val="24"/>
          <w:lang w:val="es-ES"/>
        </w:rPr>
        <w:t>Pa</w:t>
      </w:r>
      <w:r>
        <w:rPr>
          <w:rFonts w:ascii="Arial" w:hAnsi="Arial"/>
          <w:sz w:val="24"/>
          <w:lang w:val="es-ES"/>
        </w:rPr>
        <w:t>rtículas Sedimentables.</w:t>
      </w:r>
    </w:p>
    <w:p w:rsidR="00000000" w:rsidRDefault="006F5FAE">
      <w:pPr>
        <w:jc w:val="both"/>
        <w:rPr>
          <w:rFonts w:ascii="Arial" w:hAnsi="Arial"/>
          <w:sz w:val="24"/>
          <w:lang w:val="es-ES"/>
        </w:rPr>
      </w:pPr>
      <w:r>
        <w:rPr>
          <w:rFonts w:ascii="Arial" w:hAnsi="Arial"/>
          <w:sz w:val="24"/>
          <w:lang w:val="es-ES"/>
        </w:rPr>
        <w:t>Material Particulado de diámetro aerodinámico menor a 10 (diez) micrones.  Se abrevia PM</w:t>
      </w:r>
      <w:r>
        <w:rPr>
          <w:rFonts w:ascii="Arial" w:hAnsi="Arial"/>
          <w:sz w:val="24"/>
          <w:vertAlign w:val="subscript"/>
          <w:lang w:val="es-ES"/>
        </w:rPr>
        <w:t>10</w:t>
      </w:r>
      <w:r>
        <w:rPr>
          <w:rFonts w:ascii="Arial" w:hAnsi="Arial"/>
          <w:sz w:val="24"/>
          <w:lang w:val="es-ES"/>
        </w:rPr>
        <w:t>.</w:t>
      </w:r>
    </w:p>
    <w:p w:rsidR="00000000" w:rsidRDefault="006F5FAE">
      <w:pPr>
        <w:jc w:val="both"/>
        <w:rPr>
          <w:rFonts w:ascii="Arial" w:hAnsi="Arial"/>
          <w:sz w:val="24"/>
          <w:lang w:val="es-ES"/>
        </w:rPr>
      </w:pPr>
      <w:r>
        <w:rPr>
          <w:rFonts w:ascii="Arial" w:hAnsi="Arial"/>
          <w:sz w:val="24"/>
          <w:lang w:val="es-ES"/>
        </w:rPr>
        <w:t>Material Particulado de diámetro aerodinámico menor a 2,5 (dos enteros cinco décimos) micrones.  Se abrevia PM</w:t>
      </w:r>
      <w:r>
        <w:rPr>
          <w:rFonts w:ascii="Arial" w:hAnsi="Arial"/>
          <w:sz w:val="24"/>
          <w:vertAlign w:val="subscript"/>
          <w:lang w:val="es-ES"/>
        </w:rPr>
        <w:t>2,5</w:t>
      </w:r>
      <w:r>
        <w:rPr>
          <w:rFonts w:ascii="Arial" w:hAnsi="Arial"/>
          <w:sz w:val="24"/>
          <w:lang w:val="es-ES"/>
        </w:rPr>
        <w:t>.</w:t>
      </w:r>
    </w:p>
    <w:p w:rsidR="00000000" w:rsidRDefault="006F5FAE">
      <w:pPr>
        <w:jc w:val="both"/>
        <w:rPr>
          <w:rFonts w:ascii="Arial" w:hAnsi="Arial"/>
          <w:sz w:val="24"/>
          <w:lang w:val="es-ES"/>
        </w:rPr>
      </w:pPr>
      <w:r>
        <w:rPr>
          <w:rFonts w:ascii="Arial" w:hAnsi="Arial"/>
          <w:sz w:val="24"/>
          <w:lang w:val="es-ES"/>
        </w:rPr>
        <w:t xml:space="preserve">Óxidos de Nitrógeno:  NO </w:t>
      </w:r>
      <w:r>
        <w:rPr>
          <w:rFonts w:ascii="Arial" w:hAnsi="Arial"/>
          <w:sz w:val="24"/>
          <w:lang w:val="es-ES"/>
        </w:rPr>
        <w:t>y NO</w:t>
      </w:r>
      <w:r>
        <w:rPr>
          <w:rFonts w:ascii="Arial" w:hAnsi="Arial"/>
          <w:sz w:val="24"/>
          <w:vertAlign w:val="subscript"/>
          <w:lang w:val="es-ES"/>
        </w:rPr>
        <w:t>2</w:t>
      </w:r>
      <w:r>
        <w:rPr>
          <w:rFonts w:ascii="Arial" w:hAnsi="Arial"/>
          <w:sz w:val="24"/>
          <w:lang w:val="es-ES"/>
        </w:rPr>
        <w:t>, y expresados como NO</w:t>
      </w:r>
      <w:r>
        <w:rPr>
          <w:rFonts w:ascii="Arial" w:hAnsi="Arial"/>
          <w:sz w:val="24"/>
          <w:vertAlign w:val="subscript"/>
          <w:lang w:val="es-ES"/>
        </w:rPr>
        <w:t>2</w:t>
      </w:r>
      <w:r>
        <w:rPr>
          <w:rFonts w:ascii="Arial" w:hAnsi="Arial"/>
          <w:sz w:val="24"/>
          <w:lang w:val="es-ES"/>
        </w:rPr>
        <w:t>.</w:t>
      </w:r>
    </w:p>
    <w:p w:rsidR="00000000" w:rsidRDefault="006F5FAE">
      <w:pPr>
        <w:jc w:val="both"/>
        <w:rPr>
          <w:rFonts w:ascii="Arial" w:hAnsi="Arial"/>
          <w:sz w:val="24"/>
          <w:lang w:val="es-ES"/>
        </w:rPr>
      </w:pPr>
      <w:r>
        <w:rPr>
          <w:rFonts w:ascii="Arial" w:hAnsi="Arial"/>
          <w:sz w:val="24"/>
          <w:lang w:val="es-ES"/>
        </w:rPr>
        <w:t>Dióxido de Azufre SO</w:t>
      </w:r>
      <w:r>
        <w:rPr>
          <w:rFonts w:ascii="Arial" w:hAnsi="Arial"/>
          <w:sz w:val="24"/>
          <w:vertAlign w:val="subscript"/>
          <w:lang w:val="es-ES"/>
        </w:rPr>
        <w:t>2</w:t>
      </w:r>
      <w:r>
        <w:rPr>
          <w:rFonts w:ascii="Arial" w:hAnsi="Arial"/>
          <w:sz w:val="24"/>
          <w:lang w:val="es-ES"/>
        </w:rPr>
        <w:t>.</w:t>
      </w:r>
    </w:p>
    <w:p w:rsidR="00000000" w:rsidRDefault="006F5FAE">
      <w:pPr>
        <w:jc w:val="both"/>
        <w:rPr>
          <w:rFonts w:ascii="Arial" w:hAnsi="Arial"/>
          <w:sz w:val="24"/>
          <w:lang w:val="es-ES"/>
        </w:rPr>
      </w:pPr>
      <w:r>
        <w:rPr>
          <w:rFonts w:ascii="Arial" w:hAnsi="Arial"/>
          <w:sz w:val="24"/>
          <w:lang w:val="es-ES"/>
        </w:rPr>
        <w:t>Monóxido de Carbono.</w:t>
      </w:r>
    </w:p>
    <w:p w:rsidR="00000000" w:rsidRDefault="006F5FAE">
      <w:pPr>
        <w:jc w:val="both"/>
        <w:rPr>
          <w:rFonts w:ascii="Arial" w:hAnsi="Arial"/>
          <w:sz w:val="24"/>
          <w:lang w:val="es-ES"/>
        </w:rPr>
      </w:pPr>
      <w:r>
        <w:rPr>
          <w:rFonts w:ascii="Arial" w:hAnsi="Arial"/>
          <w:sz w:val="24"/>
          <w:lang w:val="es-ES"/>
        </w:rPr>
        <w:t>Oxidantes Fotoquímicos, expresados como Ozono.</w:t>
      </w:r>
    </w:p>
    <w:p w:rsidR="00000000" w:rsidRDefault="006F5FAE">
      <w:pPr>
        <w:jc w:val="both"/>
        <w:rPr>
          <w:rFonts w:ascii="Arial" w:hAnsi="Arial"/>
          <w:sz w:val="24"/>
          <w:lang w:val="es-ES"/>
        </w:rPr>
      </w:pPr>
    </w:p>
    <w:p w:rsidR="00000000" w:rsidRDefault="006F5FAE">
      <w:pPr>
        <w:jc w:val="both"/>
        <w:rPr>
          <w:rFonts w:ascii="Arial" w:hAnsi="Arial"/>
          <w:sz w:val="24"/>
          <w:lang w:val="es-ES"/>
        </w:rPr>
      </w:pPr>
      <w:r>
        <w:rPr>
          <w:rFonts w:ascii="Arial" w:hAnsi="Arial"/>
          <w:sz w:val="24"/>
          <w:lang w:val="es-ES"/>
        </w:rPr>
        <w:t>4.1.1.2 La Entidad Ambiental de Control verificará, mediante sus respectivos programas de monitoreo, que las concentraciones a nivel d</w:t>
      </w:r>
      <w:r>
        <w:rPr>
          <w:rFonts w:ascii="Arial" w:hAnsi="Arial"/>
          <w:sz w:val="24"/>
          <w:lang w:val="es-ES"/>
        </w:rPr>
        <w:t xml:space="preserve">e suelo en el aire ambiente de los contaminantes comunes no excedan los valores estipulados en esta norma.  Dicha Entidad quedará facultada para establecer las acciones necesarias para, de ser el caso de que se excedan las concentraciones de contaminantes </w:t>
      </w:r>
      <w:r>
        <w:rPr>
          <w:rFonts w:ascii="Arial" w:hAnsi="Arial"/>
          <w:sz w:val="24"/>
          <w:lang w:val="es-ES"/>
        </w:rPr>
        <w:t>comunes del aire, hacer cumplir con la presente norma de calidad de aire.  Caso contrario, las acciones estarán dirigidas a prevenir el deterioro a futuro de la calidad del aire.</w:t>
      </w:r>
    </w:p>
    <w:p w:rsidR="00000000" w:rsidRDefault="006F5FAE">
      <w:pPr>
        <w:jc w:val="both"/>
        <w:rPr>
          <w:rFonts w:ascii="Arial" w:hAnsi="Arial"/>
          <w:sz w:val="24"/>
          <w:lang w:val="es-ES"/>
        </w:rPr>
      </w:pPr>
    </w:p>
    <w:p w:rsidR="00000000" w:rsidRDefault="006F5FAE">
      <w:pPr>
        <w:jc w:val="both"/>
        <w:rPr>
          <w:rFonts w:ascii="Arial" w:hAnsi="Arial"/>
          <w:sz w:val="24"/>
        </w:rPr>
      </w:pPr>
      <w:r>
        <w:rPr>
          <w:rFonts w:ascii="Arial" w:hAnsi="Arial"/>
          <w:sz w:val="24"/>
        </w:rPr>
        <w:t>4.1.1.3 La responsabilidad de la determinación de las concentraciones de con</w:t>
      </w:r>
      <w:r>
        <w:rPr>
          <w:rFonts w:ascii="Arial" w:hAnsi="Arial"/>
          <w:sz w:val="24"/>
        </w:rPr>
        <w:t>taminantes en el aire ambiente recaerá en la Entidad Ambiental de Control.  Los equipos, métodos y procedimientos a utilizarse en la determinación de la concentración de contaminantes, tendrán como referencia a aquellos descritos en la legislación ambienta</w:t>
      </w:r>
      <w:r>
        <w:rPr>
          <w:rFonts w:ascii="Arial" w:hAnsi="Arial"/>
          <w:sz w:val="24"/>
        </w:rPr>
        <w:t>l federal de los Estados Unidos de América (</w:t>
      </w:r>
      <w:r>
        <w:rPr>
          <w:rFonts w:ascii="Arial" w:hAnsi="Arial"/>
          <w:i/>
          <w:sz w:val="24"/>
        </w:rPr>
        <w:t>Code of Federal Regulations, Anexos 40 CFR 50</w:t>
      </w:r>
      <w:r>
        <w:rPr>
          <w:rFonts w:ascii="Arial" w:hAnsi="Arial"/>
          <w:sz w:val="24"/>
        </w:rPr>
        <w:t>).</w:t>
      </w:r>
    </w:p>
    <w:p w:rsidR="00000000" w:rsidRDefault="006F5FAE">
      <w:pPr>
        <w:jc w:val="both"/>
        <w:rPr>
          <w:rFonts w:ascii="Arial" w:hAnsi="Arial"/>
          <w:sz w:val="24"/>
        </w:rPr>
      </w:pPr>
    </w:p>
    <w:p w:rsidR="00000000" w:rsidRDefault="006F5FAE">
      <w:pPr>
        <w:jc w:val="both"/>
        <w:rPr>
          <w:rFonts w:ascii="Arial" w:hAnsi="Arial"/>
          <w:sz w:val="24"/>
        </w:rPr>
      </w:pPr>
      <w:r>
        <w:rPr>
          <w:rFonts w:ascii="Arial" w:hAnsi="Arial"/>
          <w:sz w:val="24"/>
        </w:rPr>
        <w:t>4.1.1.4 La Entidad Ambiental de Control deberá demostrar, ante el Ministerio del Ambiente, que sus equipos, métodos y procedimientos responden a los requerimientos</w:t>
      </w:r>
      <w:r>
        <w:rPr>
          <w:rFonts w:ascii="Arial" w:hAnsi="Arial"/>
          <w:sz w:val="24"/>
        </w:rPr>
        <w:t xml:space="preserve"> descritos en esta norma.  De existir alguna desviación con respecto a la norma, se deberá efectuar la debida justificación técnica a fin de establecer la validez, en uso oficial, de los resultados a obtenerse en la medición de concentraciones de contamina</w:t>
      </w:r>
      <w:r>
        <w:rPr>
          <w:rFonts w:ascii="Arial" w:hAnsi="Arial"/>
          <w:sz w:val="24"/>
        </w:rPr>
        <w:t>ntes en el aire ambiente.  La información que se recabe, como resultado de los programas públicos de medición de concentraciones de contaminantes comunes del aire, serán de carácter público.</w:t>
      </w:r>
    </w:p>
    <w:p w:rsidR="00000000" w:rsidRDefault="006F5FAE">
      <w:pPr>
        <w:jc w:val="both"/>
        <w:rPr>
          <w:rFonts w:ascii="Arial" w:hAnsi="Arial"/>
          <w:sz w:val="24"/>
        </w:rPr>
      </w:pPr>
    </w:p>
    <w:p w:rsidR="00000000" w:rsidRDefault="006F5FAE">
      <w:pPr>
        <w:jc w:val="both"/>
        <w:rPr>
          <w:rFonts w:ascii="Arial" w:hAnsi="Arial"/>
          <w:sz w:val="24"/>
        </w:rPr>
      </w:pPr>
      <w:r>
        <w:rPr>
          <w:rFonts w:ascii="Arial" w:hAnsi="Arial"/>
          <w:sz w:val="24"/>
          <w:lang w:val="es-ES"/>
        </w:rPr>
        <w:t>4.1.1.5 La Entidad Ambiental de Control establecerá sus procedim</w:t>
      </w:r>
      <w:r>
        <w:rPr>
          <w:rFonts w:ascii="Arial" w:hAnsi="Arial"/>
          <w:sz w:val="24"/>
          <w:lang w:val="es-ES"/>
        </w:rPr>
        <w:t>ientos internos de control de calidad y aseguramiento de calidad del sistema de monitoreo de calidad del aire ambiente en la región bajo su autoridad.  Así mismo, la Entidad Ambiental de Control deberá definir la frecuencia y alcance de los trabajos, tanto</w:t>
      </w:r>
      <w:r>
        <w:rPr>
          <w:rFonts w:ascii="Arial" w:hAnsi="Arial"/>
          <w:sz w:val="24"/>
          <w:lang w:val="es-ES"/>
        </w:rPr>
        <w:t xml:space="preserve"> de auditoría interna como externa, para su respectivo sistema de monitoreo de calidad de aire ambiente.</w:t>
      </w:r>
    </w:p>
    <w:p w:rsidR="00000000" w:rsidRDefault="006F5FAE">
      <w:pPr>
        <w:jc w:val="both"/>
        <w:rPr>
          <w:rFonts w:ascii="Arial" w:hAnsi="Arial"/>
          <w:sz w:val="24"/>
        </w:rPr>
      </w:pPr>
    </w:p>
    <w:p w:rsidR="00000000" w:rsidRDefault="006F5FAE">
      <w:pPr>
        <w:jc w:val="both"/>
        <w:rPr>
          <w:rFonts w:ascii="Arial" w:hAnsi="Arial"/>
          <w:sz w:val="24"/>
        </w:rPr>
      </w:pPr>
      <w:r>
        <w:rPr>
          <w:rFonts w:ascii="Arial" w:hAnsi="Arial"/>
          <w:sz w:val="24"/>
        </w:rPr>
        <w:t>4.1.2  Normas generales para concentraciones de contaminantes comunes en el aire ambiente</w:t>
      </w:r>
    </w:p>
    <w:p w:rsidR="00000000" w:rsidRDefault="006F5FAE">
      <w:pPr>
        <w:jc w:val="both"/>
        <w:rPr>
          <w:rFonts w:ascii="Arial" w:hAnsi="Arial"/>
          <w:sz w:val="24"/>
        </w:rPr>
      </w:pPr>
    </w:p>
    <w:p w:rsidR="00000000" w:rsidRDefault="006F5FAE">
      <w:pPr>
        <w:jc w:val="both"/>
        <w:rPr>
          <w:rFonts w:ascii="Arial" w:hAnsi="Arial"/>
          <w:sz w:val="24"/>
        </w:rPr>
      </w:pPr>
      <w:r>
        <w:rPr>
          <w:rFonts w:ascii="Arial" w:hAnsi="Arial"/>
          <w:sz w:val="24"/>
        </w:rPr>
        <w:t>4.1.2.1 Para los</w:t>
      </w:r>
      <w:r>
        <w:rPr>
          <w:rFonts w:ascii="Arial" w:hAnsi="Arial"/>
          <w:sz w:val="24"/>
          <w:lang w:val="es-ES"/>
        </w:rPr>
        <w:t xml:space="preserve"> contaminantes comunes del aire, definidos </w:t>
      </w:r>
      <w:r>
        <w:rPr>
          <w:rFonts w:ascii="Arial" w:hAnsi="Arial"/>
          <w:sz w:val="24"/>
          <w:lang w:val="es-ES"/>
        </w:rPr>
        <w:t xml:space="preserve">en 4.1.1, se establecen las siguientes concentraciones máximas permitidas.  </w:t>
      </w:r>
      <w:r>
        <w:rPr>
          <w:rFonts w:ascii="Arial" w:hAnsi="Arial"/>
          <w:sz w:val="24"/>
        </w:rPr>
        <w:t>El Ministerio del Ambiente establecerá la frecuencia de revisión de los valores descritos en la presente norma de calidad de aire ambiente.  La Entidad Ambiental de Control utiliza</w:t>
      </w:r>
      <w:r>
        <w:rPr>
          <w:rFonts w:ascii="Arial" w:hAnsi="Arial"/>
          <w:sz w:val="24"/>
        </w:rPr>
        <w:t>rá los valores de concentraciones máximas de contaminantes del aire ambiente aquí definidos, para fines de elaborar su respectiva ordenanza o norma sectorial.  La Entidad Ambiental de Control podrá establecer normas de calidad de aire ambiente de mayor exi</w:t>
      </w:r>
      <w:r>
        <w:rPr>
          <w:rFonts w:ascii="Arial" w:hAnsi="Arial"/>
          <w:sz w:val="24"/>
        </w:rPr>
        <w:t>gencia que los valores descritos en esta norma nacional, esto si los resultados de las evaluaciones de calidad de aire que efectúe dicha Autoridad indicaren esta necesidad.</w:t>
      </w:r>
    </w:p>
    <w:p w:rsidR="00000000" w:rsidRDefault="006F5FAE">
      <w:pPr>
        <w:jc w:val="both"/>
        <w:rPr>
          <w:rFonts w:ascii="Arial" w:hAnsi="Arial"/>
          <w:sz w:val="24"/>
        </w:rPr>
      </w:pPr>
    </w:p>
    <w:p w:rsidR="00000000" w:rsidRDefault="006F5FAE">
      <w:pPr>
        <w:jc w:val="both"/>
        <w:rPr>
          <w:rFonts w:ascii="Arial" w:hAnsi="Arial"/>
          <w:sz w:val="24"/>
          <w:lang w:val="es-ES"/>
        </w:rPr>
      </w:pPr>
      <w:r>
        <w:rPr>
          <w:rFonts w:ascii="Arial" w:hAnsi="Arial"/>
          <w:sz w:val="24"/>
          <w:lang w:val="es-ES"/>
        </w:rPr>
        <w:t>Partículas sedimentables.-  La máxima concentración de una muestra, colectada dura</w:t>
      </w:r>
      <w:r>
        <w:rPr>
          <w:rFonts w:ascii="Arial" w:hAnsi="Arial"/>
          <w:sz w:val="24"/>
          <w:lang w:val="es-ES"/>
        </w:rPr>
        <w:t>nte 30 (treinta) días de forma continua, será de un miligramo por centímetro cuadrado (1 mg/cm</w:t>
      </w:r>
      <w:r>
        <w:rPr>
          <w:rFonts w:ascii="Arial" w:hAnsi="Arial"/>
          <w:sz w:val="24"/>
          <w:vertAlign w:val="superscript"/>
          <w:lang w:val="es-ES"/>
        </w:rPr>
        <w:t>2</w:t>
      </w:r>
      <w:r>
        <w:rPr>
          <w:rFonts w:ascii="Arial" w:hAnsi="Arial"/>
          <w:sz w:val="24"/>
          <w:lang w:val="es-ES"/>
        </w:rPr>
        <w:t xml:space="preserve"> x 30 d).</w:t>
      </w:r>
    </w:p>
    <w:p w:rsidR="00000000" w:rsidRDefault="006F5FAE">
      <w:pPr>
        <w:jc w:val="both"/>
        <w:rPr>
          <w:rFonts w:ascii="Arial" w:hAnsi="Arial"/>
          <w:sz w:val="24"/>
        </w:rPr>
      </w:pPr>
    </w:p>
    <w:p w:rsidR="00000000" w:rsidRDefault="006F5FAE">
      <w:pPr>
        <w:jc w:val="both"/>
        <w:rPr>
          <w:rFonts w:ascii="Arial" w:hAnsi="Arial"/>
          <w:sz w:val="24"/>
          <w:lang w:val="es-ES"/>
        </w:rPr>
      </w:pPr>
      <w:r>
        <w:rPr>
          <w:rFonts w:ascii="Arial" w:hAnsi="Arial"/>
          <w:sz w:val="24"/>
          <w:lang w:val="es-ES"/>
        </w:rPr>
        <w:t>Material particulado menor a 10 micrones (PM10).-  El promedio aritmético de la concentración de PM</w:t>
      </w:r>
      <w:r>
        <w:rPr>
          <w:rFonts w:ascii="Arial" w:hAnsi="Arial"/>
          <w:sz w:val="24"/>
          <w:vertAlign w:val="subscript"/>
          <w:lang w:val="es-ES"/>
        </w:rPr>
        <w:t>10</w:t>
      </w:r>
      <w:r>
        <w:rPr>
          <w:rFonts w:ascii="Arial" w:hAnsi="Arial"/>
          <w:sz w:val="24"/>
          <w:lang w:val="es-ES"/>
        </w:rPr>
        <w:t xml:space="preserve"> de todas las muestras en un año no deberá excede</w:t>
      </w:r>
      <w:r>
        <w:rPr>
          <w:rFonts w:ascii="Arial" w:hAnsi="Arial"/>
          <w:sz w:val="24"/>
          <w:lang w:val="es-ES"/>
        </w:rPr>
        <w:t xml:space="preserve">r de cincuenta microgramos por metro cúbico (50 </w:t>
      </w:r>
      <w:r>
        <w:rPr>
          <w:rFonts w:ascii="Arial" w:hAnsi="Arial"/>
          <w:sz w:val="24"/>
          <w:lang w:val="es-ES"/>
        </w:rPr>
        <w:sym w:font="Symbol" w:char="F06D"/>
      </w:r>
      <w:r>
        <w:rPr>
          <w:rFonts w:ascii="Arial" w:hAnsi="Arial"/>
          <w:sz w:val="24"/>
          <w:lang w:val="es-ES"/>
        </w:rPr>
        <w:t>g/m</w:t>
      </w:r>
      <w:r>
        <w:rPr>
          <w:rFonts w:ascii="Arial" w:hAnsi="Arial"/>
          <w:sz w:val="24"/>
          <w:vertAlign w:val="superscript"/>
          <w:lang w:val="es-ES"/>
        </w:rPr>
        <w:t>3</w:t>
      </w:r>
      <w:r>
        <w:rPr>
          <w:rFonts w:ascii="Arial" w:hAnsi="Arial"/>
          <w:sz w:val="24"/>
          <w:lang w:val="es-ES"/>
        </w:rPr>
        <w:t xml:space="preserve">).  La concentración máxima en 24 horas, de todas las muestras colectadas, no deberá exceder ciento cincuenta microgramos por metro cúbico (150 </w:t>
      </w:r>
      <w:r>
        <w:rPr>
          <w:rFonts w:ascii="Arial" w:hAnsi="Arial"/>
          <w:sz w:val="24"/>
          <w:lang w:val="es-ES"/>
        </w:rPr>
        <w:sym w:font="Symbol" w:char="F06D"/>
      </w:r>
      <w:r>
        <w:rPr>
          <w:rFonts w:ascii="Arial" w:hAnsi="Arial"/>
          <w:sz w:val="24"/>
          <w:lang w:val="es-ES"/>
        </w:rPr>
        <w:t>g/m</w:t>
      </w:r>
      <w:r>
        <w:rPr>
          <w:rFonts w:ascii="Arial" w:hAnsi="Arial"/>
          <w:sz w:val="24"/>
          <w:vertAlign w:val="superscript"/>
          <w:lang w:val="es-ES"/>
        </w:rPr>
        <w:t>3</w:t>
      </w:r>
      <w:r>
        <w:rPr>
          <w:rFonts w:ascii="Arial" w:hAnsi="Arial"/>
          <w:sz w:val="24"/>
          <w:lang w:val="es-ES"/>
        </w:rPr>
        <w:t>), valor que no podrá ser excedido más de dos (2) vece</w:t>
      </w:r>
      <w:r>
        <w:rPr>
          <w:rFonts w:ascii="Arial" w:hAnsi="Arial"/>
          <w:sz w:val="24"/>
          <w:lang w:val="es-ES"/>
        </w:rPr>
        <w:t>s en un año.</w:t>
      </w:r>
    </w:p>
    <w:p w:rsidR="00000000" w:rsidRDefault="006F5FAE">
      <w:pPr>
        <w:jc w:val="both"/>
        <w:rPr>
          <w:rFonts w:ascii="Arial" w:hAnsi="Arial"/>
          <w:sz w:val="24"/>
          <w:lang w:val="es-ES"/>
        </w:rPr>
      </w:pPr>
    </w:p>
    <w:p w:rsidR="00000000" w:rsidRDefault="006F5FAE">
      <w:pPr>
        <w:jc w:val="both"/>
        <w:rPr>
          <w:rFonts w:ascii="Arial" w:hAnsi="Arial"/>
          <w:sz w:val="24"/>
          <w:lang w:val="es-ES"/>
        </w:rPr>
      </w:pPr>
      <w:r>
        <w:rPr>
          <w:rFonts w:ascii="Arial" w:hAnsi="Arial"/>
          <w:sz w:val="24"/>
          <w:lang w:val="es-ES"/>
        </w:rPr>
        <w:t>Material particulado menor a 2,5 micrones (PM2,5).-  Se ha establecido que el promedio aritmético de la concentración de PM</w:t>
      </w:r>
      <w:r>
        <w:rPr>
          <w:rFonts w:ascii="Arial" w:hAnsi="Arial"/>
          <w:sz w:val="24"/>
          <w:vertAlign w:val="subscript"/>
          <w:lang w:val="es-ES"/>
        </w:rPr>
        <w:t>2,5</w:t>
      </w:r>
      <w:r>
        <w:rPr>
          <w:rFonts w:ascii="Arial" w:hAnsi="Arial"/>
          <w:sz w:val="24"/>
          <w:lang w:val="es-ES"/>
        </w:rPr>
        <w:t xml:space="preserve"> de todas las muestras en un año no deberá exceder de quince microgramos por metro cúbico (15 </w:t>
      </w:r>
      <w:r>
        <w:rPr>
          <w:rFonts w:ascii="Arial" w:hAnsi="Arial"/>
          <w:sz w:val="24"/>
          <w:lang w:val="es-ES"/>
        </w:rPr>
        <w:sym w:font="Symbol" w:char="F06D"/>
      </w:r>
      <w:r>
        <w:rPr>
          <w:rFonts w:ascii="Arial" w:hAnsi="Arial"/>
          <w:sz w:val="24"/>
          <w:lang w:val="es-ES"/>
        </w:rPr>
        <w:t>g/m</w:t>
      </w:r>
      <w:r>
        <w:rPr>
          <w:rFonts w:ascii="Arial" w:hAnsi="Arial"/>
          <w:sz w:val="24"/>
          <w:vertAlign w:val="superscript"/>
          <w:lang w:val="es-ES"/>
        </w:rPr>
        <w:t>3</w:t>
      </w:r>
      <w:r>
        <w:rPr>
          <w:rFonts w:ascii="Arial" w:hAnsi="Arial"/>
          <w:sz w:val="24"/>
          <w:lang w:val="es-ES"/>
        </w:rPr>
        <w:t>).  La concentrac</w:t>
      </w:r>
      <w:r>
        <w:rPr>
          <w:rFonts w:ascii="Arial" w:hAnsi="Arial"/>
          <w:sz w:val="24"/>
          <w:lang w:val="es-ES"/>
        </w:rPr>
        <w:t xml:space="preserve">ión máxima en 24 horas, de todas las muestras colectadas, no deberá exceder sesenta y cinco microgramos por metro cúbico (65 </w:t>
      </w:r>
      <w:r>
        <w:rPr>
          <w:rFonts w:ascii="Arial" w:hAnsi="Arial"/>
          <w:sz w:val="24"/>
          <w:lang w:val="es-ES"/>
        </w:rPr>
        <w:sym w:font="Symbol" w:char="F06D"/>
      </w:r>
      <w:r>
        <w:rPr>
          <w:rFonts w:ascii="Arial" w:hAnsi="Arial"/>
          <w:sz w:val="24"/>
          <w:lang w:val="es-ES"/>
        </w:rPr>
        <w:t>g/m</w:t>
      </w:r>
      <w:r>
        <w:rPr>
          <w:rFonts w:ascii="Arial" w:hAnsi="Arial"/>
          <w:sz w:val="24"/>
          <w:vertAlign w:val="superscript"/>
          <w:lang w:val="es-ES"/>
        </w:rPr>
        <w:t>3</w:t>
      </w:r>
      <w:r>
        <w:rPr>
          <w:rFonts w:ascii="Arial" w:hAnsi="Arial"/>
          <w:sz w:val="24"/>
          <w:lang w:val="es-ES"/>
        </w:rPr>
        <w:t>), valor que no podrá ser excedido más de dos (2) veces en un año.</w:t>
      </w:r>
    </w:p>
    <w:p w:rsidR="00000000" w:rsidRDefault="006F5FAE">
      <w:pPr>
        <w:jc w:val="both"/>
        <w:rPr>
          <w:rFonts w:ascii="Arial" w:hAnsi="Arial"/>
          <w:sz w:val="24"/>
          <w:lang w:val="es-ES"/>
        </w:rPr>
      </w:pPr>
    </w:p>
    <w:p w:rsidR="00000000" w:rsidRDefault="006F5FAE">
      <w:pPr>
        <w:jc w:val="both"/>
        <w:rPr>
          <w:rFonts w:ascii="Arial" w:hAnsi="Arial"/>
          <w:sz w:val="24"/>
          <w:lang w:val="es-ES"/>
        </w:rPr>
      </w:pPr>
      <w:r>
        <w:rPr>
          <w:rFonts w:ascii="Arial" w:hAnsi="Arial"/>
          <w:sz w:val="24"/>
          <w:lang w:val="es-ES"/>
        </w:rPr>
        <w:t>Dióxido de azufre (SO2).-  El promedio aritmético de la co</w:t>
      </w:r>
      <w:r>
        <w:rPr>
          <w:rFonts w:ascii="Arial" w:hAnsi="Arial"/>
          <w:sz w:val="24"/>
          <w:lang w:val="es-ES"/>
        </w:rPr>
        <w:t>ncentración de SO</w:t>
      </w:r>
      <w:r>
        <w:rPr>
          <w:rFonts w:ascii="Arial" w:hAnsi="Arial"/>
          <w:sz w:val="24"/>
          <w:vertAlign w:val="subscript"/>
          <w:lang w:val="es-ES"/>
        </w:rPr>
        <w:t>2</w:t>
      </w:r>
      <w:r>
        <w:rPr>
          <w:rFonts w:ascii="Arial" w:hAnsi="Arial"/>
          <w:sz w:val="24"/>
          <w:lang w:val="es-ES"/>
        </w:rPr>
        <w:t xml:space="preserve"> determinada en todas las muestras en un año no deberá exceder de ochenta microgramos por metro cúbico (80 </w:t>
      </w:r>
      <w:r>
        <w:rPr>
          <w:rFonts w:ascii="Arial" w:hAnsi="Arial"/>
          <w:sz w:val="24"/>
          <w:lang w:val="es-ES"/>
        </w:rPr>
        <w:sym w:font="Symbol" w:char="F06D"/>
      </w:r>
      <w:r>
        <w:rPr>
          <w:rFonts w:ascii="Arial" w:hAnsi="Arial"/>
          <w:sz w:val="24"/>
          <w:lang w:val="es-ES"/>
        </w:rPr>
        <w:t>g/m</w:t>
      </w:r>
      <w:r>
        <w:rPr>
          <w:rFonts w:ascii="Arial" w:hAnsi="Arial"/>
          <w:sz w:val="24"/>
          <w:vertAlign w:val="superscript"/>
          <w:lang w:val="es-ES"/>
        </w:rPr>
        <w:t>3</w:t>
      </w:r>
      <w:r>
        <w:rPr>
          <w:rFonts w:ascii="Arial" w:hAnsi="Arial"/>
          <w:sz w:val="24"/>
          <w:lang w:val="es-ES"/>
        </w:rPr>
        <w:t xml:space="preserve">).  La concentración máxima en 24 horas no deberá exceder trescientos cincuenta microgramos por metro cúbico (350 </w:t>
      </w:r>
      <w:r>
        <w:rPr>
          <w:rFonts w:ascii="Arial" w:hAnsi="Arial"/>
          <w:sz w:val="24"/>
          <w:lang w:val="es-ES"/>
        </w:rPr>
        <w:sym w:font="Symbol" w:char="F06D"/>
      </w:r>
      <w:r>
        <w:rPr>
          <w:rFonts w:ascii="Arial" w:hAnsi="Arial"/>
          <w:sz w:val="24"/>
          <w:lang w:val="es-ES"/>
        </w:rPr>
        <w:t>g/m</w:t>
      </w:r>
      <w:r>
        <w:rPr>
          <w:rFonts w:ascii="Arial" w:hAnsi="Arial"/>
          <w:sz w:val="24"/>
          <w:vertAlign w:val="superscript"/>
          <w:lang w:val="es-ES"/>
        </w:rPr>
        <w:t>3</w:t>
      </w:r>
      <w:r>
        <w:rPr>
          <w:rFonts w:ascii="Arial" w:hAnsi="Arial"/>
          <w:sz w:val="24"/>
          <w:lang w:val="es-ES"/>
        </w:rPr>
        <w:t xml:space="preserve">), más </w:t>
      </w:r>
      <w:r>
        <w:rPr>
          <w:rFonts w:ascii="Arial" w:hAnsi="Arial"/>
          <w:sz w:val="24"/>
          <w:lang w:val="es-ES"/>
        </w:rPr>
        <w:t>de una vez en un año.</w:t>
      </w:r>
    </w:p>
    <w:p w:rsidR="00000000" w:rsidRDefault="006F5FAE">
      <w:pPr>
        <w:jc w:val="both"/>
        <w:rPr>
          <w:rFonts w:ascii="Arial" w:hAnsi="Arial"/>
          <w:sz w:val="24"/>
          <w:lang w:val="es-ES"/>
        </w:rPr>
      </w:pPr>
    </w:p>
    <w:p w:rsidR="00000000" w:rsidRDefault="006F5FAE">
      <w:pPr>
        <w:jc w:val="both"/>
        <w:rPr>
          <w:rFonts w:ascii="Arial" w:hAnsi="Arial"/>
          <w:sz w:val="24"/>
          <w:lang w:val="es-ES"/>
        </w:rPr>
      </w:pPr>
      <w:r>
        <w:rPr>
          <w:rFonts w:ascii="Arial" w:hAnsi="Arial"/>
          <w:sz w:val="24"/>
          <w:lang w:val="es-ES"/>
        </w:rPr>
        <w:t xml:space="preserve">Monóxido de carbono (CO).-  La concentración de monóxido de carbono de las muestras determinadas de forma continua, en un período de 8 (ocho) horas, no deberá exceder diez mil microgramos por metro cúbico (10 000 </w:t>
      </w:r>
      <w:r>
        <w:rPr>
          <w:rFonts w:ascii="Arial" w:hAnsi="Arial"/>
          <w:sz w:val="24"/>
          <w:lang w:val="es-ES"/>
        </w:rPr>
        <w:sym w:font="Symbol" w:char="F06D"/>
      </w:r>
      <w:r>
        <w:rPr>
          <w:rFonts w:ascii="Arial" w:hAnsi="Arial"/>
          <w:sz w:val="24"/>
          <w:lang w:val="es-ES"/>
        </w:rPr>
        <w:t>g/m</w:t>
      </w:r>
      <w:r>
        <w:rPr>
          <w:rFonts w:ascii="Arial" w:hAnsi="Arial"/>
          <w:sz w:val="24"/>
          <w:vertAlign w:val="superscript"/>
          <w:lang w:val="es-ES"/>
        </w:rPr>
        <w:t>3</w:t>
      </w:r>
      <w:r>
        <w:rPr>
          <w:rFonts w:ascii="Arial" w:hAnsi="Arial"/>
          <w:sz w:val="24"/>
          <w:lang w:val="es-ES"/>
        </w:rPr>
        <w:t>) más de una ve</w:t>
      </w:r>
      <w:r>
        <w:rPr>
          <w:rFonts w:ascii="Arial" w:hAnsi="Arial"/>
          <w:sz w:val="24"/>
          <w:lang w:val="es-ES"/>
        </w:rPr>
        <w:t xml:space="preserve">z en un año.  La concentración máxima en una hora de monóxido de carbono no deberá exceder cuarenta mil microgramos por metro cúbico (40 000 </w:t>
      </w:r>
      <w:r>
        <w:rPr>
          <w:rFonts w:ascii="Arial" w:hAnsi="Arial"/>
          <w:sz w:val="24"/>
          <w:lang w:val="es-ES"/>
        </w:rPr>
        <w:sym w:font="Symbol" w:char="F06D"/>
      </w:r>
      <w:r>
        <w:rPr>
          <w:rFonts w:ascii="Arial" w:hAnsi="Arial"/>
          <w:sz w:val="24"/>
          <w:lang w:val="es-ES"/>
        </w:rPr>
        <w:t>g/m</w:t>
      </w:r>
      <w:r>
        <w:rPr>
          <w:rFonts w:ascii="Arial" w:hAnsi="Arial"/>
          <w:sz w:val="24"/>
          <w:vertAlign w:val="superscript"/>
          <w:lang w:val="es-ES"/>
        </w:rPr>
        <w:t>3</w:t>
      </w:r>
      <w:r>
        <w:rPr>
          <w:rFonts w:ascii="Arial" w:hAnsi="Arial"/>
          <w:sz w:val="24"/>
          <w:lang w:val="es-ES"/>
        </w:rPr>
        <w:t>) más de una vez en un año.</w:t>
      </w:r>
    </w:p>
    <w:p w:rsidR="00000000" w:rsidRDefault="006F5FAE">
      <w:pPr>
        <w:jc w:val="both"/>
        <w:rPr>
          <w:rFonts w:ascii="Arial" w:hAnsi="Arial"/>
          <w:sz w:val="24"/>
          <w:lang w:val="es-ES"/>
        </w:rPr>
      </w:pPr>
    </w:p>
    <w:p w:rsidR="00000000" w:rsidRDefault="006F5FAE">
      <w:pPr>
        <w:jc w:val="both"/>
        <w:rPr>
          <w:rFonts w:ascii="Arial" w:hAnsi="Arial"/>
          <w:sz w:val="24"/>
          <w:lang w:val="es-ES"/>
        </w:rPr>
      </w:pPr>
      <w:r>
        <w:rPr>
          <w:rFonts w:ascii="Arial" w:hAnsi="Arial"/>
          <w:sz w:val="24"/>
          <w:lang w:val="es-ES"/>
        </w:rPr>
        <w:t>Oxidantes fotoquímicos, expresados como ozono.-  La máxima concentración de oxida</w:t>
      </w:r>
      <w:r>
        <w:rPr>
          <w:rFonts w:ascii="Arial" w:hAnsi="Arial"/>
          <w:sz w:val="24"/>
          <w:lang w:val="es-ES"/>
        </w:rPr>
        <w:t xml:space="preserve">ntes fotoquímicos, obtenida mediante muestra continua en un período de una hora, no deberá exceder de ciento sesenta microgramos por metro cúbico (160 </w:t>
      </w:r>
      <w:r>
        <w:rPr>
          <w:rFonts w:ascii="Arial" w:hAnsi="Arial"/>
          <w:sz w:val="24"/>
          <w:lang w:val="es-ES"/>
        </w:rPr>
        <w:sym w:font="Symbol" w:char="F06D"/>
      </w:r>
      <w:r>
        <w:rPr>
          <w:rFonts w:ascii="Arial" w:hAnsi="Arial"/>
          <w:sz w:val="24"/>
          <w:lang w:val="es-ES"/>
        </w:rPr>
        <w:t>g/m</w:t>
      </w:r>
      <w:r>
        <w:rPr>
          <w:rFonts w:ascii="Arial" w:hAnsi="Arial"/>
          <w:sz w:val="24"/>
          <w:vertAlign w:val="superscript"/>
          <w:lang w:val="es-ES"/>
        </w:rPr>
        <w:t>3</w:t>
      </w:r>
      <w:r>
        <w:rPr>
          <w:rFonts w:ascii="Arial" w:hAnsi="Arial"/>
          <w:sz w:val="24"/>
          <w:lang w:val="es-ES"/>
        </w:rPr>
        <w:t>), más de una vez en un año.  La máxima concentración de oxidantes fotoquímicos, obtenida mediante m</w:t>
      </w:r>
      <w:r>
        <w:rPr>
          <w:rFonts w:ascii="Arial" w:hAnsi="Arial"/>
          <w:sz w:val="24"/>
          <w:lang w:val="es-ES"/>
        </w:rPr>
        <w:t xml:space="preserve">uestra continua en un período de ocho horas, no deberá exceder de ciento veinte microgramos por metro cúbico (120 </w:t>
      </w:r>
      <w:r>
        <w:rPr>
          <w:rFonts w:ascii="Arial" w:hAnsi="Arial"/>
          <w:sz w:val="24"/>
          <w:lang w:val="es-ES"/>
        </w:rPr>
        <w:sym w:font="Symbol" w:char="F06D"/>
      </w:r>
      <w:r>
        <w:rPr>
          <w:rFonts w:ascii="Arial" w:hAnsi="Arial"/>
          <w:sz w:val="24"/>
          <w:lang w:val="es-ES"/>
        </w:rPr>
        <w:t>g/m</w:t>
      </w:r>
      <w:r>
        <w:rPr>
          <w:rFonts w:ascii="Arial" w:hAnsi="Arial"/>
          <w:sz w:val="24"/>
          <w:vertAlign w:val="superscript"/>
          <w:lang w:val="es-ES"/>
        </w:rPr>
        <w:t>3</w:t>
      </w:r>
      <w:r>
        <w:rPr>
          <w:rFonts w:ascii="Arial" w:hAnsi="Arial"/>
          <w:sz w:val="24"/>
          <w:lang w:val="es-ES"/>
        </w:rPr>
        <w:t>), más de una vez en un año.</w:t>
      </w:r>
    </w:p>
    <w:p w:rsidR="00000000" w:rsidRDefault="006F5FAE">
      <w:pPr>
        <w:jc w:val="both"/>
        <w:rPr>
          <w:rFonts w:ascii="Arial" w:hAnsi="Arial"/>
          <w:sz w:val="24"/>
          <w:lang w:val="es-ES"/>
        </w:rPr>
      </w:pPr>
    </w:p>
    <w:p w:rsidR="00000000" w:rsidRDefault="006F5FAE">
      <w:pPr>
        <w:jc w:val="both"/>
        <w:rPr>
          <w:rFonts w:ascii="Arial" w:hAnsi="Arial"/>
          <w:sz w:val="24"/>
          <w:lang w:val="es-ES"/>
        </w:rPr>
      </w:pPr>
      <w:r>
        <w:rPr>
          <w:rFonts w:ascii="Arial" w:hAnsi="Arial"/>
          <w:sz w:val="24"/>
          <w:lang w:val="es-ES"/>
        </w:rPr>
        <w:t>Óxidos de nitrógeno, expresados como NO2.-  El promedio aritmético de la concentración de óxidos de nitróge</w:t>
      </w:r>
      <w:r>
        <w:rPr>
          <w:rFonts w:ascii="Arial" w:hAnsi="Arial"/>
          <w:sz w:val="24"/>
          <w:lang w:val="es-ES"/>
        </w:rPr>
        <w:t xml:space="preserve">no, expresada como NO2, y determinada en todas las muestras en un año, no deberá exceder de cien microgramos por metro cúbico (100 </w:t>
      </w:r>
      <w:r>
        <w:rPr>
          <w:rFonts w:ascii="Arial" w:hAnsi="Arial"/>
          <w:sz w:val="24"/>
          <w:lang w:val="es-ES"/>
        </w:rPr>
        <w:sym w:font="Symbol" w:char="F06D"/>
      </w:r>
      <w:r>
        <w:rPr>
          <w:rFonts w:ascii="Arial" w:hAnsi="Arial"/>
          <w:sz w:val="24"/>
          <w:lang w:val="es-ES"/>
        </w:rPr>
        <w:t>g/m</w:t>
      </w:r>
      <w:r>
        <w:rPr>
          <w:rFonts w:ascii="Arial" w:hAnsi="Arial"/>
          <w:sz w:val="24"/>
          <w:vertAlign w:val="superscript"/>
          <w:lang w:val="es-ES"/>
        </w:rPr>
        <w:t>3</w:t>
      </w:r>
      <w:r>
        <w:rPr>
          <w:rFonts w:ascii="Arial" w:hAnsi="Arial"/>
          <w:sz w:val="24"/>
          <w:lang w:val="es-ES"/>
        </w:rPr>
        <w:t xml:space="preserve">).  La concentración máxima en 24 horas no deberá exceder ciento cincuenta microgramos por metro cúbico (150 </w:t>
      </w:r>
      <w:r>
        <w:rPr>
          <w:rFonts w:ascii="Arial" w:hAnsi="Arial"/>
          <w:sz w:val="24"/>
          <w:lang w:val="es-ES"/>
        </w:rPr>
        <w:sym w:font="Symbol" w:char="F06D"/>
      </w:r>
      <w:r>
        <w:rPr>
          <w:rFonts w:ascii="Arial" w:hAnsi="Arial"/>
          <w:sz w:val="24"/>
          <w:lang w:val="es-ES"/>
        </w:rPr>
        <w:t>g/m</w:t>
      </w:r>
      <w:r>
        <w:rPr>
          <w:rFonts w:ascii="Arial" w:hAnsi="Arial"/>
          <w:sz w:val="24"/>
          <w:vertAlign w:val="superscript"/>
          <w:lang w:val="es-ES"/>
        </w:rPr>
        <w:t>3</w:t>
      </w:r>
      <w:r>
        <w:rPr>
          <w:rFonts w:ascii="Arial" w:hAnsi="Arial"/>
          <w:sz w:val="24"/>
          <w:lang w:val="es-ES"/>
        </w:rPr>
        <w:t xml:space="preserve">) más </w:t>
      </w:r>
      <w:r>
        <w:rPr>
          <w:rFonts w:ascii="Arial" w:hAnsi="Arial"/>
          <w:sz w:val="24"/>
          <w:lang w:val="es-ES"/>
        </w:rPr>
        <w:t>de dos (2) veces en un año.</w:t>
      </w:r>
    </w:p>
    <w:p w:rsidR="00000000" w:rsidRDefault="006F5FAE">
      <w:pPr>
        <w:jc w:val="both"/>
        <w:rPr>
          <w:rFonts w:ascii="Arial" w:hAnsi="Arial"/>
          <w:sz w:val="24"/>
          <w:lang w:val="es-ES"/>
        </w:rPr>
      </w:pPr>
    </w:p>
    <w:p w:rsidR="00000000" w:rsidRDefault="006F5FAE">
      <w:pPr>
        <w:jc w:val="both"/>
        <w:rPr>
          <w:rFonts w:ascii="Arial" w:hAnsi="Arial"/>
          <w:sz w:val="24"/>
          <w:lang w:val="es-ES"/>
        </w:rPr>
      </w:pPr>
      <w:r>
        <w:rPr>
          <w:rFonts w:ascii="Arial" w:hAnsi="Arial"/>
          <w:sz w:val="24"/>
          <w:lang w:val="es-ES"/>
        </w:rPr>
        <w:t xml:space="preserve">4.1.2.2  Los valores de concentración de contaminantes comunes del aire, establecidos en esta norma, así como los que sean determinados en los programas públicos de medición, están sujetos a las condiciones de referencia de 25 </w:t>
      </w:r>
      <w:r>
        <w:rPr>
          <w:rFonts w:ascii="Arial" w:hAnsi="Arial"/>
          <w:sz w:val="24"/>
          <w:lang w:val="es-ES"/>
        </w:rPr>
        <w:t>°C y 760 mm Hg.</w:t>
      </w:r>
    </w:p>
    <w:p w:rsidR="00000000" w:rsidRDefault="006F5FAE">
      <w:pPr>
        <w:jc w:val="both"/>
        <w:rPr>
          <w:rFonts w:ascii="Arial" w:hAnsi="Arial"/>
          <w:sz w:val="24"/>
          <w:lang w:val="es-ES"/>
        </w:rPr>
      </w:pPr>
    </w:p>
    <w:p w:rsidR="00000000" w:rsidRDefault="006F5FAE">
      <w:pPr>
        <w:jc w:val="both"/>
        <w:rPr>
          <w:rFonts w:ascii="Arial" w:hAnsi="Arial"/>
          <w:sz w:val="24"/>
          <w:lang w:val="es-ES"/>
        </w:rPr>
      </w:pPr>
      <w:r>
        <w:rPr>
          <w:rFonts w:ascii="Arial" w:hAnsi="Arial"/>
          <w:sz w:val="24"/>
          <w:lang w:val="es-ES"/>
        </w:rPr>
        <w:t>4.1.2.3  Las mediciones observadas de concentraciones de contaminantes comunes del aire deberán corregirse de acuerdo a las condiciones de la localidad en que se efectúen dichas mediciones, para lo cual se utilizará la siguiente ecuación:</w:t>
      </w:r>
    </w:p>
    <w:p w:rsidR="00000000" w:rsidRDefault="006F5FAE">
      <w:pPr>
        <w:jc w:val="both"/>
        <w:rPr>
          <w:rFonts w:ascii="Arial" w:hAnsi="Arial"/>
          <w:sz w:val="24"/>
          <w:lang w:val="es-ES"/>
        </w:rPr>
      </w:pPr>
      <w:r>
        <w:rPr>
          <w:rFonts w:ascii="Arial" w:hAnsi="Arial"/>
          <w:position w:val="-28"/>
          <w:sz w:val="24"/>
          <w:lang w:val="es-ES"/>
        </w:rPr>
        <w:object w:dxaOrig="31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33pt" o:ole="">
            <v:imagedata r:id="rId7" o:title=""/>
          </v:shape>
          <o:OLEObject Type="Embed" ProgID="Equation.3" ShapeID="_x0000_i1025" DrawAspect="Content" ObjectID="_1309683842" r:id="rId8"/>
        </w:object>
      </w:r>
    </w:p>
    <w:p w:rsidR="00000000" w:rsidRDefault="006F5FAE">
      <w:pPr>
        <w:jc w:val="both"/>
        <w:rPr>
          <w:rFonts w:ascii="Arial" w:hAnsi="Arial"/>
          <w:sz w:val="24"/>
          <w:lang w:val="es-ES"/>
        </w:rPr>
      </w:pPr>
      <w:r>
        <w:rPr>
          <w:rFonts w:ascii="Arial" w:hAnsi="Arial"/>
          <w:sz w:val="24"/>
          <w:lang w:val="es-ES"/>
        </w:rPr>
        <w:t>donde:</w:t>
      </w:r>
    </w:p>
    <w:p w:rsidR="00000000" w:rsidRDefault="006F5FAE">
      <w:pPr>
        <w:jc w:val="both"/>
        <w:rPr>
          <w:rFonts w:ascii="Arial" w:hAnsi="Arial"/>
          <w:sz w:val="24"/>
          <w:lang w:val="es-ES"/>
        </w:rPr>
      </w:pPr>
      <w:r>
        <w:rPr>
          <w:rFonts w:ascii="Arial" w:hAnsi="Arial"/>
          <w:i/>
          <w:sz w:val="24"/>
          <w:lang w:val="es-ES"/>
        </w:rPr>
        <w:t>Cc</w:t>
      </w:r>
      <w:r>
        <w:rPr>
          <w:rFonts w:ascii="Arial" w:hAnsi="Arial"/>
          <w:sz w:val="24"/>
          <w:lang w:val="es-ES"/>
        </w:rPr>
        <w:t>:  concentración corregida</w:t>
      </w:r>
    </w:p>
    <w:p w:rsidR="00000000" w:rsidRDefault="006F5FAE">
      <w:pPr>
        <w:jc w:val="both"/>
        <w:rPr>
          <w:rFonts w:ascii="Arial" w:hAnsi="Arial"/>
          <w:sz w:val="24"/>
          <w:lang w:val="es-ES"/>
        </w:rPr>
      </w:pPr>
      <w:r>
        <w:rPr>
          <w:rFonts w:ascii="Arial" w:hAnsi="Arial"/>
          <w:i/>
          <w:sz w:val="24"/>
          <w:lang w:val="es-ES"/>
        </w:rPr>
        <w:t>Co</w:t>
      </w:r>
      <w:r>
        <w:rPr>
          <w:rFonts w:ascii="Arial" w:hAnsi="Arial"/>
          <w:sz w:val="24"/>
          <w:lang w:val="es-ES"/>
        </w:rPr>
        <w:t>:  concentración observada</w:t>
      </w:r>
    </w:p>
    <w:p w:rsidR="00000000" w:rsidRDefault="006F5FAE">
      <w:pPr>
        <w:jc w:val="both"/>
        <w:rPr>
          <w:rFonts w:ascii="Arial" w:hAnsi="Arial"/>
          <w:sz w:val="24"/>
          <w:lang w:val="es-ES"/>
        </w:rPr>
      </w:pPr>
      <w:r>
        <w:rPr>
          <w:rFonts w:ascii="Arial" w:hAnsi="Arial"/>
          <w:i/>
          <w:sz w:val="24"/>
          <w:lang w:val="es-ES"/>
        </w:rPr>
        <w:t>Pbl</w:t>
      </w:r>
      <w:r>
        <w:rPr>
          <w:rFonts w:ascii="Arial" w:hAnsi="Arial"/>
          <w:sz w:val="24"/>
          <w:lang w:val="es-ES"/>
        </w:rPr>
        <w:t>:  presión atmosférica local, en milímetros de mercurio.</w:t>
      </w:r>
    </w:p>
    <w:p w:rsidR="00000000" w:rsidRDefault="006F5FAE">
      <w:pPr>
        <w:jc w:val="both"/>
        <w:rPr>
          <w:rFonts w:ascii="Arial" w:hAnsi="Arial"/>
          <w:sz w:val="24"/>
        </w:rPr>
      </w:pPr>
      <w:r>
        <w:rPr>
          <w:rFonts w:ascii="Arial" w:hAnsi="Arial"/>
          <w:i/>
          <w:sz w:val="24"/>
          <w:lang w:val="es-ES"/>
        </w:rPr>
        <w:t>t°C</w:t>
      </w:r>
      <w:r>
        <w:rPr>
          <w:rFonts w:ascii="Arial" w:hAnsi="Arial"/>
          <w:sz w:val="24"/>
          <w:lang w:val="es-ES"/>
        </w:rPr>
        <w:t>: temperatura local, en grados centígrados.</w:t>
      </w:r>
    </w:p>
    <w:p w:rsidR="00000000" w:rsidRDefault="006F5FAE">
      <w:pPr>
        <w:jc w:val="both"/>
        <w:rPr>
          <w:rFonts w:ascii="Arial" w:hAnsi="Arial"/>
          <w:sz w:val="24"/>
        </w:rPr>
      </w:pPr>
    </w:p>
    <w:p w:rsidR="00000000" w:rsidRDefault="006F5FAE">
      <w:pPr>
        <w:jc w:val="both"/>
        <w:rPr>
          <w:rFonts w:ascii="Arial" w:hAnsi="Arial"/>
          <w:sz w:val="24"/>
        </w:rPr>
      </w:pPr>
      <w:r>
        <w:rPr>
          <w:rFonts w:ascii="Arial" w:hAnsi="Arial"/>
          <w:sz w:val="24"/>
        </w:rPr>
        <w:t xml:space="preserve">4.1.3  De los planes de alerta, alarma y emergencia de </w:t>
      </w:r>
      <w:r>
        <w:rPr>
          <w:rFonts w:ascii="Arial" w:hAnsi="Arial"/>
          <w:sz w:val="24"/>
        </w:rPr>
        <w:t>la calidad del aire</w:t>
      </w:r>
    </w:p>
    <w:p w:rsidR="00000000" w:rsidRDefault="006F5FAE">
      <w:pPr>
        <w:jc w:val="both"/>
        <w:rPr>
          <w:rFonts w:ascii="Arial" w:hAnsi="Arial"/>
          <w:sz w:val="24"/>
        </w:rPr>
      </w:pPr>
    </w:p>
    <w:p w:rsidR="00000000" w:rsidRDefault="006F5FAE">
      <w:pPr>
        <w:jc w:val="both"/>
        <w:rPr>
          <w:rFonts w:ascii="Arial" w:hAnsi="Arial"/>
          <w:sz w:val="24"/>
          <w:lang w:val="es-ES" w:eastAsia="es-ES"/>
        </w:rPr>
      </w:pPr>
      <w:r>
        <w:rPr>
          <w:rFonts w:ascii="Arial" w:hAnsi="Arial"/>
          <w:sz w:val="24"/>
          <w:lang w:val="es-ES" w:eastAsia="es-ES"/>
        </w:rPr>
        <w:t>4.1.3.1  La Entidad Ambiental de Control establecerá un Plan de Alerta, de Alarma y de Emergencia ante Situaciones Críticas de Contaminación del Aire, basado en el establecimiento de tres niveles de concentración de contaminantes. La o</w:t>
      </w:r>
      <w:r>
        <w:rPr>
          <w:rFonts w:ascii="Arial" w:hAnsi="Arial"/>
          <w:sz w:val="24"/>
          <w:lang w:val="es-ES" w:eastAsia="es-ES"/>
        </w:rPr>
        <w:t>currencia de estos niveles determinará la existencia de los estados de Alerta, Alarma y Emergencia.</w:t>
      </w:r>
    </w:p>
    <w:p w:rsidR="00000000" w:rsidRDefault="006F5FAE">
      <w:pPr>
        <w:jc w:val="both"/>
        <w:rPr>
          <w:rFonts w:ascii="Arial" w:hAnsi="Arial"/>
          <w:sz w:val="24"/>
          <w:lang w:val="es-ES" w:eastAsia="es-ES"/>
        </w:rPr>
      </w:pPr>
    </w:p>
    <w:p w:rsidR="00000000" w:rsidRDefault="006F5FAE">
      <w:pPr>
        <w:jc w:val="both"/>
        <w:rPr>
          <w:rFonts w:ascii="Arial" w:hAnsi="Arial"/>
          <w:sz w:val="24"/>
          <w:lang w:val="es-ES" w:eastAsia="es-ES"/>
        </w:rPr>
      </w:pPr>
      <w:r>
        <w:rPr>
          <w:rFonts w:ascii="Arial" w:hAnsi="Arial"/>
          <w:sz w:val="24"/>
          <w:lang w:val="es-ES" w:eastAsia="es-ES"/>
        </w:rPr>
        <w:t>4.1.3.2  Se definen los siguientes niveles de alerta, de alarma y de emergencia en lo referente a la calidad del aire (Tabla 1).  Cada uno de los tres nive</w:t>
      </w:r>
      <w:r>
        <w:rPr>
          <w:rFonts w:ascii="Arial" w:hAnsi="Arial"/>
          <w:sz w:val="24"/>
          <w:lang w:val="es-ES" w:eastAsia="es-ES"/>
        </w:rPr>
        <w:t>les será declarado por la Entidad Ambiental de Control cuando uno o más de los contaminantes comunes indicados exceda la concentración establecida en la siguiente tabla, o cuando las condiciones atmosféricas se espera que sean desfavorables en las próximas</w:t>
      </w:r>
      <w:r>
        <w:rPr>
          <w:rFonts w:ascii="Arial" w:hAnsi="Arial"/>
          <w:sz w:val="24"/>
          <w:lang w:val="es-ES" w:eastAsia="es-ES"/>
        </w:rPr>
        <w:t xml:space="preserve"> 24 horas.</w:t>
      </w:r>
    </w:p>
    <w:p w:rsidR="00000000" w:rsidRDefault="006F5FAE">
      <w:pPr>
        <w:jc w:val="both"/>
        <w:rPr>
          <w:rFonts w:ascii="Arial" w:hAnsi="Arial"/>
          <w:sz w:val="24"/>
          <w:lang w:val="es-ES" w:eastAsia="es-ES"/>
        </w:rPr>
      </w:pPr>
    </w:p>
    <w:p w:rsidR="00000000" w:rsidRDefault="006F5FAE">
      <w:pPr>
        <w:jc w:val="both"/>
        <w:rPr>
          <w:rFonts w:ascii="Arial" w:hAnsi="Arial"/>
          <w:sz w:val="24"/>
          <w:lang w:val="es-ES" w:eastAsia="es-ES"/>
        </w:rPr>
      </w:pPr>
    </w:p>
    <w:p w:rsidR="00000000" w:rsidRDefault="006F5FAE">
      <w:pPr>
        <w:jc w:val="both"/>
        <w:rPr>
          <w:rFonts w:ascii="Arial" w:hAnsi="Arial"/>
          <w:sz w:val="24"/>
          <w:lang w:val="es-ES" w:eastAsia="es-ES"/>
        </w:rPr>
      </w:pPr>
    </w:p>
    <w:p w:rsidR="00000000" w:rsidRDefault="006F5FAE">
      <w:pPr>
        <w:jc w:val="both"/>
        <w:rPr>
          <w:rFonts w:ascii="Arial" w:hAnsi="Arial"/>
          <w:sz w:val="24"/>
          <w:lang w:val="es-ES" w:eastAsia="es-ES"/>
        </w:rPr>
      </w:pPr>
    </w:p>
    <w:p w:rsidR="00000000" w:rsidRDefault="006F5FAE">
      <w:pPr>
        <w:jc w:val="both"/>
        <w:rPr>
          <w:rFonts w:ascii="Arial" w:hAnsi="Arial"/>
          <w:sz w:val="24"/>
          <w:lang w:val="es-ES" w:eastAsia="es-ES"/>
        </w:rPr>
      </w:pPr>
    </w:p>
    <w:p w:rsidR="00000000" w:rsidRDefault="006F5FAE">
      <w:pPr>
        <w:jc w:val="both"/>
        <w:rPr>
          <w:rFonts w:ascii="Arial" w:hAnsi="Arial"/>
          <w:sz w:val="24"/>
          <w:lang w:val="es-ES" w:eastAsia="es-ES"/>
        </w:rPr>
      </w:pPr>
    </w:p>
    <w:p w:rsidR="00000000" w:rsidRDefault="006F5FAE">
      <w:pPr>
        <w:jc w:val="both"/>
        <w:rPr>
          <w:rFonts w:ascii="Arial" w:hAnsi="Arial"/>
          <w:sz w:val="24"/>
          <w:lang w:val="es-ES" w:eastAsia="es-ES"/>
        </w:rPr>
      </w:pPr>
    </w:p>
    <w:p w:rsidR="00000000" w:rsidRDefault="006F5FAE">
      <w:pPr>
        <w:jc w:val="both"/>
        <w:rPr>
          <w:rFonts w:ascii="Arial" w:hAnsi="Arial"/>
          <w:sz w:val="24"/>
          <w:lang w:val="es-ES" w:eastAsia="es-ES"/>
        </w:rPr>
      </w:pPr>
    </w:p>
    <w:p w:rsidR="00000000" w:rsidRDefault="006F5FAE">
      <w:pPr>
        <w:jc w:val="both"/>
        <w:rPr>
          <w:rFonts w:ascii="Arial" w:hAnsi="Arial"/>
          <w:sz w:val="24"/>
          <w:lang w:val="es-ES" w:eastAsia="es-ES"/>
        </w:rPr>
      </w:pPr>
    </w:p>
    <w:p w:rsidR="00000000" w:rsidRDefault="006F5FAE">
      <w:pPr>
        <w:pStyle w:val="Ttulo7"/>
        <w:widowControl/>
        <w:jc w:val="both"/>
        <w:rPr>
          <w:rFonts w:ascii="Arial" w:hAnsi="Arial"/>
          <w:smallCaps w:val="0"/>
          <w:sz w:val="24"/>
        </w:rPr>
      </w:pPr>
      <w:r>
        <w:rPr>
          <w:rFonts w:ascii="Arial" w:hAnsi="Arial"/>
          <w:smallCaps w:val="0"/>
          <w:sz w:val="24"/>
        </w:rPr>
        <w:t xml:space="preserve">Tabla 1.  Concentraciones de contaminantes comunes que definen los niveles de alerta, de alarma y de emergencia en la calidad del aire  </w:t>
      </w:r>
      <w:r>
        <w:rPr>
          <w:rFonts w:ascii="Arial" w:hAnsi="Arial"/>
          <w:smallCaps w:val="0"/>
          <w:sz w:val="24"/>
          <w:vertAlign w:val="superscript"/>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44"/>
        <w:gridCol w:w="1560"/>
        <w:gridCol w:w="1680"/>
        <w:gridCol w:w="1748"/>
      </w:tblGrid>
      <w:tr w:rsidR="00000000">
        <w:tblPrEx>
          <w:tblCellMar>
            <w:top w:w="0" w:type="dxa"/>
            <w:bottom w:w="0" w:type="dxa"/>
          </w:tblCellMar>
        </w:tblPrEx>
        <w:trPr>
          <w:tblHeader/>
          <w:jc w:val="center"/>
        </w:trPr>
        <w:tc>
          <w:tcPr>
            <w:tcW w:w="3444" w:type="dxa"/>
            <w:tcBorders>
              <w:bottom w:val="single" w:sz="4" w:space="0" w:color="auto"/>
            </w:tcBorders>
          </w:tcPr>
          <w:p w:rsidR="00000000" w:rsidRDefault="006F5FAE">
            <w:pPr>
              <w:jc w:val="both"/>
              <w:rPr>
                <w:rFonts w:ascii="Arial" w:hAnsi="Arial"/>
                <w:sz w:val="24"/>
              </w:rPr>
            </w:pPr>
            <w:r>
              <w:rPr>
                <w:rFonts w:ascii="Arial" w:hAnsi="Arial"/>
                <w:sz w:val="24"/>
              </w:rPr>
              <w:t>CONTAMINANTE Y PERÍODO DE TIEMPO</w:t>
            </w:r>
          </w:p>
        </w:tc>
        <w:tc>
          <w:tcPr>
            <w:tcW w:w="1560" w:type="dxa"/>
            <w:tcBorders>
              <w:bottom w:val="single" w:sz="4" w:space="0" w:color="auto"/>
            </w:tcBorders>
          </w:tcPr>
          <w:p w:rsidR="00000000" w:rsidRDefault="006F5FAE">
            <w:pPr>
              <w:jc w:val="both"/>
              <w:rPr>
                <w:rFonts w:ascii="Arial" w:hAnsi="Arial"/>
                <w:sz w:val="24"/>
              </w:rPr>
            </w:pPr>
            <w:r>
              <w:rPr>
                <w:rFonts w:ascii="Arial" w:hAnsi="Arial"/>
                <w:sz w:val="24"/>
              </w:rPr>
              <w:t>ALERTA</w:t>
            </w:r>
          </w:p>
        </w:tc>
        <w:tc>
          <w:tcPr>
            <w:tcW w:w="1680" w:type="dxa"/>
            <w:tcBorders>
              <w:bottom w:val="single" w:sz="4" w:space="0" w:color="auto"/>
            </w:tcBorders>
          </w:tcPr>
          <w:p w:rsidR="00000000" w:rsidRDefault="006F5FAE">
            <w:pPr>
              <w:jc w:val="both"/>
              <w:rPr>
                <w:rFonts w:ascii="Arial" w:hAnsi="Arial"/>
                <w:sz w:val="24"/>
              </w:rPr>
            </w:pPr>
            <w:r>
              <w:rPr>
                <w:rFonts w:ascii="Arial" w:hAnsi="Arial"/>
                <w:sz w:val="24"/>
              </w:rPr>
              <w:t>ALARMA</w:t>
            </w:r>
          </w:p>
        </w:tc>
        <w:tc>
          <w:tcPr>
            <w:tcW w:w="1748" w:type="dxa"/>
            <w:tcBorders>
              <w:bottom w:val="single" w:sz="4" w:space="0" w:color="auto"/>
            </w:tcBorders>
          </w:tcPr>
          <w:p w:rsidR="00000000" w:rsidRDefault="006F5FAE">
            <w:pPr>
              <w:jc w:val="both"/>
              <w:rPr>
                <w:rFonts w:ascii="Arial" w:hAnsi="Arial"/>
                <w:sz w:val="24"/>
              </w:rPr>
            </w:pPr>
            <w:r>
              <w:rPr>
                <w:rFonts w:ascii="Arial" w:hAnsi="Arial"/>
                <w:sz w:val="24"/>
              </w:rPr>
              <w:t>EMERGENCIA</w:t>
            </w:r>
          </w:p>
        </w:tc>
      </w:tr>
      <w:tr w:rsidR="00000000">
        <w:tblPrEx>
          <w:tblCellMar>
            <w:top w:w="0" w:type="dxa"/>
            <w:bottom w:w="0" w:type="dxa"/>
          </w:tblCellMar>
        </w:tblPrEx>
        <w:trPr>
          <w:jc w:val="center"/>
        </w:trPr>
        <w:tc>
          <w:tcPr>
            <w:tcW w:w="3444" w:type="dxa"/>
            <w:tcBorders>
              <w:top w:val="single" w:sz="4" w:space="0" w:color="auto"/>
              <w:left w:val="single" w:sz="4" w:space="0" w:color="auto"/>
              <w:bottom w:val="nil"/>
              <w:right w:val="single" w:sz="4" w:space="0" w:color="auto"/>
            </w:tcBorders>
            <w:vAlign w:val="center"/>
          </w:tcPr>
          <w:p w:rsidR="00000000" w:rsidRDefault="006F5FAE">
            <w:pPr>
              <w:jc w:val="both"/>
              <w:rPr>
                <w:rFonts w:ascii="Arial" w:hAnsi="Arial"/>
                <w:sz w:val="24"/>
              </w:rPr>
            </w:pPr>
            <w:r>
              <w:rPr>
                <w:rFonts w:ascii="Arial" w:hAnsi="Arial"/>
                <w:sz w:val="24"/>
              </w:rPr>
              <w:t>Monóxido de Carbono</w:t>
            </w:r>
          </w:p>
        </w:tc>
        <w:tc>
          <w:tcPr>
            <w:tcW w:w="1560" w:type="dxa"/>
            <w:tcBorders>
              <w:top w:val="single" w:sz="4" w:space="0" w:color="auto"/>
              <w:left w:val="single" w:sz="4" w:space="0" w:color="auto"/>
              <w:bottom w:val="nil"/>
              <w:right w:val="single" w:sz="4" w:space="0" w:color="auto"/>
            </w:tcBorders>
          </w:tcPr>
          <w:p w:rsidR="00000000" w:rsidRDefault="006F5FAE">
            <w:pPr>
              <w:jc w:val="both"/>
              <w:rPr>
                <w:rFonts w:ascii="Arial" w:hAnsi="Arial"/>
                <w:sz w:val="24"/>
              </w:rPr>
            </w:pPr>
          </w:p>
        </w:tc>
        <w:tc>
          <w:tcPr>
            <w:tcW w:w="1680" w:type="dxa"/>
            <w:tcBorders>
              <w:top w:val="single" w:sz="4" w:space="0" w:color="auto"/>
              <w:left w:val="single" w:sz="4" w:space="0" w:color="auto"/>
              <w:bottom w:val="nil"/>
              <w:right w:val="single" w:sz="4" w:space="0" w:color="auto"/>
            </w:tcBorders>
          </w:tcPr>
          <w:p w:rsidR="00000000" w:rsidRDefault="006F5FAE">
            <w:pPr>
              <w:jc w:val="both"/>
              <w:rPr>
                <w:rFonts w:ascii="Arial" w:hAnsi="Arial"/>
                <w:sz w:val="24"/>
              </w:rPr>
            </w:pPr>
          </w:p>
        </w:tc>
        <w:tc>
          <w:tcPr>
            <w:tcW w:w="1748" w:type="dxa"/>
            <w:tcBorders>
              <w:top w:val="single" w:sz="4" w:space="0" w:color="auto"/>
              <w:left w:val="single" w:sz="4" w:space="0" w:color="auto"/>
              <w:bottom w:val="nil"/>
              <w:right w:val="single" w:sz="4" w:space="0" w:color="auto"/>
            </w:tcBorders>
          </w:tcPr>
          <w:p w:rsidR="00000000" w:rsidRDefault="006F5FAE">
            <w:pPr>
              <w:jc w:val="both"/>
              <w:rPr>
                <w:rFonts w:ascii="Arial" w:hAnsi="Arial"/>
                <w:sz w:val="24"/>
              </w:rPr>
            </w:pPr>
          </w:p>
        </w:tc>
      </w:tr>
      <w:tr w:rsidR="00000000">
        <w:tblPrEx>
          <w:tblCellMar>
            <w:top w:w="0" w:type="dxa"/>
            <w:bottom w:w="0" w:type="dxa"/>
          </w:tblCellMar>
        </w:tblPrEx>
        <w:trPr>
          <w:jc w:val="center"/>
        </w:trPr>
        <w:tc>
          <w:tcPr>
            <w:tcW w:w="3444" w:type="dxa"/>
            <w:tcBorders>
              <w:top w:val="nil"/>
              <w:left w:val="single" w:sz="4" w:space="0" w:color="auto"/>
              <w:bottom w:val="nil"/>
              <w:right w:val="single" w:sz="4" w:space="0" w:color="auto"/>
            </w:tcBorders>
            <w:vAlign w:val="center"/>
          </w:tcPr>
          <w:p w:rsidR="00000000" w:rsidRDefault="006F5FAE">
            <w:pPr>
              <w:jc w:val="both"/>
              <w:rPr>
                <w:rFonts w:ascii="Arial" w:hAnsi="Arial"/>
                <w:sz w:val="24"/>
              </w:rPr>
            </w:pPr>
            <w:r>
              <w:rPr>
                <w:rFonts w:ascii="Arial" w:hAnsi="Arial"/>
                <w:sz w:val="24"/>
              </w:rPr>
              <w:t>Concentración</w:t>
            </w:r>
            <w:r>
              <w:rPr>
                <w:rFonts w:ascii="Arial" w:hAnsi="Arial"/>
                <w:sz w:val="24"/>
              </w:rPr>
              <w:t xml:space="preserve"> promedio en ocho horas</w:t>
            </w:r>
          </w:p>
        </w:tc>
        <w:tc>
          <w:tcPr>
            <w:tcW w:w="1560" w:type="dxa"/>
            <w:tcBorders>
              <w:top w:val="nil"/>
              <w:left w:val="single" w:sz="4" w:space="0" w:color="auto"/>
              <w:bottom w:val="nil"/>
              <w:right w:val="single" w:sz="4" w:space="0" w:color="auto"/>
            </w:tcBorders>
          </w:tcPr>
          <w:p w:rsidR="00000000" w:rsidRDefault="006F5FAE">
            <w:pPr>
              <w:jc w:val="both"/>
              <w:rPr>
                <w:rFonts w:ascii="Arial" w:hAnsi="Arial"/>
                <w:sz w:val="24"/>
              </w:rPr>
            </w:pPr>
            <w:r>
              <w:rPr>
                <w:rFonts w:ascii="Arial" w:hAnsi="Arial"/>
                <w:sz w:val="24"/>
              </w:rPr>
              <w:t>15 000</w:t>
            </w:r>
          </w:p>
        </w:tc>
        <w:tc>
          <w:tcPr>
            <w:tcW w:w="1680" w:type="dxa"/>
            <w:tcBorders>
              <w:top w:val="nil"/>
              <w:left w:val="single" w:sz="4" w:space="0" w:color="auto"/>
              <w:bottom w:val="nil"/>
              <w:right w:val="single" w:sz="4" w:space="0" w:color="auto"/>
            </w:tcBorders>
          </w:tcPr>
          <w:p w:rsidR="00000000" w:rsidRDefault="006F5FAE">
            <w:pPr>
              <w:jc w:val="both"/>
              <w:rPr>
                <w:rFonts w:ascii="Arial" w:hAnsi="Arial"/>
                <w:sz w:val="24"/>
              </w:rPr>
            </w:pPr>
            <w:r>
              <w:rPr>
                <w:rFonts w:ascii="Arial" w:hAnsi="Arial"/>
                <w:sz w:val="24"/>
              </w:rPr>
              <w:t>30 000</w:t>
            </w:r>
          </w:p>
        </w:tc>
        <w:tc>
          <w:tcPr>
            <w:tcW w:w="1748" w:type="dxa"/>
            <w:tcBorders>
              <w:top w:val="nil"/>
              <w:left w:val="single" w:sz="4" w:space="0" w:color="auto"/>
              <w:bottom w:val="nil"/>
              <w:right w:val="single" w:sz="4" w:space="0" w:color="auto"/>
            </w:tcBorders>
          </w:tcPr>
          <w:p w:rsidR="00000000" w:rsidRDefault="006F5FAE">
            <w:pPr>
              <w:jc w:val="both"/>
              <w:rPr>
                <w:rFonts w:ascii="Arial" w:hAnsi="Arial"/>
                <w:sz w:val="24"/>
              </w:rPr>
            </w:pPr>
            <w:r>
              <w:rPr>
                <w:rFonts w:ascii="Arial" w:hAnsi="Arial"/>
                <w:sz w:val="24"/>
              </w:rPr>
              <w:t>40 000</w:t>
            </w:r>
          </w:p>
        </w:tc>
      </w:tr>
      <w:tr w:rsidR="00000000">
        <w:tblPrEx>
          <w:tblCellMar>
            <w:top w:w="0" w:type="dxa"/>
            <w:bottom w:w="0" w:type="dxa"/>
          </w:tblCellMar>
        </w:tblPrEx>
        <w:trPr>
          <w:jc w:val="center"/>
        </w:trPr>
        <w:tc>
          <w:tcPr>
            <w:tcW w:w="3444" w:type="dxa"/>
            <w:tcBorders>
              <w:top w:val="nil"/>
              <w:left w:val="single" w:sz="4" w:space="0" w:color="auto"/>
              <w:bottom w:val="nil"/>
              <w:right w:val="single" w:sz="4" w:space="0" w:color="auto"/>
            </w:tcBorders>
            <w:vAlign w:val="center"/>
          </w:tcPr>
          <w:p w:rsidR="00000000" w:rsidRDefault="006F5FAE">
            <w:pPr>
              <w:jc w:val="both"/>
              <w:rPr>
                <w:rFonts w:ascii="Arial" w:hAnsi="Arial"/>
                <w:sz w:val="24"/>
              </w:rPr>
            </w:pPr>
            <w:r>
              <w:rPr>
                <w:rFonts w:ascii="Arial" w:hAnsi="Arial"/>
                <w:sz w:val="24"/>
              </w:rPr>
              <w:t>Oxidantes Fotoquímicos, expresados como ozono.</w:t>
            </w:r>
          </w:p>
        </w:tc>
        <w:tc>
          <w:tcPr>
            <w:tcW w:w="1560" w:type="dxa"/>
            <w:tcBorders>
              <w:top w:val="nil"/>
              <w:left w:val="single" w:sz="4" w:space="0" w:color="auto"/>
              <w:bottom w:val="nil"/>
              <w:right w:val="single" w:sz="4" w:space="0" w:color="auto"/>
            </w:tcBorders>
          </w:tcPr>
          <w:p w:rsidR="00000000" w:rsidRDefault="006F5FAE">
            <w:pPr>
              <w:jc w:val="both"/>
              <w:rPr>
                <w:rFonts w:ascii="Arial" w:hAnsi="Arial"/>
                <w:sz w:val="24"/>
              </w:rPr>
            </w:pPr>
          </w:p>
        </w:tc>
        <w:tc>
          <w:tcPr>
            <w:tcW w:w="1680" w:type="dxa"/>
            <w:tcBorders>
              <w:top w:val="nil"/>
              <w:left w:val="single" w:sz="4" w:space="0" w:color="auto"/>
              <w:bottom w:val="nil"/>
              <w:right w:val="single" w:sz="4" w:space="0" w:color="auto"/>
            </w:tcBorders>
          </w:tcPr>
          <w:p w:rsidR="00000000" w:rsidRDefault="006F5FAE">
            <w:pPr>
              <w:jc w:val="both"/>
              <w:rPr>
                <w:rFonts w:ascii="Arial" w:hAnsi="Arial"/>
                <w:sz w:val="24"/>
              </w:rPr>
            </w:pPr>
          </w:p>
        </w:tc>
        <w:tc>
          <w:tcPr>
            <w:tcW w:w="1748" w:type="dxa"/>
            <w:tcBorders>
              <w:top w:val="nil"/>
              <w:left w:val="single" w:sz="4" w:space="0" w:color="auto"/>
              <w:bottom w:val="nil"/>
              <w:right w:val="single" w:sz="4" w:space="0" w:color="auto"/>
            </w:tcBorders>
          </w:tcPr>
          <w:p w:rsidR="00000000" w:rsidRDefault="006F5FAE">
            <w:pPr>
              <w:jc w:val="both"/>
              <w:rPr>
                <w:rFonts w:ascii="Arial" w:hAnsi="Arial"/>
                <w:sz w:val="24"/>
              </w:rPr>
            </w:pPr>
          </w:p>
        </w:tc>
      </w:tr>
      <w:tr w:rsidR="00000000">
        <w:tblPrEx>
          <w:tblCellMar>
            <w:top w:w="0" w:type="dxa"/>
            <w:bottom w:w="0" w:type="dxa"/>
          </w:tblCellMar>
        </w:tblPrEx>
        <w:trPr>
          <w:jc w:val="center"/>
        </w:trPr>
        <w:tc>
          <w:tcPr>
            <w:tcW w:w="3444" w:type="dxa"/>
            <w:tcBorders>
              <w:top w:val="nil"/>
              <w:left w:val="single" w:sz="4" w:space="0" w:color="auto"/>
              <w:bottom w:val="nil"/>
              <w:right w:val="single" w:sz="4" w:space="0" w:color="auto"/>
            </w:tcBorders>
            <w:vAlign w:val="center"/>
          </w:tcPr>
          <w:p w:rsidR="00000000" w:rsidRDefault="006F5FAE">
            <w:pPr>
              <w:jc w:val="both"/>
              <w:rPr>
                <w:rFonts w:ascii="Arial" w:hAnsi="Arial"/>
                <w:sz w:val="24"/>
              </w:rPr>
            </w:pPr>
            <w:r>
              <w:rPr>
                <w:rFonts w:ascii="Arial" w:hAnsi="Arial"/>
                <w:sz w:val="24"/>
              </w:rPr>
              <w:t>Concentración promedio en una hora</w:t>
            </w:r>
          </w:p>
        </w:tc>
        <w:tc>
          <w:tcPr>
            <w:tcW w:w="1560" w:type="dxa"/>
            <w:tcBorders>
              <w:top w:val="nil"/>
              <w:left w:val="single" w:sz="4" w:space="0" w:color="auto"/>
              <w:bottom w:val="nil"/>
              <w:right w:val="single" w:sz="4" w:space="0" w:color="auto"/>
            </w:tcBorders>
          </w:tcPr>
          <w:p w:rsidR="00000000" w:rsidRDefault="006F5FAE">
            <w:pPr>
              <w:jc w:val="both"/>
              <w:rPr>
                <w:rFonts w:ascii="Arial" w:hAnsi="Arial"/>
                <w:sz w:val="24"/>
              </w:rPr>
            </w:pPr>
            <w:r>
              <w:rPr>
                <w:rFonts w:ascii="Arial" w:hAnsi="Arial"/>
                <w:sz w:val="24"/>
              </w:rPr>
              <w:t>300</w:t>
            </w:r>
          </w:p>
        </w:tc>
        <w:tc>
          <w:tcPr>
            <w:tcW w:w="1680" w:type="dxa"/>
            <w:tcBorders>
              <w:top w:val="nil"/>
              <w:left w:val="single" w:sz="4" w:space="0" w:color="auto"/>
              <w:bottom w:val="nil"/>
              <w:right w:val="single" w:sz="4" w:space="0" w:color="auto"/>
            </w:tcBorders>
          </w:tcPr>
          <w:p w:rsidR="00000000" w:rsidRDefault="006F5FAE">
            <w:pPr>
              <w:jc w:val="both"/>
              <w:rPr>
                <w:rFonts w:ascii="Arial" w:hAnsi="Arial"/>
                <w:sz w:val="24"/>
              </w:rPr>
            </w:pPr>
            <w:r>
              <w:rPr>
                <w:rFonts w:ascii="Arial" w:hAnsi="Arial"/>
                <w:sz w:val="24"/>
              </w:rPr>
              <w:t>600</w:t>
            </w:r>
          </w:p>
        </w:tc>
        <w:tc>
          <w:tcPr>
            <w:tcW w:w="1748" w:type="dxa"/>
            <w:tcBorders>
              <w:top w:val="nil"/>
              <w:left w:val="single" w:sz="4" w:space="0" w:color="auto"/>
              <w:bottom w:val="nil"/>
              <w:right w:val="single" w:sz="4" w:space="0" w:color="auto"/>
            </w:tcBorders>
          </w:tcPr>
          <w:p w:rsidR="00000000" w:rsidRDefault="006F5FAE">
            <w:pPr>
              <w:jc w:val="both"/>
              <w:rPr>
                <w:rFonts w:ascii="Arial" w:hAnsi="Arial"/>
                <w:sz w:val="24"/>
              </w:rPr>
            </w:pPr>
            <w:r>
              <w:rPr>
                <w:rFonts w:ascii="Arial" w:hAnsi="Arial"/>
                <w:sz w:val="24"/>
              </w:rPr>
              <w:t>800</w:t>
            </w:r>
          </w:p>
        </w:tc>
      </w:tr>
      <w:tr w:rsidR="00000000">
        <w:tblPrEx>
          <w:tblCellMar>
            <w:top w:w="0" w:type="dxa"/>
            <w:bottom w:w="0" w:type="dxa"/>
          </w:tblCellMar>
        </w:tblPrEx>
        <w:trPr>
          <w:jc w:val="center"/>
        </w:trPr>
        <w:tc>
          <w:tcPr>
            <w:tcW w:w="3444" w:type="dxa"/>
            <w:tcBorders>
              <w:top w:val="nil"/>
              <w:left w:val="single" w:sz="4" w:space="0" w:color="auto"/>
              <w:bottom w:val="nil"/>
              <w:right w:val="single" w:sz="4" w:space="0" w:color="auto"/>
            </w:tcBorders>
            <w:vAlign w:val="center"/>
          </w:tcPr>
          <w:p w:rsidR="00000000" w:rsidRDefault="006F5FAE">
            <w:pPr>
              <w:jc w:val="both"/>
              <w:rPr>
                <w:rFonts w:ascii="Arial" w:hAnsi="Arial"/>
                <w:sz w:val="24"/>
              </w:rPr>
            </w:pPr>
            <w:r>
              <w:rPr>
                <w:rFonts w:ascii="Arial" w:hAnsi="Arial"/>
                <w:sz w:val="24"/>
              </w:rPr>
              <w:t>Óxidos de Nitrógeno, como NO2</w:t>
            </w:r>
          </w:p>
        </w:tc>
        <w:tc>
          <w:tcPr>
            <w:tcW w:w="1560" w:type="dxa"/>
            <w:tcBorders>
              <w:top w:val="nil"/>
              <w:left w:val="single" w:sz="4" w:space="0" w:color="auto"/>
              <w:bottom w:val="nil"/>
              <w:right w:val="single" w:sz="4" w:space="0" w:color="auto"/>
            </w:tcBorders>
          </w:tcPr>
          <w:p w:rsidR="00000000" w:rsidRDefault="006F5FAE">
            <w:pPr>
              <w:jc w:val="both"/>
              <w:rPr>
                <w:rFonts w:ascii="Arial" w:hAnsi="Arial"/>
                <w:sz w:val="24"/>
              </w:rPr>
            </w:pPr>
          </w:p>
        </w:tc>
        <w:tc>
          <w:tcPr>
            <w:tcW w:w="1680" w:type="dxa"/>
            <w:tcBorders>
              <w:top w:val="nil"/>
              <w:left w:val="single" w:sz="4" w:space="0" w:color="auto"/>
              <w:bottom w:val="nil"/>
              <w:right w:val="single" w:sz="4" w:space="0" w:color="auto"/>
            </w:tcBorders>
          </w:tcPr>
          <w:p w:rsidR="00000000" w:rsidRDefault="006F5FAE">
            <w:pPr>
              <w:jc w:val="both"/>
              <w:rPr>
                <w:rFonts w:ascii="Arial" w:hAnsi="Arial"/>
                <w:sz w:val="24"/>
              </w:rPr>
            </w:pPr>
          </w:p>
        </w:tc>
        <w:tc>
          <w:tcPr>
            <w:tcW w:w="1748" w:type="dxa"/>
            <w:tcBorders>
              <w:top w:val="nil"/>
              <w:left w:val="single" w:sz="4" w:space="0" w:color="auto"/>
              <w:bottom w:val="nil"/>
              <w:right w:val="single" w:sz="4" w:space="0" w:color="auto"/>
            </w:tcBorders>
          </w:tcPr>
          <w:p w:rsidR="00000000" w:rsidRDefault="006F5FAE">
            <w:pPr>
              <w:jc w:val="both"/>
              <w:rPr>
                <w:rFonts w:ascii="Arial" w:hAnsi="Arial"/>
                <w:sz w:val="24"/>
              </w:rPr>
            </w:pPr>
          </w:p>
        </w:tc>
      </w:tr>
      <w:tr w:rsidR="00000000">
        <w:tblPrEx>
          <w:tblCellMar>
            <w:top w:w="0" w:type="dxa"/>
            <w:bottom w:w="0" w:type="dxa"/>
          </w:tblCellMar>
        </w:tblPrEx>
        <w:trPr>
          <w:jc w:val="center"/>
        </w:trPr>
        <w:tc>
          <w:tcPr>
            <w:tcW w:w="3444" w:type="dxa"/>
            <w:tcBorders>
              <w:top w:val="nil"/>
              <w:left w:val="single" w:sz="4" w:space="0" w:color="auto"/>
              <w:bottom w:val="nil"/>
              <w:right w:val="single" w:sz="4" w:space="0" w:color="auto"/>
            </w:tcBorders>
            <w:vAlign w:val="center"/>
          </w:tcPr>
          <w:p w:rsidR="00000000" w:rsidRDefault="006F5FAE">
            <w:pPr>
              <w:jc w:val="both"/>
              <w:rPr>
                <w:rFonts w:ascii="Arial" w:hAnsi="Arial"/>
                <w:sz w:val="24"/>
              </w:rPr>
            </w:pPr>
            <w:r>
              <w:rPr>
                <w:rFonts w:ascii="Arial" w:hAnsi="Arial"/>
                <w:sz w:val="24"/>
              </w:rPr>
              <w:t>Concentración promedio en una hora</w:t>
            </w:r>
          </w:p>
        </w:tc>
        <w:tc>
          <w:tcPr>
            <w:tcW w:w="1560" w:type="dxa"/>
            <w:tcBorders>
              <w:top w:val="nil"/>
              <w:left w:val="single" w:sz="4" w:space="0" w:color="auto"/>
              <w:bottom w:val="nil"/>
              <w:right w:val="single" w:sz="4" w:space="0" w:color="auto"/>
            </w:tcBorders>
          </w:tcPr>
          <w:p w:rsidR="00000000" w:rsidRDefault="006F5FAE">
            <w:pPr>
              <w:jc w:val="both"/>
              <w:rPr>
                <w:rFonts w:ascii="Arial" w:hAnsi="Arial"/>
                <w:sz w:val="24"/>
              </w:rPr>
            </w:pPr>
            <w:r>
              <w:rPr>
                <w:rFonts w:ascii="Arial" w:hAnsi="Arial"/>
                <w:sz w:val="24"/>
              </w:rPr>
              <w:t>1 200</w:t>
            </w:r>
          </w:p>
        </w:tc>
        <w:tc>
          <w:tcPr>
            <w:tcW w:w="1680" w:type="dxa"/>
            <w:tcBorders>
              <w:top w:val="nil"/>
              <w:left w:val="single" w:sz="4" w:space="0" w:color="auto"/>
              <w:bottom w:val="nil"/>
              <w:right w:val="single" w:sz="4" w:space="0" w:color="auto"/>
            </w:tcBorders>
          </w:tcPr>
          <w:p w:rsidR="00000000" w:rsidRDefault="006F5FAE">
            <w:pPr>
              <w:jc w:val="both"/>
              <w:rPr>
                <w:rFonts w:ascii="Arial" w:hAnsi="Arial"/>
                <w:sz w:val="24"/>
              </w:rPr>
            </w:pPr>
            <w:r>
              <w:rPr>
                <w:rFonts w:ascii="Arial" w:hAnsi="Arial"/>
                <w:sz w:val="24"/>
              </w:rPr>
              <w:t>2 300</w:t>
            </w:r>
          </w:p>
        </w:tc>
        <w:tc>
          <w:tcPr>
            <w:tcW w:w="1748" w:type="dxa"/>
            <w:tcBorders>
              <w:top w:val="nil"/>
              <w:left w:val="single" w:sz="4" w:space="0" w:color="auto"/>
              <w:bottom w:val="nil"/>
              <w:right w:val="single" w:sz="4" w:space="0" w:color="auto"/>
            </w:tcBorders>
          </w:tcPr>
          <w:p w:rsidR="00000000" w:rsidRDefault="006F5FAE">
            <w:pPr>
              <w:jc w:val="both"/>
              <w:rPr>
                <w:rFonts w:ascii="Arial" w:hAnsi="Arial"/>
                <w:sz w:val="24"/>
              </w:rPr>
            </w:pPr>
            <w:r>
              <w:rPr>
                <w:rFonts w:ascii="Arial" w:hAnsi="Arial"/>
                <w:sz w:val="24"/>
              </w:rPr>
              <w:t>3 000</w:t>
            </w:r>
          </w:p>
        </w:tc>
      </w:tr>
      <w:tr w:rsidR="00000000">
        <w:tblPrEx>
          <w:tblCellMar>
            <w:top w:w="0" w:type="dxa"/>
            <w:bottom w:w="0" w:type="dxa"/>
          </w:tblCellMar>
        </w:tblPrEx>
        <w:trPr>
          <w:jc w:val="center"/>
        </w:trPr>
        <w:tc>
          <w:tcPr>
            <w:tcW w:w="3444" w:type="dxa"/>
            <w:tcBorders>
              <w:top w:val="nil"/>
              <w:left w:val="single" w:sz="4" w:space="0" w:color="auto"/>
              <w:bottom w:val="nil"/>
              <w:right w:val="single" w:sz="4" w:space="0" w:color="auto"/>
            </w:tcBorders>
            <w:vAlign w:val="center"/>
          </w:tcPr>
          <w:p w:rsidR="00000000" w:rsidRDefault="006F5FAE">
            <w:pPr>
              <w:jc w:val="both"/>
              <w:rPr>
                <w:rFonts w:ascii="Arial" w:hAnsi="Arial"/>
                <w:sz w:val="24"/>
              </w:rPr>
            </w:pPr>
            <w:r>
              <w:rPr>
                <w:rFonts w:ascii="Arial" w:hAnsi="Arial"/>
                <w:sz w:val="24"/>
              </w:rPr>
              <w:t>Dióxido de Azufre</w:t>
            </w:r>
          </w:p>
        </w:tc>
        <w:tc>
          <w:tcPr>
            <w:tcW w:w="1560" w:type="dxa"/>
            <w:tcBorders>
              <w:top w:val="nil"/>
              <w:left w:val="single" w:sz="4" w:space="0" w:color="auto"/>
              <w:bottom w:val="nil"/>
              <w:right w:val="single" w:sz="4" w:space="0" w:color="auto"/>
            </w:tcBorders>
          </w:tcPr>
          <w:p w:rsidR="00000000" w:rsidRDefault="006F5FAE">
            <w:pPr>
              <w:jc w:val="both"/>
              <w:rPr>
                <w:rFonts w:ascii="Arial" w:hAnsi="Arial"/>
                <w:sz w:val="24"/>
              </w:rPr>
            </w:pPr>
          </w:p>
        </w:tc>
        <w:tc>
          <w:tcPr>
            <w:tcW w:w="1680" w:type="dxa"/>
            <w:tcBorders>
              <w:top w:val="nil"/>
              <w:left w:val="single" w:sz="4" w:space="0" w:color="auto"/>
              <w:bottom w:val="nil"/>
              <w:right w:val="single" w:sz="4" w:space="0" w:color="auto"/>
            </w:tcBorders>
          </w:tcPr>
          <w:p w:rsidR="00000000" w:rsidRDefault="006F5FAE">
            <w:pPr>
              <w:jc w:val="both"/>
              <w:rPr>
                <w:rFonts w:ascii="Arial" w:hAnsi="Arial"/>
                <w:sz w:val="24"/>
              </w:rPr>
            </w:pPr>
          </w:p>
        </w:tc>
        <w:tc>
          <w:tcPr>
            <w:tcW w:w="1748" w:type="dxa"/>
            <w:tcBorders>
              <w:top w:val="nil"/>
              <w:left w:val="single" w:sz="4" w:space="0" w:color="auto"/>
              <w:bottom w:val="nil"/>
              <w:right w:val="single" w:sz="4" w:space="0" w:color="auto"/>
            </w:tcBorders>
          </w:tcPr>
          <w:p w:rsidR="00000000" w:rsidRDefault="006F5FAE">
            <w:pPr>
              <w:jc w:val="both"/>
              <w:rPr>
                <w:rFonts w:ascii="Arial" w:hAnsi="Arial"/>
                <w:sz w:val="24"/>
              </w:rPr>
            </w:pPr>
          </w:p>
        </w:tc>
      </w:tr>
      <w:tr w:rsidR="00000000">
        <w:tblPrEx>
          <w:tblCellMar>
            <w:top w:w="0" w:type="dxa"/>
            <w:bottom w:w="0" w:type="dxa"/>
          </w:tblCellMar>
        </w:tblPrEx>
        <w:trPr>
          <w:jc w:val="center"/>
        </w:trPr>
        <w:tc>
          <w:tcPr>
            <w:tcW w:w="3444" w:type="dxa"/>
            <w:tcBorders>
              <w:top w:val="nil"/>
              <w:left w:val="single" w:sz="4" w:space="0" w:color="auto"/>
              <w:bottom w:val="nil"/>
              <w:right w:val="single" w:sz="4" w:space="0" w:color="auto"/>
            </w:tcBorders>
            <w:vAlign w:val="center"/>
          </w:tcPr>
          <w:p w:rsidR="00000000" w:rsidRDefault="006F5FAE">
            <w:pPr>
              <w:jc w:val="both"/>
              <w:rPr>
                <w:rFonts w:ascii="Arial" w:hAnsi="Arial"/>
                <w:sz w:val="24"/>
              </w:rPr>
            </w:pPr>
            <w:r>
              <w:rPr>
                <w:rFonts w:ascii="Arial" w:hAnsi="Arial"/>
                <w:sz w:val="24"/>
              </w:rPr>
              <w:t>C</w:t>
            </w:r>
            <w:r>
              <w:rPr>
                <w:rFonts w:ascii="Arial" w:hAnsi="Arial"/>
                <w:sz w:val="24"/>
              </w:rPr>
              <w:t>oncentración promedio en veinticuatro horas</w:t>
            </w:r>
          </w:p>
        </w:tc>
        <w:tc>
          <w:tcPr>
            <w:tcW w:w="1560" w:type="dxa"/>
            <w:tcBorders>
              <w:top w:val="nil"/>
              <w:left w:val="single" w:sz="4" w:space="0" w:color="auto"/>
              <w:bottom w:val="nil"/>
              <w:right w:val="single" w:sz="4" w:space="0" w:color="auto"/>
            </w:tcBorders>
          </w:tcPr>
          <w:p w:rsidR="00000000" w:rsidRDefault="006F5FAE">
            <w:pPr>
              <w:jc w:val="both"/>
              <w:rPr>
                <w:rFonts w:ascii="Arial" w:hAnsi="Arial"/>
                <w:sz w:val="24"/>
              </w:rPr>
            </w:pPr>
            <w:r>
              <w:rPr>
                <w:rFonts w:ascii="Arial" w:hAnsi="Arial"/>
                <w:sz w:val="24"/>
              </w:rPr>
              <w:t>800</w:t>
            </w:r>
          </w:p>
        </w:tc>
        <w:tc>
          <w:tcPr>
            <w:tcW w:w="1680" w:type="dxa"/>
            <w:tcBorders>
              <w:top w:val="nil"/>
              <w:left w:val="single" w:sz="4" w:space="0" w:color="auto"/>
              <w:bottom w:val="nil"/>
              <w:right w:val="single" w:sz="4" w:space="0" w:color="auto"/>
            </w:tcBorders>
          </w:tcPr>
          <w:p w:rsidR="00000000" w:rsidRDefault="006F5FAE">
            <w:pPr>
              <w:jc w:val="both"/>
              <w:rPr>
                <w:rFonts w:ascii="Arial" w:hAnsi="Arial"/>
                <w:sz w:val="24"/>
              </w:rPr>
            </w:pPr>
            <w:r>
              <w:rPr>
                <w:rFonts w:ascii="Arial" w:hAnsi="Arial"/>
                <w:sz w:val="24"/>
              </w:rPr>
              <w:t>1 600</w:t>
            </w:r>
          </w:p>
        </w:tc>
        <w:tc>
          <w:tcPr>
            <w:tcW w:w="1748" w:type="dxa"/>
            <w:tcBorders>
              <w:top w:val="nil"/>
              <w:left w:val="single" w:sz="4" w:space="0" w:color="auto"/>
              <w:bottom w:val="nil"/>
              <w:right w:val="single" w:sz="4" w:space="0" w:color="auto"/>
            </w:tcBorders>
          </w:tcPr>
          <w:p w:rsidR="00000000" w:rsidRDefault="006F5FAE">
            <w:pPr>
              <w:jc w:val="both"/>
              <w:rPr>
                <w:rFonts w:ascii="Arial" w:hAnsi="Arial"/>
                <w:sz w:val="24"/>
              </w:rPr>
            </w:pPr>
            <w:r>
              <w:rPr>
                <w:rFonts w:ascii="Arial" w:hAnsi="Arial"/>
                <w:sz w:val="24"/>
              </w:rPr>
              <w:t>2 100</w:t>
            </w:r>
          </w:p>
        </w:tc>
      </w:tr>
      <w:tr w:rsidR="00000000">
        <w:tblPrEx>
          <w:tblCellMar>
            <w:top w:w="0" w:type="dxa"/>
            <w:bottom w:w="0" w:type="dxa"/>
          </w:tblCellMar>
        </w:tblPrEx>
        <w:trPr>
          <w:jc w:val="center"/>
        </w:trPr>
        <w:tc>
          <w:tcPr>
            <w:tcW w:w="3444" w:type="dxa"/>
            <w:tcBorders>
              <w:top w:val="nil"/>
              <w:left w:val="single" w:sz="4" w:space="0" w:color="auto"/>
              <w:bottom w:val="nil"/>
              <w:right w:val="single" w:sz="4" w:space="0" w:color="auto"/>
            </w:tcBorders>
            <w:vAlign w:val="center"/>
          </w:tcPr>
          <w:p w:rsidR="00000000" w:rsidRDefault="006F5FAE">
            <w:pPr>
              <w:jc w:val="both"/>
              <w:rPr>
                <w:rFonts w:ascii="Arial" w:hAnsi="Arial"/>
                <w:sz w:val="24"/>
              </w:rPr>
            </w:pPr>
            <w:r>
              <w:rPr>
                <w:rFonts w:ascii="Arial" w:hAnsi="Arial"/>
                <w:sz w:val="24"/>
              </w:rPr>
              <w:t>Material Particulado PM10</w:t>
            </w:r>
          </w:p>
        </w:tc>
        <w:tc>
          <w:tcPr>
            <w:tcW w:w="1560" w:type="dxa"/>
            <w:tcBorders>
              <w:top w:val="nil"/>
              <w:left w:val="single" w:sz="4" w:space="0" w:color="auto"/>
              <w:bottom w:val="nil"/>
              <w:right w:val="single" w:sz="4" w:space="0" w:color="auto"/>
            </w:tcBorders>
          </w:tcPr>
          <w:p w:rsidR="00000000" w:rsidRDefault="006F5FAE">
            <w:pPr>
              <w:jc w:val="both"/>
              <w:rPr>
                <w:rFonts w:ascii="Arial" w:hAnsi="Arial"/>
                <w:sz w:val="24"/>
              </w:rPr>
            </w:pPr>
          </w:p>
        </w:tc>
        <w:tc>
          <w:tcPr>
            <w:tcW w:w="1680" w:type="dxa"/>
            <w:tcBorders>
              <w:top w:val="nil"/>
              <w:left w:val="single" w:sz="4" w:space="0" w:color="auto"/>
              <w:bottom w:val="nil"/>
              <w:right w:val="single" w:sz="4" w:space="0" w:color="auto"/>
            </w:tcBorders>
          </w:tcPr>
          <w:p w:rsidR="00000000" w:rsidRDefault="006F5FAE">
            <w:pPr>
              <w:jc w:val="both"/>
              <w:rPr>
                <w:rFonts w:ascii="Arial" w:hAnsi="Arial"/>
                <w:sz w:val="24"/>
              </w:rPr>
            </w:pPr>
          </w:p>
        </w:tc>
        <w:tc>
          <w:tcPr>
            <w:tcW w:w="1748" w:type="dxa"/>
            <w:tcBorders>
              <w:top w:val="nil"/>
              <w:left w:val="single" w:sz="4" w:space="0" w:color="auto"/>
              <w:bottom w:val="nil"/>
              <w:right w:val="single" w:sz="4" w:space="0" w:color="auto"/>
            </w:tcBorders>
          </w:tcPr>
          <w:p w:rsidR="00000000" w:rsidRDefault="006F5FAE">
            <w:pPr>
              <w:jc w:val="both"/>
              <w:rPr>
                <w:rFonts w:ascii="Arial" w:hAnsi="Arial"/>
                <w:sz w:val="24"/>
              </w:rPr>
            </w:pPr>
          </w:p>
        </w:tc>
      </w:tr>
      <w:tr w:rsidR="00000000">
        <w:tblPrEx>
          <w:tblCellMar>
            <w:top w:w="0" w:type="dxa"/>
            <w:bottom w:w="0" w:type="dxa"/>
          </w:tblCellMar>
        </w:tblPrEx>
        <w:trPr>
          <w:jc w:val="center"/>
        </w:trPr>
        <w:tc>
          <w:tcPr>
            <w:tcW w:w="3444" w:type="dxa"/>
            <w:tcBorders>
              <w:top w:val="nil"/>
              <w:left w:val="single" w:sz="4" w:space="0" w:color="auto"/>
              <w:bottom w:val="single" w:sz="4" w:space="0" w:color="auto"/>
              <w:right w:val="single" w:sz="4" w:space="0" w:color="auto"/>
            </w:tcBorders>
            <w:vAlign w:val="center"/>
          </w:tcPr>
          <w:p w:rsidR="00000000" w:rsidRDefault="006F5FAE">
            <w:pPr>
              <w:jc w:val="both"/>
              <w:rPr>
                <w:rFonts w:ascii="Arial" w:hAnsi="Arial"/>
                <w:sz w:val="24"/>
              </w:rPr>
            </w:pPr>
            <w:r>
              <w:rPr>
                <w:rFonts w:ascii="Arial" w:hAnsi="Arial"/>
                <w:sz w:val="24"/>
              </w:rPr>
              <w:t>Concentración en veinticuatro horas</w:t>
            </w:r>
          </w:p>
        </w:tc>
        <w:tc>
          <w:tcPr>
            <w:tcW w:w="1560" w:type="dxa"/>
            <w:tcBorders>
              <w:top w:val="nil"/>
              <w:left w:val="single" w:sz="4" w:space="0" w:color="auto"/>
              <w:bottom w:val="single" w:sz="4" w:space="0" w:color="auto"/>
              <w:right w:val="single" w:sz="4" w:space="0" w:color="auto"/>
            </w:tcBorders>
          </w:tcPr>
          <w:p w:rsidR="00000000" w:rsidRDefault="006F5FAE">
            <w:pPr>
              <w:jc w:val="both"/>
              <w:rPr>
                <w:rFonts w:ascii="Arial" w:hAnsi="Arial"/>
                <w:sz w:val="24"/>
              </w:rPr>
            </w:pPr>
            <w:r>
              <w:rPr>
                <w:rFonts w:ascii="Arial" w:hAnsi="Arial"/>
                <w:sz w:val="24"/>
              </w:rPr>
              <w:t>250</w:t>
            </w:r>
          </w:p>
        </w:tc>
        <w:tc>
          <w:tcPr>
            <w:tcW w:w="1680" w:type="dxa"/>
            <w:tcBorders>
              <w:top w:val="nil"/>
              <w:left w:val="single" w:sz="4" w:space="0" w:color="auto"/>
              <w:bottom w:val="single" w:sz="4" w:space="0" w:color="auto"/>
              <w:right w:val="single" w:sz="4" w:space="0" w:color="auto"/>
            </w:tcBorders>
          </w:tcPr>
          <w:p w:rsidR="00000000" w:rsidRDefault="006F5FAE">
            <w:pPr>
              <w:jc w:val="both"/>
              <w:rPr>
                <w:rFonts w:ascii="Arial" w:hAnsi="Arial"/>
                <w:sz w:val="24"/>
              </w:rPr>
            </w:pPr>
            <w:r>
              <w:rPr>
                <w:rFonts w:ascii="Arial" w:hAnsi="Arial"/>
                <w:sz w:val="24"/>
              </w:rPr>
              <w:t>400</w:t>
            </w:r>
          </w:p>
        </w:tc>
        <w:tc>
          <w:tcPr>
            <w:tcW w:w="1748" w:type="dxa"/>
            <w:tcBorders>
              <w:top w:val="nil"/>
              <w:left w:val="single" w:sz="4" w:space="0" w:color="auto"/>
              <w:bottom w:val="single" w:sz="4" w:space="0" w:color="auto"/>
              <w:right w:val="single" w:sz="4" w:space="0" w:color="auto"/>
            </w:tcBorders>
          </w:tcPr>
          <w:p w:rsidR="00000000" w:rsidRDefault="006F5FAE">
            <w:pPr>
              <w:jc w:val="both"/>
              <w:rPr>
                <w:rFonts w:ascii="Arial" w:hAnsi="Arial"/>
                <w:sz w:val="24"/>
              </w:rPr>
            </w:pPr>
            <w:r>
              <w:rPr>
                <w:rFonts w:ascii="Arial" w:hAnsi="Arial"/>
                <w:sz w:val="24"/>
              </w:rPr>
              <w:t>500</w:t>
            </w:r>
          </w:p>
        </w:tc>
      </w:tr>
    </w:tbl>
    <w:p w:rsidR="00000000" w:rsidRDefault="006F5FAE">
      <w:pPr>
        <w:jc w:val="both"/>
        <w:rPr>
          <w:rFonts w:ascii="Arial" w:hAnsi="Arial"/>
          <w:sz w:val="24"/>
        </w:rPr>
      </w:pPr>
      <w:r>
        <w:rPr>
          <w:rFonts w:ascii="Arial" w:hAnsi="Arial"/>
          <w:sz w:val="24"/>
        </w:rPr>
        <w:t>Nota:</w:t>
      </w:r>
    </w:p>
    <w:p w:rsidR="00000000" w:rsidRDefault="006F5FAE">
      <w:pPr>
        <w:jc w:val="both"/>
        <w:rPr>
          <w:rFonts w:ascii="Arial" w:hAnsi="Arial"/>
          <w:sz w:val="24"/>
        </w:rPr>
      </w:pPr>
      <w:r>
        <w:rPr>
          <w:rFonts w:ascii="Arial" w:hAnsi="Arial"/>
          <w:smallCaps/>
          <w:sz w:val="24"/>
          <w:vertAlign w:val="superscript"/>
        </w:rPr>
        <w:t>[1]</w:t>
      </w:r>
      <w:r>
        <w:rPr>
          <w:rFonts w:ascii="Arial" w:hAnsi="Arial"/>
          <w:sz w:val="24"/>
        </w:rPr>
        <w:t xml:space="preserve">  Todos los valores de concentración expresados en microgramos por metro cúbico de aire, a condiciones de 2</w:t>
      </w:r>
      <w:r>
        <w:rPr>
          <w:rFonts w:ascii="Arial" w:hAnsi="Arial"/>
          <w:sz w:val="24"/>
        </w:rPr>
        <w:t>5 °C y 760 mm Hg.</w:t>
      </w:r>
    </w:p>
    <w:p w:rsidR="00000000" w:rsidRDefault="006F5FAE">
      <w:pPr>
        <w:jc w:val="both"/>
        <w:rPr>
          <w:rFonts w:ascii="Arial" w:hAnsi="Arial"/>
          <w:sz w:val="24"/>
          <w:lang w:eastAsia="es-ES"/>
        </w:rPr>
      </w:pPr>
    </w:p>
    <w:p w:rsidR="00000000" w:rsidRDefault="006F5FAE">
      <w:pPr>
        <w:jc w:val="both"/>
        <w:rPr>
          <w:rFonts w:ascii="Arial" w:hAnsi="Arial"/>
          <w:sz w:val="24"/>
          <w:lang w:eastAsia="es-ES"/>
        </w:rPr>
      </w:pPr>
    </w:p>
    <w:p w:rsidR="00000000" w:rsidRDefault="006F5FAE">
      <w:pPr>
        <w:jc w:val="both"/>
        <w:rPr>
          <w:rFonts w:ascii="Arial" w:hAnsi="Arial"/>
          <w:sz w:val="24"/>
          <w:lang w:val="es-ES" w:eastAsia="es-ES"/>
        </w:rPr>
      </w:pPr>
      <w:r>
        <w:rPr>
          <w:rFonts w:ascii="Arial" w:hAnsi="Arial"/>
          <w:sz w:val="24"/>
          <w:lang w:val="es-ES" w:eastAsia="es-ES"/>
        </w:rPr>
        <w:t>4.1.3.3  Cada plan contemplará la adopción de medidas que, de acuerdo a los niveles de calidad de aire que se determinen, autoricen a limitar o prohibir las operaciones y actividades en la zona afectada, a fin de preservar la salud de l</w:t>
      </w:r>
      <w:r>
        <w:rPr>
          <w:rFonts w:ascii="Arial" w:hAnsi="Arial"/>
          <w:sz w:val="24"/>
          <w:lang w:val="es-ES" w:eastAsia="es-ES"/>
        </w:rPr>
        <w:t>a población.</w:t>
      </w:r>
    </w:p>
    <w:p w:rsidR="00000000" w:rsidRDefault="006F5FAE">
      <w:pPr>
        <w:jc w:val="both"/>
        <w:rPr>
          <w:rFonts w:ascii="Arial" w:hAnsi="Arial"/>
          <w:sz w:val="24"/>
          <w:lang w:val="es-ES" w:eastAsia="es-ES"/>
        </w:rPr>
      </w:pPr>
    </w:p>
    <w:p w:rsidR="00000000" w:rsidRDefault="006F5FAE">
      <w:pPr>
        <w:jc w:val="both"/>
        <w:rPr>
          <w:rFonts w:ascii="Arial" w:hAnsi="Arial"/>
          <w:sz w:val="24"/>
          <w:lang w:val="es-ES" w:eastAsia="es-ES"/>
        </w:rPr>
      </w:pPr>
      <w:r>
        <w:rPr>
          <w:rFonts w:ascii="Arial" w:hAnsi="Arial"/>
          <w:sz w:val="24"/>
          <w:lang w:val="es-ES" w:eastAsia="es-ES"/>
        </w:rPr>
        <w:t>4.1.3.4   La Entidad Ambiental de Control podrá proceder a la ejecución de las siguientes actividades mínimas:</w:t>
      </w:r>
    </w:p>
    <w:p w:rsidR="00000000" w:rsidRDefault="006F5FAE">
      <w:pPr>
        <w:jc w:val="both"/>
        <w:rPr>
          <w:rFonts w:ascii="Arial" w:hAnsi="Arial"/>
          <w:sz w:val="24"/>
          <w:lang w:val="es-ES" w:eastAsia="es-ES"/>
        </w:rPr>
      </w:pPr>
    </w:p>
    <w:p w:rsidR="00000000" w:rsidRDefault="006F5FAE">
      <w:pPr>
        <w:jc w:val="both"/>
        <w:rPr>
          <w:rFonts w:ascii="Arial" w:hAnsi="Arial"/>
          <w:sz w:val="24"/>
          <w:lang w:val="es-ES" w:eastAsia="es-ES"/>
        </w:rPr>
      </w:pPr>
      <w:r>
        <w:rPr>
          <w:rFonts w:ascii="Arial" w:hAnsi="Arial"/>
          <w:sz w:val="24"/>
          <w:lang w:val="es-ES" w:eastAsia="es-ES"/>
        </w:rPr>
        <w:t>En Nivel de Alerta:</w:t>
      </w:r>
    </w:p>
    <w:p w:rsidR="00000000" w:rsidRDefault="006F5FAE">
      <w:pPr>
        <w:jc w:val="both"/>
        <w:rPr>
          <w:rFonts w:ascii="Arial" w:hAnsi="Arial"/>
          <w:sz w:val="24"/>
          <w:lang w:val="es-ES" w:eastAsia="es-ES"/>
        </w:rPr>
      </w:pPr>
    </w:p>
    <w:p w:rsidR="00000000" w:rsidRDefault="006F5FAE">
      <w:pPr>
        <w:jc w:val="both"/>
        <w:rPr>
          <w:rFonts w:ascii="Arial" w:hAnsi="Arial"/>
          <w:sz w:val="24"/>
          <w:lang w:val="es-ES" w:eastAsia="es-ES"/>
        </w:rPr>
      </w:pPr>
      <w:r>
        <w:rPr>
          <w:rFonts w:ascii="Arial" w:hAnsi="Arial"/>
          <w:sz w:val="24"/>
          <w:lang w:val="es-ES" w:eastAsia="es-ES"/>
        </w:rPr>
        <w:t>Informar al público, mediante los medios de comunicación, del establecimiento del Nivel de Alerta.</w:t>
      </w:r>
    </w:p>
    <w:p w:rsidR="00000000" w:rsidRDefault="006F5FAE">
      <w:pPr>
        <w:jc w:val="both"/>
        <w:rPr>
          <w:rFonts w:ascii="Arial" w:hAnsi="Arial"/>
          <w:sz w:val="24"/>
          <w:lang w:val="es-ES" w:eastAsia="es-ES"/>
        </w:rPr>
      </w:pPr>
      <w:r>
        <w:rPr>
          <w:rFonts w:ascii="Arial" w:hAnsi="Arial"/>
          <w:sz w:val="24"/>
          <w:lang w:val="es-ES" w:eastAsia="es-ES"/>
        </w:rPr>
        <w:t>Restringir</w:t>
      </w:r>
      <w:r>
        <w:rPr>
          <w:rFonts w:ascii="Arial" w:hAnsi="Arial"/>
          <w:sz w:val="24"/>
          <w:lang w:val="es-ES" w:eastAsia="es-ES"/>
        </w:rPr>
        <w:t xml:space="preserve"> la circulación de vehículos así como la operación de fuentes fijas de combustión en la zona en que se está verificando el nivel de alerta para uno o más contaminantes específicos.  Estas últimas acciones podrán consistir en limitar las actividades de mant</w:t>
      </w:r>
      <w:r>
        <w:rPr>
          <w:rFonts w:ascii="Arial" w:hAnsi="Arial"/>
          <w:sz w:val="24"/>
          <w:lang w:val="es-ES" w:eastAsia="es-ES"/>
        </w:rPr>
        <w:t>enimiento de fuentes fijas de combustión, tales como soplado de hollín, o solicitar a determinadas fuentes fijas no reiniciar un proceso de combustión que se encontrase fuera de operación</w:t>
      </w:r>
    </w:p>
    <w:p w:rsidR="00000000" w:rsidRDefault="006F5FAE">
      <w:pPr>
        <w:jc w:val="both"/>
        <w:rPr>
          <w:rFonts w:ascii="Arial" w:hAnsi="Arial"/>
          <w:sz w:val="24"/>
          <w:lang w:val="es-ES" w:eastAsia="es-ES"/>
        </w:rPr>
      </w:pPr>
    </w:p>
    <w:p w:rsidR="00000000" w:rsidRDefault="006F5FAE">
      <w:pPr>
        <w:jc w:val="both"/>
        <w:rPr>
          <w:rFonts w:ascii="Arial" w:hAnsi="Arial"/>
          <w:sz w:val="24"/>
          <w:lang w:val="es-ES" w:eastAsia="es-ES"/>
        </w:rPr>
      </w:pPr>
      <w:r>
        <w:rPr>
          <w:rFonts w:ascii="Arial" w:hAnsi="Arial"/>
          <w:sz w:val="24"/>
          <w:lang w:val="es-ES" w:eastAsia="es-ES"/>
        </w:rPr>
        <w:t>En Nivel de Alarma:</w:t>
      </w:r>
    </w:p>
    <w:p w:rsidR="00000000" w:rsidRDefault="006F5FAE">
      <w:pPr>
        <w:jc w:val="both"/>
        <w:rPr>
          <w:rFonts w:ascii="Arial" w:hAnsi="Arial"/>
          <w:sz w:val="24"/>
          <w:lang w:val="es-ES" w:eastAsia="es-ES"/>
        </w:rPr>
      </w:pPr>
    </w:p>
    <w:p w:rsidR="00000000" w:rsidRDefault="006F5FAE">
      <w:pPr>
        <w:jc w:val="both"/>
        <w:rPr>
          <w:rFonts w:ascii="Arial" w:hAnsi="Arial"/>
          <w:sz w:val="24"/>
          <w:lang w:val="es-ES" w:eastAsia="es-ES"/>
        </w:rPr>
      </w:pPr>
      <w:r>
        <w:rPr>
          <w:rFonts w:ascii="Arial" w:hAnsi="Arial"/>
          <w:sz w:val="24"/>
          <w:lang w:val="es-ES" w:eastAsia="es-ES"/>
        </w:rPr>
        <w:t>Informar al público del establecimiento del Ni</w:t>
      </w:r>
      <w:r>
        <w:rPr>
          <w:rFonts w:ascii="Arial" w:hAnsi="Arial"/>
          <w:sz w:val="24"/>
          <w:lang w:val="es-ES" w:eastAsia="es-ES"/>
        </w:rPr>
        <w:t>vel de Alarma.</w:t>
      </w:r>
    </w:p>
    <w:p w:rsidR="00000000" w:rsidRDefault="006F5FAE">
      <w:pPr>
        <w:jc w:val="both"/>
        <w:rPr>
          <w:rFonts w:ascii="Arial" w:hAnsi="Arial"/>
          <w:sz w:val="24"/>
          <w:lang w:val="es-ES" w:eastAsia="es-ES"/>
        </w:rPr>
      </w:pPr>
      <w:r>
        <w:rPr>
          <w:rFonts w:ascii="Arial" w:hAnsi="Arial"/>
          <w:sz w:val="24"/>
          <w:lang w:val="es-ES" w:eastAsia="es-ES"/>
        </w:rPr>
        <w:t xml:space="preserve">Restringir, e inclusive prohibir, la circulación de vehículos así como la operación de fuentes fijas de combustión en la zona en que se está verificando el nivel de alarma.  Esto podrá incluir en limitar el tiempo de operación para aquellas </w:t>
      </w:r>
      <w:r>
        <w:rPr>
          <w:rFonts w:ascii="Arial" w:hAnsi="Arial"/>
          <w:sz w:val="24"/>
          <w:lang w:val="es-ES" w:eastAsia="es-ES"/>
        </w:rPr>
        <w:t>fuentes fijas que no se encontraren en cumplimiento con las normas de emisión.</w:t>
      </w:r>
    </w:p>
    <w:p w:rsidR="00000000" w:rsidRDefault="006F5FAE">
      <w:pPr>
        <w:jc w:val="both"/>
        <w:rPr>
          <w:rFonts w:ascii="Arial" w:hAnsi="Arial"/>
          <w:sz w:val="24"/>
          <w:lang w:val="es-ES" w:eastAsia="es-ES"/>
        </w:rPr>
      </w:pPr>
      <w:r>
        <w:rPr>
          <w:rFonts w:ascii="Arial" w:hAnsi="Arial"/>
          <w:sz w:val="24"/>
          <w:lang w:val="es-ES" w:eastAsia="es-ES"/>
        </w:rPr>
        <w:t>Suspender cualquier quema a cielo abierto.</w:t>
      </w:r>
    </w:p>
    <w:p w:rsidR="00000000" w:rsidRDefault="006F5FAE">
      <w:pPr>
        <w:jc w:val="both"/>
        <w:rPr>
          <w:rFonts w:ascii="Arial" w:hAnsi="Arial"/>
          <w:sz w:val="24"/>
          <w:lang w:val="es-ES" w:eastAsia="es-ES"/>
        </w:rPr>
      </w:pPr>
    </w:p>
    <w:p w:rsidR="00000000" w:rsidRDefault="006F5FAE">
      <w:pPr>
        <w:jc w:val="both"/>
        <w:rPr>
          <w:rFonts w:ascii="Arial" w:hAnsi="Arial"/>
          <w:sz w:val="24"/>
          <w:lang w:val="es-ES" w:eastAsia="es-ES"/>
        </w:rPr>
      </w:pPr>
      <w:r>
        <w:rPr>
          <w:rFonts w:ascii="Arial" w:hAnsi="Arial"/>
          <w:sz w:val="24"/>
          <w:lang w:val="es-ES" w:eastAsia="es-ES"/>
        </w:rPr>
        <w:t>En Nivel de Emergencia:</w:t>
      </w:r>
    </w:p>
    <w:p w:rsidR="00000000" w:rsidRDefault="006F5FAE">
      <w:pPr>
        <w:jc w:val="both"/>
        <w:rPr>
          <w:rFonts w:ascii="Arial" w:hAnsi="Arial"/>
          <w:sz w:val="24"/>
          <w:lang w:val="es-ES" w:eastAsia="es-ES"/>
        </w:rPr>
      </w:pPr>
    </w:p>
    <w:p w:rsidR="00000000" w:rsidRDefault="006F5FAE">
      <w:pPr>
        <w:jc w:val="both"/>
        <w:rPr>
          <w:rFonts w:ascii="Arial" w:hAnsi="Arial"/>
          <w:sz w:val="24"/>
          <w:lang w:val="es-ES" w:eastAsia="es-ES"/>
        </w:rPr>
      </w:pPr>
      <w:r>
        <w:rPr>
          <w:rFonts w:ascii="Arial" w:hAnsi="Arial"/>
          <w:sz w:val="24"/>
          <w:lang w:val="es-ES" w:eastAsia="es-ES"/>
        </w:rPr>
        <w:t>Informar al público del establecimiento del Nivel de Emergencia.</w:t>
      </w:r>
    </w:p>
    <w:p w:rsidR="00000000" w:rsidRDefault="006F5FAE">
      <w:pPr>
        <w:jc w:val="both"/>
        <w:rPr>
          <w:rFonts w:ascii="Arial" w:hAnsi="Arial"/>
          <w:sz w:val="24"/>
          <w:lang w:val="es-ES" w:eastAsia="es-ES"/>
        </w:rPr>
      </w:pPr>
      <w:r>
        <w:rPr>
          <w:rFonts w:ascii="Arial" w:hAnsi="Arial"/>
          <w:sz w:val="24"/>
          <w:lang w:val="es-ES" w:eastAsia="es-ES"/>
        </w:rPr>
        <w:t>Prohibir la circulación y el estacionamient</w:t>
      </w:r>
      <w:r>
        <w:rPr>
          <w:rFonts w:ascii="Arial" w:hAnsi="Arial"/>
          <w:sz w:val="24"/>
          <w:lang w:val="es-ES" w:eastAsia="es-ES"/>
        </w:rPr>
        <w:t>o de vehículos así como la operación de fuentes fijas de combustión en la zona en que se está verificando el nivel de emergencia.  Se deberá considerar extender estas prohibiciones a todo el conjunto de fuentes fijas de combustión, así como vehículos autom</w:t>
      </w:r>
      <w:r>
        <w:rPr>
          <w:rFonts w:ascii="Arial" w:hAnsi="Arial"/>
          <w:sz w:val="24"/>
          <w:lang w:val="es-ES" w:eastAsia="es-ES"/>
        </w:rPr>
        <w:t>otores, presentes en la región bajo responsabilidad de la Entidad Ambiental de Control.</w:t>
      </w:r>
    </w:p>
    <w:p w:rsidR="00000000" w:rsidRDefault="006F5FAE">
      <w:pPr>
        <w:jc w:val="both"/>
        <w:rPr>
          <w:rFonts w:ascii="Arial" w:hAnsi="Arial"/>
          <w:sz w:val="24"/>
          <w:lang w:val="es-ES" w:eastAsia="es-ES"/>
        </w:rPr>
      </w:pPr>
      <w:r>
        <w:rPr>
          <w:rFonts w:ascii="Arial" w:hAnsi="Arial"/>
          <w:sz w:val="24"/>
          <w:lang w:val="es-ES" w:eastAsia="es-ES"/>
        </w:rPr>
        <w:t>Suspender cualquier quema a cielo abierto, e inclusive, proceder a combatir dichas quemas.</w:t>
      </w:r>
    </w:p>
    <w:p w:rsidR="00000000" w:rsidRDefault="006F5FAE">
      <w:pPr>
        <w:jc w:val="both"/>
        <w:rPr>
          <w:rFonts w:ascii="Arial" w:hAnsi="Arial"/>
          <w:sz w:val="24"/>
          <w:lang w:val="es-ES" w:eastAsia="es-ES"/>
        </w:rPr>
      </w:pPr>
    </w:p>
    <w:p w:rsidR="00000000" w:rsidRDefault="006F5FAE">
      <w:pPr>
        <w:jc w:val="both"/>
        <w:rPr>
          <w:rFonts w:ascii="Arial" w:hAnsi="Arial"/>
          <w:sz w:val="24"/>
        </w:rPr>
      </w:pPr>
      <w:r>
        <w:rPr>
          <w:rFonts w:ascii="Arial" w:hAnsi="Arial"/>
          <w:sz w:val="24"/>
        </w:rPr>
        <w:t>4.1.4  De los métodos de medición de los contaminantes comunes del aire ambi</w:t>
      </w:r>
      <w:r>
        <w:rPr>
          <w:rFonts w:ascii="Arial" w:hAnsi="Arial"/>
          <w:sz w:val="24"/>
        </w:rPr>
        <w:t>ente</w:t>
      </w:r>
    </w:p>
    <w:p w:rsidR="00000000" w:rsidRDefault="006F5FAE">
      <w:pPr>
        <w:jc w:val="both"/>
        <w:rPr>
          <w:rFonts w:ascii="Arial" w:hAnsi="Arial"/>
          <w:sz w:val="24"/>
        </w:rPr>
      </w:pPr>
    </w:p>
    <w:p w:rsidR="00000000" w:rsidRDefault="006F5FAE">
      <w:pPr>
        <w:jc w:val="both"/>
        <w:rPr>
          <w:rFonts w:ascii="Arial" w:hAnsi="Arial"/>
          <w:sz w:val="24"/>
        </w:rPr>
      </w:pPr>
      <w:r>
        <w:rPr>
          <w:rFonts w:ascii="Arial" w:hAnsi="Arial"/>
          <w:sz w:val="24"/>
        </w:rPr>
        <w:t>4.1.4.1  La responsabilidad de la determinación de las concentraciones de contaminantes comunes, a nivel de suelo, en el aire ambiente recaerá en la Entidad Ambiental de Control.  Los equipos, métodos y procedimientos a utilizarse en la determinación</w:t>
      </w:r>
      <w:r>
        <w:rPr>
          <w:rFonts w:ascii="Arial" w:hAnsi="Arial"/>
          <w:sz w:val="24"/>
        </w:rPr>
        <w:t xml:space="preserve"> de la concentración de contaminantes, serán aquellos descritos en la legislación ambiental federal de los Estados Unidos de América (</w:t>
      </w:r>
      <w:r>
        <w:rPr>
          <w:rFonts w:ascii="Arial" w:hAnsi="Arial"/>
          <w:i/>
          <w:sz w:val="24"/>
        </w:rPr>
        <w:t>Code of Federal Regulations</w:t>
      </w:r>
      <w:r>
        <w:rPr>
          <w:rFonts w:ascii="Arial" w:hAnsi="Arial"/>
          <w:sz w:val="24"/>
        </w:rPr>
        <w:t>), y cuya descripción general se presenta a continuación.</w:t>
      </w:r>
    </w:p>
    <w:p w:rsidR="00000000" w:rsidRDefault="006F5FAE">
      <w:pPr>
        <w:pStyle w:val="Ttulo7"/>
        <w:jc w:val="both"/>
        <w:rPr>
          <w:rFonts w:ascii="Arial" w:hAnsi="Arial"/>
          <w:smallCaps w:val="0"/>
          <w:sz w:val="24"/>
        </w:rPr>
      </w:pPr>
    </w:p>
    <w:p w:rsidR="00000000" w:rsidRDefault="006F5FAE">
      <w:pPr>
        <w:pStyle w:val="Ttulo7"/>
        <w:jc w:val="both"/>
        <w:rPr>
          <w:rFonts w:ascii="Arial" w:hAnsi="Arial"/>
          <w:smallCaps w:val="0"/>
          <w:sz w:val="24"/>
        </w:rPr>
      </w:pPr>
    </w:p>
    <w:p w:rsidR="00000000" w:rsidRDefault="006F5FAE">
      <w:pPr>
        <w:pStyle w:val="Ttulo7"/>
        <w:jc w:val="both"/>
        <w:rPr>
          <w:rFonts w:ascii="Arial" w:hAnsi="Arial"/>
          <w:smallCaps w:val="0"/>
          <w:sz w:val="24"/>
        </w:rPr>
      </w:pPr>
      <w:r>
        <w:rPr>
          <w:rFonts w:ascii="Arial" w:hAnsi="Arial"/>
          <w:smallCaps w:val="0"/>
          <w:sz w:val="24"/>
        </w:rPr>
        <w:t>Tabla 2.  Métodos de medición de co</w:t>
      </w:r>
      <w:r>
        <w:rPr>
          <w:rFonts w:ascii="Arial" w:hAnsi="Arial"/>
          <w:smallCaps w:val="0"/>
          <w:sz w:val="24"/>
        </w:rPr>
        <w:t>ncentraciones de contaminantes comunes del aire</w:t>
      </w:r>
    </w:p>
    <w:p w:rsidR="00000000" w:rsidRDefault="006F5FAE">
      <w:pPr>
        <w:jc w:val="both"/>
        <w:rPr>
          <w:rFonts w:ascii="Arial" w:hAnsi="Arial"/>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096"/>
        <w:gridCol w:w="6480"/>
      </w:tblGrid>
      <w:tr w:rsidR="00000000">
        <w:tblPrEx>
          <w:tblCellMar>
            <w:top w:w="0" w:type="dxa"/>
            <w:bottom w:w="0" w:type="dxa"/>
          </w:tblCellMar>
        </w:tblPrEx>
        <w:trPr>
          <w:tblHeader/>
          <w:jc w:val="center"/>
        </w:trPr>
        <w:tc>
          <w:tcPr>
            <w:tcW w:w="2096" w:type="dxa"/>
            <w:tcBorders>
              <w:top w:val="single" w:sz="4" w:space="0" w:color="auto"/>
              <w:bottom w:val="single" w:sz="4" w:space="0" w:color="auto"/>
              <w:right w:val="single" w:sz="4" w:space="0" w:color="auto"/>
            </w:tcBorders>
          </w:tcPr>
          <w:p w:rsidR="00000000" w:rsidRDefault="006F5FAE">
            <w:pPr>
              <w:jc w:val="both"/>
              <w:rPr>
                <w:rFonts w:ascii="Arial" w:hAnsi="Arial"/>
                <w:sz w:val="24"/>
              </w:rPr>
            </w:pPr>
            <w:r>
              <w:rPr>
                <w:rFonts w:ascii="Arial" w:hAnsi="Arial"/>
                <w:sz w:val="24"/>
              </w:rPr>
              <w:t>CONTAMINANTE</w:t>
            </w:r>
          </w:p>
        </w:tc>
        <w:tc>
          <w:tcPr>
            <w:tcW w:w="6480" w:type="dxa"/>
            <w:tcBorders>
              <w:top w:val="single" w:sz="4" w:space="0" w:color="auto"/>
              <w:left w:val="single" w:sz="4" w:space="0" w:color="auto"/>
              <w:bottom w:val="single" w:sz="4" w:space="0" w:color="auto"/>
            </w:tcBorders>
          </w:tcPr>
          <w:p w:rsidR="00000000" w:rsidRDefault="006F5FAE">
            <w:pPr>
              <w:jc w:val="both"/>
              <w:rPr>
                <w:rFonts w:ascii="Arial" w:hAnsi="Arial"/>
                <w:sz w:val="24"/>
              </w:rPr>
            </w:pPr>
            <w:r>
              <w:rPr>
                <w:rFonts w:ascii="Arial" w:hAnsi="Arial"/>
                <w:sz w:val="24"/>
              </w:rPr>
              <w:t>NOMBRE, REFERENCIA Y DESCRIPCIÓN DEL MÉTODO</w:t>
            </w:r>
          </w:p>
        </w:tc>
      </w:tr>
      <w:tr w:rsidR="00000000">
        <w:tblPrEx>
          <w:tblCellMar>
            <w:top w:w="0" w:type="dxa"/>
            <w:bottom w:w="0" w:type="dxa"/>
          </w:tblCellMar>
        </w:tblPrEx>
        <w:trPr>
          <w:jc w:val="center"/>
        </w:trPr>
        <w:tc>
          <w:tcPr>
            <w:tcW w:w="2096" w:type="dxa"/>
            <w:tcBorders>
              <w:top w:val="single" w:sz="4" w:space="0" w:color="auto"/>
              <w:right w:val="single" w:sz="4" w:space="0" w:color="auto"/>
            </w:tcBorders>
          </w:tcPr>
          <w:p w:rsidR="00000000" w:rsidRDefault="006F5FAE">
            <w:pPr>
              <w:jc w:val="both"/>
              <w:rPr>
                <w:rFonts w:ascii="Arial" w:hAnsi="Arial"/>
                <w:sz w:val="24"/>
              </w:rPr>
            </w:pPr>
            <w:r>
              <w:rPr>
                <w:rFonts w:ascii="Arial" w:hAnsi="Arial"/>
                <w:sz w:val="24"/>
              </w:rPr>
              <w:t>Partículas Sedimentables</w:t>
            </w:r>
          </w:p>
        </w:tc>
        <w:tc>
          <w:tcPr>
            <w:tcW w:w="6480" w:type="dxa"/>
            <w:tcBorders>
              <w:top w:val="single" w:sz="4" w:space="0" w:color="auto"/>
              <w:left w:val="single" w:sz="4" w:space="0" w:color="auto"/>
              <w:bottom w:val="nil"/>
            </w:tcBorders>
          </w:tcPr>
          <w:p w:rsidR="00000000" w:rsidRDefault="006F5FAE">
            <w:pPr>
              <w:jc w:val="both"/>
              <w:rPr>
                <w:rFonts w:ascii="Arial" w:hAnsi="Arial"/>
                <w:sz w:val="24"/>
              </w:rPr>
            </w:pPr>
            <w:r>
              <w:rPr>
                <w:rFonts w:ascii="Arial" w:hAnsi="Arial"/>
                <w:b/>
                <w:sz w:val="24"/>
              </w:rPr>
              <w:t>Nombre</w:t>
            </w:r>
            <w:r>
              <w:rPr>
                <w:rFonts w:ascii="Arial" w:hAnsi="Arial"/>
                <w:sz w:val="24"/>
              </w:rPr>
              <w:t>:  Método Gravimétrico, mediante Captación de Partículas en Envases Abiertos</w:t>
            </w:r>
          </w:p>
          <w:p w:rsidR="00000000" w:rsidRDefault="006F5FAE">
            <w:pPr>
              <w:jc w:val="both"/>
              <w:rPr>
                <w:rFonts w:ascii="Arial" w:hAnsi="Arial"/>
                <w:sz w:val="24"/>
              </w:rPr>
            </w:pPr>
          </w:p>
        </w:tc>
      </w:tr>
      <w:tr w:rsidR="00000000">
        <w:tblPrEx>
          <w:tblCellMar>
            <w:top w:w="0" w:type="dxa"/>
            <w:bottom w:w="0" w:type="dxa"/>
          </w:tblCellMar>
        </w:tblPrEx>
        <w:trPr>
          <w:jc w:val="center"/>
        </w:trPr>
        <w:tc>
          <w:tcPr>
            <w:tcW w:w="2096" w:type="dxa"/>
            <w:tcBorders>
              <w:right w:val="single" w:sz="4" w:space="0" w:color="auto"/>
            </w:tcBorders>
          </w:tcPr>
          <w:p w:rsidR="00000000" w:rsidRDefault="006F5FAE">
            <w:pPr>
              <w:jc w:val="both"/>
              <w:rPr>
                <w:rFonts w:ascii="Arial" w:hAnsi="Arial"/>
                <w:sz w:val="24"/>
              </w:rPr>
            </w:pPr>
          </w:p>
        </w:tc>
        <w:tc>
          <w:tcPr>
            <w:tcW w:w="6480" w:type="dxa"/>
            <w:tcBorders>
              <w:top w:val="nil"/>
              <w:left w:val="single" w:sz="4" w:space="0" w:color="auto"/>
              <w:bottom w:val="single" w:sz="4" w:space="0" w:color="auto"/>
            </w:tcBorders>
          </w:tcPr>
          <w:p w:rsidR="00000000" w:rsidRDefault="006F5FAE">
            <w:pPr>
              <w:jc w:val="both"/>
              <w:rPr>
                <w:rFonts w:ascii="Arial" w:hAnsi="Arial"/>
                <w:sz w:val="24"/>
                <w:lang w:val="en-US"/>
              </w:rPr>
            </w:pPr>
            <w:r>
              <w:rPr>
                <w:rFonts w:ascii="Arial" w:hAnsi="Arial"/>
                <w:b/>
                <w:sz w:val="24"/>
                <w:lang w:val="en-US"/>
              </w:rPr>
              <w:t>Referencia</w:t>
            </w:r>
            <w:r>
              <w:rPr>
                <w:rFonts w:ascii="Arial" w:hAnsi="Arial"/>
                <w:sz w:val="24"/>
                <w:lang w:val="en-US"/>
              </w:rPr>
              <w:t>:  Method 502.  Methods of A</w:t>
            </w:r>
            <w:r>
              <w:rPr>
                <w:rFonts w:ascii="Arial" w:hAnsi="Arial"/>
                <w:sz w:val="24"/>
                <w:lang w:val="en-US"/>
              </w:rPr>
              <w:t>ir Sampling and Analysis, 3rd. Edition, Intersociety Committee, Lewis Publishers, Inc. 1988.</w:t>
            </w:r>
          </w:p>
          <w:p w:rsidR="00000000" w:rsidRDefault="006F5FAE">
            <w:pPr>
              <w:jc w:val="both"/>
              <w:rPr>
                <w:rFonts w:ascii="Arial" w:hAnsi="Arial"/>
                <w:sz w:val="24"/>
                <w:lang w:val="en-US"/>
              </w:rPr>
            </w:pPr>
          </w:p>
        </w:tc>
      </w:tr>
      <w:tr w:rsidR="00000000">
        <w:tblPrEx>
          <w:tblCellMar>
            <w:top w:w="0" w:type="dxa"/>
            <w:bottom w:w="0" w:type="dxa"/>
          </w:tblCellMar>
        </w:tblPrEx>
        <w:trPr>
          <w:jc w:val="center"/>
        </w:trPr>
        <w:tc>
          <w:tcPr>
            <w:tcW w:w="2096" w:type="dxa"/>
            <w:tcBorders>
              <w:right w:val="single" w:sz="4" w:space="0" w:color="auto"/>
            </w:tcBorders>
          </w:tcPr>
          <w:p w:rsidR="00000000" w:rsidRDefault="006F5FAE">
            <w:pPr>
              <w:jc w:val="both"/>
              <w:rPr>
                <w:rFonts w:ascii="Arial" w:hAnsi="Arial"/>
                <w:sz w:val="24"/>
                <w:lang w:val="en-US"/>
              </w:rPr>
            </w:pPr>
          </w:p>
        </w:tc>
        <w:tc>
          <w:tcPr>
            <w:tcW w:w="6480" w:type="dxa"/>
            <w:tcBorders>
              <w:top w:val="single" w:sz="4" w:space="0" w:color="auto"/>
              <w:left w:val="single" w:sz="4" w:space="0" w:color="auto"/>
              <w:bottom w:val="nil"/>
            </w:tcBorders>
          </w:tcPr>
          <w:p w:rsidR="00000000" w:rsidRDefault="006F5FAE">
            <w:pPr>
              <w:jc w:val="both"/>
              <w:rPr>
                <w:rFonts w:ascii="Arial" w:hAnsi="Arial"/>
                <w:sz w:val="24"/>
                <w:lang w:val="es-ES"/>
              </w:rPr>
            </w:pPr>
            <w:r>
              <w:rPr>
                <w:rFonts w:ascii="Arial" w:hAnsi="Arial"/>
                <w:b/>
                <w:sz w:val="24"/>
                <w:lang w:val="es-ES"/>
              </w:rPr>
              <w:t>Descripción</w:t>
            </w:r>
            <w:r>
              <w:rPr>
                <w:rFonts w:ascii="Arial" w:hAnsi="Arial"/>
                <w:sz w:val="24"/>
                <w:lang w:val="es-ES"/>
              </w:rPr>
              <w:t>:  Se utilizará un envase, de 15 centímetros de diámetro o mayor, y con altura dos o tres veces el diámetro.  La altura del envase, sobre el nivel de</w:t>
            </w:r>
            <w:r>
              <w:rPr>
                <w:rFonts w:ascii="Arial" w:hAnsi="Arial"/>
                <w:sz w:val="24"/>
                <w:lang w:val="es-ES"/>
              </w:rPr>
              <w:t xml:space="preserve"> suelo, será de al menos 1,2 metros.</w:t>
            </w:r>
          </w:p>
          <w:p w:rsidR="00000000" w:rsidRDefault="006F5FAE">
            <w:pPr>
              <w:jc w:val="both"/>
              <w:rPr>
                <w:rFonts w:ascii="Arial" w:hAnsi="Arial"/>
                <w:sz w:val="24"/>
                <w:lang w:val="es-ES"/>
              </w:rPr>
            </w:pPr>
            <w:r>
              <w:rPr>
                <w:rFonts w:ascii="Arial" w:hAnsi="Arial"/>
                <w:sz w:val="24"/>
                <w:lang w:val="es-ES"/>
              </w:rPr>
              <w:t>Las partículas colectadas serán clasificadas en solubles e insolubles.  Las partículas insolubles se determinarán mediante diferencia de peso ganado por un filtro de 47 mm, y que retenga aquellas partículas contenidas e</w:t>
            </w:r>
            <w:r>
              <w:rPr>
                <w:rFonts w:ascii="Arial" w:hAnsi="Arial"/>
                <w:sz w:val="24"/>
                <w:lang w:val="es-ES"/>
              </w:rPr>
              <w:t>n el líquido de lavado del contenido del envase.  En cambio, las partículas insolubles se determinarán mediante la diferencia de peso ganado por un crisol, en el cual se evaporará el líquido de lavado del envase.  La concentración total de partículas sedim</w:t>
            </w:r>
            <w:r>
              <w:rPr>
                <w:rFonts w:ascii="Arial" w:hAnsi="Arial"/>
                <w:sz w:val="24"/>
                <w:lang w:val="es-ES"/>
              </w:rPr>
              <w:t>entables será la suma de partículas solubles e insolubles, normalizadas con respecto al área total de captación del envase.</w:t>
            </w:r>
          </w:p>
          <w:p w:rsidR="00000000" w:rsidRDefault="006F5FAE">
            <w:pPr>
              <w:jc w:val="both"/>
              <w:rPr>
                <w:rFonts w:ascii="Arial" w:hAnsi="Arial"/>
                <w:sz w:val="24"/>
                <w:lang w:val="es-ES"/>
              </w:rPr>
            </w:pPr>
          </w:p>
          <w:p w:rsidR="00000000" w:rsidRDefault="006F5FAE">
            <w:pPr>
              <w:jc w:val="both"/>
              <w:rPr>
                <w:rFonts w:ascii="Arial" w:hAnsi="Arial"/>
                <w:sz w:val="24"/>
                <w:lang w:val="es-ES"/>
              </w:rPr>
            </w:pPr>
          </w:p>
        </w:tc>
      </w:tr>
      <w:tr w:rsidR="00000000">
        <w:tblPrEx>
          <w:tblCellMar>
            <w:top w:w="0" w:type="dxa"/>
            <w:bottom w:w="0" w:type="dxa"/>
          </w:tblCellMar>
        </w:tblPrEx>
        <w:trPr>
          <w:jc w:val="center"/>
        </w:trPr>
        <w:tc>
          <w:tcPr>
            <w:tcW w:w="2096" w:type="dxa"/>
            <w:tcBorders>
              <w:bottom w:val="nil"/>
              <w:right w:val="single" w:sz="4" w:space="0" w:color="auto"/>
            </w:tcBorders>
          </w:tcPr>
          <w:p w:rsidR="00000000" w:rsidRDefault="006F5FAE">
            <w:pPr>
              <w:jc w:val="both"/>
              <w:rPr>
                <w:rFonts w:ascii="Arial" w:hAnsi="Arial"/>
                <w:sz w:val="24"/>
                <w:lang w:val="es-ES"/>
              </w:rPr>
            </w:pPr>
            <w:r>
              <w:rPr>
                <w:rFonts w:ascii="Arial" w:hAnsi="Arial"/>
                <w:sz w:val="24"/>
                <w:lang w:val="es-ES"/>
              </w:rPr>
              <w:t>Material Particulado PM10</w:t>
            </w:r>
          </w:p>
        </w:tc>
        <w:tc>
          <w:tcPr>
            <w:tcW w:w="6480" w:type="dxa"/>
            <w:tcBorders>
              <w:top w:val="nil"/>
              <w:left w:val="single" w:sz="4" w:space="0" w:color="auto"/>
              <w:bottom w:val="nil"/>
            </w:tcBorders>
          </w:tcPr>
          <w:p w:rsidR="00000000" w:rsidRDefault="006F5FAE">
            <w:pPr>
              <w:jc w:val="both"/>
              <w:rPr>
                <w:rFonts w:ascii="Arial" w:hAnsi="Arial"/>
                <w:sz w:val="24"/>
              </w:rPr>
            </w:pPr>
            <w:r>
              <w:rPr>
                <w:rFonts w:ascii="Arial" w:hAnsi="Arial"/>
                <w:b/>
                <w:sz w:val="24"/>
              </w:rPr>
              <w:t>Nombre:</w:t>
            </w:r>
            <w:r>
              <w:rPr>
                <w:rFonts w:ascii="Arial" w:hAnsi="Arial"/>
                <w:sz w:val="24"/>
              </w:rPr>
              <w:t xml:space="preserve">  Método Gravimétrico, mediante muestreador de alto caudal o de bajo caudal.</w:t>
            </w:r>
          </w:p>
          <w:p w:rsidR="00000000" w:rsidRDefault="006F5FAE">
            <w:pPr>
              <w:jc w:val="both"/>
              <w:rPr>
                <w:rFonts w:ascii="Arial" w:hAnsi="Arial"/>
                <w:sz w:val="24"/>
              </w:rPr>
            </w:pPr>
          </w:p>
        </w:tc>
      </w:tr>
      <w:tr w:rsidR="00000000">
        <w:tblPrEx>
          <w:tblCellMar>
            <w:top w:w="0" w:type="dxa"/>
            <w:bottom w:w="0" w:type="dxa"/>
          </w:tblCellMar>
        </w:tblPrEx>
        <w:trPr>
          <w:jc w:val="center"/>
        </w:trPr>
        <w:tc>
          <w:tcPr>
            <w:tcW w:w="2096" w:type="dxa"/>
            <w:tcBorders>
              <w:top w:val="nil"/>
              <w:bottom w:val="single" w:sz="4" w:space="0" w:color="auto"/>
              <w:right w:val="single" w:sz="4" w:space="0" w:color="auto"/>
            </w:tcBorders>
          </w:tcPr>
          <w:p w:rsidR="00000000" w:rsidRDefault="006F5FAE">
            <w:pPr>
              <w:jc w:val="both"/>
              <w:rPr>
                <w:rFonts w:ascii="Arial" w:hAnsi="Arial"/>
                <w:sz w:val="24"/>
                <w:lang w:val="es-ES"/>
              </w:rPr>
            </w:pPr>
          </w:p>
        </w:tc>
        <w:tc>
          <w:tcPr>
            <w:tcW w:w="6480" w:type="dxa"/>
            <w:tcBorders>
              <w:top w:val="nil"/>
              <w:left w:val="single" w:sz="4" w:space="0" w:color="auto"/>
              <w:bottom w:val="single" w:sz="4" w:space="0" w:color="auto"/>
            </w:tcBorders>
          </w:tcPr>
          <w:p w:rsidR="00000000" w:rsidRDefault="006F5FAE">
            <w:pPr>
              <w:jc w:val="both"/>
              <w:rPr>
                <w:rFonts w:ascii="Arial" w:hAnsi="Arial"/>
                <w:sz w:val="24"/>
                <w:lang w:val="en-US"/>
              </w:rPr>
            </w:pPr>
            <w:r>
              <w:rPr>
                <w:rFonts w:ascii="Arial" w:hAnsi="Arial"/>
                <w:b/>
                <w:sz w:val="24"/>
                <w:lang w:val="en-US"/>
              </w:rPr>
              <w:t>Referencia:</w:t>
            </w:r>
            <w:r>
              <w:rPr>
                <w:rFonts w:ascii="Arial" w:hAnsi="Arial"/>
                <w:sz w:val="24"/>
                <w:lang w:val="en-US"/>
              </w:rPr>
              <w:t xml:space="preserve">  40 </w:t>
            </w:r>
            <w:r>
              <w:rPr>
                <w:rFonts w:ascii="Arial" w:hAnsi="Arial"/>
                <w:sz w:val="24"/>
                <w:lang w:val="en-US"/>
              </w:rPr>
              <w:t>CFR Part 50, Appendix J o Appendix M.</w:t>
            </w:r>
          </w:p>
          <w:p w:rsidR="00000000" w:rsidRDefault="006F5FAE">
            <w:pPr>
              <w:jc w:val="both"/>
              <w:rPr>
                <w:rFonts w:ascii="Arial" w:hAnsi="Arial"/>
                <w:sz w:val="24"/>
                <w:lang w:val="en-US"/>
              </w:rPr>
            </w:pPr>
          </w:p>
        </w:tc>
      </w:tr>
    </w:tbl>
    <w:p w:rsidR="00000000" w:rsidRDefault="006F5FAE">
      <w:pPr>
        <w:jc w:val="both"/>
        <w:rPr>
          <w:rFonts w:ascii="Arial" w:hAnsi="Arial"/>
          <w:sz w:val="24"/>
          <w:lang w:val="es-ES"/>
        </w:rPr>
      </w:pPr>
      <w:r>
        <w:rPr>
          <w:rFonts w:ascii="Arial" w:hAnsi="Arial"/>
          <w:sz w:val="24"/>
          <w:lang w:val="en-US"/>
        </w:rPr>
        <w:tab/>
      </w:r>
      <w:r>
        <w:rPr>
          <w:rFonts w:ascii="Arial" w:hAnsi="Arial"/>
          <w:sz w:val="24"/>
          <w:lang w:val="en-US"/>
        </w:rPr>
        <w:tab/>
      </w:r>
      <w:r>
        <w:rPr>
          <w:rFonts w:ascii="Arial" w:hAnsi="Arial"/>
          <w:sz w:val="24"/>
          <w:lang w:val="es-ES"/>
        </w:rPr>
        <w:t>Continua…</w:t>
      </w:r>
    </w:p>
    <w:p w:rsidR="00000000" w:rsidRDefault="006F5FAE">
      <w:pPr>
        <w:jc w:val="both"/>
        <w:rPr>
          <w:rFonts w:ascii="Arial" w:hAnsi="Arial"/>
          <w:sz w:val="24"/>
          <w:lang w:val="es-ES"/>
        </w:rPr>
      </w:pPr>
    </w:p>
    <w:p w:rsidR="00000000" w:rsidRDefault="006F5FAE">
      <w:pPr>
        <w:jc w:val="both"/>
        <w:rPr>
          <w:rFonts w:ascii="Arial" w:hAnsi="Arial"/>
          <w:sz w:val="24"/>
          <w:lang w:val="es-ES"/>
        </w:rPr>
      </w:pPr>
      <w:r>
        <w:rPr>
          <w:rFonts w:ascii="Arial" w:hAnsi="Arial"/>
          <w:sz w:val="24"/>
          <w:lang w:val="es-ES"/>
        </w:rPr>
        <w:tab/>
        <w:t xml:space="preserve">               </w:t>
      </w:r>
    </w:p>
    <w:p w:rsidR="00000000" w:rsidRDefault="006F5FAE">
      <w:pPr>
        <w:jc w:val="both"/>
        <w:rPr>
          <w:rFonts w:ascii="Arial" w:hAnsi="Arial"/>
          <w:sz w:val="24"/>
          <w:lang w:val="es-ES"/>
        </w:rPr>
      </w:pPr>
    </w:p>
    <w:p w:rsidR="00000000" w:rsidRDefault="006F5FAE">
      <w:pPr>
        <w:jc w:val="both"/>
        <w:rPr>
          <w:rFonts w:ascii="Arial" w:hAnsi="Arial"/>
          <w:sz w:val="24"/>
          <w:lang w:val="es-ES"/>
        </w:rPr>
      </w:pPr>
      <w:r>
        <w:rPr>
          <w:rFonts w:ascii="Arial" w:hAnsi="Arial"/>
          <w:sz w:val="24"/>
          <w:lang w:val="es-ES"/>
        </w:rPr>
        <w:tab/>
        <w:t>…Continuación</w:t>
      </w:r>
    </w:p>
    <w:p w:rsidR="00000000" w:rsidRDefault="006F5FAE">
      <w:pPr>
        <w:pStyle w:val="Ttulo7"/>
        <w:jc w:val="both"/>
        <w:rPr>
          <w:rFonts w:ascii="Arial" w:hAnsi="Arial"/>
          <w:smallCaps w:val="0"/>
          <w:sz w:val="24"/>
        </w:rPr>
      </w:pPr>
      <w:r>
        <w:rPr>
          <w:rFonts w:ascii="Arial" w:hAnsi="Arial"/>
          <w:smallCaps w:val="0"/>
          <w:sz w:val="24"/>
        </w:rPr>
        <w:t>Tabla 2.  Métodos de medición de concentraciones de contaminantes comunes del aire</w:t>
      </w:r>
    </w:p>
    <w:p w:rsidR="00000000" w:rsidRDefault="006F5FAE">
      <w:pPr>
        <w:jc w:val="both"/>
        <w:rPr>
          <w:rFonts w:ascii="Arial" w:hAnsi="Arial"/>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096"/>
        <w:gridCol w:w="6480"/>
      </w:tblGrid>
      <w:tr w:rsidR="00000000">
        <w:tblPrEx>
          <w:tblCellMar>
            <w:top w:w="0" w:type="dxa"/>
            <w:bottom w:w="0" w:type="dxa"/>
          </w:tblCellMar>
        </w:tblPrEx>
        <w:trPr>
          <w:tblHeader/>
          <w:jc w:val="center"/>
        </w:trPr>
        <w:tc>
          <w:tcPr>
            <w:tcW w:w="2096" w:type="dxa"/>
            <w:tcBorders>
              <w:top w:val="single" w:sz="4" w:space="0" w:color="auto"/>
              <w:bottom w:val="single" w:sz="4" w:space="0" w:color="auto"/>
              <w:right w:val="single" w:sz="4" w:space="0" w:color="auto"/>
            </w:tcBorders>
          </w:tcPr>
          <w:p w:rsidR="00000000" w:rsidRDefault="006F5FAE">
            <w:pPr>
              <w:jc w:val="both"/>
              <w:rPr>
                <w:rFonts w:ascii="Arial" w:hAnsi="Arial"/>
                <w:sz w:val="24"/>
              </w:rPr>
            </w:pPr>
            <w:r>
              <w:rPr>
                <w:rFonts w:ascii="Arial" w:hAnsi="Arial"/>
                <w:sz w:val="24"/>
              </w:rPr>
              <w:t>CONTAMINANTE</w:t>
            </w:r>
          </w:p>
        </w:tc>
        <w:tc>
          <w:tcPr>
            <w:tcW w:w="6480" w:type="dxa"/>
            <w:tcBorders>
              <w:top w:val="single" w:sz="4" w:space="0" w:color="auto"/>
              <w:left w:val="single" w:sz="4" w:space="0" w:color="auto"/>
              <w:bottom w:val="single" w:sz="4" w:space="0" w:color="auto"/>
            </w:tcBorders>
          </w:tcPr>
          <w:p w:rsidR="00000000" w:rsidRDefault="006F5FAE">
            <w:pPr>
              <w:jc w:val="both"/>
              <w:rPr>
                <w:rFonts w:ascii="Arial" w:hAnsi="Arial"/>
                <w:sz w:val="24"/>
              </w:rPr>
            </w:pPr>
            <w:r>
              <w:rPr>
                <w:rFonts w:ascii="Arial" w:hAnsi="Arial"/>
                <w:sz w:val="24"/>
              </w:rPr>
              <w:t>NOMBRE, REFERENCIA Y DESCRIPCIÓN DEL MÉTODO</w:t>
            </w:r>
          </w:p>
        </w:tc>
      </w:tr>
      <w:tr w:rsidR="00000000">
        <w:tblPrEx>
          <w:tblCellMar>
            <w:top w:w="0" w:type="dxa"/>
            <w:bottom w:w="0" w:type="dxa"/>
          </w:tblCellMar>
        </w:tblPrEx>
        <w:trPr>
          <w:jc w:val="center"/>
        </w:trPr>
        <w:tc>
          <w:tcPr>
            <w:tcW w:w="2096" w:type="dxa"/>
            <w:tcBorders>
              <w:right w:val="single" w:sz="4" w:space="0" w:color="auto"/>
            </w:tcBorders>
          </w:tcPr>
          <w:p w:rsidR="00000000" w:rsidRDefault="006F5FAE">
            <w:pPr>
              <w:jc w:val="both"/>
              <w:rPr>
                <w:rFonts w:ascii="Arial" w:hAnsi="Arial"/>
                <w:sz w:val="24"/>
              </w:rPr>
            </w:pPr>
          </w:p>
        </w:tc>
        <w:tc>
          <w:tcPr>
            <w:tcW w:w="6480" w:type="dxa"/>
            <w:tcBorders>
              <w:top w:val="nil"/>
              <w:left w:val="single" w:sz="4" w:space="0" w:color="auto"/>
              <w:bottom w:val="nil"/>
            </w:tcBorders>
          </w:tcPr>
          <w:p w:rsidR="00000000" w:rsidRDefault="006F5FAE">
            <w:pPr>
              <w:jc w:val="both"/>
              <w:rPr>
                <w:rFonts w:ascii="Arial" w:hAnsi="Arial"/>
                <w:sz w:val="24"/>
                <w:lang w:val="es-ES"/>
              </w:rPr>
            </w:pPr>
            <w:r>
              <w:rPr>
                <w:rFonts w:ascii="Arial" w:hAnsi="Arial"/>
                <w:b/>
                <w:sz w:val="24"/>
                <w:lang w:val="es-ES"/>
              </w:rPr>
              <w:t>Descripción:</w:t>
            </w:r>
            <w:r>
              <w:rPr>
                <w:rFonts w:ascii="Arial" w:hAnsi="Arial"/>
                <w:sz w:val="24"/>
                <w:lang w:val="es-ES"/>
              </w:rPr>
              <w:t xml:space="preserve">  el equipo mue</w:t>
            </w:r>
            <w:r>
              <w:rPr>
                <w:rFonts w:ascii="Arial" w:hAnsi="Arial"/>
                <w:sz w:val="24"/>
                <w:lang w:val="es-ES"/>
              </w:rPr>
              <w:t>streador, de alto caudal o de bajo caudal, estará equipado con una entrada aerodinámica capaz de separar aquellas partículas de tamaño superior a 10 micrones de diámetro aerodinámico.  Las partículas menores a 10 micrones serán captadas en un filtro, de al</w:t>
            </w:r>
            <w:r>
              <w:rPr>
                <w:rFonts w:ascii="Arial" w:hAnsi="Arial"/>
                <w:sz w:val="24"/>
                <w:lang w:val="es-ES"/>
              </w:rPr>
              <w:t>ta eficiencia, y la concentración se determinará mediante el peso ganado por el filtro, dividido para el volumen total de aire muestreado en un período de 24 horas.</w:t>
            </w:r>
          </w:p>
          <w:p w:rsidR="00000000" w:rsidRDefault="006F5FAE">
            <w:pPr>
              <w:jc w:val="both"/>
              <w:rPr>
                <w:rFonts w:ascii="Arial" w:hAnsi="Arial"/>
                <w:sz w:val="24"/>
                <w:lang w:val="es-ES"/>
              </w:rPr>
            </w:pPr>
          </w:p>
          <w:p w:rsidR="00000000" w:rsidRDefault="006F5FAE">
            <w:pPr>
              <w:jc w:val="both"/>
              <w:rPr>
                <w:rFonts w:ascii="Arial" w:hAnsi="Arial"/>
                <w:sz w:val="24"/>
                <w:lang w:val="es-ES"/>
              </w:rPr>
            </w:pPr>
            <w:r>
              <w:rPr>
                <w:rFonts w:ascii="Arial" w:hAnsi="Arial"/>
                <w:b/>
                <w:sz w:val="24"/>
                <w:lang w:val="es-ES"/>
              </w:rPr>
              <w:t>Métodos Alternos:</w:t>
            </w:r>
            <w:r>
              <w:rPr>
                <w:rFonts w:ascii="Arial" w:hAnsi="Arial"/>
                <w:sz w:val="24"/>
                <w:lang w:val="es-ES"/>
              </w:rPr>
              <w:t xml:space="preserve"> podrán ser también utilizados los denominados métodos de medición contin</w:t>
            </w:r>
            <w:r>
              <w:rPr>
                <w:rFonts w:ascii="Arial" w:hAnsi="Arial"/>
                <w:sz w:val="24"/>
                <w:lang w:val="es-ES"/>
              </w:rPr>
              <w:t>ua, tanto del tipo Microbalanza Oscilante como el tipo Atenuación Beta.  En el primer caso, el equipo muestreador, equipado con entrada aerodinámica PM10, posee un transductor de masa de las oscilaciones inducidas por el material particulado.  En el segund</w:t>
            </w:r>
            <w:r>
              <w:rPr>
                <w:rFonts w:ascii="Arial" w:hAnsi="Arial"/>
                <w:sz w:val="24"/>
                <w:lang w:val="es-ES"/>
              </w:rPr>
              <w:t>o tipo, el equipo muestreador, con entrada PM10, contiene una fuente de radiación beta que determina la ganancia de peso en un filtro, a medida que este experimenta acumulación de partículas.</w:t>
            </w:r>
          </w:p>
          <w:p w:rsidR="00000000" w:rsidRDefault="006F5FAE">
            <w:pPr>
              <w:jc w:val="both"/>
              <w:rPr>
                <w:rFonts w:ascii="Arial" w:hAnsi="Arial"/>
                <w:sz w:val="24"/>
                <w:lang w:val="es-ES"/>
              </w:rPr>
            </w:pPr>
          </w:p>
          <w:p w:rsidR="00000000" w:rsidRDefault="006F5FAE">
            <w:pPr>
              <w:jc w:val="both"/>
              <w:rPr>
                <w:rFonts w:ascii="Arial" w:hAnsi="Arial"/>
                <w:sz w:val="24"/>
                <w:lang w:val="es-ES"/>
              </w:rPr>
            </w:pPr>
          </w:p>
        </w:tc>
      </w:tr>
      <w:tr w:rsidR="00000000">
        <w:tblPrEx>
          <w:tblCellMar>
            <w:top w:w="0" w:type="dxa"/>
            <w:bottom w:w="0" w:type="dxa"/>
          </w:tblCellMar>
        </w:tblPrEx>
        <w:trPr>
          <w:jc w:val="center"/>
        </w:trPr>
        <w:tc>
          <w:tcPr>
            <w:tcW w:w="2096" w:type="dxa"/>
            <w:tcBorders>
              <w:bottom w:val="nil"/>
              <w:right w:val="single" w:sz="4" w:space="0" w:color="auto"/>
            </w:tcBorders>
          </w:tcPr>
          <w:p w:rsidR="00000000" w:rsidRDefault="006F5FAE">
            <w:pPr>
              <w:jc w:val="both"/>
              <w:rPr>
                <w:rFonts w:ascii="Arial" w:hAnsi="Arial"/>
                <w:sz w:val="24"/>
                <w:lang w:val="es-ES"/>
              </w:rPr>
            </w:pPr>
            <w:r>
              <w:rPr>
                <w:rFonts w:ascii="Arial" w:hAnsi="Arial"/>
                <w:sz w:val="24"/>
                <w:lang w:val="es-ES"/>
              </w:rPr>
              <w:t>Material Particulado PM2,5</w:t>
            </w:r>
          </w:p>
        </w:tc>
        <w:tc>
          <w:tcPr>
            <w:tcW w:w="6480" w:type="dxa"/>
            <w:tcBorders>
              <w:top w:val="nil"/>
              <w:left w:val="single" w:sz="4" w:space="0" w:color="auto"/>
              <w:bottom w:val="nil"/>
            </w:tcBorders>
          </w:tcPr>
          <w:p w:rsidR="00000000" w:rsidRDefault="006F5FAE">
            <w:pPr>
              <w:jc w:val="both"/>
              <w:rPr>
                <w:rFonts w:ascii="Arial" w:hAnsi="Arial"/>
                <w:sz w:val="24"/>
              </w:rPr>
            </w:pPr>
            <w:r>
              <w:rPr>
                <w:rFonts w:ascii="Arial" w:hAnsi="Arial"/>
                <w:b/>
                <w:sz w:val="24"/>
              </w:rPr>
              <w:t>Nombre:</w:t>
            </w:r>
            <w:r>
              <w:rPr>
                <w:rFonts w:ascii="Arial" w:hAnsi="Arial"/>
                <w:sz w:val="24"/>
              </w:rPr>
              <w:t xml:space="preserve">  Método Gravimétrico, medi</w:t>
            </w:r>
            <w:r>
              <w:rPr>
                <w:rFonts w:ascii="Arial" w:hAnsi="Arial"/>
                <w:sz w:val="24"/>
              </w:rPr>
              <w:t>ante muestreador de bajo caudal.</w:t>
            </w:r>
          </w:p>
          <w:p w:rsidR="00000000" w:rsidRDefault="006F5FAE">
            <w:pPr>
              <w:jc w:val="both"/>
              <w:rPr>
                <w:rFonts w:ascii="Arial" w:hAnsi="Arial"/>
                <w:sz w:val="24"/>
              </w:rPr>
            </w:pPr>
          </w:p>
        </w:tc>
      </w:tr>
      <w:tr w:rsidR="00000000">
        <w:tblPrEx>
          <w:tblCellMar>
            <w:top w:w="0" w:type="dxa"/>
            <w:bottom w:w="0" w:type="dxa"/>
          </w:tblCellMar>
        </w:tblPrEx>
        <w:trPr>
          <w:jc w:val="center"/>
        </w:trPr>
        <w:tc>
          <w:tcPr>
            <w:tcW w:w="2096" w:type="dxa"/>
            <w:tcBorders>
              <w:top w:val="nil"/>
              <w:bottom w:val="nil"/>
              <w:right w:val="single" w:sz="4" w:space="0" w:color="auto"/>
            </w:tcBorders>
          </w:tcPr>
          <w:p w:rsidR="00000000" w:rsidRDefault="006F5FAE">
            <w:pPr>
              <w:jc w:val="both"/>
              <w:rPr>
                <w:rFonts w:ascii="Arial" w:hAnsi="Arial"/>
                <w:sz w:val="24"/>
                <w:lang w:val="es-ES"/>
              </w:rPr>
            </w:pPr>
          </w:p>
        </w:tc>
        <w:tc>
          <w:tcPr>
            <w:tcW w:w="6480" w:type="dxa"/>
            <w:tcBorders>
              <w:top w:val="nil"/>
              <w:left w:val="single" w:sz="4" w:space="0" w:color="auto"/>
              <w:bottom w:val="nil"/>
            </w:tcBorders>
          </w:tcPr>
          <w:p w:rsidR="00000000" w:rsidRDefault="006F5FAE">
            <w:pPr>
              <w:jc w:val="both"/>
              <w:rPr>
                <w:rFonts w:ascii="Arial" w:hAnsi="Arial"/>
                <w:sz w:val="24"/>
                <w:lang w:val="en-US"/>
              </w:rPr>
            </w:pPr>
            <w:r>
              <w:rPr>
                <w:rFonts w:ascii="Arial" w:hAnsi="Arial"/>
                <w:b/>
                <w:sz w:val="24"/>
                <w:lang w:val="en-US"/>
              </w:rPr>
              <w:t>Referencia:</w:t>
            </w:r>
            <w:r>
              <w:rPr>
                <w:rFonts w:ascii="Arial" w:hAnsi="Arial"/>
                <w:sz w:val="24"/>
                <w:lang w:val="en-US"/>
              </w:rPr>
              <w:t xml:space="preserve">  40 CFR Part 50, Appendix J o Appendix L.</w:t>
            </w:r>
          </w:p>
          <w:p w:rsidR="00000000" w:rsidRDefault="006F5FAE">
            <w:pPr>
              <w:jc w:val="both"/>
              <w:rPr>
                <w:rFonts w:ascii="Arial" w:hAnsi="Arial"/>
                <w:sz w:val="24"/>
                <w:lang w:val="en-US"/>
              </w:rPr>
            </w:pPr>
          </w:p>
        </w:tc>
      </w:tr>
      <w:tr w:rsidR="00000000">
        <w:tblPrEx>
          <w:tblCellMar>
            <w:top w:w="0" w:type="dxa"/>
            <w:bottom w:w="0" w:type="dxa"/>
          </w:tblCellMar>
        </w:tblPrEx>
        <w:trPr>
          <w:jc w:val="center"/>
        </w:trPr>
        <w:tc>
          <w:tcPr>
            <w:tcW w:w="2096" w:type="dxa"/>
            <w:tcBorders>
              <w:top w:val="nil"/>
              <w:bottom w:val="nil"/>
              <w:right w:val="single" w:sz="4" w:space="0" w:color="auto"/>
            </w:tcBorders>
          </w:tcPr>
          <w:p w:rsidR="00000000" w:rsidRDefault="006F5FAE">
            <w:pPr>
              <w:jc w:val="both"/>
              <w:rPr>
                <w:rFonts w:ascii="Arial" w:hAnsi="Arial"/>
                <w:sz w:val="24"/>
                <w:lang w:val="es-ES"/>
              </w:rPr>
            </w:pPr>
          </w:p>
        </w:tc>
        <w:tc>
          <w:tcPr>
            <w:tcW w:w="6480" w:type="dxa"/>
            <w:tcBorders>
              <w:top w:val="nil"/>
              <w:left w:val="single" w:sz="4" w:space="0" w:color="auto"/>
              <w:bottom w:val="nil"/>
            </w:tcBorders>
          </w:tcPr>
          <w:p w:rsidR="00000000" w:rsidRDefault="006F5FAE">
            <w:pPr>
              <w:jc w:val="both"/>
              <w:rPr>
                <w:rFonts w:ascii="Arial" w:hAnsi="Arial"/>
                <w:sz w:val="24"/>
                <w:lang w:val="es-ES"/>
              </w:rPr>
            </w:pPr>
            <w:r>
              <w:rPr>
                <w:rFonts w:ascii="Arial" w:hAnsi="Arial"/>
                <w:b/>
                <w:sz w:val="24"/>
                <w:lang w:val="es-ES"/>
              </w:rPr>
              <w:t>Descripción:</w:t>
            </w:r>
            <w:r>
              <w:rPr>
                <w:rFonts w:ascii="Arial" w:hAnsi="Arial"/>
                <w:sz w:val="24"/>
                <w:lang w:val="es-ES"/>
              </w:rPr>
              <w:t xml:space="preserve">  el equipo muestreador, de bajo caudal, estará equipado con una entrada aerodinámica capaz de separar aquellas partículas de tamaño superior a 2,5 mic</w:t>
            </w:r>
            <w:r>
              <w:rPr>
                <w:rFonts w:ascii="Arial" w:hAnsi="Arial"/>
                <w:sz w:val="24"/>
                <w:lang w:val="es-ES"/>
              </w:rPr>
              <w:t>rones de diámetro aerodinámico.  Las partículas menores a 2,5 micrones serán captadas en un filtro, y la concentración se determinará mediante el peso ganado por el filtro, dividido para el volumen total de aire muestreado en un período de 24 horas.</w:t>
            </w:r>
          </w:p>
          <w:p w:rsidR="00000000" w:rsidRDefault="006F5FAE">
            <w:pPr>
              <w:jc w:val="both"/>
              <w:rPr>
                <w:rFonts w:ascii="Arial" w:hAnsi="Arial"/>
                <w:sz w:val="24"/>
                <w:lang w:val="es-ES"/>
              </w:rPr>
            </w:pPr>
          </w:p>
          <w:p w:rsidR="00000000" w:rsidRDefault="006F5FAE">
            <w:pPr>
              <w:jc w:val="both"/>
              <w:rPr>
                <w:rFonts w:ascii="Arial" w:hAnsi="Arial"/>
                <w:sz w:val="24"/>
                <w:lang w:val="es-ES"/>
              </w:rPr>
            </w:pPr>
            <w:r>
              <w:rPr>
                <w:rFonts w:ascii="Arial" w:hAnsi="Arial"/>
                <w:b/>
                <w:sz w:val="24"/>
                <w:lang w:val="es-ES"/>
              </w:rPr>
              <w:t>Métod</w:t>
            </w:r>
            <w:r>
              <w:rPr>
                <w:rFonts w:ascii="Arial" w:hAnsi="Arial"/>
                <w:b/>
                <w:sz w:val="24"/>
                <w:lang w:val="es-ES"/>
              </w:rPr>
              <w:t>os Alternos:</w:t>
            </w:r>
            <w:r>
              <w:rPr>
                <w:rFonts w:ascii="Arial" w:hAnsi="Arial"/>
                <w:sz w:val="24"/>
                <w:lang w:val="es-ES"/>
              </w:rPr>
              <w:t xml:space="preserve"> podrán ser también utilizados los denominados métodos de medición continua, del tipo Microbalanza Oscilante o del tipo Atenuación Beta, según se describió para material particulado PM10.</w:t>
            </w:r>
          </w:p>
          <w:p w:rsidR="00000000" w:rsidRDefault="006F5FAE">
            <w:pPr>
              <w:jc w:val="both"/>
              <w:rPr>
                <w:rFonts w:ascii="Arial" w:hAnsi="Arial"/>
                <w:sz w:val="24"/>
                <w:lang w:val="es-ES"/>
              </w:rPr>
            </w:pPr>
          </w:p>
          <w:p w:rsidR="00000000" w:rsidRDefault="006F5FAE">
            <w:pPr>
              <w:jc w:val="both"/>
              <w:rPr>
                <w:rFonts w:ascii="Arial" w:hAnsi="Arial"/>
                <w:sz w:val="24"/>
                <w:lang w:val="es-ES"/>
              </w:rPr>
            </w:pPr>
          </w:p>
        </w:tc>
      </w:tr>
      <w:tr w:rsidR="00000000">
        <w:tblPrEx>
          <w:tblCellMar>
            <w:top w:w="0" w:type="dxa"/>
            <w:bottom w:w="0" w:type="dxa"/>
          </w:tblCellMar>
        </w:tblPrEx>
        <w:trPr>
          <w:jc w:val="center"/>
        </w:trPr>
        <w:tc>
          <w:tcPr>
            <w:tcW w:w="2096" w:type="dxa"/>
            <w:tcBorders>
              <w:top w:val="nil"/>
              <w:right w:val="single" w:sz="4" w:space="0" w:color="auto"/>
            </w:tcBorders>
          </w:tcPr>
          <w:p w:rsidR="00000000" w:rsidRDefault="006F5FAE">
            <w:pPr>
              <w:jc w:val="both"/>
              <w:rPr>
                <w:rFonts w:ascii="Arial" w:hAnsi="Arial"/>
                <w:sz w:val="24"/>
                <w:lang w:val="es-ES"/>
              </w:rPr>
            </w:pPr>
            <w:r>
              <w:rPr>
                <w:rFonts w:ascii="Arial" w:hAnsi="Arial"/>
                <w:sz w:val="24"/>
                <w:lang w:val="es-ES"/>
              </w:rPr>
              <w:t>Dióxido de Azufre</w:t>
            </w:r>
          </w:p>
        </w:tc>
        <w:tc>
          <w:tcPr>
            <w:tcW w:w="6480" w:type="dxa"/>
            <w:tcBorders>
              <w:top w:val="nil"/>
              <w:left w:val="single" w:sz="4" w:space="0" w:color="auto"/>
              <w:bottom w:val="single" w:sz="4" w:space="0" w:color="auto"/>
            </w:tcBorders>
          </w:tcPr>
          <w:p w:rsidR="00000000" w:rsidRDefault="006F5FAE">
            <w:pPr>
              <w:jc w:val="both"/>
              <w:rPr>
                <w:rFonts w:ascii="Arial" w:hAnsi="Arial"/>
                <w:sz w:val="24"/>
              </w:rPr>
            </w:pPr>
            <w:r>
              <w:rPr>
                <w:rFonts w:ascii="Arial" w:hAnsi="Arial"/>
                <w:sz w:val="24"/>
              </w:rPr>
              <w:t>Nombre:</w:t>
            </w:r>
          </w:p>
          <w:p w:rsidR="00000000" w:rsidRDefault="006F5FAE">
            <w:pPr>
              <w:jc w:val="both"/>
              <w:rPr>
                <w:rFonts w:ascii="Arial" w:hAnsi="Arial"/>
                <w:sz w:val="24"/>
              </w:rPr>
            </w:pPr>
            <w:r>
              <w:rPr>
                <w:rFonts w:ascii="Arial" w:hAnsi="Arial"/>
                <w:sz w:val="24"/>
              </w:rPr>
              <w:t>Método de la Pararosanilina</w:t>
            </w:r>
            <w:r>
              <w:rPr>
                <w:rFonts w:ascii="Arial" w:hAnsi="Arial"/>
                <w:sz w:val="24"/>
              </w:rPr>
              <w:t>:  absorción en medio líquido y análisis colorimétrico posterior.</w:t>
            </w:r>
          </w:p>
          <w:p w:rsidR="00000000" w:rsidRDefault="006F5FAE">
            <w:pPr>
              <w:jc w:val="both"/>
              <w:rPr>
                <w:rFonts w:ascii="Arial" w:hAnsi="Arial"/>
                <w:sz w:val="24"/>
              </w:rPr>
            </w:pPr>
            <w:r>
              <w:rPr>
                <w:rFonts w:ascii="Arial" w:hAnsi="Arial"/>
                <w:sz w:val="24"/>
              </w:rPr>
              <w:t>Analizador Continuo por Fluorescencia.</w:t>
            </w:r>
          </w:p>
          <w:p w:rsidR="00000000" w:rsidRDefault="006F5FAE">
            <w:pPr>
              <w:jc w:val="both"/>
              <w:rPr>
                <w:rFonts w:ascii="Arial" w:hAnsi="Arial"/>
                <w:sz w:val="24"/>
              </w:rPr>
            </w:pPr>
          </w:p>
        </w:tc>
      </w:tr>
    </w:tbl>
    <w:p w:rsidR="00000000" w:rsidRDefault="006F5FAE">
      <w:pPr>
        <w:jc w:val="both"/>
        <w:rPr>
          <w:rFonts w:ascii="Arial" w:hAnsi="Arial"/>
          <w:sz w:val="24"/>
          <w:lang w:val="es-ES"/>
        </w:rPr>
      </w:pPr>
      <w:r>
        <w:rPr>
          <w:rFonts w:ascii="Arial" w:hAnsi="Arial"/>
          <w:sz w:val="24"/>
          <w:lang w:val="es-ES"/>
        </w:rPr>
        <w:tab/>
      </w:r>
      <w:r>
        <w:rPr>
          <w:rFonts w:ascii="Arial" w:hAnsi="Arial"/>
          <w:sz w:val="24"/>
          <w:lang w:val="en-US"/>
        </w:rPr>
        <w:tab/>
      </w:r>
      <w:r>
        <w:rPr>
          <w:rFonts w:ascii="Arial" w:hAnsi="Arial"/>
          <w:sz w:val="24"/>
          <w:lang w:val="en-US"/>
        </w:rPr>
        <w:tab/>
      </w:r>
      <w:r>
        <w:rPr>
          <w:rFonts w:ascii="Arial" w:hAnsi="Arial"/>
          <w:sz w:val="24"/>
          <w:lang w:val="es-ES"/>
        </w:rPr>
        <w:t>Continua…</w:t>
      </w:r>
    </w:p>
    <w:p w:rsidR="00000000" w:rsidRDefault="006F5FAE">
      <w:pPr>
        <w:jc w:val="both"/>
        <w:rPr>
          <w:rFonts w:ascii="Arial" w:hAnsi="Arial"/>
          <w:sz w:val="24"/>
          <w:lang w:val="es-ES"/>
        </w:rPr>
      </w:pPr>
    </w:p>
    <w:p w:rsidR="00000000" w:rsidRDefault="006F5FAE">
      <w:pPr>
        <w:jc w:val="both"/>
        <w:rPr>
          <w:rFonts w:ascii="Arial" w:hAnsi="Arial"/>
          <w:sz w:val="24"/>
          <w:lang w:val="es-ES"/>
        </w:rPr>
      </w:pPr>
    </w:p>
    <w:p w:rsidR="00000000" w:rsidRDefault="006F5FAE">
      <w:pPr>
        <w:jc w:val="both"/>
        <w:rPr>
          <w:rFonts w:ascii="Arial" w:hAnsi="Arial"/>
          <w:sz w:val="24"/>
          <w:lang w:val="es-ES"/>
        </w:rPr>
      </w:pPr>
    </w:p>
    <w:p w:rsidR="00000000" w:rsidRDefault="006F5FAE">
      <w:pPr>
        <w:jc w:val="both"/>
        <w:rPr>
          <w:rFonts w:ascii="Arial" w:hAnsi="Arial"/>
          <w:sz w:val="24"/>
          <w:lang w:val="es-ES"/>
        </w:rPr>
      </w:pPr>
      <w:r>
        <w:rPr>
          <w:rFonts w:ascii="Arial" w:hAnsi="Arial"/>
          <w:sz w:val="24"/>
          <w:lang w:val="es-ES"/>
        </w:rPr>
        <w:tab/>
        <w:t>…Continuación</w:t>
      </w:r>
    </w:p>
    <w:p w:rsidR="00000000" w:rsidRDefault="006F5FAE">
      <w:pPr>
        <w:pStyle w:val="Ttulo7"/>
        <w:jc w:val="both"/>
        <w:rPr>
          <w:rFonts w:ascii="Arial" w:hAnsi="Arial"/>
          <w:smallCaps w:val="0"/>
          <w:sz w:val="24"/>
        </w:rPr>
      </w:pPr>
      <w:r>
        <w:rPr>
          <w:rFonts w:ascii="Arial" w:hAnsi="Arial"/>
          <w:smallCaps w:val="0"/>
          <w:sz w:val="24"/>
        </w:rPr>
        <w:t>Tabla 2.  Métodos de medición de concentraciones de contaminantes comunes del aire</w:t>
      </w:r>
    </w:p>
    <w:p w:rsidR="00000000" w:rsidRDefault="006F5FAE">
      <w:pPr>
        <w:jc w:val="both"/>
        <w:rPr>
          <w:rFonts w:ascii="Arial" w:hAnsi="Arial"/>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096"/>
        <w:gridCol w:w="6480"/>
      </w:tblGrid>
      <w:tr w:rsidR="00000000">
        <w:tblPrEx>
          <w:tblCellMar>
            <w:top w:w="0" w:type="dxa"/>
            <w:bottom w:w="0" w:type="dxa"/>
          </w:tblCellMar>
        </w:tblPrEx>
        <w:trPr>
          <w:tblHeader/>
          <w:jc w:val="center"/>
        </w:trPr>
        <w:tc>
          <w:tcPr>
            <w:tcW w:w="2096" w:type="dxa"/>
            <w:tcBorders>
              <w:top w:val="single" w:sz="4" w:space="0" w:color="auto"/>
              <w:bottom w:val="single" w:sz="4" w:space="0" w:color="auto"/>
              <w:right w:val="single" w:sz="4" w:space="0" w:color="auto"/>
            </w:tcBorders>
          </w:tcPr>
          <w:p w:rsidR="00000000" w:rsidRDefault="006F5FAE">
            <w:pPr>
              <w:jc w:val="both"/>
              <w:rPr>
                <w:rFonts w:ascii="Arial" w:hAnsi="Arial"/>
                <w:sz w:val="24"/>
              </w:rPr>
            </w:pPr>
            <w:r>
              <w:rPr>
                <w:rFonts w:ascii="Arial" w:hAnsi="Arial"/>
                <w:sz w:val="24"/>
              </w:rPr>
              <w:t>CONTAMINANTE</w:t>
            </w:r>
          </w:p>
        </w:tc>
        <w:tc>
          <w:tcPr>
            <w:tcW w:w="6480" w:type="dxa"/>
            <w:tcBorders>
              <w:top w:val="single" w:sz="4" w:space="0" w:color="auto"/>
              <w:left w:val="single" w:sz="4" w:space="0" w:color="auto"/>
              <w:bottom w:val="single" w:sz="4" w:space="0" w:color="auto"/>
            </w:tcBorders>
          </w:tcPr>
          <w:p w:rsidR="00000000" w:rsidRDefault="006F5FAE">
            <w:pPr>
              <w:jc w:val="both"/>
              <w:rPr>
                <w:rFonts w:ascii="Arial" w:hAnsi="Arial"/>
                <w:sz w:val="24"/>
              </w:rPr>
            </w:pPr>
            <w:r>
              <w:rPr>
                <w:rFonts w:ascii="Arial" w:hAnsi="Arial"/>
                <w:sz w:val="24"/>
              </w:rPr>
              <w:t xml:space="preserve">NOMBRE, REFERENCIA Y </w:t>
            </w:r>
            <w:r>
              <w:rPr>
                <w:rFonts w:ascii="Arial" w:hAnsi="Arial"/>
                <w:sz w:val="24"/>
              </w:rPr>
              <w:t>DESCRIPCIÓN DEL MÉTODO</w:t>
            </w:r>
          </w:p>
        </w:tc>
      </w:tr>
      <w:tr w:rsidR="00000000">
        <w:tblPrEx>
          <w:tblCellMar>
            <w:top w:w="0" w:type="dxa"/>
            <w:bottom w:w="0" w:type="dxa"/>
          </w:tblCellMar>
        </w:tblPrEx>
        <w:trPr>
          <w:jc w:val="center"/>
        </w:trPr>
        <w:tc>
          <w:tcPr>
            <w:tcW w:w="2096" w:type="dxa"/>
            <w:tcBorders>
              <w:right w:val="single" w:sz="4" w:space="0" w:color="auto"/>
            </w:tcBorders>
          </w:tcPr>
          <w:p w:rsidR="00000000" w:rsidRDefault="006F5FAE">
            <w:pPr>
              <w:jc w:val="both"/>
              <w:rPr>
                <w:rFonts w:ascii="Arial" w:hAnsi="Arial"/>
                <w:sz w:val="24"/>
              </w:rPr>
            </w:pPr>
          </w:p>
        </w:tc>
        <w:tc>
          <w:tcPr>
            <w:tcW w:w="6480" w:type="dxa"/>
            <w:tcBorders>
              <w:top w:val="nil"/>
              <w:left w:val="single" w:sz="4" w:space="0" w:color="auto"/>
              <w:bottom w:val="nil"/>
            </w:tcBorders>
          </w:tcPr>
          <w:p w:rsidR="00000000" w:rsidRDefault="006F5FAE">
            <w:pPr>
              <w:jc w:val="both"/>
              <w:rPr>
                <w:rFonts w:ascii="Arial" w:hAnsi="Arial"/>
                <w:sz w:val="24"/>
                <w:lang w:val="es-ES"/>
              </w:rPr>
            </w:pPr>
            <w:r>
              <w:rPr>
                <w:rFonts w:ascii="Arial" w:hAnsi="Arial"/>
                <w:sz w:val="24"/>
                <w:lang w:val="es-ES"/>
              </w:rPr>
              <w:t>Referencias:</w:t>
            </w:r>
          </w:p>
          <w:p w:rsidR="00000000" w:rsidRDefault="006F5FAE">
            <w:pPr>
              <w:jc w:val="both"/>
              <w:rPr>
                <w:rFonts w:ascii="Arial" w:hAnsi="Arial"/>
                <w:sz w:val="24"/>
                <w:lang w:val="es-ES"/>
              </w:rPr>
            </w:pPr>
            <w:r>
              <w:rPr>
                <w:rFonts w:ascii="Arial" w:hAnsi="Arial"/>
                <w:sz w:val="24"/>
                <w:lang w:val="es-ES"/>
              </w:rPr>
              <w:t>Método de la Pararosanilina:  40 CFR Part 50, Appendix A.</w:t>
            </w:r>
          </w:p>
          <w:p w:rsidR="00000000" w:rsidRDefault="006F5FAE">
            <w:pPr>
              <w:jc w:val="both"/>
              <w:rPr>
                <w:rFonts w:ascii="Arial" w:hAnsi="Arial"/>
                <w:sz w:val="24"/>
                <w:lang w:val="es-ES"/>
              </w:rPr>
            </w:pPr>
            <w:r>
              <w:rPr>
                <w:rFonts w:ascii="Arial" w:hAnsi="Arial"/>
                <w:sz w:val="24"/>
                <w:lang w:val="es-ES"/>
              </w:rPr>
              <w:t>Fluorescencia:  Diferentes fabricantes cuyos equipos se encuentren aprobados por la agencia de protección ambiental de EE.UU.</w:t>
            </w:r>
          </w:p>
          <w:p w:rsidR="00000000" w:rsidRDefault="006F5FAE">
            <w:pPr>
              <w:jc w:val="both"/>
              <w:rPr>
                <w:rFonts w:ascii="Arial" w:hAnsi="Arial"/>
                <w:sz w:val="24"/>
                <w:lang w:val="es-ES"/>
              </w:rPr>
            </w:pPr>
          </w:p>
        </w:tc>
      </w:tr>
      <w:tr w:rsidR="00000000">
        <w:tblPrEx>
          <w:tblCellMar>
            <w:top w:w="0" w:type="dxa"/>
            <w:bottom w:w="0" w:type="dxa"/>
          </w:tblCellMar>
        </w:tblPrEx>
        <w:trPr>
          <w:jc w:val="center"/>
        </w:trPr>
        <w:tc>
          <w:tcPr>
            <w:tcW w:w="2096" w:type="dxa"/>
            <w:tcBorders>
              <w:right w:val="single" w:sz="4" w:space="0" w:color="auto"/>
            </w:tcBorders>
          </w:tcPr>
          <w:p w:rsidR="00000000" w:rsidRDefault="006F5FAE">
            <w:pPr>
              <w:jc w:val="both"/>
              <w:rPr>
                <w:rFonts w:ascii="Arial" w:hAnsi="Arial"/>
                <w:sz w:val="24"/>
                <w:lang w:val="es-ES"/>
              </w:rPr>
            </w:pPr>
          </w:p>
        </w:tc>
        <w:tc>
          <w:tcPr>
            <w:tcW w:w="6480" w:type="dxa"/>
            <w:tcBorders>
              <w:top w:val="nil"/>
              <w:left w:val="single" w:sz="4" w:space="0" w:color="auto"/>
              <w:bottom w:val="nil"/>
            </w:tcBorders>
          </w:tcPr>
          <w:p w:rsidR="00000000" w:rsidRDefault="006F5FAE">
            <w:pPr>
              <w:jc w:val="both"/>
              <w:rPr>
                <w:rFonts w:ascii="Arial" w:hAnsi="Arial"/>
                <w:sz w:val="24"/>
                <w:lang w:val="es-ES"/>
              </w:rPr>
            </w:pPr>
            <w:r>
              <w:rPr>
                <w:rFonts w:ascii="Arial" w:hAnsi="Arial"/>
                <w:sz w:val="24"/>
                <w:lang w:val="es-ES"/>
              </w:rPr>
              <w:t>Descripción:</w:t>
            </w:r>
          </w:p>
          <w:p w:rsidR="00000000" w:rsidRDefault="006F5FAE">
            <w:pPr>
              <w:jc w:val="both"/>
              <w:rPr>
                <w:rFonts w:ascii="Arial" w:hAnsi="Arial"/>
                <w:sz w:val="24"/>
                <w:lang w:val="es-ES"/>
              </w:rPr>
            </w:pPr>
          </w:p>
          <w:p w:rsidR="00000000" w:rsidRDefault="006F5FAE">
            <w:pPr>
              <w:jc w:val="both"/>
              <w:rPr>
                <w:rFonts w:ascii="Arial" w:hAnsi="Arial"/>
                <w:sz w:val="24"/>
                <w:lang w:val="es-ES"/>
              </w:rPr>
            </w:pPr>
            <w:r>
              <w:rPr>
                <w:rFonts w:ascii="Arial" w:hAnsi="Arial"/>
                <w:sz w:val="24"/>
                <w:lang w:val="es-ES"/>
              </w:rPr>
              <w:t>Método de la Para</w:t>
            </w:r>
            <w:r>
              <w:rPr>
                <w:rFonts w:ascii="Arial" w:hAnsi="Arial"/>
                <w:sz w:val="24"/>
                <w:lang w:val="es-ES"/>
              </w:rPr>
              <w:t xml:space="preserve">rosanilina:  el dióxido de azufre es absorbido en una solución de potasio o de tetracloromercurato de sodio (TCM).  La muestra es acondicionada para evitar interferencias, en particular de metales y de agentes oxidantes, como ozono y óxidos de nitrógeno.  </w:t>
            </w:r>
            <w:r>
              <w:rPr>
                <w:rFonts w:ascii="Arial" w:hAnsi="Arial"/>
                <w:sz w:val="24"/>
                <w:lang w:val="es-ES"/>
              </w:rPr>
              <w:t>La solución es tratada con formaldehído, ácido fosfórico y pararosanilina, a fin de mantener condiciones adecuadas de pH y de color.  La concentración final se determina mediante colorímetro.</w:t>
            </w:r>
          </w:p>
          <w:p w:rsidR="00000000" w:rsidRDefault="006F5FAE">
            <w:pPr>
              <w:jc w:val="both"/>
              <w:rPr>
                <w:rFonts w:ascii="Arial" w:hAnsi="Arial"/>
                <w:sz w:val="24"/>
                <w:lang w:val="es-ES"/>
              </w:rPr>
            </w:pPr>
          </w:p>
          <w:p w:rsidR="00000000" w:rsidRDefault="006F5FAE">
            <w:pPr>
              <w:jc w:val="both"/>
              <w:rPr>
                <w:rFonts w:ascii="Arial" w:hAnsi="Arial"/>
                <w:sz w:val="24"/>
                <w:lang w:val="es-ES"/>
              </w:rPr>
            </w:pPr>
            <w:r>
              <w:rPr>
                <w:rFonts w:ascii="Arial" w:hAnsi="Arial"/>
                <w:sz w:val="24"/>
                <w:lang w:val="es-ES"/>
              </w:rPr>
              <w:t>Método Fluorescencia:  la concentración de dióxido de azufre es</w:t>
            </w:r>
            <w:r>
              <w:rPr>
                <w:rFonts w:ascii="Arial" w:hAnsi="Arial"/>
                <w:sz w:val="24"/>
                <w:lang w:val="es-ES"/>
              </w:rPr>
              <w:t xml:space="preserve"> determinada mediante la medición de la señal fluorescente generada al excitar a dicho compuesto en presencia de luz ultravioleta.</w:t>
            </w:r>
          </w:p>
          <w:p w:rsidR="00000000" w:rsidRDefault="006F5FAE">
            <w:pPr>
              <w:jc w:val="both"/>
              <w:rPr>
                <w:rFonts w:ascii="Arial" w:hAnsi="Arial"/>
                <w:sz w:val="24"/>
                <w:lang w:val="es-ES"/>
              </w:rPr>
            </w:pPr>
          </w:p>
        </w:tc>
      </w:tr>
      <w:tr w:rsidR="00000000">
        <w:tblPrEx>
          <w:tblCellMar>
            <w:top w:w="0" w:type="dxa"/>
            <w:bottom w:w="0" w:type="dxa"/>
          </w:tblCellMar>
        </w:tblPrEx>
        <w:trPr>
          <w:jc w:val="center"/>
        </w:trPr>
        <w:tc>
          <w:tcPr>
            <w:tcW w:w="2096" w:type="dxa"/>
            <w:tcBorders>
              <w:bottom w:val="nil"/>
              <w:right w:val="single" w:sz="4" w:space="0" w:color="auto"/>
            </w:tcBorders>
          </w:tcPr>
          <w:p w:rsidR="00000000" w:rsidRDefault="006F5FAE">
            <w:pPr>
              <w:jc w:val="both"/>
              <w:rPr>
                <w:rFonts w:ascii="Arial" w:hAnsi="Arial"/>
                <w:sz w:val="24"/>
                <w:lang w:val="es-ES"/>
              </w:rPr>
            </w:pPr>
            <w:r>
              <w:rPr>
                <w:rFonts w:ascii="Arial" w:hAnsi="Arial"/>
                <w:sz w:val="24"/>
                <w:lang w:val="es-ES"/>
              </w:rPr>
              <w:t>Monóxido de Carbono</w:t>
            </w:r>
          </w:p>
        </w:tc>
        <w:tc>
          <w:tcPr>
            <w:tcW w:w="6480" w:type="dxa"/>
            <w:tcBorders>
              <w:top w:val="nil"/>
              <w:left w:val="single" w:sz="4" w:space="0" w:color="auto"/>
              <w:bottom w:val="nil"/>
            </w:tcBorders>
          </w:tcPr>
          <w:p w:rsidR="00000000" w:rsidRDefault="006F5FAE">
            <w:pPr>
              <w:jc w:val="both"/>
              <w:rPr>
                <w:rFonts w:ascii="Arial" w:hAnsi="Arial"/>
                <w:sz w:val="24"/>
              </w:rPr>
            </w:pPr>
            <w:r>
              <w:rPr>
                <w:rFonts w:ascii="Arial" w:hAnsi="Arial"/>
                <w:b/>
                <w:sz w:val="24"/>
              </w:rPr>
              <w:t>Nombre:</w:t>
            </w:r>
            <w:r>
              <w:rPr>
                <w:rFonts w:ascii="Arial" w:hAnsi="Arial"/>
                <w:sz w:val="24"/>
              </w:rPr>
              <w:t xml:space="preserve">  Analizador infrarrojo no dispersivo (NDIR)</w:t>
            </w:r>
          </w:p>
          <w:p w:rsidR="00000000" w:rsidRDefault="006F5FAE">
            <w:pPr>
              <w:jc w:val="both"/>
              <w:rPr>
                <w:rFonts w:ascii="Arial" w:hAnsi="Arial"/>
                <w:sz w:val="24"/>
              </w:rPr>
            </w:pPr>
          </w:p>
        </w:tc>
      </w:tr>
      <w:tr w:rsidR="00000000">
        <w:tblPrEx>
          <w:tblCellMar>
            <w:top w:w="0" w:type="dxa"/>
            <w:bottom w:w="0" w:type="dxa"/>
          </w:tblCellMar>
        </w:tblPrEx>
        <w:trPr>
          <w:jc w:val="center"/>
        </w:trPr>
        <w:tc>
          <w:tcPr>
            <w:tcW w:w="2096" w:type="dxa"/>
            <w:tcBorders>
              <w:top w:val="nil"/>
              <w:bottom w:val="nil"/>
              <w:right w:val="single" w:sz="4" w:space="0" w:color="auto"/>
            </w:tcBorders>
          </w:tcPr>
          <w:p w:rsidR="00000000" w:rsidRDefault="006F5FAE">
            <w:pPr>
              <w:jc w:val="both"/>
              <w:rPr>
                <w:rFonts w:ascii="Arial" w:hAnsi="Arial"/>
                <w:sz w:val="24"/>
                <w:lang w:val="es-ES"/>
              </w:rPr>
            </w:pPr>
          </w:p>
        </w:tc>
        <w:tc>
          <w:tcPr>
            <w:tcW w:w="6480" w:type="dxa"/>
            <w:tcBorders>
              <w:top w:val="nil"/>
              <w:left w:val="single" w:sz="4" w:space="0" w:color="auto"/>
              <w:bottom w:val="nil"/>
            </w:tcBorders>
          </w:tcPr>
          <w:p w:rsidR="00000000" w:rsidRDefault="006F5FAE">
            <w:pPr>
              <w:jc w:val="both"/>
              <w:rPr>
                <w:rFonts w:ascii="Arial" w:hAnsi="Arial"/>
                <w:sz w:val="24"/>
                <w:lang w:val="en-US"/>
              </w:rPr>
            </w:pPr>
            <w:r>
              <w:rPr>
                <w:rFonts w:ascii="Arial" w:hAnsi="Arial"/>
                <w:b/>
                <w:sz w:val="24"/>
                <w:lang w:val="en-US"/>
              </w:rPr>
              <w:t>Referencia:</w:t>
            </w:r>
            <w:r>
              <w:rPr>
                <w:rFonts w:ascii="Arial" w:hAnsi="Arial"/>
                <w:sz w:val="24"/>
                <w:lang w:val="en-US"/>
              </w:rPr>
              <w:t xml:space="preserve">  40 CFR Part 50, Appendix C.</w:t>
            </w:r>
          </w:p>
          <w:p w:rsidR="00000000" w:rsidRDefault="006F5FAE">
            <w:pPr>
              <w:jc w:val="both"/>
              <w:rPr>
                <w:rFonts w:ascii="Arial" w:hAnsi="Arial"/>
                <w:sz w:val="24"/>
                <w:lang w:val="en-US"/>
              </w:rPr>
            </w:pPr>
          </w:p>
        </w:tc>
      </w:tr>
      <w:tr w:rsidR="00000000">
        <w:tblPrEx>
          <w:tblCellMar>
            <w:top w:w="0" w:type="dxa"/>
            <w:bottom w:w="0" w:type="dxa"/>
          </w:tblCellMar>
        </w:tblPrEx>
        <w:trPr>
          <w:jc w:val="center"/>
        </w:trPr>
        <w:tc>
          <w:tcPr>
            <w:tcW w:w="2096" w:type="dxa"/>
            <w:tcBorders>
              <w:top w:val="nil"/>
              <w:bottom w:val="nil"/>
              <w:right w:val="single" w:sz="4" w:space="0" w:color="auto"/>
            </w:tcBorders>
          </w:tcPr>
          <w:p w:rsidR="00000000" w:rsidRDefault="006F5FAE">
            <w:pPr>
              <w:jc w:val="both"/>
              <w:rPr>
                <w:rFonts w:ascii="Arial" w:hAnsi="Arial"/>
                <w:sz w:val="24"/>
              </w:rPr>
            </w:pPr>
          </w:p>
        </w:tc>
        <w:tc>
          <w:tcPr>
            <w:tcW w:w="6480" w:type="dxa"/>
            <w:tcBorders>
              <w:top w:val="nil"/>
              <w:left w:val="single" w:sz="4" w:space="0" w:color="auto"/>
              <w:bottom w:val="nil"/>
            </w:tcBorders>
          </w:tcPr>
          <w:p w:rsidR="00000000" w:rsidRDefault="006F5FAE">
            <w:pPr>
              <w:jc w:val="both"/>
              <w:rPr>
                <w:rFonts w:ascii="Arial" w:hAnsi="Arial"/>
                <w:sz w:val="24"/>
                <w:lang w:val="es-ES"/>
              </w:rPr>
            </w:pPr>
            <w:r>
              <w:rPr>
                <w:rFonts w:ascii="Arial" w:hAnsi="Arial"/>
                <w:b/>
                <w:sz w:val="24"/>
                <w:lang w:val="es-ES"/>
              </w:rPr>
              <w:t>Desc</w:t>
            </w:r>
            <w:r>
              <w:rPr>
                <w:rFonts w:ascii="Arial" w:hAnsi="Arial"/>
                <w:b/>
                <w:sz w:val="24"/>
                <w:lang w:val="es-ES"/>
              </w:rPr>
              <w:t>ripción:</w:t>
            </w:r>
            <w:r>
              <w:rPr>
                <w:rFonts w:ascii="Arial" w:hAnsi="Arial"/>
                <w:sz w:val="24"/>
                <w:lang w:val="es-ES"/>
              </w:rPr>
              <w:t xml:space="preserve">  el principio de medición consiste en determinar la concentración de monóxido de carbono mediante el cambio en absorción de energía infrarroja en diferentes longitudes de onda.</w:t>
            </w:r>
          </w:p>
          <w:p w:rsidR="00000000" w:rsidRDefault="006F5FAE">
            <w:pPr>
              <w:jc w:val="both"/>
              <w:rPr>
                <w:rFonts w:ascii="Arial" w:hAnsi="Arial"/>
                <w:sz w:val="24"/>
                <w:lang w:val="es-ES"/>
              </w:rPr>
            </w:pPr>
          </w:p>
        </w:tc>
      </w:tr>
      <w:tr w:rsidR="00000000">
        <w:tblPrEx>
          <w:tblCellMar>
            <w:top w:w="0" w:type="dxa"/>
            <w:bottom w:w="0" w:type="dxa"/>
          </w:tblCellMar>
        </w:tblPrEx>
        <w:trPr>
          <w:jc w:val="center"/>
        </w:trPr>
        <w:tc>
          <w:tcPr>
            <w:tcW w:w="2096" w:type="dxa"/>
            <w:tcBorders>
              <w:top w:val="nil"/>
              <w:right w:val="single" w:sz="4" w:space="0" w:color="auto"/>
            </w:tcBorders>
          </w:tcPr>
          <w:p w:rsidR="00000000" w:rsidRDefault="006F5FAE">
            <w:pPr>
              <w:jc w:val="both"/>
              <w:rPr>
                <w:rFonts w:ascii="Arial" w:hAnsi="Arial"/>
                <w:sz w:val="24"/>
                <w:lang w:val="es-ES"/>
              </w:rPr>
            </w:pPr>
            <w:r>
              <w:rPr>
                <w:rFonts w:ascii="Arial" w:hAnsi="Arial"/>
                <w:sz w:val="24"/>
                <w:lang w:val="es-ES"/>
              </w:rPr>
              <w:t>Oxidantes Fotoquímicos (como O3)</w:t>
            </w:r>
          </w:p>
        </w:tc>
        <w:tc>
          <w:tcPr>
            <w:tcW w:w="6480" w:type="dxa"/>
            <w:tcBorders>
              <w:top w:val="nil"/>
              <w:left w:val="single" w:sz="4" w:space="0" w:color="auto"/>
              <w:bottom w:val="nil"/>
            </w:tcBorders>
          </w:tcPr>
          <w:p w:rsidR="00000000" w:rsidRDefault="006F5FAE">
            <w:pPr>
              <w:jc w:val="both"/>
              <w:rPr>
                <w:rFonts w:ascii="Arial" w:hAnsi="Arial"/>
                <w:sz w:val="24"/>
                <w:lang w:val="es-ES"/>
              </w:rPr>
            </w:pPr>
            <w:r>
              <w:rPr>
                <w:rFonts w:ascii="Arial" w:hAnsi="Arial"/>
                <w:sz w:val="24"/>
                <w:lang w:val="es-ES"/>
              </w:rPr>
              <w:t>Nombre:</w:t>
            </w:r>
          </w:p>
          <w:p w:rsidR="00000000" w:rsidRDefault="006F5FAE">
            <w:pPr>
              <w:jc w:val="both"/>
              <w:rPr>
                <w:rFonts w:ascii="Arial" w:hAnsi="Arial"/>
                <w:sz w:val="24"/>
                <w:lang w:val="es-ES"/>
              </w:rPr>
            </w:pPr>
            <w:r>
              <w:rPr>
                <w:rFonts w:ascii="Arial" w:hAnsi="Arial"/>
                <w:sz w:val="24"/>
                <w:lang w:val="es-ES"/>
              </w:rPr>
              <w:t>Quimiluminiscencia</w:t>
            </w:r>
          </w:p>
          <w:p w:rsidR="00000000" w:rsidRDefault="006F5FAE">
            <w:pPr>
              <w:jc w:val="both"/>
              <w:rPr>
                <w:rFonts w:ascii="Arial" w:hAnsi="Arial"/>
                <w:sz w:val="24"/>
                <w:lang w:val="es-ES"/>
              </w:rPr>
            </w:pPr>
            <w:r>
              <w:rPr>
                <w:rFonts w:ascii="Arial" w:hAnsi="Arial"/>
                <w:sz w:val="24"/>
                <w:lang w:val="es-ES"/>
              </w:rPr>
              <w:t>Fotómetr</w:t>
            </w:r>
            <w:r>
              <w:rPr>
                <w:rFonts w:ascii="Arial" w:hAnsi="Arial"/>
                <w:sz w:val="24"/>
                <w:lang w:val="es-ES"/>
              </w:rPr>
              <w:t>o ultravioleta</w:t>
            </w:r>
          </w:p>
          <w:p w:rsidR="00000000" w:rsidRDefault="006F5FAE">
            <w:pPr>
              <w:jc w:val="both"/>
              <w:rPr>
                <w:rFonts w:ascii="Arial" w:hAnsi="Arial"/>
                <w:sz w:val="24"/>
                <w:lang w:val="es-ES"/>
              </w:rPr>
            </w:pPr>
          </w:p>
        </w:tc>
      </w:tr>
      <w:tr w:rsidR="00000000">
        <w:tblPrEx>
          <w:tblCellMar>
            <w:top w:w="0" w:type="dxa"/>
            <w:bottom w:w="0" w:type="dxa"/>
          </w:tblCellMar>
        </w:tblPrEx>
        <w:trPr>
          <w:jc w:val="center"/>
        </w:trPr>
        <w:tc>
          <w:tcPr>
            <w:tcW w:w="2096" w:type="dxa"/>
            <w:tcBorders>
              <w:bottom w:val="nil"/>
              <w:right w:val="single" w:sz="4" w:space="0" w:color="auto"/>
            </w:tcBorders>
          </w:tcPr>
          <w:p w:rsidR="00000000" w:rsidRDefault="006F5FAE">
            <w:pPr>
              <w:jc w:val="both"/>
              <w:rPr>
                <w:rFonts w:ascii="Arial" w:hAnsi="Arial"/>
                <w:sz w:val="24"/>
                <w:lang w:val="es-ES"/>
              </w:rPr>
            </w:pPr>
          </w:p>
        </w:tc>
        <w:tc>
          <w:tcPr>
            <w:tcW w:w="6480" w:type="dxa"/>
            <w:tcBorders>
              <w:top w:val="nil"/>
              <w:left w:val="single" w:sz="4" w:space="0" w:color="auto"/>
              <w:bottom w:val="nil"/>
            </w:tcBorders>
          </w:tcPr>
          <w:p w:rsidR="00000000" w:rsidRDefault="006F5FAE">
            <w:pPr>
              <w:jc w:val="both"/>
              <w:rPr>
                <w:rFonts w:ascii="Arial" w:hAnsi="Arial"/>
                <w:sz w:val="24"/>
                <w:lang w:val="en-US"/>
              </w:rPr>
            </w:pPr>
            <w:r>
              <w:rPr>
                <w:rFonts w:ascii="Arial" w:hAnsi="Arial"/>
                <w:b/>
                <w:sz w:val="24"/>
                <w:lang w:val="en-US"/>
              </w:rPr>
              <w:t>Referencia:</w:t>
            </w:r>
            <w:r>
              <w:rPr>
                <w:rFonts w:ascii="Arial" w:hAnsi="Arial"/>
                <w:sz w:val="24"/>
                <w:lang w:val="en-US"/>
              </w:rPr>
              <w:t xml:space="preserve">  40 CFR Part 50, Appendix D.</w:t>
            </w:r>
          </w:p>
          <w:p w:rsidR="00000000" w:rsidRDefault="006F5FAE">
            <w:pPr>
              <w:jc w:val="both"/>
              <w:rPr>
                <w:rFonts w:ascii="Arial" w:hAnsi="Arial"/>
                <w:sz w:val="24"/>
                <w:lang w:val="en-US"/>
              </w:rPr>
            </w:pPr>
          </w:p>
        </w:tc>
      </w:tr>
      <w:tr w:rsidR="00000000">
        <w:tblPrEx>
          <w:tblCellMar>
            <w:top w:w="0" w:type="dxa"/>
            <w:bottom w:w="0" w:type="dxa"/>
          </w:tblCellMar>
        </w:tblPrEx>
        <w:trPr>
          <w:jc w:val="center"/>
        </w:trPr>
        <w:tc>
          <w:tcPr>
            <w:tcW w:w="2096" w:type="dxa"/>
            <w:tcBorders>
              <w:top w:val="nil"/>
              <w:bottom w:val="single" w:sz="4" w:space="0" w:color="auto"/>
              <w:right w:val="single" w:sz="4" w:space="0" w:color="auto"/>
            </w:tcBorders>
          </w:tcPr>
          <w:p w:rsidR="00000000" w:rsidRDefault="006F5FAE">
            <w:pPr>
              <w:jc w:val="both"/>
              <w:rPr>
                <w:rFonts w:ascii="Arial" w:hAnsi="Arial"/>
                <w:sz w:val="24"/>
                <w:lang w:val="en-US"/>
              </w:rPr>
            </w:pPr>
          </w:p>
        </w:tc>
        <w:tc>
          <w:tcPr>
            <w:tcW w:w="6480" w:type="dxa"/>
            <w:tcBorders>
              <w:top w:val="nil"/>
              <w:left w:val="single" w:sz="4" w:space="0" w:color="auto"/>
              <w:bottom w:val="single" w:sz="4" w:space="0" w:color="auto"/>
            </w:tcBorders>
          </w:tcPr>
          <w:p w:rsidR="00000000" w:rsidRDefault="006F5FAE">
            <w:pPr>
              <w:jc w:val="both"/>
              <w:rPr>
                <w:rFonts w:ascii="Arial" w:hAnsi="Arial"/>
                <w:sz w:val="24"/>
                <w:lang w:val="es-ES"/>
              </w:rPr>
            </w:pPr>
            <w:r>
              <w:rPr>
                <w:rFonts w:ascii="Arial" w:hAnsi="Arial"/>
                <w:b/>
                <w:sz w:val="24"/>
                <w:lang w:val="es-ES"/>
              </w:rPr>
              <w:t>Descripción:</w:t>
            </w:r>
            <w:r>
              <w:rPr>
                <w:rFonts w:ascii="Arial" w:hAnsi="Arial"/>
                <w:sz w:val="24"/>
                <w:lang w:val="es-ES"/>
              </w:rPr>
              <w:t xml:space="preserve">  el principio de medición, para equipos con quimiluminiscencia, es la mezcla de aire con etileno, produciendo la reacción de el ozono.  Esta reacción libera luz (reacción quimilumin</w:t>
            </w:r>
            <w:r>
              <w:rPr>
                <w:rFonts w:ascii="Arial" w:hAnsi="Arial"/>
                <w:sz w:val="24"/>
                <w:lang w:val="es-ES"/>
              </w:rPr>
              <w:t>iscente), la cual es medida en un tubo fotomultiplicador.</w:t>
            </w:r>
          </w:p>
          <w:p w:rsidR="00000000" w:rsidRDefault="006F5FAE">
            <w:pPr>
              <w:jc w:val="both"/>
              <w:rPr>
                <w:rFonts w:ascii="Arial" w:hAnsi="Arial"/>
                <w:sz w:val="24"/>
                <w:lang w:val="es-ES"/>
              </w:rPr>
            </w:pPr>
          </w:p>
          <w:p w:rsidR="00000000" w:rsidRDefault="006F5FAE">
            <w:pPr>
              <w:jc w:val="both"/>
              <w:rPr>
                <w:rFonts w:ascii="Arial" w:hAnsi="Arial"/>
                <w:sz w:val="24"/>
                <w:lang w:val="es-ES"/>
              </w:rPr>
            </w:pPr>
            <w:r>
              <w:rPr>
                <w:rFonts w:ascii="Arial" w:hAnsi="Arial"/>
                <w:sz w:val="24"/>
                <w:lang w:val="es-ES"/>
              </w:rPr>
              <w:t>Para el caso de equipos con fotómetro ultravioleta, el principio de medición consiste en determinar la cantidad de luz absorbida a una longitud de onda de 254 nanómetros.</w:t>
            </w:r>
          </w:p>
        </w:tc>
      </w:tr>
    </w:tbl>
    <w:p w:rsidR="00000000" w:rsidRDefault="006F5FAE">
      <w:pPr>
        <w:jc w:val="both"/>
        <w:rPr>
          <w:rFonts w:ascii="Arial" w:hAnsi="Arial"/>
          <w:sz w:val="24"/>
          <w:lang w:val="es-ES"/>
        </w:rPr>
      </w:pPr>
      <w:r>
        <w:rPr>
          <w:rFonts w:ascii="Arial" w:hAnsi="Arial"/>
          <w:sz w:val="24"/>
          <w:lang w:val="es-ES"/>
        </w:rPr>
        <w:tab/>
      </w:r>
      <w:r>
        <w:rPr>
          <w:rFonts w:ascii="Arial" w:hAnsi="Arial"/>
          <w:sz w:val="24"/>
          <w:lang w:val="es-ES"/>
        </w:rPr>
        <w:tab/>
      </w:r>
      <w:r>
        <w:rPr>
          <w:rFonts w:ascii="Arial" w:hAnsi="Arial"/>
          <w:sz w:val="24"/>
          <w:lang w:val="en-US"/>
        </w:rPr>
        <w:tab/>
      </w:r>
      <w:r>
        <w:rPr>
          <w:rFonts w:ascii="Arial" w:hAnsi="Arial"/>
          <w:sz w:val="24"/>
          <w:lang w:val="en-US"/>
        </w:rPr>
        <w:tab/>
      </w:r>
      <w:r>
        <w:rPr>
          <w:rFonts w:ascii="Arial" w:hAnsi="Arial"/>
          <w:sz w:val="24"/>
          <w:lang w:val="es-ES"/>
        </w:rPr>
        <w:t>Continua…</w:t>
      </w:r>
    </w:p>
    <w:p w:rsidR="00000000" w:rsidRDefault="006F5FAE">
      <w:pPr>
        <w:jc w:val="both"/>
        <w:rPr>
          <w:rFonts w:ascii="Arial" w:hAnsi="Arial"/>
          <w:sz w:val="24"/>
          <w:lang w:val="es-ES"/>
        </w:rPr>
      </w:pPr>
    </w:p>
    <w:p w:rsidR="00000000" w:rsidRDefault="006F5FAE">
      <w:pPr>
        <w:jc w:val="both"/>
        <w:rPr>
          <w:rFonts w:ascii="Arial" w:hAnsi="Arial"/>
          <w:sz w:val="24"/>
          <w:lang w:val="es-ES"/>
        </w:rPr>
      </w:pPr>
    </w:p>
    <w:p w:rsidR="00000000" w:rsidRDefault="006F5FAE">
      <w:pPr>
        <w:jc w:val="both"/>
        <w:rPr>
          <w:rFonts w:ascii="Arial" w:hAnsi="Arial"/>
          <w:sz w:val="24"/>
          <w:lang w:val="es-ES"/>
        </w:rPr>
      </w:pPr>
    </w:p>
    <w:p w:rsidR="00000000" w:rsidRDefault="006F5FAE">
      <w:pPr>
        <w:jc w:val="both"/>
        <w:rPr>
          <w:rFonts w:ascii="Arial" w:hAnsi="Arial"/>
          <w:sz w:val="24"/>
          <w:lang w:val="es-ES"/>
        </w:rPr>
      </w:pPr>
    </w:p>
    <w:p w:rsidR="00000000" w:rsidRDefault="006F5FAE">
      <w:pPr>
        <w:jc w:val="both"/>
        <w:rPr>
          <w:rFonts w:ascii="Arial" w:hAnsi="Arial"/>
          <w:sz w:val="24"/>
          <w:lang w:val="es-ES"/>
        </w:rPr>
      </w:pPr>
      <w:r>
        <w:rPr>
          <w:rFonts w:ascii="Arial" w:hAnsi="Arial"/>
          <w:sz w:val="24"/>
          <w:lang w:val="es-ES"/>
        </w:rPr>
        <w:tab/>
        <w:t>…Conti</w:t>
      </w:r>
      <w:r>
        <w:rPr>
          <w:rFonts w:ascii="Arial" w:hAnsi="Arial"/>
          <w:sz w:val="24"/>
          <w:lang w:val="es-ES"/>
        </w:rPr>
        <w:t>nuación</w:t>
      </w:r>
    </w:p>
    <w:p w:rsidR="00000000" w:rsidRDefault="006F5FAE">
      <w:pPr>
        <w:pStyle w:val="Ttulo7"/>
        <w:jc w:val="both"/>
        <w:rPr>
          <w:rFonts w:ascii="Arial" w:hAnsi="Arial"/>
          <w:smallCaps w:val="0"/>
          <w:sz w:val="24"/>
        </w:rPr>
      </w:pPr>
      <w:r>
        <w:rPr>
          <w:rFonts w:ascii="Arial" w:hAnsi="Arial"/>
          <w:smallCaps w:val="0"/>
          <w:sz w:val="24"/>
        </w:rPr>
        <w:t>Tabla 2.  Métodos de medición de concentraciones de contaminantes comunes del aire</w:t>
      </w:r>
    </w:p>
    <w:p w:rsidR="00000000" w:rsidRDefault="006F5FAE">
      <w:pPr>
        <w:jc w:val="both"/>
        <w:rPr>
          <w:rFonts w:ascii="Arial" w:hAnsi="Arial"/>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096"/>
        <w:gridCol w:w="6480"/>
      </w:tblGrid>
      <w:tr w:rsidR="00000000">
        <w:tblPrEx>
          <w:tblCellMar>
            <w:top w:w="0" w:type="dxa"/>
            <w:bottom w:w="0" w:type="dxa"/>
          </w:tblCellMar>
        </w:tblPrEx>
        <w:trPr>
          <w:tblHeader/>
          <w:jc w:val="center"/>
        </w:trPr>
        <w:tc>
          <w:tcPr>
            <w:tcW w:w="2096" w:type="dxa"/>
            <w:tcBorders>
              <w:top w:val="single" w:sz="4" w:space="0" w:color="auto"/>
              <w:bottom w:val="single" w:sz="4" w:space="0" w:color="auto"/>
              <w:right w:val="single" w:sz="4" w:space="0" w:color="auto"/>
            </w:tcBorders>
          </w:tcPr>
          <w:p w:rsidR="00000000" w:rsidRDefault="006F5FAE">
            <w:pPr>
              <w:jc w:val="both"/>
              <w:rPr>
                <w:rFonts w:ascii="Arial" w:hAnsi="Arial"/>
                <w:sz w:val="24"/>
              </w:rPr>
            </w:pPr>
            <w:r>
              <w:rPr>
                <w:rFonts w:ascii="Arial" w:hAnsi="Arial"/>
                <w:sz w:val="24"/>
              </w:rPr>
              <w:t>CONTAMINANTE</w:t>
            </w:r>
          </w:p>
        </w:tc>
        <w:tc>
          <w:tcPr>
            <w:tcW w:w="6480" w:type="dxa"/>
            <w:tcBorders>
              <w:top w:val="single" w:sz="4" w:space="0" w:color="auto"/>
              <w:left w:val="single" w:sz="4" w:space="0" w:color="auto"/>
              <w:bottom w:val="single" w:sz="4" w:space="0" w:color="auto"/>
            </w:tcBorders>
          </w:tcPr>
          <w:p w:rsidR="00000000" w:rsidRDefault="006F5FAE">
            <w:pPr>
              <w:jc w:val="both"/>
              <w:rPr>
                <w:rFonts w:ascii="Arial" w:hAnsi="Arial"/>
                <w:sz w:val="24"/>
              </w:rPr>
            </w:pPr>
            <w:r>
              <w:rPr>
                <w:rFonts w:ascii="Arial" w:hAnsi="Arial"/>
                <w:sz w:val="24"/>
              </w:rPr>
              <w:t>NOMBRE, REFERENCIA Y DESCRIPCIÓN DEL MÉTODO</w:t>
            </w:r>
          </w:p>
        </w:tc>
      </w:tr>
      <w:tr w:rsidR="00000000">
        <w:tblPrEx>
          <w:tblCellMar>
            <w:top w:w="0" w:type="dxa"/>
            <w:bottom w:w="0" w:type="dxa"/>
          </w:tblCellMar>
        </w:tblPrEx>
        <w:trPr>
          <w:jc w:val="center"/>
        </w:trPr>
        <w:tc>
          <w:tcPr>
            <w:tcW w:w="2096" w:type="dxa"/>
            <w:tcBorders>
              <w:right w:val="single" w:sz="4" w:space="0" w:color="auto"/>
            </w:tcBorders>
          </w:tcPr>
          <w:p w:rsidR="00000000" w:rsidRDefault="006F5FAE">
            <w:pPr>
              <w:jc w:val="both"/>
              <w:rPr>
                <w:rFonts w:ascii="Arial" w:hAnsi="Arial"/>
                <w:sz w:val="24"/>
                <w:lang w:val="es-ES"/>
              </w:rPr>
            </w:pPr>
            <w:r>
              <w:rPr>
                <w:rFonts w:ascii="Arial" w:hAnsi="Arial"/>
                <w:sz w:val="24"/>
                <w:lang w:val="es-ES"/>
              </w:rPr>
              <w:t>Óxidos de Nitrógeno (como NO2)</w:t>
            </w:r>
          </w:p>
        </w:tc>
        <w:tc>
          <w:tcPr>
            <w:tcW w:w="6480" w:type="dxa"/>
            <w:tcBorders>
              <w:top w:val="nil"/>
              <w:left w:val="single" w:sz="4" w:space="0" w:color="auto"/>
              <w:bottom w:val="nil"/>
            </w:tcBorders>
          </w:tcPr>
          <w:p w:rsidR="00000000" w:rsidRDefault="006F5FAE">
            <w:pPr>
              <w:jc w:val="both"/>
              <w:rPr>
                <w:rFonts w:ascii="Arial" w:hAnsi="Arial"/>
                <w:sz w:val="24"/>
              </w:rPr>
            </w:pPr>
            <w:r>
              <w:rPr>
                <w:rFonts w:ascii="Arial" w:hAnsi="Arial"/>
                <w:b/>
                <w:sz w:val="24"/>
              </w:rPr>
              <w:t>Nombre:</w:t>
            </w:r>
            <w:r>
              <w:rPr>
                <w:rFonts w:ascii="Arial" w:hAnsi="Arial"/>
                <w:sz w:val="24"/>
              </w:rPr>
              <w:t xml:space="preserve">  Quimiluminiscencia</w:t>
            </w:r>
          </w:p>
          <w:p w:rsidR="00000000" w:rsidRDefault="006F5FAE">
            <w:pPr>
              <w:jc w:val="both"/>
              <w:rPr>
                <w:rFonts w:ascii="Arial" w:hAnsi="Arial"/>
                <w:sz w:val="24"/>
              </w:rPr>
            </w:pPr>
          </w:p>
        </w:tc>
      </w:tr>
      <w:tr w:rsidR="00000000">
        <w:tblPrEx>
          <w:tblCellMar>
            <w:top w:w="0" w:type="dxa"/>
            <w:bottom w:w="0" w:type="dxa"/>
          </w:tblCellMar>
        </w:tblPrEx>
        <w:trPr>
          <w:jc w:val="center"/>
        </w:trPr>
        <w:tc>
          <w:tcPr>
            <w:tcW w:w="2096" w:type="dxa"/>
            <w:tcBorders>
              <w:right w:val="single" w:sz="4" w:space="0" w:color="auto"/>
            </w:tcBorders>
          </w:tcPr>
          <w:p w:rsidR="00000000" w:rsidRDefault="006F5FAE">
            <w:pPr>
              <w:jc w:val="both"/>
              <w:rPr>
                <w:rFonts w:ascii="Arial" w:hAnsi="Arial"/>
                <w:sz w:val="24"/>
                <w:lang w:val="es-ES"/>
              </w:rPr>
            </w:pPr>
          </w:p>
        </w:tc>
        <w:tc>
          <w:tcPr>
            <w:tcW w:w="6480" w:type="dxa"/>
            <w:tcBorders>
              <w:top w:val="nil"/>
              <w:left w:val="single" w:sz="4" w:space="0" w:color="auto"/>
              <w:bottom w:val="nil"/>
            </w:tcBorders>
          </w:tcPr>
          <w:p w:rsidR="00000000" w:rsidRDefault="006F5FAE">
            <w:pPr>
              <w:jc w:val="both"/>
              <w:rPr>
                <w:rFonts w:ascii="Arial" w:hAnsi="Arial"/>
                <w:sz w:val="24"/>
                <w:lang w:val="es-ES"/>
              </w:rPr>
            </w:pPr>
            <w:r>
              <w:rPr>
                <w:rFonts w:ascii="Arial" w:hAnsi="Arial"/>
                <w:b/>
                <w:sz w:val="24"/>
                <w:lang w:val="es-ES"/>
              </w:rPr>
              <w:t>Referencia:</w:t>
            </w:r>
            <w:r>
              <w:rPr>
                <w:rFonts w:ascii="Arial" w:hAnsi="Arial"/>
                <w:sz w:val="24"/>
                <w:lang w:val="es-ES"/>
              </w:rPr>
              <w:t xml:space="preserve">  40 CFR Part 50, Appendix F.</w:t>
            </w:r>
          </w:p>
          <w:p w:rsidR="00000000" w:rsidRDefault="006F5FAE">
            <w:pPr>
              <w:jc w:val="both"/>
              <w:rPr>
                <w:rFonts w:ascii="Arial" w:hAnsi="Arial"/>
                <w:sz w:val="24"/>
                <w:lang w:val="es-ES"/>
              </w:rPr>
            </w:pPr>
          </w:p>
        </w:tc>
      </w:tr>
      <w:tr w:rsidR="00000000">
        <w:tblPrEx>
          <w:tblCellMar>
            <w:top w:w="0" w:type="dxa"/>
            <w:bottom w:w="0" w:type="dxa"/>
          </w:tblCellMar>
        </w:tblPrEx>
        <w:trPr>
          <w:jc w:val="center"/>
        </w:trPr>
        <w:tc>
          <w:tcPr>
            <w:tcW w:w="2096" w:type="dxa"/>
            <w:tcBorders>
              <w:right w:val="single" w:sz="4" w:space="0" w:color="auto"/>
            </w:tcBorders>
          </w:tcPr>
          <w:p w:rsidR="00000000" w:rsidRDefault="006F5FAE">
            <w:pPr>
              <w:jc w:val="both"/>
              <w:rPr>
                <w:rFonts w:ascii="Arial" w:hAnsi="Arial"/>
                <w:sz w:val="24"/>
                <w:lang w:val="es-ES"/>
              </w:rPr>
            </w:pPr>
          </w:p>
        </w:tc>
        <w:tc>
          <w:tcPr>
            <w:tcW w:w="6480" w:type="dxa"/>
            <w:tcBorders>
              <w:top w:val="nil"/>
              <w:left w:val="single" w:sz="4" w:space="0" w:color="auto"/>
              <w:bottom w:val="nil"/>
            </w:tcBorders>
          </w:tcPr>
          <w:p w:rsidR="00000000" w:rsidRDefault="006F5FAE">
            <w:pPr>
              <w:jc w:val="both"/>
              <w:rPr>
                <w:rFonts w:ascii="Arial" w:hAnsi="Arial"/>
                <w:sz w:val="24"/>
                <w:lang w:val="es-ES"/>
              </w:rPr>
            </w:pPr>
            <w:r>
              <w:rPr>
                <w:rFonts w:ascii="Arial" w:hAnsi="Arial"/>
                <w:b/>
                <w:sz w:val="24"/>
                <w:lang w:val="es-ES"/>
              </w:rPr>
              <w:t xml:space="preserve">Descripción: </w:t>
            </w:r>
            <w:r>
              <w:rPr>
                <w:rFonts w:ascii="Arial" w:hAnsi="Arial"/>
                <w:sz w:val="24"/>
                <w:lang w:val="es-ES"/>
              </w:rPr>
              <w:t xml:space="preserve"> el NO2 es convertido en NO, el cual reacciona con ozono introducido expresamente, produciendo luz en la reacción.  El instrumento permite la presentación de resultados para concentraciones tanto de NO2 como de NO.</w:t>
            </w:r>
          </w:p>
        </w:tc>
      </w:tr>
      <w:tr w:rsidR="00000000">
        <w:tblPrEx>
          <w:tblCellMar>
            <w:top w:w="0" w:type="dxa"/>
            <w:bottom w:w="0" w:type="dxa"/>
          </w:tblCellMar>
        </w:tblPrEx>
        <w:trPr>
          <w:jc w:val="center"/>
        </w:trPr>
        <w:tc>
          <w:tcPr>
            <w:tcW w:w="2096" w:type="dxa"/>
            <w:tcBorders>
              <w:right w:val="single" w:sz="4" w:space="0" w:color="auto"/>
            </w:tcBorders>
          </w:tcPr>
          <w:p w:rsidR="00000000" w:rsidRDefault="006F5FAE">
            <w:pPr>
              <w:jc w:val="both"/>
              <w:rPr>
                <w:rFonts w:ascii="Arial" w:hAnsi="Arial"/>
                <w:sz w:val="24"/>
                <w:lang w:val="es-ES"/>
              </w:rPr>
            </w:pPr>
          </w:p>
        </w:tc>
        <w:tc>
          <w:tcPr>
            <w:tcW w:w="6480" w:type="dxa"/>
            <w:tcBorders>
              <w:top w:val="nil"/>
              <w:left w:val="single" w:sz="4" w:space="0" w:color="auto"/>
              <w:bottom w:val="single" w:sz="4" w:space="0" w:color="auto"/>
            </w:tcBorders>
          </w:tcPr>
          <w:p w:rsidR="00000000" w:rsidRDefault="006F5FAE">
            <w:pPr>
              <w:jc w:val="both"/>
              <w:rPr>
                <w:rFonts w:ascii="Arial" w:hAnsi="Arial"/>
                <w:sz w:val="24"/>
                <w:lang w:val="es-ES"/>
              </w:rPr>
            </w:pPr>
          </w:p>
        </w:tc>
      </w:tr>
    </w:tbl>
    <w:p w:rsidR="00000000" w:rsidRDefault="006F5FAE">
      <w:pPr>
        <w:jc w:val="both"/>
        <w:rPr>
          <w:rFonts w:ascii="Arial" w:hAnsi="Arial"/>
          <w:sz w:val="24"/>
        </w:rPr>
      </w:pPr>
    </w:p>
    <w:p w:rsidR="00000000" w:rsidRDefault="006F5FAE">
      <w:pPr>
        <w:jc w:val="both"/>
        <w:rPr>
          <w:rFonts w:ascii="Arial" w:hAnsi="Arial"/>
          <w:sz w:val="24"/>
          <w:lang w:val="es-ES"/>
        </w:rPr>
      </w:pPr>
    </w:p>
    <w:p w:rsidR="00000000" w:rsidRDefault="006F5FAE">
      <w:pPr>
        <w:jc w:val="both"/>
        <w:rPr>
          <w:rFonts w:ascii="Arial" w:hAnsi="Arial"/>
          <w:sz w:val="24"/>
        </w:rPr>
      </w:pPr>
      <w:r>
        <w:rPr>
          <w:rFonts w:ascii="Arial" w:hAnsi="Arial"/>
          <w:sz w:val="24"/>
        </w:rPr>
        <w:t>4.1.5  De las molestia</w:t>
      </w:r>
      <w:r>
        <w:rPr>
          <w:rFonts w:ascii="Arial" w:hAnsi="Arial"/>
          <w:sz w:val="24"/>
        </w:rPr>
        <w:t>s o peligros inducidos por otros contaminantes del aire</w:t>
      </w:r>
    </w:p>
    <w:p w:rsidR="00000000" w:rsidRDefault="006F5FAE">
      <w:pPr>
        <w:jc w:val="both"/>
        <w:rPr>
          <w:rFonts w:ascii="Arial" w:hAnsi="Arial"/>
          <w:sz w:val="24"/>
        </w:rPr>
      </w:pPr>
    </w:p>
    <w:p w:rsidR="00000000" w:rsidRDefault="006F5FAE">
      <w:pPr>
        <w:jc w:val="both"/>
        <w:rPr>
          <w:rFonts w:ascii="Arial" w:hAnsi="Arial"/>
          <w:sz w:val="24"/>
        </w:rPr>
      </w:pPr>
      <w:r>
        <w:rPr>
          <w:rFonts w:ascii="Arial" w:hAnsi="Arial"/>
          <w:sz w:val="24"/>
        </w:rPr>
        <w:t>4.1.5.1  Para fines de esta norma, la Entidad Ambiental de Control podrá solicitar evaluaciones adicionales a los operadores o propietarios de fuentes que emitan, o sean susceptibles de emitir, olore</w:t>
      </w:r>
      <w:r>
        <w:rPr>
          <w:rFonts w:ascii="Arial" w:hAnsi="Arial"/>
          <w:sz w:val="24"/>
        </w:rPr>
        <w:t>s ofensivos o contaminantes peligrosos del aire.  De requerirse, se establecerán los métodos, procedimientos o técnicas para la reducción o eliminación en la fuente, de emisiones de olores o de contaminantes peligrosos del aire.</w:t>
      </w:r>
    </w:p>
    <w:p w:rsidR="006F5FAE" w:rsidRDefault="006F5FAE">
      <w:pPr>
        <w:jc w:val="both"/>
        <w:rPr>
          <w:rFonts w:ascii="Arial" w:hAnsi="Arial"/>
          <w:sz w:val="24"/>
          <w:lang w:val="es-ES"/>
        </w:rPr>
      </w:pPr>
    </w:p>
    <w:sectPr w:rsidR="006F5FAE">
      <w:headerReference w:type="even" r:id="rId9"/>
      <w:headerReference w:type="default" r:id="rId10"/>
      <w:footerReference w:type="even" r:id="rId11"/>
      <w:footerReference w:type="default" r:id="rId12"/>
      <w:headerReference w:type="first" r:id="rId13"/>
      <w:footerReference w:type="first" r:id="rId14"/>
      <w:pgSz w:w="12242" w:h="15842" w:code="1"/>
      <w:pgMar w:top="3402" w:right="851" w:bottom="1134" w:left="1985" w:header="2268"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FAE" w:rsidRDefault="006F5FAE">
      <w:r>
        <w:separator/>
      </w:r>
    </w:p>
  </w:endnote>
  <w:endnote w:type="continuationSeparator" w:id="1">
    <w:p w:rsidR="006F5FAE" w:rsidRDefault="006F5F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F5FAE">
    <w:pPr>
      <w:pStyle w:val="Piedepgina"/>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end"/>
    </w:r>
  </w:p>
  <w:p w:rsidR="00000000" w:rsidRDefault="006F5FAE">
    <w:pPr>
      <w:pStyle w:val="Piedepgina"/>
      <w:rPr>
        <w:rStyle w:val="Nmerodepgina"/>
      </w:rPr>
    </w:pPr>
  </w:p>
  <w:p w:rsidR="00000000" w:rsidRDefault="006F5FAE">
    <w:pPr>
      <w:pStyle w:val="Piedepgina"/>
    </w:pPr>
  </w:p>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F5FAE">
    <w:pPr>
      <w:pStyle w:val="Piedepgina"/>
    </w:pPr>
    <w:r>
      <w:rPr>
        <w:rStyle w:val="Nmerodepgina"/>
        <w:rFonts w:ascii="Arial" w:hAnsi="Arial"/>
      </w:rPr>
      <w:t>LIBRO VI</w:t>
    </w:r>
    <w:r>
      <w:rPr>
        <w:rStyle w:val="Nmerodepgina"/>
        <w:rFonts w:ascii="Arial" w:hAnsi="Arial"/>
      </w:rPr>
      <w:tab/>
    </w:r>
    <w:r>
      <w:rPr>
        <w:rStyle w:val="Nmerodepgina"/>
        <w:rFonts w:ascii="Arial" w:hAnsi="Arial"/>
      </w:rPr>
      <w:fldChar w:fldCharType="begin"/>
    </w:r>
    <w:r>
      <w:rPr>
        <w:rStyle w:val="Nmerodepgina"/>
        <w:rFonts w:ascii="Arial" w:hAnsi="Arial"/>
      </w:rPr>
      <w:instrText xml:space="preserve"> </w:instrText>
    </w:r>
    <w:r>
      <w:rPr>
        <w:rStyle w:val="Nmerodepgina"/>
        <w:rFonts w:ascii="Arial" w:hAnsi="Arial"/>
      </w:rPr>
      <w:instrText>PAGE</w:instrText>
    </w:r>
    <w:r>
      <w:rPr>
        <w:rStyle w:val="Nmerodepgina"/>
        <w:rFonts w:ascii="Arial" w:hAnsi="Arial"/>
      </w:rPr>
      <w:instrText xml:space="preserve"> </w:instrText>
    </w:r>
    <w:r>
      <w:rPr>
        <w:rStyle w:val="Nmerodepgina"/>
        <w:rFonts w:ascii="Arial" w:hAnsi="Arial"/>
      </w:rPr>
      <w:fldChar w:fldCharType="separate"/>
    </w:r>
    <w:r w:rsidR="00967BEA">
      <w:rPr>
        <w:rStyle w:val="Nmerodepgina"/>
        <w:rFonts w:ascii="Arial" w:hAnsi="Arial"/>
      </w:rPr>
      <w:t>2</w:t>
    </w:r>
    <w:r>
      <w:rPr>
        <w:rStyle w:val="Nmerodepgina"/>
        <w:rFonts w:ascii="Arial" w:hAnsi="Arial"/>
      </w:rPr>
      <w:fldChar w:fldCharType="end"/>
    </w:r>
    <w:r>
      <w:rPr>
        <w:rStyle w:val="Nmerodepgina"/>
        <w:rFonts w:ascii="Arial" w:hAnsi="Arial"/>
      </w:rPr>
      <w:tab/>
      <w:t>ANEXO 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F5FAE">
    <w:pPr>
      <w:pStyle w:val="Piedepgina"/>
    </w:pPr>
    <w:r>
      <w:t xml:space="preserve">LIBRO VI </w:t>
    </w:r>
    <w:r>
      <w:tab/>
    </w:r>
    <w:r>
      <w:rPr>
        <w:rStyle w:val="Nmerodepgina"/>
        <w:rFonts w:ascii="Arial" w:hAnsi="Arial"/>
      </w:rPr>
      <w:fldChar w:fldCharType="begin"/>
    </w:r>
    <w:r>
      <w:rPr>
        <w:rStyle w:val="Nmerodepgina"/>
        <w:rFonts w:ascii="Arial" w:hAnsi="Arial"/>
      </w:rPr>
      <w:instrText xml:space="preserve"> </w:instrText>
    </w:r>
    <w:r>
      <w:rPr>
        <w:rStyle w:val="Nmerodepgina"/>
        <w:rFonts w:ascii="Arial" w:hAnsi="Arial"/>
      </w:rPr>
      <w:instrText>PAGE</w:instrText>
    </w:r>
    <w:r>
      <w:rPr>
        <w:rStyle w:val="Nmerodepgina"/>
        <w:rFonts w:ascii="Arial" w:hAnsi="Arial"/>
      </w:rPr>
      <w:instrText xml:space="preserve"> </w:instrText>
    </w:r>
    <w:r>
      <w:rPr>
        <w:rStyle w:val="Nmerodepgina"/>
        <w:rFonts w:ascii="Arial" w:hAnsi="Arial"/>
      </w:rPr>
      <w:fldChar w:fldCharType="separate"/>
    </w:r>
    <w:r w:rsidR="00967BEA">
      <w:rPr>
        <w:rStyle w:val="Nmerodepgina"/>
        <w:rFonts w:ascii="Arial" w:hAnsi="Arial"/>
      </w:rPr>
      <w:t>1</w:t>
    </w:r>
    <w:r>
      <w:rPr>
        <w:rStyle w:val="Nmerodepgina"/>
        <w:rFonts w:ascii="Arial" w:hAnsi="Arial"/>
      </w:rPr>
      <w:fldChar w:fldCharType="end"/>
    </w:r>
    <w:r>
      <w:rPr>
        <w:rStyle w:val="Nmerodepgina"/>
        <w:rFonts w:ascii="Arial" w:hAnsi="Arial"/>
      </w:rPr>
      <w:tab/>
      <w:t>ANEXO 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FAE" w:rsidRDefault="006F5FAE">
      <w:r>
        <w:separator/>
      </w:r>
    </w:p>
  </w:footnote>
  <w:footnote w:type="continuationSeparator" w:id="1">
    <w:p w:rsidR="006F5FAE" w:rsidRDefault="006F5F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p w:rsidR="00000000" w:rsidRDefault="006F5FA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F5FAE">
    <w:pPr>
      <w:pStyle w:val="Encabezado"/>
    </w:pPr>
    <w:r>
      <w:t>ANEXO 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70" w:type="dxa"/>
        <w:right w:w="70" w:type="dxa"/>
      </w:tblCellMar>
      <w:tblLook w:val="0000"/>
    </w:tblPr>
    <w:tblGrid>
      <w:gridCol w:w="2110"/>
      <w:gridCol w:w="240"/>
      <w:gridCol w:w="4680"/>
      <w:gridCol w:w="2181"/>
    </w:tblGrid>
    <w:tr w:rsidR="00000000">
      <w:tblPrEx>
        <w:tblCellMar>
          <w:top w:w="0" w:type="dxa"/>
          <w:bottom w:w="0" w:type="dxa"/>
        </w:tblCellMar>
      </w:tblPrEx>
      <w:trPr>
        <w:cantSplit/>
      </w:trPr>
      <w:tc>
        <w:tcPr>
          <w:tcW w:w="2110" w:type="dxa"/>
          <w:vAlign w:val="center"/>
        </w:tcPr>
        <w:p w:rsidR="00000000" w:rsidRDefault="006F5FAE">
          <w:pPr>
            <w:pStyle w:val="Encabezado"/>
          </w:pPr>
        </w:p>
      </w:tc>
      <w:tc>
        <w:tcPr>
          <w:tcW w:w="240" w:type="dxa"/>
        </w:tcPr>
        <w:p w:rsidR="00000000" w:rsidRDefault="006F5FAE">
          <w:pPr>
            <w:pStyle w:val="Encabezado"/>
          </w:pPr>
        </w:p>
      </w:tc>
      <w:tc>
        <w:tcPr>
          <w:tcW w:w="4680" w:type="dxa"/>
          <w:vAlign w:val="center"/>
        </w:tcPr>
        <w:p w:rsidR="00000000" w:rsidRDefault="006F5FAE">
          <w:pPr>
            <w:rPr>
              <w:rFonts w:ascii="Arial" w:hAnsi="Arial"/>
              <w:b/>
              <w:sz w:val="24"/>
            </w:rPr>
          </w:pPr>
          <w:r>
            <w:rPr>
              <w:rFonts w:ascii="Arial" w:hAnsi="Arial"/>
              <w:b/>
              <w:sz w:val="24"/>
            </w:rPr>
            <w:t>ANEXO 4</w:t>
          </w:r>
        </w:p>
        <w:p w:rsidR="00000000" w:rsidRDefault="006F5FAE">
          <w:pPr>
            <w:pStyle w:val="Encabezado"/>
          </w:pPr>
        </w:p>
      </w:tc>
      <w:tc>
        <w:tcPr>
          <w:tcW w:w="2181" w:type="dxa"/>
          <w:vAlign w:val="center"/>
        </w:tcPr>
        <w:p w:rsidR="00000000" w:rsidRDefault="006F5FAE">
          <w:pPr>
            <w:pStyle w:val="Encabezado"/>
          </w:pPr>
        </w:p>
      </w:tc>
    </w:tr>
  </w:tbl>
  <w:p w:rsidR="00000000" w:rsidRDefault="006F5FAE">
    <w:pPr>
      <w:rPr>
        <w:rFonts w:ascii="Arial" w:hAnsi="Arial"/>
        <w:b/>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9B466A"/>
    <w:multiLevelType w:val="multilevel"/>
    <w:tmpl w:val="113A4E56"/>
    <w:lvl w:ilvl="0">
      <w:numFmt w:val="decimal"/>
      <w:pStyle w:val="Ttulo1"/>
      <w:lvlText w:val="%1"/>
      <w:lvlJc w:val="left"/>
      <w:pPr>
        <w:tabs>
          <w:tab w:val="num" w:pos="360"/>
        </w:tabs>
        <w:ind w:left="284" w:hanging="284"/>
      </w:pPr>
      <w:rPr>
        <w:rFonts w:hint="default"/>
        <w:b/>
        <w:i w:val="0"/>
        <w:u w:val="none"/>
      </w:rPr>
    </w:lvl>
    <w:lvl w:ilvl="1">
      <w:start w:val="1"/>
      <w:numFmt w:val="decimal"/>
      <w:pStyle w:val="Ttulo2"/>
      <w:lvlText w:val="%1.%2"/>
      <w:lvlJc w:val="left"/>
      <w:pPr>
        <w:tabs>
          <w:tab w:val="num" w:pos="360"/>
        </w:tabs>
        <w:ind w:left="284" w:hanging="284"/>
      </w:pPr>
      <w:rPr>
        <w:rFonts w:hint="default"/>
      </w:rPr>
    </w:lvl>
    <w:lvl w:ilvl="2">
      <w:start w:val="1"/>
      <w:numFmt w:val="decimal"/>
      <w:lvlText w:val="%1.%2.%3"/>
      <w:lvlJc w:val="left"/>
      <w:pPr>
        <w:tabs>
          <w:tab w:val="num" w:pos="720"/>
        </w:tabs>
        <w:ind w:left="0" w:firstLine="0"/>
      </w:pPr>
      <w:rPr>
        <w:rFonts w:hint="default"/>
      </w:rPr>
    </w:lvl>
    <w:lvl w:ilvl="3">
      <w:start w:val="1"/>
      <w:numFmt w:val="decimal"/>
      <w:pStyle w:val="Ttulo4"/>
      <w:lvlText w:val="%1.%2.%3.%4"/>
      <w:lvlJc w:val="left"/>
      <w:pPr>
        <w:tabs>
          <w:tab w:val="num" w:pos="720"/>
        </w:tabs>
        <w:ind w:left="284" w:hanging="284"/>
      </w:pPr>
      <w:rPr>
        <w:rFonts w:ascii="Times New Roman" w:hAnsi="Times New Roman" w:hint="default"/>
        <w:b w:val="0"/>
        <w:i w:val="0"/>
        <w:u w:val="none"/>
      </w:rPr>
    </w:lvl>
    <w:lvl w:ilvl="4">
      <w:start w:val="1"/>
      <w:numFmt w:val="decimal"/>
      <w:pStyle w:val="Ttulo5"/>
      <w:lvlText w:val="%1.%2.%3.%4.%5"/>
      <w:lvlJc w:val="left"/>
      <w:pPr>
        <w:tabs>
          <w:tab w:val="num" w:pos="1418"/>
        </w:tabs>
        <w:ind w:left="1418" w:hanging="1418"/>
      </w:pPr>
      <w:rPr>
        <w:rFonts w:ascii="Times New Roman" w:hAnsi="Times New Roman" w:hint="default"/>
        <w:b/>
        <w:i w:val="0"/>
        <w:caps w:val="0"/>
        <w:strike w:val="0"/>
        <w:dstrike w:val="0"/>
        <w:shadow w:val="0"/>
        <w:emboss w:val="0"/>
        <w:imprint w:val="0"/>
        <w:vanish w:val="0"/>
        <w:color w:val="auto"/>
        <w:sz w:val="24"/>
        <w:u w:val="none"/>
        <w:vertAlign w:val="base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6A771DB9"/>
    <w:multiLevelType w:val="hybridMultilevel"/>
    <w:tmpl w:val="F86CF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defaultTabStop w:val="708"/>
  <w:hyphenationZone w:val="425"/>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67BEA"/>
    <w:rsid w:val="006F5FAE"/>
    <w:rsid w:val="00967BE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pPr>
      <w:jc w:val="center"/>
    </w:pPr>
    <w:rPr>
      <w:rFonts w:ascii="Book Antiqua" w:hAnsi="Book Antiqua"/>
      <w:lang w:val="es-MX" w:eastAsia="en-US"/>
    </w:rPr>
  </w:style>
  <w:style w:type="paragraph" w:styleId="Ttulo1">
    <w:name w:val="heading 1"/>
    <w:basedOn w:val="Normal"/>
    <w:next w:val="Normal"/>
    <w:autoRedefine/>
    <w:qFormat/>
    <w:pPr>
      <w:keepNext/>
      <w:widowControl w:val="0"/>
      <w:numPr>
        <w:numId w:val="1"/>
      </w:numPr>
      <w:spacing w:before="240" w:after="240"/>
      <w:outlineLvl w:val="0"/>
    </w:pPr>
    <w:rPr>
      <w:b/>
      <w:caps/>
    </w:rPr>
  </w:style>
  <w:style w:type="paragraph" w:styleId="Ttulo2">
    <w:name w:val="heading 2"/>
    <w:basedOn w:val="Normal"/>
    <w:autoRedefine/>
    <w:qFormat/>
    <w:pPr>
      <w:widowControl w:val="0"/>
      <w:numPr>
        <w:ilvl w:val="1"/>
        <w:numId w:val="1"/>
      </w:numPr>
      <w:tabs>
        <w:tab w:val="clear" w:pos="360"/>
        <w:tab w:val="left" w:pos="600"/>
        <w:tab w:val="left" w:pos="720"/>
      </w:tabs>
      <w:spacing w:before="240" w:after="240"/>
      <w:jc w:val="left"/>
      <w:outlineLvl w:val="1"/>
    </w:pPr>
    <w:rPr>
      <w:b/>
    </w:rPr>
  </w:style>
  <w:style w:type="paragraph" w:styleId="Ttulo3">
    <w:name w:val="heading 3"/>
    <w:basedOn w:val="Normal"/>
    <w:autoRedefine/>
    <w:qFormat/>
    <w:pPr>
      <w:widowControl w:val="0"/>
      <w:numPr>
        <w:ilvl w:val="2"/>
      </w:numPr>
      <w:tabs>
        <w:tab w:val="num" w:pos="360"/>
      </w:tabs>
      <w:spacing w:before="360" w:after="240"/>
      <w:jc w:val="left"/>
      <w:outlineLvl w:val="2"/>
    </w:pPr>
    <w:rPr>
      <w:b/>
    </w:rPr>
  </w:style>
  <w:style w:type="paragraph" w:styleId="Ttulo4">
    <w:name w:val="heading 4"/>
    <w:basedOn w:val="Normal"/>
    <w:next w:val="Normal"/>
    <w:autoRedefine/>
    <w:qFormat/>
    <w:pPr>
      <w:keepNext/>
      <w:widowControl w:val="0"/>
      <w:numPr>
        <w:ilvl w:val="3"/>
        <w:numId w:val="1"/>
      </w:numPr>
      <w:spacing w:before="240" w:after="240"/>
      <w:jc w:val="left"/>
      <w:outlineLvl w:val="3"/>
    </w:pPr>
  </w:style>
  <w:style w:type="paragraph" w:styleId="Ttulo5">
    <w:name w:val="heading 5"/>
    <w:basedOn w:val="Normal"/>
    <w:next w:val="Normal"/>
    <w:qFormat/>
    <w:pPr>
      <w:keepNext/>
      <w:widowControl w:val="0"/>
      <w:numPr>
        <w:ilvl w:val="4"/>
        <w:numId w:val="1"/>
      </w:numPr>
      <w:spacing w:before="240" w:after="240"/>
      <w:jc w:val="left"/>
      <w:outlineLvl w:val="4"/>
    </w:pPr>
    <w:rPr>
      <w:b/>
      <w:u w:val="single"/>
    </w:rPr>
  </w:style>
  <w:style w:type="paragraph" w:styleId="Ttulo6">
    <w:name w:val="heading 6"/>
    <w:basedOn w:val="Normal"/>
    <w:next w:val="Normal"/>
    <w:qFormat/>
    <w:pPr>
      <w:keepNext/>
      <w:outlineLvl w:val="5"/>
    </w:pPr>
    <w:rPr>
      <w:u w:val="single"/>
    </w:rPr>
  </w:style>
  <w:style w:type="paragraph" w:styleId="Ttulo7">
    <w:name w:val="heading 7"/>
    <w:basedOn w:val="Normal"/>
    <w:next w:val="Normal"/>
    <w:qFormat/>
    <w:pPr>
      <w:keepNext/>
      <w:widowControl w:val="0"/>
      <w:outlineLvl w:val="6"/>
    </w:pPr>
    <w:rPr>
      <w:b/>
      <w:smallCaps/>
    </w:rPr>
  </w:style>
  <w:style w:type="paragraph" w:styleId="Ttulo8">
    <w:name w:val="heading 8"/>
    <w:basedOn w:val="Normal"/>
    <w:next w:val="Normal"/>
    <w:qFormat/>
    <w:pPr>
      <w:keepNext/>
      <w:widowControl w:val="0"/>
      <w:outlineLvl w:val="7"/>
    </w:pPr>
    <w:rPr>
      <w:b/>
      <w:smallCaps/>
    </w:rPr>
  </w:style>
  <w:style w:type="paragraph" w:styleId="Ttulo9">
    <w:name w:val="heading 9"/>
    <w:basedOn w:val="Normal"/>
    <w:next w:val="Normal"/>
    <w:qFormat/>
    <w:pPr>
      <w:keepNext/>
      <w:widowControl w:val="0"/>
      <w:outlineLvl w:val="8"/>
    </w:pPr>
    <w:rPr>
      <w:b/>
      <w:smallCap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dicedeTablas">
    <w:name w:val="Indice de Tablas"/>
    <w:basedOn w:val="Normal"/>
    <w:rPr>
      <w:b/>
      <w:smallCaps/>
      <w:lang w:val="es-EC"/>
    </w:rPr>
  </w:style>
  <w:style w:type="paragraph" w:styleId="Listaconvietas">
    <w:name w:val="List Bullet"/>
    <w:basedOn w:val="Normal"/>
    <w:autoRedefine/>
    <w:semiHidden/>
    <w:pPr>
      <w:tabs>
        <w:tab w:val="num" w:pos="360"/>
      </w:tabs>
      <w:ind w:left="360" w:hanging="360"/>
    </w:pPr>
    <w:rPr>
      <w:lang w:val="es-EC" w:eastAsia="es-ES"/>
    </w:rPr>
  </w:style>
  <w:style w:type="paragraph" w:styleId="Mapadeldocumento">
    <w:name w:val="Document Map"/>
    <w:basedOn w:val="Normal"/>
    <w:autoRedefine/>
    <w:semiHidden/>
    <w:pPr>
      <w:shd w:val="clear" w:color="auto" w:fill="000080"/>
    </w:pPr>
    <w:rPr>
      <w:lang w:val="es-EC"/>
    </w:rPr>
  </w:style>
  <w:style w:type="character" w:styleId="Nmerodepgina">
    <w:name w:val="page number"/>
    <w:basedOn w:val="Fuentedeprrafopredeter"/>
    <w:semiHidden/>
    <w:rPr>
      <w:rFonts w:ascii="Book Antiqua" w:hAnsi="Book Antiqua"/>
      <w:sz w:val="22"/>
    </w:rPr>
  </w:style>
  <w:style w:type="paragraph" w:styleId="Piedepgina">
    <w:name w:val="footer"/>
    <w:basedOn w:val="Normal"/>
    <w:autoRedefine/>
    <w:semiHidden/>
    <w:pPr>
      <w:tabs>
        <w:tab w:val="center" w:pos="4320"/>
        <w:tab w:val="right" w:pos="8640"/>
      </w:tabs>
      <w:jc w:val="both"/>
    </w:pPr>
    <w:rPr>
      <w:rFonts w:ascii="Arial" w:hAnsi="Arial" w:cs="Arial"/>
      <w:noProof/>
      <w:sz w:val="22"/>
      <w:szCs w:val="22"/>
      <w:lang w:val="es-ES"/>
    </w:rPr>
  </w:style>
  <w:style w:type="character" w:styleId="Refdecomentario">
    <w:name w:val="annotation reference"/>
    <w:basedOn w:val="Fuentedeprrafopredeter"/>
    <w:semiHidden/>
    <w:rPr>
      <w:rFonts w:ascii="Book Antiqua" w:hAnsi="Book Antiqua"/>
      <w:sz w:val="16"/>
      <w:szCs w:val="16"/>
    </w:rPr>
  </w:style>
  <w:style w:type="character" w:styleId="Refdenotaalfinal">
    <w:name w:val="endnote reference"/>
    <w:basedOn w:val="Fuentedeprrafopredeter"/>
    <w:semiHidden/>
    <w:rPr>
      <w:rFonts w:ascii="Book Antiqua" w:hAnsi="Book Antiqua"/>
      <w:vertAlign w:val="superscript"/>
    </w:rPr>
  </w:style>
  <w:style w:type="character" w:styleId="Refdenotaalpie">
    <w:name w:val="footnote reference"/>
    <w:basedOn w:val="Fuentedeprrafopredeter"/>
    <w:semiHidden/>
    <w:rPr>
      <w:rFonts w:ascii="Book Antiqua" w:hAnsi="Book Antiqua"/>
      <w:dstrike w:val="0"/>
      <w:noProof w:val="0"/>
      <w:color w:val="auto"/>
      <w:sz w:val="16"/>
      <w:vertAlign w:val="superscript"/>
      <w:lang w:val="es-EC"/>
    </w:rPr>
  </w:style>
  <w:style w:type="paragraph" w:styleId="TDC1">
    <w:name w:val="toc 1"/>
    <w:aliases w:val="heading"/>
    <w:basedOn w:val="Normal"/>
    <w:next w:val="Normal"/>
    <w:autoRedefine/>
    <w:semiHidden/>
    <w:pPr>
      <w:spacing w:before="120" w:after="120"/>
      <w:jc w:val="left"/>
    </w:pPr>
    <w:rPr>
      <w:b/>
      <w:bCs/>
      <w:caps/>
      <w:szCs w:val="24"/>
      <w:lang w:eastAsia="es-ES"/>
    </w:rPr>
  </w:style>
  <w:style w:type="paragraph" w:styleId="TDC2">
    <w:name w:val="toc 2"/>
    <w:basedOn w:val="Normal"/>
    <w:next w:val="Normal"/>
    <w:autoRedefine/>
    <w:semiHidden/>
    <w:pPr>
      <w:ind w:left="240"/>
      <w:jc w:val="left"/>
    </w:pPr>
    <w:rPr>
      <w:smallCaps/>
      <w:szCs w:val="24"/>
      <w:lang w:eastAsia="es-ES"/>
    </w:rPr>
  </w:style>
  <w:style w:type="paragraph" w:styleId="TDC3">
    <w:name w:val="toc 3"/>
    <w:basedOn w:val="Normal"/>
    <w:next w:val="Normal"/>
    <w:autoRedefine/>
    <w:semiHidden/>
    <w:pPr>
      <w:ind w:left="480"/>
      <w:jc w:val="left"/>
    </w:pPr>
    <w:rPr>
      <w:i/>
      <w:iCs/>
      <w:szCs w:val="24"/>
      <w:lang w:eastAsia="es-ES"/>
    </w:rPr>
  </w:style>
  <w:style w:type="paragraph" w:styleId="TDC4">
    <w:name w:val="toc 4"/>
    <w:basedOn w:val="Normal"/>
    <w:next w:val="Normal"/>
    <w:autoRedefine/>
    <w:semiHidden/>
    <w:pPr>
      <w:ind w:left="720"/>
      <w:jc w:val="left"/>
    </w:pPr>
    <w:rPr>
      <w:sz w:val="18"/>
      <w:szCs w:val="21"/>
      <w:lang w:eastAsia="es-ES"/>
    </w:rPr>
  </w:style>
  <w:style w:type="paragraph" w:styleId="TDC5">
    <w:name w:val="toc 5"/>
    <w:basedOn w:val="Normal"/>
    <w:next w:val="Normal"/>
    <w:autoRedefine/>
    <w:semiHidden/>
    <w:pPr>
      <w:ind w:left="960"/>
      <w:jc w:val="left"/>
    </w:pPr>
    <w:rPr>
      <w:sz w:val="18"/>
      <w:szCs w:val="21"/>
      <w:lang w:eastAsia="es-ES"/>
    </w:rPr>
  </w:style>
  <w:style w:type="paragraph" w:styleId="TDC6">
    <w:name w:val="toc 6"/>
    <w:basedOn w:val="Normal"/>
    <w:next w:val="Normal"/>
    <w:autoRedefine/>
    <w:semiHidden/>
    <w:pPr>
      <w:ind w:left="1200"/>
      <w:jc w:val="left"/>
    </w:pPr>
    <w:rPr>
      <w:sz w:val="18"/>
      <w:szCs w:val="21"/>
      <w:lang w:eastAsia="es-ES"/>
    </w:rPr>
  </w:style>
  <w:style w:type="paragraph" w:styleId="TDC7">
    <w:name w:val="toc 7"/>
    <w:basedOn w:val="Normal"/>
    <w:next w:val="Normal"/>
    <w:autoRedefine/>
    <w:semiHidden/>
    <w:pPr>
      <w:ind w:left="1440"/>
      <w:jc w:val="left"/>
    </w:pPr>
    <w:rPr>
      <w:sz w:val="18"/>
      <w:szCs w:val="21"/>
      <w:lang w:eastAsia="es-ES"/>
    </w:rPr>
  </w:style>
  <w:style w:type="paragraph" w:styleId="TDC8">
    <w:name w:val="toc 8"/>
    <w:basedOn w:val="Normal"/>
    <w:next w:val="Normal"/>
    <w:autoRedefine/>
    <w:semiHidden/>
    <w:pPr>
      <w:ind w:left="1680"/>
      <w:jc w:val="left"/>
    </w:pPr>
    <w:rPr>
      <w:sz w:val="18"/>
      <w:szCs w:val="21"/>
      <w:lang w:eastAsia="es-ES"/>
    </w:rPr>
  </w:style>
  <w:style w:type="paragraph" w:styleId="TDC9">
    <w:name w:val="toc 9"/>
    <w:basedOn w:val="Normal"/>
    <w:next w:val="Normal"/>
    <w:autoRedefine/>
    <w:semiHidden/>
    <w:pPr>
      <w:ind w:left="1920"/>
      <w:jc w:val="left"/>
    </w:pPr>
    <w:rPr>
      <w:sz w:val="18"/>
      <w:szCs w:val="21"/>
      <w:lang w:eastAsia="es-ES"/>
    </w:rPr>
  </w:style>
  <w:style w:type="paragraph" w:styleId="Textocomentario">
    <w:name w:val="annotation text"/>
    <w:basedOn w:val="Normal"/>
    <w:semiHidden/>
    <w:rPr>
      <w:lang w:val="es-ES"/>
    </w:rPr>
  </w:style>
  <w:style w:type="paragraph" w:styleId="Textodebloque">
    <w:name w:val="Block Text"/>
    <w:basedOn w:val="Normal"/>
    <w:semiHidden/>
    <w:pPr>
      <w:ind w:left="180" w:right="207"/>
    </w:pPr>
  </w:style>
  <w:style w:type="paragraph" w:styleId="Textoindependiente3">
    <w:name w:val="Body Text 3"/>
    <w:basedOn w:val="Normal"/>
    <w:semiHidden/>
    <w:rPr>
      <w:b/>
      <w:u w:val="single"/>
    </w:rPr>
  </w:style>
  <w:style w:type="paragraph" w:styleId="Textonotaalfinal">
    <w:name w:val="endnote text"/>
    <w:basedOn w:val="Normal"/>
    <w:semiHidden/>
    <w:pPr>
      <w:jc w:val="left"/>
    </w:pPr>
    <w:rPr>
      <w:sz w:val="18"/>
      <w:lang w:val="es-ES"/>
    </w:rPr>
  </w:style>
  <w:style w:type="paragraph" w:styleId="Textonotapie">
    <w:name w:val="footnote text"/>
    <w:basedOn w:val="Normal"/>
    <w:semiHidden/>
    <w:rPr>
      <w:sz w:val="18"/>
    </w:rPr>
  </w:style>
  <w:style w:type="paragraph" w:styleId="Encabezado">
    <w:name w:val="header"/>
    <w:basedOn w:val="Normal"/>
    <w:autoRedefine/>
    <w:semiHidden/>
    <w:pPr>
      <w:tabs>
        <w:tab w:val="center" w:pos="4419"/>
        <w:tab w:val="right" w:pos="8838"/>
      </w:tabs>
    </w:pPr>
    <w:rPr>
      <w:rFonts w:ascii="Arial" w:hAnsi="Arial" w:cs="Arial"/>
      <w:b/>
      <w:bCs/>
      <w:sz w:val="24"/>
      <w:szCs w:val="24"/>
      <w:lang w:val="es-ES"/>
    </w:rPr>
  </w:style>
  <w:style w:type="paragraph" w:customStyle="1" w:styleId="Titulodeldocumento">
    <w:name w:val="Titulo del documento"/>
    <w:basedOn w:val="Normal"/>
    <w:autoRedefine/>
    <w:rPr>
      <w:b/>
      <w:caps/>
      <w:sz w:val="22"/>
    </w:rPr>
  </w:style>
  <w:style w:type="paragraph" w:styleId="Sangradetextonormal">
    <w:name w:val="Body Text Indent"/>
    <w:basedOn w:val="Normal"/>
    <w:semiHidden/>
    <w:pPr>
      <w:ind w:left="708"/>
    </w:pPr>
  </w:style>
  <w:style w:type="paragraph" w:styleId="Textoindependiente">
    <w:name w:val="Body Text"/>
    <w:basedOn w:val="Normal"/>
    <w:semiHidden/>
  </w:style>
  <w:style w:type="paragraph" w:styleId="Textoindependiente2">
    <w:name w:val="Body Text 2"/>
    <w:basedOn w:val="Normal"/>
    <w:semiHidden/>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3697</Words>
  <Characters>20337</Characters>
  <Application>Microsoft Office Word</Application>
  <DocSecurity>2</DocSecurity>
  <Lines>169</Lines>
  <Paragraphs>47</Paragraphs>
  <ScaleCrop>false</ScaleCrop>
  <HeadingPairs>
    <vt:vector size="2" baseType="variant">
      <vt:variant>
        <vt:lpstr>Título</vt:lpstr>
      </vt:variant>
      <vt:variant>
        <vt:i4>1</vt:i4>
      </vt:variant>
    </vt:vector>
  </HeadingPairs>
  <TitlesOfParts>
    <vt:vector size="1" baseType="lpstr">
      <vt:lpstr>Norma Técnica Ambiental Ecuatoriana - Aire</vt:lpstr>
    </vt:vector>
  </TitlesOfParts>
  <Manager>J.C. Blum</Manager>
  <Company>Efficácitas</Company>
  <LinksUpToDate>false</LinksUpToDate>
  <CharactersWithSpaces>23987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 Técnica Ambiental Ecuatoriana - Aire</dc:title>
  <dc:subject>Calidad de aire y emisión</dc:subject>
  <dc:creator>Efficácitas</dc:creator>
  <cp:keywords>emisión, calidad, aire, límite, valor, altura, modelaje</cp:keywords>
  <dc:description/>
  <cp:lastModifiedBy>Administrador</cp:lastModifiedBy>
  <cp:revision>2</cp:revision>
  <cp:lastPrinted>2002-11-26T20:21:00Z</cp:lastPrinted>
  <dcterms:created xsi:type="dcterms:W3CDTF">2009-07-21T17:18:00Z</dcterms:created>
  <dcterms:modified xsi:type="dcterms:W3CDTF">2009-07-21T17:18:00Z</dcterms:modified>
  <cp:category>Versión Definitiva</cp:category>
</cp:coreProperties>
</file>