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3969"/>
        <w:gridCol w:w="1361"/>
        <w:gridCol w:w="2410"/>
        <w:gridCol w:w="1361"/>
        <w:gridCol w:w="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A5FD6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b/>
                <w:sz w:val="16"/>
              </w:rPr>
              <w:t xml:space="preserve">Índice de Calidad del Agua                                                                                                                    </w:t>
            </w:r>
            <w:r>
              <w:rPr>
                <w:rFonts w:ascii="Univers" w:hAnsi="Univers"/>
                <w:sz w:val="14"/>
              </w:rPr>
              <w:t xml:space="preserve"> Recuadro II.2.2.2</w:t>
            </w: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sz w:val="16"/>
              </w:rPr>
            </w:pP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i/>
                <w:sz w:val="16"/>
              </w:rPr>
            </w:pPr>
            <w:r>
              <w:rPr>
                <w:rFonts w:ascii="Univers" w:hAnsi="Univers"/>
                <w:i/>
                <w:sz w:val="16"/>
              </w:rPr>
              <w:t>Significado</w:t>
            </w: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i/>
                <w:sz w:val="16"/>
              </w:rPr>
            </w:pP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El Índice de Calidad del Agua (ICA) indica el grado de contaminación del agua a</w:t>
            </w:r>
            <w:r>
              <w:rPr>
                <w:rFonts w:ascii="Univers" w:hAnsi="Univers"/>
                <w:sz w:val="16"/>
              </w:rPr>
              <w:t xml:space="preserve"> la fecha del muestreo y está expresado como porcentaje del agua pura; así, agua altamente contaminada tendrá un ICA cercano o igual a cero por ciento, en tanto que en el agua en excelentes condiciones el valor del índice será cercano a 100%.</w:t>
            </w: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sz w:val="16"/>
              </w:rPr>
            </w:pP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i/>
                <w:sz w:val="16"/>
              </w:rPr>
            </w:pPr>
            <w:r>
              <w:rPr>
                <w:rFonts w:ascii="Univers" w:hAnsi="Univers"/>
                <w:i/>
                <w:sz w:val="16"/>
              </w:rPr>
              <w:t>Desarrollo</w:t>
            </w: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i/>
                <w:sz w:val="16"/>
              </w:rPr>
            </w:pPr>
          </w:p>
          <w:p w:rsidR="00000000" w:rsidRDefault="003A5FD6">
            <w:pPr>
              <w:spacing w:line="200" w:lineRule="exact"/>
              <w:ind w:left="284" w:right="284" w:firstLine="567"/>
              <w:jc w:val="both"/>
              <w:rPr>
                <w:rFonts w:ascii="Univers" w:hAnsi="Univers"/>
                <w:spacing w:val="-3"/>
                <w:sz w:val="16"/>
              </w:rPr>
            </w:pPr>
            <w:r>
              <w:rPr>
                <w:rFonts w:ascii="Univers" w:hAnsi="Univers"/>
                <w:spacing w:val="-3"/>
                <w:sz w:val="16"/>
              </w:rPr>
              <w:t>El ICA fue desarrollado de acuerdo con las siguientes etapas: La primera etapa consistió en crear una escala de calificación de acuerdo con los diferentes usos del agua. La segunda involucró el desarrollo de una escala de calificación para cada parámetro d</w:t>
            </w:r>
            <w:r>
              <w:rPr>
                <w:rFonts w:ascii="Univers" w:hAnsi="Univers"/>
                <w:spacing w:val="-3"/>
                <w:sz w:val="16"/>
              </w:rPr>
              <w:t>e tal forma que se estableciera una correlación entre los diferentes parámetros y su influencia en el grado de contaminación. Después de que fueron preparadas estas escalas, se formularon los modelos matemáticos para cada parámetro, los cuales co</w:t>
            </w:r>
            <w:r>
              <w:rPr>
                <w:rFonts w:ascii="Univers" w:hAnsi="Univers"/>
                <w:spacing w:val="-3"/>
                <w:sz w:val="16"/>
              </w:rPr>
              <w:t>n</w:t>
            </w:r>
            <w:r>
              <w:rPr>
                <w:rFonts w:ascii="Univers" w:hAnsi="Univers"/>
                <w:spacing w:val="-3"/>
                <w:sz w:val="16"/>
              </w:rPr>
              <w:t>vierten l</w:t>
            </w:r>
            <w:r>
              <w:rPr>
                <w:rFonts w:ascii="Univers" w:hAnsi="Univers"/>
                <w:spacing w:val="-3"/>
                <w:sz w:val="16"/>
              </w:rPr>
              <w:t>os datos físicos en correspondientes índices de calidad por parámetro (I</w:t>
            </w:r>
            <w:r>
              <w:rPr>
                <w:rFonts w:ascii="Univers" w:hAnsi="Univers"/>
                <w:spacing w:val="-3"/>
                <w:sz w:val="16"/>
                <w:vertAlign w:val="subscript"/>
              </w:rPr>
              <w:t>i</w:t>
            </w:r>
            <w:r>
              <w:rPr>
                <w:rFonts w:ascii="Univers" w:hAnsi="Univers"/>
                <w:spacing w:val="-3"/>
                <w:sz w:val="16"/>
              </w:rPr>
              <w:t>). Debido a que ciertos parámetros son más sign</w:t>
            </w:r>
            <w:r>
              <w:rPr>
                <w:rFonts w:ascii="Univers" w:hAnsi="Univers"/>
                <w:spacing w:val="-3"/>
                <w:sz w:val="16"/>
              </w:rPr>
              <w:t>i</w:t>
            </w:r>
            <w:r>
              <w:rPr>
                <w:rFonts w:ascii="Univers" w:hAnsi="Univers"/>
                <w:spacing w:val="-3"/>
                <w:sz w:val="16"/>
              </w:rPr>
              <w:t>ficativos que otros en su influencia en la calidad del agua, este hecho se modeló introduciendo pesos o factores de ponderación (</w:t>
            </w:r>
            <w:proofErr w:type="spellStart"/>
            <w:r>
              <w:rPr>
                <w:rFonts w:ascii="Univers" w:hAnsi="Univers"/>
                <w:spacing w:val="-3"/>
                <w:sz w:val="16"/>
              </w:rPr>
              <w:t>W</w:t>
            </w:r>
            <w:r>
              <w:rPr>
                <w:rFonts w:ascii="Univers" w:hAnsi="Univers"/>
                <w:spacing w:val="-3"/>
                <w:sz w:val="16"/>
                <w:vertAlign w:val="subscript"/>
              </w:rPr>
              <w:t>i</w:t>
            </w:r>
            <w:proofErr w:type="spellEnd"/>
            <w:r>
              <w:rPr>
                <w:rFonts w:ascii="Univers" w:hAnsi="Univers"/>
                <w:spacing w:val="-3"/>
                <w:sz w:val="16"/>
              </w:rPr>
              <w:t>) se</w:t>
            </w:r>
            <w:r>
              <w:rPr>
                <w:rFonts w:ascii="Univers" w:hAnsi="Univers"/>
                <w:spacing w:val="-3"/>
                <w:sz w:val="16"/>
              </w:rPr>
              <w:t>gún su orden de importancia respectivo. Finalmente, los índices por parámetro son promediados a fin de obtener el ICA de la mue</w:t>
            </w:r>
            <w:r>
              <w:rPr>
                <w:rFonts w:ascii="Univers" w:hAnsi="Univers"/>
                <w:spacing w:val="-3"/>
                <w:sz w:val="16"/>
              </w:rPr>
              <w:t>s</w:t>
            </w:r>
            <w:r>
              <w:rPr>
                <w:rFonts w:ascii="Univers" w:hAnsi="Univers"/>
                <w:spacing w:val="-3"/>
                <w:sz w:val="16"/>
              </w:rPr>
              <w:t>tra de agua.</w:t>
            </w:r>
          </w:p>
          <w:p w:rsidR="00000000" w:rsidRDefault="003A5FD6">
            <w:pPr>
              <w:spacing w:line="200" w:lineRule="exact"/>
              <w:ind w:left="284" w:right="284" w:firstLine="567"/>
              <w:jc w:val="both"/>
              <w:rPr>
                <w:rFonts w:ascii="Univers" w:hAnsi="Univers"/>
                <w:spacing w:val="-3"/>
                <w:sz w:val="16"/>
              </w:rPr>
            </w:pPr>
          </w:p>
          <w:p w:rsidR="00000000" w:rsidRDefault="003A5FD6">
            <w:pPr>
              <w:spacing w:line="200" w:lineRule="exact"/>
              <w:ind w:left="284" w:right="284"/>
              <w:jc w:val="both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i/>
                <w:sz w:val="16"/>
              </w:rPr>
              <w:t>Parámetros del ICA: importancia relativa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before="60" w:after="40"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Parámetro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before="60" w:after="40"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Peso (</w:t>
            </w:r>
            <w:proofErr w:type="spellStart"/>
            <w:r>
              <w:rPr>
                <w:rFonts w:ascii="Univers" w:hAnsi="Univers"/>
                <w:sz w:val="16"/>
              </w:rPr>
              <w:t>W</w:t>
            </w:r>
            <w:r>
              <w:rPr>
                <w:rFonts w:ascii="Univers" w:hAnsi="Univers"/>
                <w:sz w:val="16"/>
                <w:vertAlign w:val="subscript"/>
              </w:rPr>
              <w:t>i</w:t>
            </w:r>
            <w:proofErr w:type="spellEnd"/>
            <w:r>
              <w:rPr>
                <w:rFonts w:ascii="Univers" w:hAnsi="Univers"/>
                <w:sz w:val="16"/>
              </w:rPr>
              <w:t>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before="60" w:after="40"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Parámetro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before="60" w:after="40"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Peso (</w:t>
            </w:r>
            <w:proofErr w:type="spellStart"/>
            <w:r>
              <w:rPr>
                <w:rFonts w:ascii="Univers" w:hAnsi="Univers"/>
                <w:sz w:val="16"/>
              </w:rPr>
              <w:t>W</w:t>
            </w:r>
            <w:r>
              <w:rPr>
                <w:rFonts w:ascii="Univers" w:hAnsi="Univers"/>
                <w:sz w:val="16"/>
                <w:vertAlign w:val="subscript"/>
              </w:rPr>
              <w:t>i</w:t>
            </w:r>
            <w:proofErr w:type="spellEnd"/>
            <w:r>
              <w:rPr>
                <w:rFonts w:ascii="Univers" w:hAnsi="Univers"/>
                <w:sz w:val="16"/>
              </w:rPr>
              <w:t>)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Demanda Bioquímica de Oxígen</w:t>
            </w:r>
            <w:r>
              <w:rPr>
                <w:rFonts w:ascii="Univers" w:hAnsi="Univers"/>
                <w:sz w:val="16"/>
              </w:rPr>
              <w:t>o (DBO)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5.0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Nitrógeno en nitr</w:t>
            </w:r>
            <w:r>
              <w:rPr>
                <w:rFonts w:ascii="Univers" w:hAnsi="Univers"/>
                <w:sz w:val="16"/>
              </w:rPr>
              <w:t>a</w:t>
            </w:r>
            <w:r>
              <w:rPr>
                <w:rFonts w:ascii="Univers" w:hAnsi="Univers"/>
                <w:sz w:val="16"/>
              </w:rPr>
              <w:t>tos (NO</w:t>
            </w:r>
            <w:r>
              <w:rPr>
                <w:rFonts w:ascii="Univers" w:hAnsi="Univers"/>
                <w:sz w:val="16"/>
                <w:vertAlign w:val="subscript"/>
              </w:rPr>
              <w:t>3</w:t>
            </w:r>
            <w:r>
              <w:rPr>
                <w:rFonts w:ascii="Univers" w:hAnsi="Univers"/>
                <w:sz w:val="16"/>
                <w:vertAlign w:val="superscript"/>
              </w:rPr>
              <w:t>-1</w:t>
            </w:r>
            <w:r>
              <w:rPr>
                <w:rFonts w:ascii="Univers" w:hAnsi="Univers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2.0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Oxígeno disuelto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5.0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Alcalin</w:t>
            </w:r>
            <w:r>
              <w:rPr>
                <w:rFonts w:ascii="Univers" w:hAnsi="Univers"/>
                <w:sz w:val="16"/>
              </w:rPr>
              <w:t>i</w:t>
            </w:r>
            <w:r>
              <w:rPr>
                <w:rFonts w:ascii="Univers" w:hAnsi="Univers"/>
                <w:sz w:val="16"/>
              </w:rPr>
              <w:t>dad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1.0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proofErr w:type="spellStart"/>
            <w:r>
              <w:rPr>
                <w:rFonts w:ascii="Univers" w:hAnsi="Univers"/>
                <w:sz w:val="16"/>
              </w:rPr>
              <w:t>Coliformes</w:t>
            </w:r>
            <w:proofErr w:type="spellEnd"/>
            <w:r>
              <w:rPr>
                <w:rFonts w:ascii="Univers" w:hAnsi="Univers"/>
                <w:sz w:val="16"/>
              </w:rPr>
              <w:t xml:space="preserve"> fecales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4.0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Color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1.0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proofErr w:type="spellStart"/>
            <w:r>
              <w:rPr>
                <w:rFonts w:ascii="Univers" w:hAnsi="Univers"/>
                <w:sz w:val="16"/>
              </w:rPr>
              <w:t>Coliformes</w:t>
            </w:r>
            <w:proofErr w:type="spellEnd"/>
            <w:r>
              <w:rPr>
                <w:rFonts w:ascii="Univers" w:hAnsi="Univers"/>
                <w:sz w:val="16"/>
              </w:rPr>
              <w:t xml:space="preserve"> totales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3.0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Dureza total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1.0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Sustancias activas al azul de metileno (Deterge</w:t>
            </w:r>
            <w:r>
              <w:rPr>
                <w:rFonts w:ascii="Univers" w:hAnsi="Univers"/>
                <w:sz w:val="16"/>
              </w:rPr>
              <w:t>n</w:t>
            </w:r>
            <w:r>
              <w:rPr>
                <w:rFonts w:ascii="Univers" w:hAnsi="Univers"/>
                <w:sz w:val="16"/>
              </w:rPr>
              <w:t>tes)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3.0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Potencial de Hidr</w:t>
            </w:r>
            <w:r>
              <w:rPr>
                <w:rFonts w:ascii="Univers" w:hAnsi="Univers"/>
                <w:sz w:val="16"/>
              </w:rPr>
              <w:t>ó</w:t>
            </w:r>
            <w:r>
              <w:rPr>
                <w:rFonts w:ascii="Univers" w:hAnsi="Univers"/>
                <w:sz w:val="16"/>
              </w:rPr>
              <w:t>geno (pH)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1.0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Conductividad eléctrica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2.0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Sólidos su</w:t>
            </w:r>
            <w:r>
              <w:rPr>
                <w:rFonts w:ascii="Univers" w:hAnsi="Univers"/>
                <w:sz w:val="16"/>
              </w:rPr>
              <w:t>s</w:t>
            </w:r>
            <w:r>
              <w:rPr>
                <w:rFonts w:ascii="Univers" w:hAnsi="Univers"/>
                <w:sz w:val="16"/>
              </w:rPr>
              <w:t>pendidos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1.0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Fosfatos totales (PO</w:t>
            </w:r>
            <w:r>
              <w:rPr>
                <w:rFonts w:ascii="Univers" w:hAnsi="Univers"/>
                <w:sz w:val="16"/>
                <w:vertAlign w:val="subscript"/>
              </w:rPr>
              <w:t>4</w:t>
            </w:r>
            <w:r>
              <w:rPr>
                <w:rFonts w:ascii="Univers" w:hAnsi="Univers"/>
                <w:sz w:val="16"/>
                <w:vertAlign w:val="superscript"/>
              </w:rPr>
              <w:t>-3</w:t>
            </w:r>
            <w:r>
              <w:rPr>
                <w:rFonts w:ascii="Univers" w:hAnsi="Univers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2.0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Cloruros (Cl</w:t>
            </w:r>
            <w:r>
              <w:rPr>
                <w:rFonts w:ascii="Univers" w:hAnsi="Univers"/>
                <w:sz w:val="16"/>
                <w:vertAlign w:val="superscript"/>
              </w:rPr>
              <w:t>-1</w:t>
            </w:r>
            <w:r>
              <w:rPr>
                <w:rFonts w:ascii="Univers" w:hAnsi="Univers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0.5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Grasas y aceites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2.0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Sólidos disue</w:t>
            </w:r>
            <w:r>
              <w:rPr>
                <w:rFonts w:ascii="Univers" w:hAnsi="Univers"/>
                <w:sz w:val="16"/>
              </w:rPr>
              <w:t>l</w:t>
            </w:r>
            <w:r>
              <w:rPr>
                <w:rFonts w:ascii="Univers" w:hAnsi="Univers"/>
                <w:sz w:val="16"/>
              </w:rPr>
              <w:t>tos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0.5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</w:tcBorders>
          </w:tcPr>
          <w:p w:rsidR="00000000" w:rsidRDefault="003A5FD6">
            <w:pPr>
              <w:spacing w:line="200" w:lineRule="exact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Nitrógeno amoniacal (NH</w:t>
            </w:r>
            <w:r>
              <w:rPr>
                <w:rFonts w:ascii="Univers" w:hAnsi="Univers"/>
                <w:sz w:val="16"/>
                <w:vertAlign w:val="subscript"/>
              </w:rPr>
              <w:t>3</w:t>
            </w:r>
            <w:r>
              <w:rPr>
                <w:rFonts w:ascii="Univers" w:hAnsi="Univers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2.0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Turbiedad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000000" w:rsidRDefault="003A5FD6">
            <w:pPr>
              <w:spacing w:line="200" w:lineRule="exact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0.5</w:t>
            </w:r>
          </w:p>
        </w:tc>
        <w:tc>
          <w:tcPr>
            <w:tcW w:w="482" w:type="dxa"/>
            <w:tcBorders>
              <w:top w:val="nil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A5FD6">
            <w:pPr>
              <w:spacing w:line="200" w:lineRule="atLeast"/>
              <w:ind w:left="284" w:right="284"/>
              <w:jc w:val="both"/>
              <w:rPr>
                <w:rFonts w:ascii="Univers" w:hAnsi="Univers"/>
                <w:sz w:val="16"/>
              </w:rPr>
            </w:pPr>
          </w:p>
          <w:p w:rsidR="00000000" w:rsidRDefault="003A5FD6">
            <w:pPr>
              <w:spacing w:line="200" w:lineRule="atLeast"/>
              <w:ind w:left="284" w:right="284"/>
              <w:jc w:val="both"/>
              <w:rPr>
                <w:rFonts w:ascii="Univers" w:hAnsi="Univers"/>
                <w:i/>
                <w:sz w:val="16"/>
              </w:rPr>
            </w:pPr>
            <w:r>
              <w:rPr>
                <w:rFonts w:ascii="Univers" w:hAnsi="Univers"/>
                <w:i/>
                <w:sz w:val="16"/>
              </w:rPr>
              <w:t>Fórmula del ICA</w:t>
            </w:r>
          </w:p>
          <w:p w:rsidR="00000000" w:rsidRDefault="003A5FD6">
            <w:pPr>
              <w:spacing w:line="200" w:lineRule="atLeast"/>
              <w:ind w:right="284"/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position w:val="-64"/>
                <w:sz w:val="16"/>
              </w:rPr>
              <w:object w:dxaOrig="1219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9.75pt" o:ole="" fillcolor="window">
                  <v:imagedata r:id="rId4" o:title=""/>
                </v:shape>
                <o:OLEObject Type="Embed" ProgID="Equation.3" ShapeID="_x0000_i1025" DrawAspect="Content" ObjectID="_1310198386" r:id="rId5"/>
              </w:object>
            </w:r>
          </w:p>
          <w:p w:rsidR="00000000" w:rsidRDefault="003A5FD6">
            <w:pPr>
              <w:spacing w:line="200" w:lineRule="atLeast"/>
              <w:ind w:left="284" w:right="284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donde el sub</w:t>
            </w:r>
            <w:r>
              <w:rPr>
                <w:rFonts w:ascii="Univers" w:hAnsi="Univers"/>
                <w:sz w:val="16"/>
              </w:rPr>
              <w:t xml:space="preserve">índice </w:t>
            </w:r>
            <w:r>
              <w:rPr>
                <w:rFonts w:ascii="Univers" w:hAnsi="Univers"/>
                <w:i/>
                <w:sz w:val="16"/>
              </w:rPr>
              <w:t>i</w:t>
            </w:r>
            <w:r>
              <w:rPr>
                <w:rFonts w:ascii="Univers" w:hAnsi="Univers"/>
                <w:sz w:val="16"/>
              </w:rPr>
              <w:t xml:space="preserve"> identifica a cada uno de los 18 parámetros antes presentados, por lo que </w:t>
            </w:r>
            <w:r>
              <w:rPr>
                <w:rFonts w:ascii="Univers" w:hAnsi="Univers"/>
                <w:i/>
                <w:sz w:val="16"/>
              </w:rPr>
              <w:t>i</w:t>
            </w:r>
            <w:r>
              <w:rPr>
                <w:rFonts w:ascii="Univers" w:hAnsi="Univers"/>
                <w:sz w:val="16"/>
              </w:rPr>
              <w:t xml:space="preserve"> = 1, 2, …, 18, y </w:t>
            </w:r>
            <w:r>
              <w:rPr>
                <w:rFonts w:ascii="Univers" w:hAnsi="Univers"/>
                <w:i/>
                <w:sz w:val="16"/>
              </w:rPr>
              <w:t>n</w:t>
            </w:r>
            <w:r>
              <w:rPr>
                <w:rFonts w:ascii="Univers" w:hAnsi="Univers"/>
                <w:sz w:val="16"/>
              </w:rPr>
              <w:t xml:space="preserve"> = 18.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A5FD6">
            <w:pPr>
              <w:spacing w:before="120" w:line="200" w:lineRule="exact"/>
              <w:ind w:left="284"/>
              <w:jc w:val="both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 xml:space="preserve">Fuente: </w:t>
            </w:r>
            <w:r>
              <w:rPr>
                <w:rFonts w:ascii="Univers" w:hAnsi="Univers"/>
                <w:sz w:val="14"/>
              </w:rPr>
              <w:t>Semarnap, Comisión Nacional del Agua, 1999.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A5FD6">
            <w:pPr>
              <w:rPr>
                <w:rFonts w:ascii="Arial Narrow" w:hAnsi="Arial Narrow"/>
                <w:sz w:val="14"/>
              </w:rPr>
            </w:pPr>
          </w:p>
        </w:tc>
      </w:tr>
    </w:tbl>
    <w:p w:rsidR="003A5FD6" w:rsidRDefault="003A5FD6"/>
    <w:sectPr w:rsidR="003A5FD6">
      <w:pgSz w:w="12242" w:h="15842" w:code="1"/>
      <w:pgMar w:top="964" w:right="1077" w:bottom="964" w:left="107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7AEF"/>
    <w:rsid w:val="00387AEF"/>
    <w:rsid w:val="003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Calidad del Agua                                                                                                                     Recuadro II</vt:lpstr>
    </vt:vector>
  </TitlesOfParts>
  <Company>SEMARNAP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Calidad del Agua                                                                                                                     Recuadro II</dc:title>
  <dc:subject/>
  <dc:creator>Alicia Ibarra Contreras</dc:creator>
  <cp:keywords/>
  <cp:lastModifiedBy>Administrador</cp:lastModifiedBy>
  <cp:revision>2</cp:revision>
  <cp:lastPrinted>2003-02-12T05:11:00Z</cp:lastPrinted>
  <dcterms:created xsi:type="dcterms:W3CDTF">2009-07-27T16:13:00Z</dcterms:created>
  <dcterms:modified xsi:type="dcterms:W3CDTF">2009-07-27T16:13:00Z</dcterms:modified>
</cp:coreProperties>
</file>