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7634" w:rsidRDefault="001B7634" w:rsidP="000F733A">
      <w:pPr>
        <w:jc w:val="both"/>
        <w:rPr>
          <w:rFonts w:ascii="Papyrus" w:hAnsi="Papyrus"/>
          <w:b/>
          <w:sz w:val="52"/>
          <w:szCs w:val="52"/>
        </w:rPr>
      </w:pPr>
    </w:p>
    <w:p w:rsidR="00166495" w:rsidRDefault="00525362" w:rsidP="009B38CF">
      <w:pPr>
        <w:jc w:val="center"/>
        <w:rPr>
          <w:rFonts w:ascii="Papyrus" w:hAnsi="Papyrus"/>
          <w:b/>
          <w:sz w:val="52"/>
          <w:szCs w:val="52"/>
        </w:rPr>
      </w:pPr>
      <w:r>
        <w:rPr>
          <w:noProof/>
          <w:lang w:val="es-ES" w:eastAsia="es-ES"/>
        </w:rPr>
        <w:drawing>
          <wp:anchor distT="0" distB="0" distL="114300" distR="114300" simplePos="0" relativeHeight="251657216" behindDoc="0" locked="0" layoutInCell="1" allowOverlap="1">
            <wp:simplePos x="0" y="0"/>
            <wp:positionH relativeFrom="column">
              <wp:posOffset>2971800</wp:posOffset>
            </wp:positionH>
            <wp:positionV relativeFrom="paragraph">
              <wp:posOffset>509270</wp:posOffset>
            </wp:positionV>
            <wp:extent cx="2362200" cy="1936750"/>
            <wp:effectExtent l="19050" t="0" r="0" b="0"/>
            <wp:wrapSquare wrapText="bothSides"/>
            <wp:docPr id="3" name="Imagen 3" descr="http://tbn0.google.com/images?q=tbn:zaY3v89P1ILi1M:http://www.aguatec.com.mx/images/productos/industriales_img_211.jp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tbn0.google.com/images?q=tbn:zaY3v89P1ILi1M:http://www.aguatec.com.mx/images/productos/industriales_img_211.jpg">
                      <a:hlinkClick r:id="rId5"/>
                    </pic:cNvPr>
                    <pic:cNvPicPr>
                      <a:picLocks noChangeAspect="1" noChangeArrowheads="1"/>
                    </pic:cNvPicPr>
                  </pic:nvPicPr>
                  <pic:blipFill>
                    <a:blip r:embed="rId6" r:link="rId7"/>
                    <a:srcRect/>
                    <a:stretch>
                      <a:fillRect/>
                    </a:stretch>
                  </pic:blipFill>
                  <pic:spPr bwMode="auto">
                    <a:xfrm>
                      <a:off x="0" y="0"/>
                      <a:ext cx="2362200" cy="1936750"/>
                    </a:xfrm>
                    <a:prstGeom prst="rect">
                      <a:avLst/>
                    </a:prstGeom>
                    <a:noFill/>
                    <a:ln w="9525">
                      <a:noFill/>
                      <a:miter lim="800000"/>
                      <a:headEnd/>
                      <a:tailEnd/>
                    </a:ln>
                  </pic:spPr>
                </pic:pic>
              </a:graphicData>
            </a:graphic>
          </wp:anchor>
        </w:drawing>
      </w:r>
      <w:r w:rsidR="00166495" w:rsidRPr="00166495">
        <w:rPr>
          <w:rFonts w:ascii="Papyrus" w:hAnsi="Papyrus"/>
          <w:b/>
          <w:sz w:val="52"/>
          <w:szCs w:val="52"/>
        </w:rPr>
        <w:t>Investigación:</w:t>
      </w:r>
    </w:p>
    <w:p w:rsidR="00166495" w:rsidRDefault="00166495" w:rsidP="000F733A">
      <w:pPr>
        <w:jc w:val="both"/>
        <w:rPr>
          <w:rFonts w:ascii="Papyrus" w:hAnsi="Papyrus"/>
          <w:b/>
          <w:sz w:val="52"/>
          <w:szCs w:val="52"/>
        </w:rPr>
      </w:pPr>
    </w:p>
    <w:p w:rsidR="001B7634" w:rsidRDefault="001B7634" w:rsidP="000F733A">
      <w:pPr>
        <w:jc w:val="both"/>
        <w:rPr>
          <w:rFonts w:ascii="Papyrus" w:hAnsi="Papyrus"/>
          <w:b/>
          <w:sz w:val="52"/>
          <w:szCs w:val="52"/>
        </w:rPr>
      </w:pPr>
    </w:p>
    <w:p w:rsidR="00166495" w:rsidRPr="001B7634" w:rsidRDefault="00166495" w:rsidP="009B38CF">
      <w:pPr>
        <w:jc w:val="center"/>
        <w:rPr>
          <w:rFonts w:ascii="Papyrus" w:hAnsi="Papyrus"/>
          <w:b/>
          <w:sz w:val="40"/>
          <w:szCs w:val="40"/>
        </w:rPr>
      </w:pPr>
      <w:r w:rsidRPr="001B7634">
        <w:rPr>
          <w:rFonts w:ascii="Papyrus" w:hAnsi="Papyrus"/>
          <w:sz w:val="40"/>
          <w:szCs w:val="40"/>
        </w:rPr>
        <w:t>Turbiedad del agua</w:t>
      </w:r>
    </w:p>
    <w:p w:rsidR="00166495" w:rsidRPr="001B7634" w:rsidRDefault="00166495" w:rsidP="000F733A">
      <w:pPr>
        <w:jc w:val="both"/>
        <w:rPr>
          <w:rFonts w:ascii="Papyrus" w:hAnsi="Papyrus"/>
          <w:b/>
          <w:sz w:val="52"/>
          <w:szCs w:val="52"/>
        </w:rPr>
      </w:pPr>
      <w:r w:rsidRPr="001B7634">
        <w:rPr>
          <w:rFonts w:ascii="Papyrus" w:hAnsi="Papyrus"/>
          <w:b/>
          <w:sz w:val="52"/>
          <w:szCs w:val="52"/>
        </w:rPr>
        <w:t xml:space="preserve"> </w:t>
      </w:r>
    </w:p>
    <w:p w:rsidR="001B7634" w:rsidRPr="00166495" w:rsidRDefault="001B7634" w:rsidP="000F733A">
      <w:pPr>
        <w:jc w:val="both"/>
        <w:rPr>
          <w:rFonts w:ascii="Papyrus" w:hAnsi="Papyrus"/>
          <w:b/>
          <w:sz w:val="52"/>
          <w:szCs w:val="52"/>
        </w:rPr>
      </w:pPr>
    </w:p>
    <w:p w:rsidR="00166495" w:rsidRDefault="00166495" w:rsidP="009B38CF">
      <w:pPr>
        <w:jc w:val="center"/>
        <w:rPr>
          <w:rFonts w:ascii="Papyrus" w:hAnsi="Papyrus"/>
          <w:b/>
          <w:sz w:val="52"/>
          <w:szCs w:val="52"/>
        </w:rPr>
      </w:pPr>
      <w:r w:rsidRPr="00166495">
        <w:rPr>
          <w:rFonts w:ascii="Papyrus" w:hAnsi="Papyrus"/>
          <w:b/>
          <w:sz w:val="52"/>
          <w:szCs w:val="52"/>
        </w:rPr>
        <w:t>Materia:</w:t>
      </w:r>
    </w:p>
    <w:p w:rsidR="00166495" w:rsidRPr="001B7634" w:rsidRDefault="00166495" w:rsidP="009B38CF">
      <w:pPr>
        <w:jc w:val="center"/>
        <w:rPr>
          <w:rFonts w:ascii="Papyrus" w:hAnsi="Papyrus"/>
          <w:sz w:val="52"/>
          <w:szCs w:val="52"/>
        </w:rPr>
      </w:pPr>
      <w:r w:rsidRPr="001B7634">
        <w:rPr>
          <w:rFonts w:ascii="Papyrus" w:hAnsi="Papyrus"/>
          <w:sz w:val="52"/>
          <w:szCs w:val="52"/>
        </w:rPr>
        <w:t>Calidad de Agua</w:t>
      </w:r>
    </w:p>
    <w:p w:rsidR="00166495" w:rsidRPr="00166495" w:rsidRDefault="00166495" w:rsidP="000F733A">
      <w:pPr>
        <w:jc w:val="both"/>
        <w:rPr>
          <w:rFonts w:ascii="Papyrus" w:hAnsi="Papyrus"/>
          <w:b/>
          <w:sz w:val="52"/>
          <w:szCs w:val="52"/>
        </w:rPr>
      </w:pPr>
    </w:p>
    <w:p w:rsidR="00166495" w:rsidRDefault="00166495" w:rsidP="000F733A">
      <w:pPr>
        <w:jc w:val="both"/>
        <w:rPr>
          <w:rFonts w:ascii="Papyrus" w:hAnsi="Papyrus"/>
          <w:b/>
          <w:sz w:val="52"/>
          <w:szCs w:val="52"/>
        </w:rPr>
      </w:pPr>
      <w:r w:rsidRPr="00166495">
        <w:rPr>
          <w:rFonts w:ascii="Papyrus" w:hAnsi="Papyrus"/>
          <w:b/>
          <w:sz w:val="52"/>
          <w:szCs w:val="52"/>
        </w:rPr>
        <w:t xml:space="preserve">Perteneciente a: </w:t>
      </w:r>
    </w:p>
    <w:p w:rsidR="001B7634" w:rsidRPr="00166495" w:rsidRDefault="001B7634" w:rsidP="000F733A">
      <w:pPr>
        <w:jc w:val="both"/>
        <w:rPr>
          <w:rFonts w:ascii="Papyrus" w:hAnsi="Papyrus"/>
          <w:b/>
          <w:sz w:val="52"/>
          <w:szCs w:val="52"/>
        </w:rPr>
      </w:pPr>
    </w:p>
    <w:p w:rsidR="00166495" w:rsidRPr="001B7634" w:rsidRDefault="00166495" w:rsidP="009B38CF">
      <w:pPr>
        <w:jc w:val="center"/>
        <w:rPr>
          <w:rFonts w:ascii="Papyrus" w:hAnsi="Papyrus"/>
          <w:sz w:val="52"/>
          <w:szCs w:val="52"/>
          <w:lang w:val="fr-FR"/>
        </w:rPr>
      </w:pPr>
      <w:r w:rsidRPr="001B7634">
        <w:rPr>
          <w:rFonts w:ascii="Papyrus" w:hAnsi="Papyrus"/>
          <w:sz w:val="52"/>
          <w:szCs w:val="52"/>
          <w:lang w:val="fr-FR"/>
        </w:rPr>
        <w:t>Michelle Miranda Contreras</w:t>
      </w:r>
    </w:p>
    <w:p w:rsidR="00166495" w:rsidRPr="001B7634" w:rsidRDefault="00166495" w:rsidP="000F733A">
      <w:pPr>
        <w:jc w:val="both"/>
        <w:rPr>
          <w:rFonts w:ascii="Papyrus" w:hAnsi="Papyrus"/>
          <w:b/>
          <w:sz w:val="52"/>
          <w:szCs w:val="52"/>
          <w:lang w:val="fr-FR"/>
        </w:rPr>
      </w:pPr>
    </w:p>
    <w:p w:rsidR="00166495" w:rsidRPr="001B7634" w:rsidRDefault="00166495" w:rsidP="009B38CF">
      <w:pPr>
        <w:jc w:val="center"/>
        <w:rPr>
          <w:rFonts w:ascii="Papyrus" w:hAnsi="Papyrus"/>
          <w:sz w:val="52"/>
          <w:szCs w:val="52"/>
          <w:lang w:val="fr-FR"/>
        </w:rPr>
      </w:pPr>
      <w:r w:rsidRPr="001B7634">
        <w:rPr>
          <w:rFonts w:ascii="Papyrus" w:hAnsi="Papyrus"/>
          <w:b/>
          <w:sz w:val="52"/>
          <w:szCs w:val="52"/>
          <w:lang w:val="fr-FR"/>
        </w:rPr>
        <w:t xml:space="preserve">Prof.: </w:t>
      </w:r>
      <w:r w:rsidRPr="001B7634">
        <w:rPr>
          <w:rFonts w:ascii="Papyrus" w:hAnsi="Papyrus" w:cs="Arial"/>
          <w:sz w:val="52"/>
          <w:szCs w:val="52"/>
          <w:lang w:val="fr-FR"/>
        </w:rPr>
        <w:t>José Chang Gómez</w:t>
      </w:r>
    </w:p>
    <w:p w:rsidR="00166495" w:rsidRPr="001B7634" w:rsidRDefault="00166495" w:rsidP="000F733A">
      <w:pPr>
        <w:jc w:val="both"/>
        <w:rPr>
          <w:rFonts w:ascii="Papyrus" w:hAnsi="Papyrus"/>
          <w:b/>
          <w:sz w:val="44"/>
          <w:szCs w:val="44"/>
          <w:lang w:val="fr-FR"/>
        </w:rPr>
      </w:pPr>
    </w:p>
    <w:p w:rsidR="00166495" w:rsidRPr="006D6469" w:rsidRDefault="00166495" w:rsidP="006D6469">
      <w:pPr>
        <w:jc w:val="center"/>
        <w:rPr>
          <w:rFonts w:ascii="Papyrus" w:hAnsi="Papyrus"/>
          <w:b/>
          <w:sz w:val="36"/>
          <w:szCs w:val="36"/>
          <w:u w:val="single"/>
        </w:rPr>
      </w:pPr>
      <w:r w:rsidRPr="006D6469">
        <w:rPr>
          <w:rFonts w:ascii="Papyrus" w:hAnsi="Papyrus"/>
          <w:b/>
          <w:sz w:val="36"/>
          <w:szCs w:val="36"/>
          <w:u w:val="single"/>
        </w:rPr>
        <w:lastRenderedPageBreak/>
        <w:t>Turbiedad del agua</w:t>
      </w:r>
    </w:p>
    <w:p w:rsidR="00166495" w:rsidRPr="006D6469" w:rsidRDefault="00166495" w:rsidP="000F733A">
      <w:pPr>
        <w:jc w:val="both"/>
        <w:rPr>
          <w:rFonts w:ascii="Papyrus" w:hAnsi="Papyrus"/>
          <w:sz w:val="20"/>
          <w:szCs w:val="20"/>
        </w:rPr>
      </w:pPr>
    </w:p>
    <w:p w:rsidR="00166495" w:rsidRPr="006D6469" w:rsidRDefault="00166495" w:rsidP="000F733A">
      <w:pPr>
        <w:jc w:val="both"/>
        <w:rPr>
          <w:rFonts w:ascii="Papyrus" w:hAnsi="Papyrus"/>
          <w:b/>
          <w:sz w:val="20"/>
          <w:szCs w:val="20"/>
          <w:u w:val="single"/>
        </w:rPr>
      </w:pPr>
      <w:r w:rsidRPr="006D6469">
        <w:rPr>
          <w:rFonts w:ascii="Papyrus" w:hAnsi="Papyrus"/>
          <w:b/>
          <w:sz w:val="20"/>
          <w:szCs w:val="20"/>
          <w:u w:val="single"/>
        </w:rPr>
        <w:t>Definición:</w:t>
      </w:r>
    </w:p>
    <w:p w:rsidR="00166495" w:rsidRPr="006D6469" w:rsidRDefault="00166495" w:rsidP="000F733A">
      <w:pPr>
        <w:jc w:val="both"/>
        <w:rPr>
          <w:rFonts w:ascii="Papyrus" w:hAnsi="Papyrus"/>
          <w:sz w:val="20"/>
          <w:szCs w:val="20"/>
        </w:rPr>
      </w:pPr>
    </w:p>
    <w:p w:rsidR="00B01D37" w:rsidRPr="006D6469" w:rsidRDefault="00166495" w:rsidP="000F733A">
      <w:pPr>
        <w:jc w:val="both"/>
        <w:rPr>
          <w:rFonts w:ascii="Papyrus" w:hAnsi="Papyrus"/>
          <w:sz w:val="20"/>
          <w:szCs w:val="20"/>
        </w:rPr>
      </w:pPr>
      <w:r w:rsidRPr="006D6469">
        <w:rPr>
          <w:rFonts w:ascii="Papyrus" w:hAnsi="Papyrus"/>
          <w:sz w:val="20"/>
          <w:szCs w:val="20"/>
        </w:rPr>
        <w:t>Es el efecto óptico que se origina al dispersarse o interferirse el paso de los rayos de luz que atraviesan una muestra de agua, a causa de las partículas minerales u orgánicas que el líquido puede contener en forma de suspensión; tales como micro organismos, arcilla, precipitaciones de óxidos diversos, carbonato de calcio precipitado, compuestos de aluminio, etc. La turbiedad nos es generalmente usada como forma de control de aguas residuales crudas pero puede ser medida para caracterizar la eficiencia del tratamiento secundario una vez que, puede ser relacionada con la concentración de sólidos en suspensión.</w:t>
      </w:r>
    </w:p>
    <w:p w:rsidR="00166495" w:rsidRPr="006D6469" w:rsidRDefault="00166495" w:rsidP="000F733A">
      <w:pPr>
        <w:jc w:val="both"/>
        <w:rPr>
          <w:rFonts w:ascii="Papyrus" w:hAnsi="Papyrus"/>
          <w:sz w:val="20"/>
          <w:szCs w:val="20"/>
        </w:rPr>
      </w:pPr>
    </w:p>
    <w:p w:rsidR="00B002A2" w:rsidRPr="006D6469" w:rsidRDefault="00B002A2" w:rsidP="000F733A">
      <w:pPr>
        <w:jc w:val="both"/>
        <w:rPr>
          <w:rFonts w:ascii="Papyrus" w:hAnsi="Papyrus"/>
          <w:b/>
          <w:sz w:val="20"/>
          <w:szCs w:val="20"/>
          <w:u w:val="single"/>
        </w:rPr>
      </w:pPr>
      <w:r w:rsidRPr="006D6469">
        <w:rPr>
          <w:rFonts w:ascii="Papyrus" w:hAnsi="Papyrus"/>
          <w:b/>
          <w:sz w:val="20"/>
          <w:szCs w:val="20"/>
          <w:u w:val="single"/>
        </w:rPr>
        <w:t xml:space="preserve">1.- Generalidades </w:t>
      </w:r>
    </w:p>
    <w:p w:rsidR="001B7634" w:rsidRPr="006D6469" w:rsidRDefault="001B7634" w:rsidP="000F733A">
      <w:pPr>
        <w:jc w:val="both"/>
        <w:rPr>
          <w:rFonts w:ascii="Papyrus" w:hAnsi="Papyrus"/>
          <w:b/>
          <w:sz w:val="20"/>
          <w:szCs w:val="20"/>
        </w:rPr>
      </w:pPr>
    </w:p>
    <w:p w:rsidR="00B002A2" w:rsidRPr="006D6469" w:rsidRDefault="00B002A2" w:rsidP="000F733A">
      <w:pPr>
        <w:jc w:val="both"/>
        <w:rPr>
          <w:rFonts w:ascii="Papyrus" w:hAnsi="Papyrus"/>
          <w:sz w:val="20"/>
          <w:szCs w:val="20"/>
        </w:rPr>
      </w:pPr>
      <w:r w:rsidRPr="006D6469">
        <w:rPr>
          <w:rFonts w:ascii="Papyrus" w:hAnsi="Papyrus"/>
          <w:sz w:val="20"/>
          <w:szCs w:val="20"/>
        </w:rPr>
        <w:t xml:space="preserve">La turbidez es la expresión de la propiedad óptica de la muestra que causa que los rayos de luz sean dispersados y absorbidos en lugar de ser transmitidos en línea recta a través de la muestra. </w:t>
      </w:r>
    </w:p>
    <w:p w:rsidR="00B002A2" w:rsidRPr="006D6469" w:rsidRDefault="00B002A2" w:rsidP="000F733A">
      <w:pPr>
        <w:jc w:val="both"/>
        <w:rPr>
          <w:rFonts w:ascii="Papyrus" w:hAnsi="Papyrus"/>
          <w:sz w:val="20"/>
          <w:szCs w:val="20"/>
        </w:rPr>
      </w:pPr>
    </w:p>
    <w:p w:rsidR="00B002A2" w:rsidRPr="006D6469" w:rsidRDefault="00B002A2" w:rsidP="000F733A">
      <w:pPr>
        <w:jc w:val="both"/>
        <w:rPr>
          <w:rFonts w:ascii="Papyrus" w:hAnsi="Papyrus"/>
          <w:sz w:val="20"/>
          <w:szCs w:val="20"/>
        </w:rPr>
      </w:pPr>
      <w:r w:rsidRPr="006D6469">
        <w:rPr>
          <w:rFonts w:ascii="Papyrus" w:hAnsi="Papyrus"/>
          <w:sz w:val="20"/>
          <w:szCs w:val="20"/>
        </w:rPr>
        <w:t xml:space="preserve">La turbiedad en el agua puede ser causada por la presencia de partículas suspendidas y disueltas de gases, líquidos y sólidos tanto orgánicos como inorgánicos, con un ámbito de tamaños desde el coloidal hasta partículas macroscópicas, dependiendo del grado de turbulencia. En lagos la turbiedad es debida a dispersiones extremadamente finas y coloidales, en los ríos, es debido a dispersiones normales. </w:t>
      </w:r>
    </w:p>
    <w:p w:rsidR="00B002A2" w:rsidRPr="006D6469" w:rsidRDefault="00B002A2" w:rsidP="000F733A">
      <w:pPr>
        <w:jc w:val="both"/>
        <w:rPr>
          <w:rFonts w:ascii="Papyrus" w:hAnsi="Papyrus"/>
          <w:sz w:val="20"/>
          <w:szCs w:val="20"/>
        </w:rPr>
      </w:pPr>
      <w:r w:rsidRPr="006D6469">
        <w:rPr>
          <w:rFonts w:ascii="Papyrus" w:hAnsi="Papyrus"/>
          <w:sz w:val="20"/>
          <w:szCs w:val="20"/>
        </w:rPr>
        <w:t xml:space="preserve">La eliminación de la turbiedad, se lleva a cabo mediante procesos de coagulación, asentamiento y filtración. </w:t>
      </w:r>
    </w:p>
    <w:p w:rsidR="00B002A2" w:rsidRPr="006D6469" w:rsidRDefault="00B002A2" w:rsidP="000F733A">
      <w:pPr>
        <w:jc w:val="both"/>
        <w:rPr>
          <w:rFonts w:ascii="Papyrus" w:hAnsi="Papyrus"/>
          <w:sz w:val="20"/>
          <w:szCs w:val="20"/>
        </w:rPr>
      </w:pPr>
      <w:r w:rsidRPr="006D6469">
        <w:rPr>
          <w:rFonts w:ascii="Papyrus" w:hAnsi="Papyrus"/>
          <w:sz w:val="20"/>
          <w:szCs w:val="20"/>
        </w:rPr>
        <w:t xml:space="preserve">La medición de la turbiedad, en una manera rápida que nos sirve para saber cuando, como y hasta que punto debemos tratar el agua para que cumpla con la especificación requerida. </w:t>
      </w:r>
    </w:p>
    <w:p w:rsidR="00B002A2" w:rsidRPr="006D6469" w:rsidRDefault="00B002A2" w:rsidP="000F733A">
      <w:pPr>
        <w:jc w:val="both"/>
        <w:rPr>
          <w:rFonts w:ascii="Papyrus" w:hAnsi="Papyrus"/>
          <w:sz w:val="20"/>
          <w:szCs w:val="20"/>
        </w:rPr>
      </w:pPr>
    </w:p>
    <w:p w:rsidR="00B002A2" w:rsidRPr="006D6469" w:rsidRDefault="00B002A2" w:rsidP="000F733A">
      <w:pPr>
        <w:jc w:val="both"/>
        <w:rPr>
          <w:rFonts w:ascii="Papyrus" w:hAnsi="Papyrus"/>
          <w:sz w:val="20"/>
          <w:szCs w:val="20"/>
        </w:rPr>
      </w:pPr>
      <w:r w:rsidRPr="006D6469">
        <w:rPr>
          <w:rFonts w:ascii="Papyrus" w:hAnsi="Papyrus"/>
          <w:sz w:val="20"/>
          <w:szCs w:val="20"/>
        </w:rPr>
        <w:t xml:space="preserve">La turbiedad es de importante consideración en las aguas para abastecimiento público por tres razones: </w:t>
      </w:r>
    </w:p>
    <w:p w:rsidR="00B002A2" w:rsidRPr="006D6469" w:rsidRDefault="00B002A2" w:rsidP="000F733A">
      <w:pPr>
        <w:jc w:val="both"/>
        <w:rPr>
          <w:rFonts w:ascii="Papyrus" w:hAnsi="Papyrus"/>
          <w:sz w:val="20"/>
          <w:szCs w:val="20"/>
        </w:rPr>
      </w:pPr>
    </w:p>
    <w:p w:rsidR="00B002A2" w:rsidRPr="006D6469" w:rsidRDefault="00B002A2" w:rsidP="000F733A">
      <w:pPr>
        <w:jc w:val="both"/>
        <w:rPr>
          <w:rFonts w:ascii="Papyrus" w:hAnsi="Papyrus"/>
          <w:sz w:val="20"/>
          <w:szCs w:val="20"/>
        </w:rPr>
      </w:pPr>
      <w:r w:rsidRPr="006D6469">
        <w:rPr>
          <w:rFonts w:ascii="Papyrus" w:hAnsi="Papyrus"/>
          <w:b/>
          <w:sz w:val="20"/>
          <w:szCs w:val="20"/>
        </w:rPr>
        <w:t>Estética:</w:t>
      </w:r>
      <w:r w:rsidRPr="006D6469">
        <w:rPr>
          <w:rFonts w:ascii="Papyrus" w:hAnsi="Papyrus"/>
          <w:sz w:val="20"/>
          <w:szCs w:val="20"/>
        </w:rPr>
        <w:t xml:space="preserve"> Cualquier turbiedad en el agua para beber, produce en el consumidor un rechazo inmediato y pocos deseos de ingerirla y utilizarla en sus alimentos. </w:t>
      </w:r>
    </w:p>
    <w:p w:rsidR="00B730E6" w:rsidRPr="006D6469" w:rsidRDefault="00B730E6" w:rsidP="000F733A">
      <w:pPr>
        <w:jc w:val="both"/>
        <w:rPr>
          <w:rFonts w:ascii="Papyrus" w:hAnsi="Papyrus"/>
          <w:sz w:val="20"/>
          <w:szCs w:val="20"/>
        </w:rPr>
      </w:pPr>
    </w:p>
    <w:p w:rsidR="00B002A2" w:rsidRPr="006D6469" w:rsidRDefault="00B002A2" w:rsidP="000F733A">
      <w:pPr>
        <w:jc w:val="both"/>
        <w:rPr>
          <w:rFonts w:ascii="Papyrus" w:hAnsi="Papyrus"/>
          <w:sz w:val="20"/>
          <w:szCs w:val="20"/>
        </w:rPr>
      </w:pPr>
      <w:r w:rsidRPr="006D6469">
        <w:rPr>
          <w:rFonts w:ascii="Papyrus" w:hAnsi="Papyrus"/>
          <w:b/>
          <w:sz w:val="20"/>
          <w:szCs w:val="20"/>
        </w:rPr>
        <w:t>Filtrabilidad:</w:t>
      </w:r>
      <w:r w:rsidRPr="006D6469">
        <w:rPr>
          <w:rFonts w:ascii="Papyrus" w:hAnsi="Papyrus"/>
          <w:sz w:val="20"/>
          <w:szCs w:val="20"/>
        </w:rPr>
        <w:t xml:space="preserve"> La filtración del agua se vuelve más difícil y aumenta su costo al aumentar la turbiedad. </w:t>
      </w:r>
    </w:p>
    <w:p w:rsidR="00B730E6" w:rsidRPr="006D6469" w:rsidRDefault="00B730E6" w:rsidP="000F733A">
      <w:pPr>
        <w:jc w:val="both"/>
        <w:rPr>
          <w:rFonts w:ascii="Papyrus" w:hAnsi="Papyrus"/>
          <w:sz w:val="20"/>
          <w:szCs w:val="20"/>
        </w:rPr>
      </w:pPr>
    </w:p>
    <w:p w:rsidR="00B002A2" w:rsidRPr="006D6469" w:rsidRDefault="00B002A2" w:rsidP="000F733A">
      <w:pPr>
        <w:jc w:val="both"/>
        <w:rPr>
          <w:rFonts w:ascii="Papyrus" w:hAnsi="Papyrus"/>
          <w:sz w:val="20"/>
          <w:szCs w:val="20"/>
        </w:rPr>
      </w:pPr>
      <w:r w:rsidRPr="006D6469">
        <w:rPr>
          <w:rFonts w:ascii="Papyrus" w:hAnsi="Papyrus"/>
          <w:b/>
          <w:sz w:val="20"/>
          <w:szCs w:val="20"/>
        </w:rPr>
        <w:t xml:space="preserve">Desinfección: </w:t>
      </w:r>
      <w:r w:rsidRPr="006D6469">
        <w:rPr>
          <w:rFonts w:ascii="Papyrus" w:hAnsi="Papyrus"/>
          <w:sz w:val="20"/>
          <w:szCs w:val="20"/>
        </w:rPr>
        <w:t>Un valor alto de la turbidez, es una  indicación de la probable presencia de materia orgánica y microorganismos que van a aumentar la cantidad de cloro u ozono que se utilizan para la desinfección de las aguas para abastecimiento de agua potable.</w:t>
      </w:r>
    </w:p>
    <w:p w:rsidR="00B002A2" w:rsidRPr="006D6469" w:rsidRDefault="00B002A2" w:rsidP="000F733A">
      <w:pPr>
        <w:jc w:val="both"/>
        <w:rPr>
          <w:rFonts w:ascii="Papyrus" w:hAnsi="Papyrus"/>
          <w:sz w:val="20"/>
          <w:szCs w:val="20"/>
        </w:rPr>
      </w:pPr>
      <w:r w:rsidRPr="006D6469">
        <w:rPr>
          <w:rFonts w:ascii="Papyrus" w:hAnsi="Papyrus"/>
          <w:sz w:val="20"/>
          <w:szCs w:val="20"/>
        </w:rPr>
        <w:t xml:space="preserve"> El límite máximo permisible en el agua potable es de 10 NTU </w:t>
      </w:r>
      <w:r w:rsidR="00C30D2E" w:rsidRPr="006D6469">
        <w:rPr>
          <w:rFonts w:ascii="Papyrus" w:hAnsi="Papyrus"/>
          <w:sz w:val="20"/>
          <w:szCs w:val="20"/>
        </w:rPr>
        <w:tab/>
      </w:r>
      <w:r w:rsidRPr="006D6469">
        <w:rPr>
          <w:rFonts w:ascii="Papyrus" w:hAnsi="Papyrus"/>
          <w:sz w:val="20"/>
          <w:szCs w:val="20"/>
        </w:rPr>
        <w:t xml:space="preserve">(unidades de turbidez nefelométricas) </w:t>
      </w:r>
    </w:p>
    <w:p w:rsidR="00B002A2" w:rsidRPr="006D6469" w:rsidRDefault="00B002A2" w:rsidP="000F733A">
      <w:pPr>
        <w:jc w:val="both"/>
        <w:rPr>
          <w:rFonts w:ascii="Papyrus" w:hAnsi="Papyrus"/>
          <w:sz w:val="20"/>
          <w:szCs w:val="20"/>
        </w:rPr>
      </w:pPr>
    </w:p>
    <w:p w:rsidR="00B002A2" w:rsidRPr="006D6469" w:rsidRDefault="00B002A2" w:rsidP="000F733A">
      <w:pPr>
        <w:jc w:val="both"/>
        <w:rPr>
          <w:rFonts w:ascii="Papyrus" w:hAnsi="Papyrus"/>
          <w:b/>
          <w:sz w:val="20"/>
          <w:szCs w:val="20"/>
          <w:u w:val="single"/>
        </w:rPr>
      </w:pPr>
      <w:r w:rsidRPr="006D6469">
        <w:rPr>
          <w:rFonts w:ascii="Papyrus" w:hAnsi="Papyrus"/>
          <w:b/>
          <w:sz w:val="20"/>
          <w:szCs w:val="20"/>
          <w:u w:val="single"/>
        </w:rPr>
        <w:t xml:space="preserve">1.1.- Almacenaje de la muestra </w:t>
      </w:r>
    </w:p>
    <w:p w:rsidR="00B002A2" w:rsidRPr="006D6469" w:rsidRDefault="00B002A2" w:rsidP="000F733A">
      <w:pPr>
        <w:jc w:val="both"/>
        <w:rPr>
          <w:rFonts w:ascii="Papyrus" w:hAnsi="Papyrus"/>
          <w:sz w:val="20"/>
          <w:szCs w:val="20"/>
        </w:rPr>
      </w:pPr>
    </w:p>
    <w:p w:rsidR="00B002A2" w:rsidRPr="006D6469" w:rsidRDefault="00B002A2" w:rsidP="000F733A">
      <w:pPr>
        <w:jc w:val="both"/>
        <w:rPr>
          <w:rFonts w:ascii="Papyrus" w:hAnsi="Papyrus"/>
          <w:sz w:val="20"/>
          <w:szCs w:val="20"/>
        </w:rPr>
      </w:pPr>
      <w:r w:rsidRPr="006D6469">
        <w:rPr>
          <w:rFonts w:ascii="Papyrus" w:hAnsi="Papyrus"/>
          <w:sz w:val="20"/>
          <w:szCs w:val="20"/>
        </w:rPr>
        <w:t>Determine la turbid</w:t>
      </w:r>
      <w:r w:rsidR="00BC1EA2" w:rsidRPr="006D6469">
        <w:rPr>
          <w:rFonts w:ascii="Papyrus" w:hAnsi="Papyrus"/>
          <w:sz w:val="20"/>
          <w:szCs w:val="20"/>
        </w:rPr>
        <w:t>ez del agua el</w:t>
      </w:r>
      <w:r w:rsidR="004147DA" w:rsidRPr="006D6469">
        <w:rPr>
          <w:rFonts w:ascii="Papyrus" w:hAnsi="Papyrus"/>
          <w:sz w:val="20"/>
          <w:szCs w:val="20"/>
        </w:rPr>
        <w:t xml:space="preserve"> se mide el</w:t>
      </w:r>
      <w:r w:rsidR="00BC1EA2" w:rsidRPr="006D6469">
        <w:rPr>
          <w:rFonts w:ascii="Papyrus" w:hAnsi="Papyrus"/>
          <w:sz w:val="20"/>
          <w:szCs w:val="20"/>
        </w:rPr>
        <w:t xml:space="preserve"> mismo día que fue</w:t>
      </w:r>
      <w:r w:rsidRPr="006D6469">
        <w:rPr>
          <w:rFonts w:ascii="Papyrus" w:hAnsi="Papyrus"/>
          <w:sz w:val="20"/>
          <w:szCs w:val="20"/>
        </w:rPr>
        <w:t xml:space="preserve"> muestreada. </w:t>
      </w:r>
    </w:p>
    <w:p w:rsidR="00B002A2" w:rsidRPr="006D6469" w:rsidRDefault="00B002A2" w:rsidP="000F733A">
      <w:pPr>
        <w:jc w:val="both"/>
        <w:rPr>
          <w:rFonts w:ascii="Papyrus" w:hAnsi="Papyrus"/>
          <w:sz w:val="20"/>
          <w:szCs w:val="20"/>
        </w:rPr>
      </w:pPr>
      <w:r w:rsidRPr="006D6469">
        <w:rPr>
          <w:rFonts w:ascii="Papyrus" w:hAnsi="Papyrus"/>
          <w:sz w:val="20"/>
          <w:szCs w:val="20"/>
        </w:rPr>
        <w:t>Si esto no es posible,  las muestras se pueden conservar en la oscuridad hasta</w:t>
      </w:r>
      <w:r w:rsidR="001B7634" w:rsidRPr="006D6469">
        <w:rPr>
          <w:rFonts w:ascii="Papyrus" w:hAnsi="Papyrus"/>
          <w:sz w:val="20"/>
          <w:szCs w:val="20"/>
        </w:rPr>
        <w:t xml:space="preserve"> por 24 horas, refrigeradas a </w:t>
      </w:r>
      <w:smartTag w:uri="urn:schemas-microsoft-com:office:smarttags" w:element="metricconverter">
        <w:smartTagPr>
          <w:attr w:name="ProductID" w:val="4ﾰC"/>
        </w:smartTagPr>
        <w:r w:rsidR="001B7634" w:rsidRPr="006D6469">
          <w:rPr>
            <w:rFonts w:ascii="Papyrus" w:hAnsi="Papyrus"/>
            <w:sz w:val="20"/>
            <w:szCs w:val="20"/>
          </w:rPr>
          <w:t>4</w:t>
        </w:r>
        <w:r w:rsidRPr="006D6469">
          <w:rPr>
            <w:rFonts w:ascii="Papyrus" w:hAnsi="Papyrus"/>
            <w:sz w:val="20"/>
            <w:szCs w:val="20"/>
          </w:rPr>
          <w:t>°C</w:t>
        </w:r>
      </w:smartTag>
      <w:r w:rsidRPr="006D6469">
        <w:rPr>
          <w:rFonts w:ascii="Papyrus" w:hAnsi="Papyrus"/>
          <w:sz w:val="20"/>
          <w:szCs w:val="20"/>
        </w:rPr>
        <w:t xml:space="preserve">. </w:t>
      </w:r>
    </w:p>
    <w:p w:rsidR="00B002A2" w:rsidRPr="006D6469" w:rsidRDefault="00B002A2" w:rsidP="000F733A">
      <w:pPr>
        <w:jc w:val="both"/>
        <w:rPr>
          <w:rFonts w:ascii="Papyrus" w:hAnsi="Papyrus"/>
          <w:sz w:val="20"/>
          <w:szCs w:val="20"/>
        </w:rPr>
      </w:pPr>
      <w:r w:rsidRPr="006D6469">
        <w:rPr>
          <w:rFonts w:ascii="Papyrus" w:hAnsi="Papyrus"/>
          <w:sz w:val="20"/>
          <w:szCs w:val="20"/>
        </w:rPr>
        <w:t>Para tiempos de almacenamientos más prolongados, la muestra se pued</w:t>
      </w:r>
      <w:r w:rsidR="001B7634" w:rsidRPr="006D6469">
        <w:rPr>
          <w:rFonts w:ascii="Papyrus" w:hAnsi="Papyrus"/>
          <w:sz w:val="20"/>
          <w:szCs w:val="20"/>
        </w:rPr>
        <w:t>e preservar con la adición de 1</w:t>
      </w:r>
      <w:r w:rsidRPr="006D6469">
        <w:rPr>
          <w:rFonts w:ascii="Papyrus" w:hAnsi="Papyrus"/>
          <w:sz w:val="20"/>
          <w:szCs w:val="20"/>
        </w:rPr>
        <w:t>g de cloruro mercúrico por litro</w:t>
      </w:r>
      <w:r w:rsidR="001B7634" w:rsidRPr="006D6469">
        <w:rPr>
          <w:rFonts w:ascii="Papyrus" w:hAnsi="Papyrus"/>
          <w:sz w:val="20"/>
          <w:szCs w:val="20"/>
        </w:rPr>
        <w:t>. (No es recomendable</w:t>
      </w:r>
      <w:r w:rsidRPr="006D6469">
        <w:rPr>
          <w:rFonts w:ascii="Papyrus" w:hAnsi="Papyrus"/>
          <w:sz w:val="20"/>
          <w:szCs w:val="20"/>
        </w:rPr>
        <w:t xml:space="preserve">) </w:t>
      </w:r>
    </w:p>
    <w:p w:rsidR="00B002A2" w:rsidRPr="006D6469" w:rsidRDefault="00B002A2" w:rsidP="000F733A">
      <w:pPr>
        <w:jc w:val="both"/>
        <w:rPr>
          <w:rFonts w:ascii="Papyrus" w:hAnsi="Papyrus"/>
          <w:sz w:val="20"/>
          <w:szCs w:val="20"/>
        </w:rPr>
      </w:pPr>
      <w:r w:rsidRPr="006D6469">
        <w:rPr>
          <w:rFonts w:ascii="Papyrus" w:hAnsi="Papyrus"/>
          <w:sz w:val="20"/>
          <w:szCs w:val="20"/>
        </w:rPr>
        <w:t xml:space="preserve">  </w:t>
      </w:r>
    </w:p>
    <w:p w:rsidR="00B002A2" w:rsidRPr="006D6469" w:rsidRDefault="00B002A2" w:rsidP="000F733A">
      <w:pPr>
        <w:jc w:val="both"/>
        <w:rPr>
          <w:rFonts w:ascii="Papyrus" w:hAnsi="Papyrus"/>
          <w:b/>
          <w:sz w:val="20"/>
          <w:szCs w:val="20"/>
          <w:u w:val="single"/>
        </w:rPr>
      </w:pPr>
      <w:r w:rsidRPr="006D6469">
        <w:rPr>
          <w:rFonts w:ascii="Papyrus" w:hAnsi="Papyrus"/>
          <w:b/>
          <w:sz w:val="20"/>
          <w:szCs w:val="20"/>
          <w:u w:val="single"/>
        </w:rPr>
        <w:t xml:space="preserve">1.2.- Campo de aplicación </w:t>
      </w:r>
    </w:p>
    <w:p w:rsidR="00B002A2" w:rsidRPr="006D6469" w:rsidRDefault="00B002A2" w:rsidP="000F733A">
      <w:pPr>
        <w:jc w:val="both"/>
        <w:rPr>
          <w:rFonts w:ascii="Papyrus" w:hAnsi="Papyrus"/>
          <w:sz w:val="20"/>
          <w:szCs w:val="20"/>
        </w:rPr>
      </w:pPr>
    </w:p>
    <w:p w:rsidR="00B002A2" w:rsidRPr="006D6469" w:rsidRDefault="00B002A2" w:rsidP="000F733A">
      <w:pPr>
        <w:jc w:val="both"/>
        <w:rPr>
          <w:rFonts w:ascii="Papyrus" w:hAnsi="Papyrus"/>
          <w:sz w:val="20"/>
          <w:szCs w:val="20"/>
        </w:rPr>
      </w:pPr>
      <w:r w:rsidRPr="006D6469">
        <w:rPr>
          <w:rFonts w:ascii="Papyrus" w:hAnsi="Papyrus"/>
          <w:sz w:val="20"/>
          <w:szCs w:val="20"/>
        </w:rPr>
        <w:t xml:space="preserve">Este método de prueba es aplicable para la medición de turbidez en muestras de agua de uso doméstico,  industrial y residual.  El intervalo de medición es de </w:t>
      </w:r>
      <w:smartTag w:uri="urn:schemas-microsoft-com:office:smarttags" w:element="metricconverter">
        <w:smartTagPr>
          <w:attr w:name="ProductID" w:val="0.05 a"/>
        </w:smartTagPr>
        <w:r w:rsidRPr="006D6469">
          <w:rPr>
            <w:rFonts w:ascii="Papyrus" w:hAnsi="Papyrus"/>
            <w:sz w:val="20"/>
            <w:szCs w:val="20"/>
          </w:rPr>
          <w:t>0.05 a</w:t>
        </w:r>
      </w:smartTag>
      <w:r w:rsidRPr="006D6469">
        <w:rPr>
          <w:rFonts w:ascii="Papyrus" w:hAnsi="Papyrus"/>
          <w:sz w:val="20"/>
          <w:szCs w:val="20"/>
        </w:rPr>
        <w:t xml:space="preserve"> 40 NTU. </w:t>
      </w:r>
    </w:p>
    <w:p w:rsidR="00B002A2" w:rsidRPr="006D6469" w:rsidRDefault="00B002A2" w:rsidP="000F733A">
      <w:pPr>
        <w:jc w:val="both"/>
        <w:rPr>
          <w:rFonts w:ascii="Papyrus" w:hAnsi="Papyrus"/>
          <w:sz w:val="20"/>
          <w:szCs w:val="20"/>
        </w:rPr>
      </w:pPr>
      <w:r w:rsidRPr="006D6469">
        <w:rPr>
          <w:rFonts w:ascii="Papyrus" w:hAnsi="Papyrus"/>
          <w:sz w:val="20"/>
          <w:szCs w:val="20"/>
        </w:rPr>
        <w:t xml:space="preserve">Valores de turbidez mayores a 40 se pueden determinar, diluyendo la muestra proporcionalmente, con agua destilada. </w:t>
      </w:r>
    </w:p>
    <w:p w:rsidR="00B002A2" w:rsidRPr="00B002A2" w:rsidRDefault="00B002A2" w:rsidP="000F733A">
      <w:pPr>
        <w:jc w:val="both"/>
        <w:rPr>
          <w:rFonts w:ascii="Papyrus" w:hAnsi="Papyrus"/>
        </w:rPr>
      </w:pPr>
    </w:p>
    <w:p w:rsidR="00B002A2" w:rsidRPr="00A41346" w:rsidRDefault="00B730E6" w:rsidP="000F733A">
      <w:pPr>
        <w:jc w:val="both"/>
        <w:rPr>
          <w:rFonts w:ascii="Papyrus" w:hAnsi="Papyrus"/>
          <w:b/>
          <w:u w:val="single"/>
        </w:rPr>
      </w:pPr>
      <w:r w:rsidRPr="00A41346">
        <w:rPr>
          <w:rFonts w:ascii="Papyrus" w:hAnsi="Papyrus"/>
          <w:b/>
          <w:u w:val="single"/>
        </w:rPr>
        <w:t>2.- Como se los mide o aparatos que se utilizan:</w:t>
      </w:r>
    </w:p>
    <w:p w:rsidR="007001B2" w:rsidRPr="000617A6" w:rsidRDefault="007001B2" w:rsidP="000F733A">
      <w:pPr>
        <w:spacing w:before="100" w:beforeAutospacing="1" w:after="100" w:afterAutospacing="1"/>
        <w:jc w:val="both"/>
        <w:outlineLvl w:val="0"/>
        <w:rPr>
          <w:rFonts w:ascii="Papyrus" w:hAnsi="Papyrus"/>
          <w:b/>
          <w:bCs/>
          <w:iCs/>
          <w:color w:val="000000"/>
          <w:kern w:val="36"/>
        </w:rPr>
      </w:pPr>
      <w:bookmarkStart w:id="0" w:name="¿Cómo_medimos_la_turbidez?"/>
      <w:r w:rsidRPr="000617A6">
        <w:rPr>
          <w:rFonts w:ascii="Papyrus" w:hAnsi="Papyrus"/>
          <w:b/>
          <w:bCs/>
          <w:iCs/>
          <w:color w:val="000000"/>
          <w:kern w:val="36"/>
          <w:lang w:val="es-ES"/>
        </w:rPr>
        <w:t xml:space="preserve">¿Cómo medimos la turbidez? </w:t>
      </w:r>
      <w:bookmarkEnd w:id="0"/>
    </w:p>
    <w:p w:rsidR="007001B2" w:rsidRPr="007001B2" w:rsidRDefault="007001B2" w:rsidP="000F733A">
      <w:pPr>
        <w:jc w:val="both"/>
        <w:rPr>
          <w:rFonts w:ascii="Papyrus" w:hAnsi="Papyrus"/>
          <w:sz w:val="20"/>
          <w:szCs w:val="20"/>
        </w:rPr>
      </w:pPr>
      <w:r w:rsidRPr="000617A6">
        <w:rPr>
          <w:rFonts w:ascii="Papyrus" w:hAnsi="Papyrus"/>
          <w:color w:val="000000"/>
          <w:lang w:val="es-ES"/>
        </w:rPr>
        <w:t xml:space="preserve">La turbidez se mide en NTU: Unidades Nefelométricas de Turbidez. El instrumento usado para su medida es el nefelómetro o turbidímetro, que mide la intensidad de la luz dispersada a 90 grados cuando un rayo de luz pasa a través de una muestra de agua. </w:t>
      </w:r>
      <w:r w:rsidRPr="007001B2">
        <w:rPr>
          <w:rFonts w:ascii="Papyrus" w:hAnsi="Papyrus"/>
          <w:sz w:val="20"/>
          <w:szCs w:val="20"/>
        </w:rPr>
        <w:t xml:space="preserve">Dichos aparatos son los que actualmente se están usando, por su mayor precisión. </w:t>
      </w:r>
    </w:p>
    <w:p w:rsidR="007001B2" w:rsidRPr="007001B2" w:rsidRDefault="007001B2" w:rsidP="000F733A">
      <w:pPr>
        <w:spacing w:before="100" w:beforeAutospacing="1" w:after="100" w:afterAutospacing="1"/>
        <w:jc w:val="both"/>
        <w:rPr>
          <w:rFonts w:ascii="Papyrus" w:hAnsi="Papyrus"/>
          <w:color w:val="000000"/>
        </w:rPr>
      </w:pPr>
      <w:r w:rsidRPr="000617A6">
        <w:rPr>
          <w:rFonts w:ascii="Papyrus" w:hAnsi="Papyrus"/>
          <w:color w:val="000000"/>
          <w:lang w:val="es-ES"/>
        </w:rPr>
        <w:t xml:space="preserve">La unidad usada en tiempos antiguos era las JTU (Unidades de Turbidez de Jackson), medidas con el turbidímetro de vela de Jackson. Esta unidad ya no está en uso estándar. </w:t>
      </w:r>
    </w:p>
    <w:tbl>
      <w:tblPr>
        <w:tblW w:w="4700" w:type="pct"/>
        <w:tblCellSpacing w:w="15" w:type="dxa"/>
        <w:tblCellMar>
          <w:left w:w="0" w:type="dxa"/>
          <w:right w:w="0" w:type="dxa"/>
        </w:tblCellMar>
        <w:tblLook w:val="0000"/>
      </w:tblPr>
      <w:tblGrid>
        <w:gridCol w:w="4687"/>
        <w:gridCol w:w="3525"/>
      </w:tblGrid>
      <w:tr w:rsidR="007001B2" w:rsidRPr="00A41346" w:rsidTr="007001B2">
        <w:trPr>
          <w:tblCellSpacing w:w="15" w:type="dxa"/>
        </w:trPr>
        <w:tc>
          <w:tcPr>
            <w:tcW w:w="3800" w:type="pct"/>
            <w:tcMar>
              <w:top w:w="15" w:type="dxa"/>
              <w:left w:w="15" w:type="dxa"/>
              <w:bottom w:w="15" w:type="dxa"/>
              <w:right w:w="15" w:type="dxa"/>
            </w:tcMar>
          </w:tcPr>
          <w:p w:rsidR="007001B2" w:rsidRPr="00A41346" w:rsidRDefault="007001B2" w:rsidP="000F733A">
            <w:pPr>
              <w:spacing w:before="100" w:beforeAutospacing="1" w:after="100" w:afterAutospacing="1"/>
              <w:jc w:val="both"/>
              <w:rPr>
                <w:color w:val="000000"/>
              </w:rPr>
            </w:pPr>
            <w:r w:rsidRPr="00A41346">
              <w:rPr>
                <w:rFonts w:ascii="Verdana" w:hAnsi="Verdana" w:cs="Times"/>
                <w:color w:val="000034"/>
                <w:sz w:val="20"/>
                <w:szCs w:val="32"/>
                <w:lang w:val="es-ES"/>
              </w:rPr>
              <w:t xml:space="preserve">En lagos la turbidez se mide con un disco secchi (ver foto). </w:t>
            </w:r>
          </w:p>
          <w:p w:rsidR="007001B2" w:rsidRPr="00A41346" w:rsidRDefault="007001B2" w:rsidP="000F733A">
            <w:pPr>
              <w:spacing w:before="100" w:beforeAutospacing="1" w:after="100" w:afterAutospacing="1"/>
              <w:jc w:val="both"/>
              <w:rPr>
                <w:color w:val="000000"/>
              </w:rPr>
            </w:pPr>
            <w:r w:rsidRPr="00A41346">
              <w:rPr>
                <w:rFonts w:ascii="Verdana" w:hAnsi="Verdana" w:cs="Times"/>
                <w:color w:val="000034"/>
                <w:sz w:val="20"/>
                <w:szCs w:val="32"/>
                <w:lang w:val="es-ES"/>
              </w:rPr>
              <w:t>Esto es un disco blanco y negro que se deja caer en el agua atado a una cuerda.</w:t>
            </w:r>
            <w:r w:rsidRPr="00A41346">
              <w:rPr>
                <w:rFonts w:ascii="Verdana" w:hAnsi="Verdana"/>
                <w:color w:val="000000"/>
                <w:sz w:val="20"/>
                <w:lang w:val="es-ES"/>
              </w:rPr>
              <w:t xml:space="preserve"> </w:t>
            </w:r>
          </w:p>
          <w:p w:rsidR="007001B2" w:rsidRPr="00A41346" w:rsidRDefault="007001B2" w:rsidP="000F733A">
            <w:pPr>
              <w:spacing w:before="100" w:beforeAutospacing="1" w:after="100" w:afterAutospacing="1"/>
              <w:jc w:val="both"/>
              <w:rPr>
                <w:color w:val="000000"/>
              </w:rPr>
            </w:pPr>
            <w:r w:rsidRPr="00A41346">
              <w:rPr>
                <w:rFonts w:ascii="Verdana" w:hAnsi="Verdana" w:cs="Times"/>
                <w:color w:val="000034"/>
                <w:sz w:val="20"/>
                <w:szCs w:val="32"/>
                <w:lang w:val="es-ES"/>
              </w:rPr>
              <w:t xml:space="preserve">Se anota la profundidad que el disco alcanza hasta que se pierde de vista.  </w:t>
            </w:r>
          </w:p>
          <w:p w:rsidR="007001B2" w:rsidRPr="00A41346" w:rsidRDefault="007001B2" w:rsidP="000F733A">
            <w:pPr>
              <w:spacing w:before="100" w:beforeAutospacing="1" w:after="100" w:afterAutospacing="1"/>
              <w:jc w:val="both"/>
              <w:rPr>
                <w:color w:val="000000"/>
              </w:rPr>
            </w:pPr>
            <w:r w:rsidRPr="00A41346">
              <w:rPr>
                <w:rFonts w:ascii="Verdana" w:hAnsi="Verdana" w:cs="Times"/>
                <w:color w:val="000034"/>
                <w:sz w:val="20"/>
                <w:szCs w:val="32"/>
                <w:lang w:val="es-ES"/>
              </w:rPr>
              <w:t>Esto proporciona una estimación del nivel de turbidez en el lago.</w:t>
            </w:r>
            <w:r w:rsidRPr="00A41346">
              <w:rPr>
                <w:rFonts w:ascii="Verdana" w:hAnsi="Verdana"/>
                <w:color w:val="000000"/>
                <w:sz w:val="20"/>
                <w:lang w:val="es-ES"/>
              </w:rPr>
              <w:t xml:space="preserve">  </w:t>
            </w:r>
          </w:p>
        </w:tc>
        <w:tc>
          <w:tcPr>
            <w:tcW w:w="1750" w:type="pct"/>
            <w:tcMar>
              <w:top w:w="15" w:type="dxa"/>
              <w:left w:w="15" w:type="dxa"/>
              <w:bottom w:w="15" w:type="dxa"/>
              <w:right w:w="15" w:type="dxa"/>
            </w:tcMar>
            <w:vAlign w:val="center"/>
          </w:tcPr>
          <w:p w:rsidR="007001B2" w:rsidRPr="00A41346" w:rsidRDefault="00525362" w:rsidP="000F733A">
            <w:pPr>
              <w:jc w:val="both"/>
              <w:rPr>
                <w:rFonts w:ascii="Verdana" w:hAnsi="Verdana"/>
                <w:color w:val="000000"/>
                <w:sz w:val="20"/>
                <w:szCs w:val="20"/>
                <w:lang w:val="en-US"/>
              </w:rPr>
            </w:pPr>
            <w:r>
              <w:rPr>
                <w:rFonts w:ascii="Verdana" w:hAnsi="Verdana"/>
                <w:noProof/>
                <w:color w:val="000000"/>
                <w:sz w:val="20"/>
                <w:lang w:val="es-ES" w:eastAsia="es-ES"/>
              </w:rPr>
              <w:drawing>
                <wp:inline distT="0" distB="0" distL="0" distR="0">
                  <wp:extent cx="2171700" cy="1257300"/>
                  <wp:effectExtent l="19050" t="0" r="0" b="0"/>
                  <wp:docPr id="1" name="Imagen 1" descr="Turbid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bid4"/>
                          <pic:cNvPicPr>
                            <a:picLocks noChangeAspect="1" noChangeArrowheads="1"/>
                          </pic:cNvPicPr>
                        </pic:nvPicPr>
                        <pic:blipFill>
                          <a:blip r:embed="rId8"/>
                          <a:srcRect/>
                          <a:stretch>
                            <a:fillRect/>
                          </a:stretch>
                        </pic:blipFill>
                        <pic:spPr bwMode="auto">
                          <a:xfrm>
                            <a:off x="0" y="0"/>
                            <a:ext cx="2171700" cy="1257300"/>
                          </a:xfrm>
                          <a:prstGeom prst="rect">
                            <a:avLst/>
                          </a:prstGeom>
                          <a:noFill/>
                          <a:ln w="9525">
                            <a:noFill/>
                            <a:miter lim="800000"/>
                            <a:headEnd/>
                            <a:tailEnd/>
                          </a:ln>
                        </pic:spPr>
                      </pic:pic>
                    </a:graphicData>
                  </a:graphic>
                </wp:inline>
              </w:drawing>
            </w:r>
          </w:p>
        </w:tc>
      </w:tr>
    </w:tbl>
    <w:p w:rsidR="007001B2" w:rsidRPr="007001B2" w:rsidRDefault="007001B2" w:rsidP="000F733A">
      <w:pPr>
        <w:spacing w:before="100" w:beforeAutospacing="1" w:after="100" w:afterAutospacing="1"/>
        <w:jc w:val="both"/>
        <w:rPr>
          <w:rFonts w:ascii="Papyrus" w:hAnsi="Papyrus"/>
          <w:color w:val="000000"/>
        </w:rPr>
      </w:pPr>
      <w:r w:rsidRPr="007001B2">
        <w:rPr>
          <w:rFonts w:ascii="Papyrus" w:hAnsi="Papyrus"/>
          <w:color w:val="000000"/>
          <w:sz w:val="20"/>
          <w:lang w:val="es-ES"/>
        </w:rPr>
        <w:lastRenderedPageBreak/>
        <w:t>Una medición de la turbidez puede ser usada para proporcionar una estimación de la concentración de TSS (Sólidos Totales en Suspensión), lo que de otra forma es un parámetro tedioso y difícil de medir</w:t>
      </w:r>
      <w:r>
        <w:rPr>
          <w:rFonts w:ascii="Papyrus" w:hAnsi="Papyrus"/>
          <w:color w:val="000000"/>
          <w:sz w:val="20"/>
          <w:lang w:val="es-ES"/>
        </w:rPr>
        <w:t>.</w:t>
      </w:r>
    </w:p>
    <w:p w:rsidR="00B002A2" w:rsidRPr="007001B2" w:rsidRDefault="00D62DFF" w:rsidP="000F733A">
      <w:pPr>
        <w:jc w:val="both"/>
        <w:rPr>
          <w:rFonts w:ascii="Papyrus" w:hAnsi="Papyrus"/>
          <w:sz w:val="20"/>
          <w:szCs w:val="20"/>
        </w:rPr>
      </w:pPr>
      <w:r w:rsidRPr="007001B2">
        <w:rPr>
          <w:rFonts w:ascii="Papyrus" w:hAnsi="Papyrus"/>
          <w:sz w:val="20"/>
          <w:szCs w:val="20"/>
        </w:rPr>
        <w:t>Otro de ellos es e</w:t>
      </w:r>
      <w:r w:rsidR="00B002A2" w:rsidRPr="007001B2">
        <w:rPr>
          <w:rFonts w:ascii="Papyrus" w:hAnsi="Papyrus"/>
          <w:sz w:val="20"/>
          <w:szCs w:val="20"/>
        </w:rPr>
        <w:t>l turbidímetro de Hellige, que es el utilizado en este método es del tipo nefelométrico, se basa en el efecto de Tyndall. Se compara un rayo de luz que se hace pasar hacia arriba por la muestra, con la luz dispersada hacia arriba por las partículas suspendidas de la solución turbia, la cual e</w:t>
      </w:r>
      <w:r w:rsidRPr="007001B2">
        <w:rPr>
          <w:rFonts w:ascii="Papyrus" w:hAnsi="Papyrus"/>
          <w:sz w:val="20"/>
          <w:szCs w:val="20"/>
        </w:rPr>
        <w:t>s iluminada lateralmente a 90 °</w:t>
      </w:r>
      <w:r w:rsidR="00B002A2" w:rsidRPr="007001B2">
        <w:rPr>
          <w:rFonts w:ascii="Papyrus" w:hAnsi="Papyrus"/>
          <w:sz w:val="20"/>
          <w:szCs w:val="20"/>
        </w:rPr>
        <w:t xml:space="preserve">. </w:t>
      </w:r>
    </w:p>
    <w:p w:rsidR="00B002A2" w:rsidRPr="007001B2" w:rsidRDefault="00B002A2" w:rsidP="000F733A">
      <w:pPr>
        <w:jc w:val="both"/>
        <w:rPr>
          <w:rFonts w:ascii="Papyrus" w:hAnsi="Papyrus"/>
          <w:sz w:val="20"/>
          <w:szCs w:val="20"/>
        </w:rPr>
      </w:pPr>
    </w:p>
    <w:p w:rsidR="00B002A2" w:rsidRPr="007001B2" w:rsidRDefault="00B002A2" w:rsidP="000F733A">
      <w:pPr>
        <w:jc w:val="both"/>
        <w:rPr>
          <w:rFonts w:ascii="Papyrus" w:hAnsi="Papyrus"/>
          <w:sz w:val="20"/>
          <w:szCs w:val="20"/>
        </w:rPr>
      </w:pPr>
      <w:r w:rsidRPr="007001B2">
        <w:rPr>
          <w:rFonts w:ascii="Papyrus" w:hAnsi="Papyrus"/>
          <w:sz w:val="20"/>
          <w:szCs w:val="20"/>
        </w:rPr>
        <w:t xml:space="preserve">La unidad de turbiedad, fue definida "como la obstrucción óptica de la luz, causada por una parte por millón de sílice en agua destilada", </w:t>
      </w:r>
    </w:p>
    <w:p w:rsidR="00B002A2" w:rsidRPr="007001B2" w:rsidRDefault="00B002A2" w:rsidP="000F733A">
      <w:pPr>
        <w:jc w:val="both"/>
        <w:rPr>
          <w:rFonts w:ascii="Papyrus" w:hAnsi="Papyrus"/>
          <w:sz w:val="20"/>
          <w:szCs w:val="20"/>
        </w:rPr>
      </w:pPr>
    </w:p>
    <w:p w:rsidR="00B002A2" w:rsidRPr="007001B2" w:rsidRDefault="00B002A2" w:rsidP="006D6469">
      <w:pPr>
        <w:jc w:val="center"/>
        <w:rPr>
          <w:rFonts w:ascii="Papyrus" w:hAnsi="Papyrus"/>
          <w:b/>
          <w:sz w:val="20"/>
          <w:szCs w:val="20"/>
        </w:rPr>
      </w:pPr>
      <w:r w:rsidRPr="007001B2">
        <w:rPr>
          <w:rFonts w:ascii="Papyrus" w:hAnsi="Papyrus"/>
          <w:b/>
          <w:sz w:val="20"/>
          <w:szCs w:val="20"/>
        </w:rPr>
        <w:t xml:space="preserve">1 unidad nefelométrica de turbiedad </w:t>
      </w:r>
      <w:r w:rsidR="006D6469">
        <w:rPr>
          <w:rFonts w:ascii="Papyrus" w:hAnsi="Papyrus"/>
          <w:b/>
          <w:sz w:val="20"/>
          <w:szCs w:val="20"/>
        </w:rPr>
        <w:t xml:space="preserve"> </w:t>
      </w:r>
      <w:r w:rsidRPr="007001B2">
        <w:rPr>
          <w:rFonts w:ascii="Papyrus" w:hAnsi="Papyrus"/>
          <w:b/>
          <w:sz w:val="20"/>
          <w:szCs w:val="20"/>
        </w:rPr>
        <w:t>(NTU)  = 7.5 ppm de Si02</w:t>
      </w:r>
    </w:p>
    <w:p w:rsidR="00B002A2" w:rsidRPr="007001B2" w:rsidRDefault="00B002A2" w:rsidP="006D6469">
      <w:pPr>
        <w:jc w:val="center"/>
        <w:rPr>
          <w:rFonts w:ascii="Papyrus" w:hAnsi="Papyrus"/>
          <w:sz w:val="20"/>
          <w:szCs w:val="20"/>
        </w:rPr>
      </w:pPr>
      <w:r w:rsidRPr="007001B2">
        <w:rPr>
          <w:rFonts w:ascii="Papyrus" w:hAnsi="Papyrus"/>
          <w:sz w:val="20"/>
          <w:szCs w:val="20"/>
        </w:rPr>
        <w:t>Actualm</w:t>
      </w:r>
      <w:r w:rsidR="00D62DFF" w:rsidRPr="007001B2">
        <w:rPr>
          <w:rFonts w:ascii="Papyrus" w:hAnsi="Papyrus"/>
          <w:sz w:val="20"/>
          <w:szCs w:val="20"/>
        </w:rPr>
        <w:t xml:space="preserve">ente, la unidad utilizada es </w:t>
      </w:r>
      <w:r w:rsidRPr="007001B2">
        <w:rPr>
          <w:rFonts w:ascii="Papyrus" w:hAnsi="Papyrus"/>
          <w:sz w:val="20"/>
          <w:szCs w:val="20"/>
        </w:rPr>
        <w:t>NTU, unidad nefelométrica de t</w:t>
      </w:r>
      <w:r w:rsidR="005C3CF7" w:rsidRPr="007001B2">
        <w:rPr>
          <w:rFonts w:ascii="Papyrus" w:hAnsi="Papyrus"/>
          <w:sz w:val="20"/>
          <w:szCs w:val="20"/>
        </w:rPr>
        <w:t>urbidez y que equivale a</w:t>
      </w:r>
      <w:r w:rsidRPr="007001B2">
        <w:rPr>
          <w:rFonts w:ascii="Papyrus" w:hAnsi="Papyrus"/>
          <w:sz w:val="20"/>
          <w:szCs w:val="20"/>
        </w:rPr>
        <w:t>;</w:t>
      </w:r>
    </w:p>
    <w:p w:rsidR="00B002A2" w:rsidRPr="007001B2" w:rsidRDefault="00B002A2" w:rsidP="000F733A">
      <w:pPr>
        <w:jc w:val="both"/>
        <w:rPr>
          <w:rFonts w:ascii="Papyrus" w:hAnsi="Papyrus"/>
          <w:sz w:val="20"/>
          <w:szCs w:val="20"/>
        </w:rPr>
      </w:pPr>
    </w:p>
    <w:p w:rsidR="00B002A2" w:rsidRPr="007001B2" w:rsidRDefault="00B002A2" w:rsidP="006D6469">
      <w:pPr>
        <w:jc w:val="center"/>
        <w:rPr>
          <w:rFonts w:ascii="Papyrus" w:hAnsi="Papyrus"/>
          <w:b/>
          <w:sz w:val="20"/>
          <w:szCs w:val="20"/>
        </w:rPr>
      </w:pPr>
      <w:r w:rsidRPr="007001B2">
        <w:rPr>
          <w:rFonts w:ascii="Papyrus" w:hAnsi="Papyrus"/>
          <w:b/>
          <w:sz w:val="20"/>
          <w:szCs w:val="20"/>
        </w:rPr>
        <w:t>1 unidad nefelométrica de turbidez (NTU) = 1 ppm de formazina estándar</w:t>
      </w:r>
    </w:p>
    <w:p w:rsidR="00B002A2" w:rsidRPr="007001B2" w:rsidRDefault="00B002A2" w:rsidP="000F733A">
      <w:pPr>
        <w:jc w:val="both"/>
        <w:rPr>
          <w:rFonts w:ascii="Papyrus" w:hAnsi="Papyrus"/>
          <w:sz w:val="20"/>
          <w:szCs w:val="20"/>
        </w:rPr>
      </w:pPr>
      <w:r w:rsidRPr="007001B2">
        <w:rPr>
          <w:rFonts w:ascii="Papyrus" w:hAnsi="Papyrus"/>
          <w:sz w:val="20"/>
          <w:szCs w:val="20"/>
        </w:rPr>
        <w:t xml:space="preserve"> </w:t>
      </w:r>
    </w:p>
    <w:p w:rsidR="00B002A2" w:rsidRPr="007001B2" w:rsidRDefault="00B002A2" w:rsidP="000F733A">
      <w:pPr>
        <w:jc w:val="both"/>
        <w:rPr>
          <w:rFonts w:ascii="Papyrus" w:hAnsi="Papyrus"/>
          <w:sz w:val="20"/>
          <w:szCs w:val="20"/>
        </w:rPr>
      </w:pPr>
      <w:r w:rsidRPr="007001B2">
        <w:rPr>
          <w:rFonts w:ascii="Papyrus" w:hAnsi="Papyrus"/>
          <w:sz w:val="20"/>
          <w:szCs w:val="20"/>
        </w:rPr>
        <w:t xml:space="preserve">Los valores de turbiedad pueden variar desde cero hasta varios miles de unidades en aguas altamente turbias, consecuentemente no hay un método de determinaciones que abarque tan amplio intervalo. Existen tres métodos comúnmente empleados. </w:t>
      </w:r>
    </w:p>
    <w:p w:rsidR="00B002A2" w:rsidRPr="007001B2" w:rsidRDefault="00B002A2" w:rsidP="000F733A">
      <w:pPr>
        <w:jc w:val="both"/>
        <w:rPr>
          <w:rFonts w:ascii="Papyrus" w:hAnsi="Papyrus"/>
          <w:sz w:val="20"/>
          <w:szCs w:val="20"/>
        </w:rPr>
      </w:pPr>
    </w:p>
    <w:p w:rsidR="00B002A2" w:rsidRPr="007001B2" w:rsidRDefault="00B002A2" w:rsidP="000F733A">
      <w:pPr>
        <w:jc w:val="both"/>
        <w:rPr>
          <w:rFonts w:ascii="Papyrus" w:hAnsi="Papyrus"/>
          <w:sz w:val="20"/>
          <w:szCs w:val="20"/>
        </w:rPr>
      </w:pPr>
      <w:r w:rsidRPr="007001B2">
        <w:rPr>
          <w:rFonts w:ascii="Papyrus" w:hAnsi="Papyrus"/>
          <w:sz w:val="20"/>
          <w:szCs w:val="20"/>
        </w:rPr>
        <w:t xml:space="preserve">a) Método del Turbidímetro Hellige. </w:t>
      </w:r>
    </w:p>
    <w:p w:rsidR="00B002A2" w:rsidRPr="007001B2" w:rsidRDefault="00B002A2" w:rsidP="000F733A">
      <w:pPr>
        <w:jc w:val="both"/>
        <w:rPr>
          <w:rFonts w:ascii="Papyrus" w:hAnsi="Papyrus"/>
          <w:sz w:val="20"/>
          <w:szCs w:val="20"/>
        </w:rPr>
      </w:pPr>
      <w:r w:rsidRPr="007001B2">
        <w:rPr>
          <w:rFonts w:ascii="Papyrus" w:hAnsi="Papyrus"/>
          <w:sz w:val="20"/>
          <w:szCs w:val="20"/>
        </w:rPr>
        <w:t xml:space="preserve">b) Método del Nefelómetro Fotoeléctrico. </w:t>
      </w:r>
    </w:p>
    <w:p w:rsidR="00B002A2" w:rsidRPr="007001B2" w:rsidRDefault="00B002A2" w:rsidP="000F733A">
      <w:pPr>
        <w:jc w:val="both"/>
        <w:rPr>
          <w:rFonts w:ascii="Papyrus" w:hAnsi="Papyrus"/>
          <w:sz w:val="20"/>
          <w:szCs w:val="20"/>
        </w:rPr>
      </w:pPr>
      <w:r w:rsidRPr="007001B2">
        <w:rPr>
          <w:rFonts w:ascii="Papyrus" w:hAnsi="Papyrus"/>
          <w:sz w:val="20"/>
          <w:szCs w:val="20"/>
        </w:rPr>
        <w:t>c) Método Tur</w:t>
      </w:r>
      <w:r w:rsidR="00D62DFF" w:rsidRPr="007001B2">
        <w:rPr>
          <w:rFonts w:ascii="Papyrus" w:hAnsi="Papyrus"/>
          <w:sz w:val="20"/>
          <w:szCs w:val="20"/>
        </w:rPr>
        <w:t>bidimétrico de Bujía de Jackson</w:t>
      </w:r>
      <w:r w:rsidRPr="007001B2">
        <w:rPr>
          <w:rFonts w:ascii="Papyrus" w:hAnsi="Papyrus"/>
          <w:sz w:val="20"/>
          <w:szCs w:val="20"/>
        </w:rPr>
        <w:t xml:space="preserve">. </w:t>
      </w:r>
    </w:p>
    <w:p w:rsidR="00B002A2" w:rsidRPr="007001B2" w:rsidRDefault="00B002A2" w:rsidP="000F733A">
      <w:pPr>
        <w:jc w:val="both"/>
        <w:rPr>
          <w:rFonts w:ascii="Papyrus" w:hAnsi="Papyrus"/>
          <w:sz w:val="20"/>
          <w:szCs w:val="20"/>
        </w:rPr>
      </w:pPr>
      <w:r w:rsidRPr="007001B2">
        <w:rPr>
          <w:rFonts w:ascii="Papyrus" w:hAnsi="Papyrus"/>
          <w:sz w:val="20"/>
          <w:szCs w:val="20"/>
        </w:rPr>
        <w:t xml:space="preserve"> </w:t>
      </w:r>
    </w:p>
    <w:p w:rsidR="00B002A2" w:rsidRPr="007001B2" w:rsidRDefault="00B002A2" w:rsidP="000F733A">
      <w:pPr>
        <w:jc w:val="both"/>
        <w:rPr>
          <w:rFonts w:ascii="Papyrus" w:hAnsi="Papyrus"/>
          <w:sz w:val="20"/>
          <w:szCs w:val="20"/>
        </w:rPr>
      </w:pPr>
      <w:r w:rsidRPr="007001B2">
        <w:rPr>
          <w:rFonts w:ascii="Papyrus" w:hAnsi="Papyrus"/>
          <w:sz w:val="20"/>
          <w:szCs w:val="20"/>
        </w:rPr>
        <w:t>La un</w:t>
      </w:r>
      <w:r w:rsidR="00D62DFF" w:rsidRPr="007001B2">
        <w:rPr>
          <w:rFonts w:ascii="Papyrus" w:hAnsi="Papyrus"/>
          <w:sz w:val="20"/>
          <w:szCs w:val="20"/>
        </w:rPr>
        <w:t>idad utilizada normalmente es</w:t>
      </w:r>
      <w:r w:rsidRPr="007001B2">
        <w:rPr>
          <w:rFonts w:ascii="Papyrus" w:hAnsi="Papyrus"/>
          <w:sz w:val="20"/>
          <w:szCs w:val="20"/>
        </w:rPr>
        <w:t xml:space="preserve"> NTU</w:t>
      </w:r>
      <w:r w:rsidR="001B7634" w:rsidRPr="007001B2">
        <w:rPr>
          <w:rFonts w:ascii="Papyrus" w:hAnsi="Papyrus"/>
          <w:sz w:val="20"/>
          <w:szCs w:val="20"/>
        </w:rPr>
        <w:t xml:space="preserve"> (</w:t>
      </w:r>
      <w:r w:rsidRPr="007001B2">
        <w:rPr>
          <w:rFonts w:ascii="Papyrus" w:hAnsi="Papyrus"/>
          <w:sz w:val="20"/>
          <w:szCs w:val="20"/>
        </w:rPr>
        <w:t>Unidades n</w:t>
      </w:r>
      <w:r w:rsidR="00D62DFF" w:rsidRPr="007001B2">
        <w:rPr>
          <w:rFonts w:ascii="Papyrus" w:hAnsi="Papyrus"/>
          <w:sz w:val="20"/>
          <w:szCs w:val="20"/>
        </w:rPr>
        <w:t>efelométricas de turbidez</w:t>
      </w:r>
      <w:r w:rsidRPr="007001B2">
        <w:rPr>
          <w:rFonts w:ascii="Papyrus" w:hAnsi="Papyrus"/>
          <w:sz w:val="20"/>
          <w:szCs w:val="20"/>
        </w:rPr>
        <w:t>), otras unidades que aún se usan se pueden tra</w:t>
      </w:r>
      <w:r w:rsidR="00D62DFF" w:rsidRPr="007001B2">
        <w:rPr>
          <w:rFonts w:ascii="Papyrus" w:hAnsi="Papyrus"/>
          <w:sz w:val="20"/>
          <w:szCs w:val="20"/>
        </w:rPr>
        <w:t>n</w:t>
      </w:r>
      <w:r w:rsidRPr="007001B2">
        <w:rPr>
          <w:rFonts w:ascii="Papyrus" w:hAnsi="Papyrus"/>
          <w:sz w:val="20"/>
          <w:szCs w:val="20"/>
        </w:rPr>
        <w:t xml:space="preserve">sformar utilizando la siguiente tabla: </w:t>
      </w:r>
    </w:p>
    <w:p w:rsidR="00B002A2" w:rsidRPr="007001B2" w:rsidRDefault="00B002A2" w:rsidP="000F733A">
      <w:pPr>
        <w:jc w:val="both"/>
        <w:rPr>
          <w:rFonts w:ascii="Papyrus" w:hAnsi="Papyrus"/>
          <w:sz w:val="20"/>
          <w:szCs w:val="20"/>
        </w:rPr>
      </w:pPr>
      <w:r w:rsidRPr="007001B2">
        <w:rPr>
          <w:rFonts w:ascii="Papyrus" w:hAnsi="Papyrus"/>
          <w:sz w:val="20"/>
          <w:szCs w:val="20"/>
        </w:rPr>
        <w:t xml:space="preserve">  </w:t>
      </w:r>
    </w:p>
    <w:p w:rsidR="00B002A2" w:rsidRPr="001B7634" w:rsidRDefault="00B002A2" w:rsidP="000F733A">
      <w:pPr>
        <w:jc w:val="both"/>
        <w:rPr>
          <w:color w:val="000000"/>
          <w:lang w:val="es-ES"/>
        </w:rPr>
      </w:pPr>
      <w:r w:rsidRPr="001B7634">
        <w:rPr>
          <w:color w:val="000000"/>
          <w:lang w:val="es-ES"/>
        </w:rPr>
        <w:br/>
        <w:t xml:space="preserve">  </w:t>
      </w:r>
    </w:p>
    <w:tbl>
      <w:tblPr>
        <w:tblW w:w="2500" w:type="pct"/>
        <w:jc w:val="center"/>
        <w:tblCellSpacing w:w="15" w:type="dxa"/>
        <w:tblBorders>
          <w:top w:val="outset" w:sz="24" w:space="0" w:color="auto"/>
          <w:left w:val="outset" w:sz="24" w:space="0" w:color="auto"/>
          <w:bottom w:val="outset" w:sz="24" w:space="0" w:color="auto"/>
          <w:right w:val="outset" w:sz="24" w:space="0" w:color="auto"/>
        </w:tblBorders>
        <w:shd w:val="clear" w:color="auto" w:fill="FFEDDB"/>
        <w:tblCellMar>
          <w:top w:w="15" w:type="dxa"/>
          <w:left w:w="15" w:type="dxa"/>
          <w:bottom w:w="15" w:type="dxa"/>
          <w:right w:w="15" w:type="dxa"/>
        </w:tblCellMar>
        <w:tblLook w:val="0000"/>
      </w:tblPr>
      <w:tblGrid>
        <w:gridCol w:w="1401"/>
        <w:gridCol w:w="812"/>
        <w:gridCol w:w="769"/>
        <w:gridCol w:w="1401"/>
      </w:tblGrid>
      <w:tr w:rsidR="00B002A2" w:rsidRPr="00B002A2">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Unidad</w:t>
            </w:r>
          </w:p>
        </w:tc>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JTU</w:t>
            </w:r>
          </w:p>
        </w:tc>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NTU</w:t>
            </w:r>
          </w:p>
        </w:tc>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SiO</w:t>
            </w:r>
            <w:r w:rsidRPr="00B002A2">
              <w:rPr>
                <w:b/>
                <w:bCs/>
                <w:color w:val="000000"/>
                <w:vertAlign w:val="subscript"/>
                <w:lang w:val="en-US"/>
              </w:rPr>
              <w:t>2</w:t>
            </w:r>
            <w:r w:rsidRPr="00B002A2">
              <w:rPr>
                <w:b/>
                <w:bCs/>
                <w:color w:val="000000"/>
                <w:lang w:val="en-US"/>
              </w:rPr>
              <w:t xml:space="preserve"> mg/l</w:t>
            </w:r>
          </w:p>
        </w:tc>
      </w:tr>
      <w:tr w:rsidR="00B002A2" w:rsidRPr="00B002A2">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JTU</w:t>
            </w:r>
          </w:p>
        </w:tc>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1.0</w:t>
            </w:r>
          </w:p>
        </w:tc>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19</w:t>
            </w:r>
          </w:p>
        </w:tc>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2.5</w:t>
            </w:r>
          </w:p>
        </w:tc>
      </w:tr>
      <w:tr w:rsidR="00B002A2" w:rsidRPr="00B002A2">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NTU</w:t>
            </w:r>
          </w:p>
        </w:tc>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0.053</w:t>
            </w:r>
          </w:p>
        </w:tc>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1</w:t>
            </w:r>
          </w:p>
        </w:tc>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0.3</w:t>
            </w:r>
          </w:p>
        </w:tc>
      </w:tr>
      <w:tr w:rsidR="00B002A2" w:rsidRPr="00B002A2">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SiO</w:t>
            </w:r>
            <w:r w:rsidRPr="00B002A2">
              <w:rPr>
                <w:b/>
                <w:bCs/>
                <w:color w:val="000000"/>
                <w:vertAlign w:val="subscript"/>
                <w:lang w:val="en-US"/>
              </w:rPr>
              <w:t>2</w:t>
            </w:r>
            <w:r w:rsidRPr="00B002A2">
              <w:rPr>
                <w:b/>
                <w:bCs/>
                <w:color w:val="000000"/>
                <w:lang w:val="en-US"/>
              </w:rPr>
              <w:t xml:space="preserve"> mg/l</w:t>
            </w:r>
          </w:p>
        </w:tc>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0.4</w:t>
            </w:r>
          </w:p>
        </w:tc>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7.5</w:t>
            </w:r>
          </w:p>
        </w:tc>
        <w:tc>
          <w:tcPr>
            <w:tcW w:w="0" w:type="auto"/>
            <w:tcBorders>
              <w:top w:val="outset" w:sz="6" w:space="0" w:color="auto"/>
              <w:left w:val="outset" w:sz="6" w:space="0" w:color="auto"/>
              <w:bottom w:val="outset" w:sz="6" w:space="0" w:color="auto"/>
              <w:right w:val="outset" w:sz="6" w:space="0" w:color="auto"/>
            </w:tcBorders>
            <w:shd w:val="clear" w:color="auto" w:fill="FFEDDB"/>
            <w:vAlign w:val="center"/>
          </w:tcPr>
          <w:p w:rsidR="00B002A2" w:rsidRPr="00B002A2" w:rsidRDefault="00B002A2" w:rsidP="000F733A">
            <w:pPr>
              <w:jc w:val="both"/>
              <w:rPr>
                <w:color w:val="000000"/>
                <w:lang w:val="en-US"/>
              </w:rPr>
            </w:pPr>
            <w:r w:rsidRPr="00B002A2">
              <w:rPr>
                <w:b/>
                <w:bCs/>
                <w:color w:val="000000"/>
                <w:lang w:val="en-US"/>
              </w:rPr>
              <w:t>1</w:t>
            </w:r>
          </w:p>
        </w:tc>
      </w:tr>
    </w:tbl>
    <w:p w:rsidR="00B002A2" w:rsidRDefault="00B002A2" w:rsidP="000F733A">
      <w:pPr>
        <w:jc w:val="both"/>
        <w:rPr>
          <w:color w:val="000000"/>
          <w:lang w:val="en-US"/>
        </w:rPr>
      </w:pPr>
      <w:r w:rsidRPr="00B002A2">
        <w:rPr>
          <w:color w:val="000000"/>
          <w:lang w:val="en-US"/>
        </w:rPr>
        <w:t xml:space="preserve">  </w:t>
      </w:r>
    </w:p>
    <w:p w:rsidR="007B7C82" w:rsidRDefault="007B7C82" w:rsidP="000F733A">
      <w:pPr>
        <w:jc w:val="both"/>
        <w:rPr>
          <w:color w:val="000000"/>
          <w:lang w:val="en-US"/>
        </w:rPr>
      </w:pPr>
    </w:p>
    <w:p w:rsidR="007B7C82" w:rsidRPr="0023368F" w:rsidRDefault="007B7C82" w:rsidP="000F733A">
      <w:pPr>
        <w:jc w:val="both"/>
        <w:rPr>
          <w:rStyle w:val="estilo51"/>
          <w:rFonts w:ascii="Papyrus" w:hAnsi="Papyrus" w:cs="Arial"/>
          <w:b/>
          <w:bCs/>
          <w:sz w:val="20"/>
          <w:szCs w:val="20"/>
          <w:u w:val="single"/>
        </w:rPr>
      </w:pPr>
      <w:r w:rsidRPr="0023368F">
        <w:rPr>
          <w:rStyle w:val="estilo51"/>
          <w:rFonts w:ascii="Papyrus" w:hAnsi="Papyrus" w:cs="Arial"/>
          <w:b/>
          <w:bCs/>
          <w:sz w:val="20"/>
          <w:szCs w:val="20"/>
          <w:u w:val="single"/>
        </w:rPr>
        <w:t>TURBIDIMETRO PORTATIL</w:t>
      </w:r>
    </w:p>
    <w:p w:rsidR="007B7C82" w:rsidRPr="007B7C82" w:rsidRDefault="007B7C82" w:rsidP="000F733A">
      <w:pPr>
        <w:jc w:val="both"/>
        <w:rPr>
          <w:rStyle w:val="estilo51"/>
          <w:rFonts w:ascii="Papyrus" w:hAnsi="Papyrus" w:cs="Arial"/>
          <w:b/>
          <w:bCs/>
          <w:sz w:val="20"/>
          <w:szCs w:val="20"/>
        </w:rPr>
      </w:pPr>
    </w:p>
    <w:p w:rsidR="000F733A" w:rsidRDefault="007B7C82" w:rsidP="000F733A">
      <w:pPr>
        <w:jc w:val="both"/>
        <w:rPr>
          <w:rFonts w:ascii="Papyrus" w:hAnsi="Papyrus"/>
          <w:sz w:val="20"/>
          <w:szCs w:val="20"/>
        </w:rPr>
      </w:pPr>
      <w:r w:rsidRPr="007B7C82">
        <w:rPr>
          <w:rFonts w:ascii="Papyrus" w:hAnsi="Papyrus"/>
          <w:b/>
          <w:bCs/>
          <w:sz w:val="20"/>
          <w:szCs w:val="20"/>
        </w:rPr>
        <w:t>Características:</w:t>
      </w:r>
      <w:r w:rsidRPr="007B7C82">
        <w:rPr>
          <w:rFonts w:ascii="Papyrus" w:hAnsi="Papyrus"/>
          <w:sz w:val="20"/>
          <w:szCs w:val="20"/>
        </w:rPr>
        <w:br/>
      </w:r>
      <w:r w:rsidRPr="007B7C82">
        <w:rPr>
          <w:rFonts w:ascii="Papyrus" w:hAnsi="Papyrus"/>
          <w:sz w:val="20"/>
          <w:szCs w:val="20"/>
        </w:rPr>
        <w:br/>
      </w:r>
      <w:r w:rsidRPr="007B7C82">
        <w:rPr>
          <w:rFonts w:ascii="Papyrus" w:hAnsi="Papyrus"/>
          <w:sz w:val="20"/>
          <w:szCs w:val="20"/>
        </w:rPr>
        <w:lastRenderedPageBreak/>
        <w:t xml:space="preserve">- Este turbidímetro mide por infrarrojos un rango de </w:t>
      </w:r>
      <w:smartTag w:uri="urn:schemas-microsoft-com:office:smarttags" w:element="metricconverter">
        <w:smartTagPr>
          <w:attr w:name="ProductID" w:val="0 a"/>
        </w:smartTagPr>
        <w:r w:rsidRPr="007B7C82">
          <w:rPr>
            <w:rFonts w:ascii="Papyrus" w:hAnsi="Papyrus"/>
            <w:sz w:val="20"/>
            <w:szCs w:val="20"/>
          </w:rPr>
          <w:t>0 a</w:t>
        </w:r>
      </w:smartTag>
      <w:r w:rsidRPr="007B7C82">
        <w:rPr>
          <w:rFonts w:ascii="Papyrus" w:hAnsi="Papyrus"/>
          <w:sz w:val="20"/>
          <w:szCs w:val="20"/>
        </w:rPr>
        <w:t xml:space="preserve"> 1000 NTU (Unidades Nefelométricas de Turbidez) y dos escalas de medición, de </w:t>
      </w:r>
      <w:smartTag w:uri="urn:schemas-microsoft-com:office:smarttags" w:element="metricconverter">
        <w:smartTagPr>
          <w:attr w:name="ProductID" w:val="0 a"/>
        </w:smartTagPr>
        <w:r w:rsidRPr="007B7C82">
          <w:rPr>
            <w:rFonts w:ascii="Papyrus" w:hAnsi="Papyrus"/>
            <w:sz w:val="20"/>
            <w:szCs w:val="20"/>
          </w:rPr>
          <w:t>0 a</w:t>
        </w:r>
      </w:smartTag>
      <w:r w:rsidRPr="007B7C82">
        <w:rPr>
          <w:rFonts w:ascii="Papyrus" w:hAnsi="Papyrus"/>
          <w:sz w:val="20"/>
          <w:szCs w:val="20"/>
        </w:rPr>
        <w:t xml:space="preserve"> 50 y de </w:t>
      </w:r>
      <w:smartTag w:uri="urn:schemas-microsoft-com:office:smarttags" w:element="metricconverter">
        <w:smartTagPr>
          <w:attr w:name="ProductID" w:val="50 a"/>
        </w:smartTagPr>
        <w:r w:rsidRPr="007B7C82">
          <w:rPr>
            <w:rFonts w:ascii="Papyrus" w:hAnsi="Papyrus"/>
            <w:sz w:val="20"/>
            <w:szCs w:val="20"/>
          </w:rPr>
          <w:t>50 a</w:t>
        </w:r>
      </w:smartTag>
      <w:r w:rsidRPr="007B7C82">
        <w:rPr>
          <w:rFonts w:ascii="Papyrus" w:hAnsi="Papyrus"/>
          <w:sz w:val="20"/>
          <w:szCs w:val="20"/>
        </w:rPr>
        <w:t xml:space="preserve"> 1.000. </w:t>
      </w:r>
    </w:p>
    <w:p w:rsidR="000F733A" w:rsidRDefault="007B7C82" w:rsidP="000F733A">
      <w:pPr>
        <w:jc w:val="both"/>
        <w:rPr>
          <w:rFonts w:ascii="Papyrus" w:hAnsi="Papyrus"/>
          <w:sz w:val="20"/>
          <w:szCs w:val="20"/>
        </w:rPr>
      </w:pPr>
      <w:r w:rsidRPr="007B7C82">
        <w:rPr>
          <w:rFonts w:ascii="Papyrus" w:hAnsi="Papyrus"/>
          <w:sz w:val="20"/>
          <w:szCs w:val="20"/>
        </w:rPr>
        <w:t xml:space="preserve">- El equipo selecciona automáticamente el rango apropiado, de acuerdo con la turbidez de la muestra. Se ha diseñado de acuerdo con el Standard internacional ISO7027. </w:t>
      </w:r>
    </w:p>
    <w:p w:rsidR="000F733A" w:rsidRDefault="007B7C82" w:rsidP="000F733A">
      <w:pPr>
        <w:jc w:val="both"/>
        <w:rPr>
          <w:rFonts w:ascii="Papyrus" w:hAnsi="Papyrus"/>
          <w:sz w:val="20"/>
          <w:szCs w:val="20"/>
        </w:rPr>
      </w:pPr>
      <w:r w:rsidRPr="007B7C82">
        <w:rPr>
          <w:rFonts w:ascii="Papyrus" w:hAnsi="Papyrus"/>
          <w:sz w:val="20"/>
          <w:szCs w:val="20"/>
        </w:rPr>
        <w:t xml:space="preserve">- El microprocesador reconoce automáticamente los valores fijos de 0 y 10 NTU para poder así efectuar una calibración precisa por debajo de 1 NTU. </w:t>
      </w:r>
    </w:p>
    <w:p w:rsidR="000F733A" w:rsidRDefault="00525362" w:rsidP="000F733A">
      <w:pPr>
        <w:jc w:val="both"/>
        <w:rPr>
          <w:rFonts w:ascii="Papyrus" w:hAnsi="Papyrus"/>
          <w:sz w:val="20"/>
          <w:szCs w:val="20"/>
        </w:rPr>
      </w:pPr>
      <w:r>
        <w:rPr>
          <w:noProof/>
          <w:lang w:val="es-ES" w:eastAsia="es-ES"/>
        </w:rPr>
        <w:drawing>
          <wp:anchor distT="0" distB="0" distL="114300" distR="114300" simplePos="0" relativeHeight="251658240" behindDoc="0" locked="0" layoutInCell="1" allowOverlap="1">
            <wp:simplePos x="0" y="0"/>
            <wp:positionH relativeFrom="column">
              <wp:posOffset>76200</wp:posOffset>
            </wp:positionH>
            <wp:positionV relativeFrom="paragraph">
              <wp:posOffset>249555</wp:posOffset>
            </wp:positionV>
            <wp:extent cx="1435100" cy="1435100"/>
            <wp:effectExtent l="19050" t="0" r="0" b="0"/>
            <wp:wrapSquare wrapText="bothSides"/>
            <wp:docPr id="4" name="Imagen 4" descr="COMPRAR - DISTRIBUIR - Turbidimetro Portatil">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MPRAR - DISTRIBUIR - Turbidimetro Portatil">
                      <a:hlinkClick r:id="rId9"/>
                    </pic:cNvPr>
                    <pic:cNvPicPr>
                      <a:picLocks noChangeAspect="1" noChangeArrowheads="1"/>
                    </pic:cNvPicPr>
                  </pic:nvPicPr>
                  <pic:blipFill>
                    <a:blip r:embed="rId10" r:link="rId11"/>
                    <a:srcRect/>
                    <a:stretch>
                      <a:fillRect/>
                    </a:stretch>
                  </pic:blipFill>
                  <pic:spPr bwMode="auto">
                    <a:xfrm>
                      <a:off x="0" y="0"/>
                      <a:ext cx="1435100" cy="1435100"/>
                    </a:xfrm>
                    <a:prstGeom prst="rect">
                      <a:avLst/>
                    </a:prstGeom>
                    <a:noFill/>
                    <a:ln w="9525">
                      <a:noFill/>
                      <a:miter lim="800000"/>
                      <a:headEnd/>
                      <a:tailEnd/>
                    </a:ln>
                  </pic:spPr>
                </pic:pic>
              </a:graphicData>
            </a:graphic>
          </wp:anchor>
        </w:drawing>
      </w:r>
      <w:r w:rsidR="007B7C82" w:rsidRPr="007B7C82">
        <w:rPr>
          <w:rFonts w:ascii="Papyrus" w:hAnsi="Papyrus"/>
          <w:sz w:val="20"/>
          <w:szCs w:val="20"/>
        </w:rPr>
        <w:br/>
      </w:r>
      <w:r w:rsidR="007B7C82" w:rsidRPr="007B7C82">
        <w:rPr>
          <w:rFonts w:ascii="Papyrus" w:hAnsi="Papyrus"/>
          <w:b/>
          <w:bCs/>
          <w:sz w:val="20"/>
          <w:szCs w:val="20"/>
        </w:rPr>
        <w:t>Otras características:</w:t>
      </w:r>
      <w:r w:rsidR="007B7C82" w:rsidRPr="007B7C82">
        <w:rPr>
          <w:rFonts w:ascii="Papyrus" w:hAnsi="Papyrus"/>
          <w:sz w:val="20"/>
          <w:szCs w:val="20"/>
        </w:rPr>
        <w:t xml:space="preserve"> </w:t>
      </w:r>
    </w:p>
    <w:p w:rsidR="000F733A" w:rsidRDefault="007B7C82" w:rsidP="000F733A">
      <w:pPr>
        <w:jc w:val="both"/>
        <w:rPr>
          <w:rFonts w:ascii="Papyrus" w:hAnsi="Papyrus"/>
          <w:sz w:val="20"/>
          <w:szCs w:val="20"/>
        </w:rPr>
      </w:pPr>
      <w:r w:rsidRPr="007B7C82">
        <w:rPr>
          <w:rFonts w:ascii="Papyrus" w:hAnsi="Papyrus"/>
          <w:sz w:val="20"/>
          <w:szCs w:val="20"/>
        </w:rPr>
        <w:br/>
        <w:t xml:space="preserve">1. Es el turbidímetro con el precio más competitivo del mercado. </w:t>
      </w:r>
    </w:p>
    <w:p w:rsidR="000F733A" w:rsidRDefault="007B7C82" w:rsidP="000F733A">
      <w:pPr>
        <w:jc w:val="both"/>
        <w:rPr>
          <w:rFonts w:ascii="Papyrus" w:hAnsi="Papyrus"/>
          <w:sz w:val="20"/>
          <w:szCs w:val="20"/>
        </w:rPr>
      </w:pPr>
      <w:r w:rsidRPr="007B7C82">
        <w:rPr>
          <w:rFonts w:ascii="Papyrus" w:hAnsi="Papyrus"/>
          <w:sz w:val="20"/>
          <w:szCs w:val="20"/>
        </w:rPr>
        <w:t>2. Fuente de l</w:t>
      </w:r>
      <w:r w:rsidR="000F733A">
        <w:rPr>
          <w:rFonts w:ascii="Papyrus" w:hAnsi="Papyrus"/>
          <w:sz w:val="20"/>
          <w:szCs w:val="20"/>
        </w:rPr>
        <w:t>uz: LED de infrarrojos.ISO7027.</w:t>
      </w:r>
    </w:p>
    <w:p w:rsidR="000F733A" w:rsidRDefault="007B7C82" w:rsidP="000F733A">
      <w:pPr>
        <w:jc w:val="both"/>
        <w:rPr>
          <w:rFonts w:ascii="Papyrus" w:hAnsi="Papyrus"/>
          <w:sz w:val="20"/>
          <w:szCs w:val="20"/>
        </w:rPr>
      </w:pPr>
      <w:r w:rsidRPr="007B7C82">
        <w:rPr>
          <w:rFonts w:ascii="Papyrus" w:hAnsi="Papyrus"/>
          <w:sz w:val="20"/>
          <w:szCs w:val="20"/>
        </w:rPr>
        <w:t xml:space="preserve">3. GLP. Guarda última fecha calibración. </w:t>
      </w:r>
    </w:p>
    <w:p w:rsidR="000F733A" w:rsidRDefault="007B7C82" w:rsidP="000F733A">
      <w:pPr>
        <w:jc w:val="both"/>
        <w:rPr>
          <w:rFonts w:ascii="Papyrus" w:hAnsi="Papyrus"/>
          <w:sz w:val="20"/>
          <w:szCs w:val="20"/>
        </w:rPr>
      </w:pPr>
      <w:r w:rsidRPr="007B7C82">
        <w:rPr>
          <w:rFonts w:ascii="Papyrus" w:hAnsi="Papyrus"/>
          <w:sz w:val="20"/>
          <w:szCs w:val="20"/>
        </w:rPr>
        <w:t xml:space="preserve">4. Calibración automática, simple y rápida. </w:t>
      </w:r>
    </w:p>
    <w:p w:rsidR="000F733A" w:rsidRDefault="007B7C82" w:rsidP="000F733A">
      <w:pPr>
        <w:jc w:val="both"/>
        <w:rPr>
          <w:rFonts w:ascii="Papyrus" w:hAnsi="Papyrus"/>
          <w:sz w:val="20"/>
          <w:szCs w:val="20"/>
        </w:rPr>
      </w:pPr>
      <w:r w:rsidRPr="007B7C82">
        <w:rPr>
          <w:rFonts w:ascii="Papyrus" w:hAnsi="Papyrus"/>
          <w:sz w:val="20"/>
          <w:szCs w:val="20"/>
        </w:rPr>
        <w:t xml:space="preserve">5. Soluciones Standard AMCO-AEPA, en lugar de formacina. </w:t>
      </w:r>
    </w:p>
    <w:p w:rsidR="000F733A" w:rsidRDefault="007B7C82" w:rsidP="000F733A">
      <w:pPr>
        <w:jc w:val="both"/>
        <w:rPr>
          <w:rFonts w:ascii="Papyrus" w:hAnsi="Papyrus"/>
          <w:sz w:val="20"/>
          <w:szCs w:val="20"/>
        </w:rPr>
      </w:pPr>
      <w:r w:rsidRPr="007B7C82">
        <w:rPr>
          <w:rFonts w:ascii="Papyrus" w:hAnsi="Papyrus"/>
          <w:sz w:val="20"/>
          <w:szCs w:val="20"/>
        </w:rPr>
        <w:t xml:space="preserve">6. Almacena y memoriza 200 datos de medida que pueden visualizarse en pantalla o traspasarlas al ordenador. </w:t>
      </w:r>
    </w:p>
    <w:p w:rsidR="007B7C82" w:rsidRPr="007B7C82" w:rsidRDefault="007B7C82" w:rsidP="000F733A">
      <w:pPr>
        <w:jc w:val="both"/>
        <w:rPr>
          <w:rFonts w:ascii="Papyrus" w:hAnsi="Papyrus"/>
          <w:sz w:val="20"/>
          <w:szCs w:val="20"/>
        </w:rPr>
      </w:pPr>
      <w:r w:rsidRPr="007B7C82">
        <w:rPr>
          <w:rFonts w:ascii="Papyrus" w:hAnsi="Papyrus"/>
          <w:sz w:val="20"/>
          <w:szCs w:val="20"/>
        </w:rPr>
        <w:t>7. Conexión a ordenador RS232.</w:t>
      </w:r>
    </w:p>
    <w:p w:rsidR="006D6469" w:rsidRDefault="006D6469" w:rsidP="000F733A">
      <w:pPr>
        <w:jc w:val="both"/>
        <w:rPr>
          <w:rFonts w:ascii="Papyrus" w:hAnsi="Papyrus"/>
          <w:b/>
          <w:u w:val="single"/>
        </w:rPr>
      </w:pPr>
    </w:p>
    <w:p w:rsidR="00B002A2" w:rsidRPr="00901AFD" w:rsidRDefault="00B002A2" w:rsidP="000F733A">
      <w:pPr>
        <w:jc w:val="both"/>
        <w:rPr>
          <w:rFonts w:ascii="Papyrus" w:hAnsi="Papyrus"/>
          <w:b/>
          <w:sz w:val="20"/>
          <w:szCs w:val="20"/>
          <w:u w:val="single"/>
        </w:rPr>
      </w:pPr>
      <w:r w:rsidRPr="00901AFD">
        <w:rPr>
          <w:rFonts w:ascii="Papyrus" w:hAnsi="Papyrus"/>
          <w:b/>
          <w:sz w:val="20"/>
          <w:szCs w:val="20"/>
          <w:u w:val="single"/>
        </w:rPr>
        <w:t xml:space="preserve">2.1  Interferencias </w:t>
      </w:r>
    </w:p>
    <w:p w:rsidR="00B002A2" w:rsidRPr="00901AFD" w:rsidRDefault="00B002A2" w:rsidP="000F733A">
      <w:pPr>
        <w:jc w:val="both"/>
        <w:rPr>
          <w:rFonts w:ascii="Papyrus" w:hAnsi="Papyrus"/>
          <w:sz w:val="20"/>
          <w:szCs w:val="20"/>
        </w:rPr>
      </w:pPr>
      <w:r w:rsidRPr="00901AFD">
        <w:rPr>
          <w:rFonts w:ascii="Papyrus" w:hAnsi="Papyrus"/>
          <w:sz w:val="20"/>
          <w:szCs w:val="20"/>
        </w:rPr>
        <w:t xml:space="preserve">La determinación de turbidez es aplicable a cualquier muestra de agua que </w:t>
      </w:r>
      <w:r w:rsidR="008174A2" w:rsidRPr="00901AFD">
        <w:rPr>
          <w:rFonts w:ascii="Papyrus" w:hAnsi="Papyrus"/>
          <w:sz w:val="20"/>
          <w:szCs w:val="20"/>
        </w:rPr>
        <w:t>esta libre basura</w:t>
      </w:r>
      <w:r w:rsidRPr="00901AFD">
        <w:rPr>
          <w:rFonts w:ascii="Papyrus" w:hAnsi="Papyrus"/>
          <w:sz w:val="20"/>
          <w:szCs w:val="20"/>
        </w:rPr>
        <w:t xml:space="preserve"> y partículas gruesas que puedan asentarse con rapidez. </w:t>
      </w:r>
    </w:p>
    <w:p w:rsidR="00B002A2" w:rsidRPr="00901AFD" w:rsidRDefault="00B002A2" w:rsidP="000F733A">
      <w:pPr>
        <w:jc w:val="both"/>
        <w:rPr>
          <w:rFonts w:ascii="Papyrus" w:hAnsi="Papyrus"/>
          <w:sz w:val="20"/>
          <w:szCs w:val="20"/>
        </w:rPr>
      </w:pPr>
      <w:r w:rsidRPr="00901AFD">
        <w:rPr>
          <w:rFonts w:ascii="Papyrus" w:hAnsi="Papyrus"/>
          <w:sz w:val="20"/>
          <w:szCs w:val="20"/>
        </w:rPr>
        <w:t xml:space="preserve">Se obtienen resultados falsos  por material de vidrio sucio, por la presencia de burbujas y por los efectos de vibración que puedan alterar la visibilidad en la superficie de la muestra de agua. </w:t>
      </w:r>
    </w:p>
    <w:p w:rsidR="00A41346" w:rsidRPr="00901AFD" w:rsidRDefault="00A41346" w:rsidP="000F733A">
      <w:pPr>
        <w:spacing w:before="100" w:beforeAutospacing="1" w:after="100" w:afterAutospacing="1"/>
        <w:jc w:val="both"/>
        <w:outlineLvl w:val="0"/>
        <w:rPr>
          <w:rFonts w:ascii="Papyrus" w:hAnsi="Papyrus"/>
          <w:b/>
          <w:bCs/>
          <w:iCs/>
          <w:color w:val="000000"/>
          <w:kern w:val="36"/>
          <w:sz w:val="20"/>
          <w:szCs w:val="20"/>
        </w:rPr>
      </w:pPr>
      <w:bookmarkStart w:id="1" w:name="_¿Cuáles_son_las_causas_de_la_turbidez?"/>
      <w:r w:rsidRPr="00901AFD">
        <w:rPr>
          <w:rFonts w:ascii="Papyrus" w:hAnsi="Papyrus"/>
          <w:b/>
          <w:bCs/>
          <w:iCs/>
          <w:color w:val="000000"/>
          <w:kern w:val="36"/>
          <w:sz w:val="20"/>
          <w:szCs w:val="20"/>
          <w:lang w:val="es-ES"/>
        </w:rPr>
        <w:t xml:space="preserve">¿Cuáles son las causas de la turbidez? </w:t>
      </w:r>
      <w:bookmarkEnd w:id="1"/>
    </w:p>
    <w:p w:rsidR="00CF4DF2" w:rsidRPr="00901AFD" w:rsidRDefault="00A41346" w:rsidP="00CF4DF2">
      <w:pPr>
        <w:numPr>
          <w:ilvl w:val="0"/>
          <w:numId w:val="1"/>
        </w:numPr>
        <w:spacing w:before="100" w:beforeAutospacing="1" w:after="100" w:afterAutospacing="1"/>
        <w:jc w:val="both"/>
        <w:rPr>
          <w:rFonts w:ascii="Papyrus" w:hAnsi="Papyrus"/>
          <w:color w:val="000000"/>
          <w:sz w:val="20"/>
          <w:szCs w:val="20"/>
          <w:lang w:val="es-ES"/>
        </w:rPr>
      </w:pPr>
      <w:r w:rsidRPr="00901AFD">
        <w:rPr>
          <w:rFonts w:ascii="Papyrus" w:hAnsi="Papyrus"/>
          <w:color w:val="000000"/>
          <w:sz w:val="20"/>
          <w:szCs w:val="20"/>
          <w:lang w:val="es-ES"/>
        </w:rPr>
        <w:t xml:space="preserve">Hay varios parámetros que influyen en la turbidez del agua. Algunos de estos son:  -          Fitoplancton </w:t>
      </w:r>
    </w:p>
    <w:p w:rsidR="00A41346" w:rsidRPr="00901AFD" w:rsidRDefault="00A41346" w:rsidP="00CF4DF2">
      <w:pPr>
        <w:numPr>
          <w:ilvl w:val="1"/>
          <w:numId w:val="1"/>
        </w:numPr>
        <w:spacing w:before="100" w:beforeAutospacing="1" w:after="100" w:afterAutospacing="1"/>
        <w:jc w:val="both"/>
        <w:rPr>
          <w:rFonts w:ascii="Papyrus" w:hAnsi="Papyrus"/>
          <w:color w:val="000000"/>
          <w:sz w:val="20"/>
          <w:szCs w:val="20"/>
        </w:rPr>
      </w:pPr>
      <w:r w:rsidRPr="00901AFD">
        <w:rPr>
          <w:rFonts w:ascii="Papyrus" w:hAnsi="Papyrus"/>
          <w:color w:val="000000"/>
          <w:sz w:val="20"/>
          <w:szCs w:val="20"/>
          <w:lang w:val="es-ES"/>
        </w:rPr>
        <w:t xml:space="preserve">Sedimentos procedentes de la erosión  </w:t>
      </w:r>
    </w:p>
    <w:p w:rsidR="00A41346" w:rsidRPr="00901AFD" w:rsidRDefault="00A41346" w:rsidP="00CF4DF2">
      <w:pPr>
        <w:numPr>
          <w:ilvl w:val="1"/>
          <w:numId w:val="1"/>
        </w:numPr>
        <w:spacing w:before="100" w:beforeAutospacing="1" w:after="100" w:afterAutospacing="1"/>
        <w:jc w:val="both"/>
        <w:rPr>
          <w:rFonts w:ascii="Papyrus" w:hAnsi="Papyrus"/>
          <w:color w:val="000000"/>
          <w:sz w:val="20"/>
          <w:szCs w:val="20"/>
        </w:rPr>
      </w:pPr>
      <w:r w:rsidRPr="00901AFD">
        <w:rPr>
          <w:rFonts w:ascii="Papyrus" w:hAnsi="Papyrus"/>
          <w:color w:val="000000"/>
          <w:sz w:val="20"/>
          <w:szCs w:val="20"/>
          <w:lang w:val="es-ES"/>
        </w:rPr>
        <w:t xml:space="preserve">Sedimentos resuspendidos del fondo (frecuentemente revueltos por peces que se alimentan por el fondo, como la carpa)  </w:t>
      </w:r>
    </w:p>
    <w:p w:rsidR="00A41346" w:rsidRPr="00901AFD" w:rsidRDefault="00A41346" w:rsidP="00CF4DF2">
      <w:pPr>
        <w:numPr>
          <w:ilvl w:val="1"/>
          <w:numId w:val="1"/>
        </w:numPr>
        <w:spacing w:before="100" w:beforeAutospacing="1" w:after="100" w:afterAutospacing="1"/>
        <w:jc w:val="both"/>
        <w:rPr>
          <w:rFonts w:ascii="Papyrus" w:hAnsi="Papyrus"/>
          <w:color w:val="000000"/>
          <w:sz w:val="20"/>
          <w:szCs w:val="20"/>
        </w:rPr>
      </w:pPr>
      <w:r w:rsidRPr="00901AFD">
        <w:rPr>
          <w:rFonts w:ascii="Papyrus" w:hAnsi="Papyrus"/>
          <w:color w:val="000000"/>
          <w:sz w:val="20"/>
          <w:szCs w:val="20"/>
          <w:lang w:val="es-ES"/>
        </w:rPr>
        <w:t xml:space="preserve">Descarga de efluentes  </w:t>
      </w:r>
    </w:p>
    <w:p w:rsidR="00A41346" w:rsidRPr="00901AFD" w:rsidRDefault="00A41346" w:rsidP="00CF4DF2">
      <w:pPr>
        <w:numPr>
          <w:ilvl w:val="1"/>
          <w:numId w:val="1"/>
        </w:numPr>
        <w:spacing w:before="100" w:beforeAutospacing="1" w:after="100" w:afterAutospacing="1"/>
        <w:jc w:val="both"/>
        <w:rPr>
          <w:rFonts w:ascii="Papyrus" w:hAnsi="Papyrus"/>
          <w:color w:val="000000"/>
          <w:sz w:val="20"/>
          <w:szCs w:val="20"/>
        </w:rPr>
      </w:pPr>
      <w:r w:rsidRPr="00901AFD">
        <w:rPr>
          <w:rFonts w:ascii="Papyrus" w:hAnsi="Papyrus"/>
          <w:color w:val="000000"/>
          <w:sz w:val="20"/>
          <w:szCs w:val="20"/>
          <w:lang w:val="es-ES"/>
        </w:rPr>
        <w:t xml:space="preserve">Crecimiento de las algas  </w:t>
      </w:r>
    </w:p>
    <w:p w:rsidR="00A41346" w:rsidRPr="00901AFD" w:rsidRDefault="00A41346" w:rsidP="00CF4DF2">
      <w:pPr>
        <w:numPr>
          <w:ilvl w:val="1"/>
          <w:numId w:val="1"/>
        </w:numPr>
        <w:spacing w:before="100" w:beforeAutospacing="1" w:after="100" w:afterAutospacing="1"/>
        <w:jc w:val="both"/>
        <w:rPr>
          <w:rFonts w:ascii="Papyrus" w:hAnsi="Papyrus"/>
          <w:color w:val="000000"/>
          <w:sz w:val="20"/>
          <w:szCs w:val="20"/>
        </w:rPr>
      </w:pPr>
      <w:r w:rsidRPr="00901AFD">
        <w:rPr>
          <w:rFonts w:ascii="Papyrus" w:hAnsi="Papyrus"/>
          <w:color w:val="000000"/>
          <w:sz w:val="20"/>
          <w:szCs w:val="20"/>
          <w:lang w:val="es-ES"/>
        </w:rPr>
        <w:t>Escorrentía urbana  </w:t>
      </w:r>
    </w:p>
    <w:p w:rsidR="00CF4DF2" w:rsidRPr="00901AFD" w:rsidRDefault="00A41346" w:rsidP="00CF4DF2">
      <w:pPr>
        <w:tabs>
          <w:tab w:val="num" w:pos="720"/>
        </w:tabs>
        <w:spacing w:before="100" w:beforeAutospacing="1" w:after="100" w:afterAutospacing="1"/>
        <w:jc w:val="both"/>
        <w:outlineLvl w:val="0"/>
        <w:rPr>
          <w:rFonts w:ascii="Papyrus" w:hAnsi="Papyrus"/>
          <w:b/>
          <w:bCs/>
          <w:iCs/>
          <w:color w:val="000000"/>
          <w:kern w:val="36"/>
          <w:sz w:val="20"/>
          <w:szCs w:val="20"/>
          <w:lang w:val="es-ES"/>
        </w:rPr>
      </w:pPr>
      <w:bookmarkStart w:id="2" w:name="¿Cuál_es_la_máxima_turbidez_permitida_en"/>
      <w:r w:rsidRPr="00901AFD">
        <w:rPr>
          <w:rFonts w:ascii="Papyrus" w:hAnsi="Papyrus"/>
          <w:b/>
          <w:bCs/>
          <w:iCs/>
          <w:color w:val="000000"/>
          <w:kern w:val="36"/>
          <w:sz w:val="20"/>
          <w:szCs w:val="20"/>
          <w:lang w:val="es-ES"/>
        </w:rPr>
        <w:t>¿Cuál es la máxima turbidez permitida en el agua para consumo humano?</w:t>
      </w:r>
      <w:bookmarkEnd w:id="2"/>
    </w:p>
    <w:p w:rsidR="00A41346" w:rsidRPr="00901AFD" w:rsidRDefault="00A41346" w:rsidP="00CF4DF2">
      <w:pPr>
        <w:tabs>
          <w:tab w:val="num" w:pos="720"/>
        </w:tabs>
        <w:spacing w:before="100" w:beforeAutospacing="1" w:after="100" w:afterAutospacing="1"/>
        <w:jc w:val="both"/>
        <w:outlineLvl w:val="0"/>
        <w:rPr>
          <w:rFonts w:ascii="Papyrus" w:hAnsi="Papyrus"/>
          <w:b/>
          <w:bCs/>
          <w:iCs/>
          <w:color w:val="000000"/>
          <w:kern w:val="36"/>
          <w:sz w:val="20"/>
          <w:szCs w:val="20"/>
          <w:lang w:val="es-ES"/>
        </w:rPr>
      </w:pPr>
      <w:r w:rsidRPr="00901AFD">
        <w:rPr>
          <w:rFonts w:ascii="Papyrus" w:hAnsi="Papyrus"/>
          <w:color w:val="000000"/>
          <w:sz w:val="20"/>
          <w:szCs w:val="20"/>
          <w:lang w:val="es-ES"/>
        </w:rPr>
        <w:t xml:space="preserve">Según </w:t>
      </w:r>
      <w:smartTag w:uri="urn:schemas-microsoft-com:office:smarttags" w:element="PersonName">
        <w:smartTagPr>
          <w:attr w:name="ProductID" w:val="la OMS"/>
        </w:smartTagPr>
        <w:r w:rsidRPr="00901AFD">
          <w:rPr>
            <w:rFonts w:ascii="Papyrus" w:hAnsi="Papyrus"/>
            <w:color w:val="000000"/>
            <w:sz w:val="20"/>
            <w:szCs w:val="20"/>
            <w:lang w:val="es-ES"/>
          </w:rPr>
          <w:t>la OMS</w:t>
        </w:r>
      </w:smartTag>
      <w:r w:rsidRPr="00901AFD">
        <w:rPr>
          <w:rFonts w:ascii="Papyrus" w:hAnsi="Papyrus"/>
          <w:color w:val="000000"/>
          <w:sz w:val="20"/>
          <w:szCs w:val="20"/>
          <w:lang w:val="es-ES"/>
        </w:rPr>
        <w:t xml:space="preserve"> (Organización Mundial para </w:t>
      </w:r>
      <w:smartTag w:uri="urn:schemas-microsoft-com:office:smarttags" w:element="PersonName">
        <w:smartTagPr>
          <w:attr w:name="ProductID" w:val="la Salud"/>
        </w:smartTagPr>
        <w:r w:rsidRPr="00901AFD">
          <w:rPr>
            <w:rFonts w:ascii="Papyrus" w:hAnsi="Papyrus"/>
            <w:color w:val="000000"/>
            <w:sz w:val="20"/>
            <w:szCs w:val="20"/>
            <w:lang w:val="es-ES"/>
          </w:rPr>
          <w:t>la Salud</w:t>
        </w:r>
      </w:smartTag>
      <w:r w:rsidRPr="00901AFD">
        <w:rPr>
          <w:rFonts w:ascii="Papyrus" w:hAnsi="Papyrus"/>
          <w:color w:val="000000"/>
          <w:sz w:val="20"/>
          <w:szCs w:val="20"/>
          <w:lang w:val="es-ES"/>
        </w:rPr>
        <w:t xml:space="preserve">), la turbidez del agua para consumo humano no debe superar en ningún caso las 5 </w:t>
      </w:r>
      <w:hyperlink r:id="rId12" w:anchor="¿Cómo medimos la turbidez?#¿Cómo medimos la turbidez?" w:history="1">
        <w:r w:rsidRPr="00901AFD">
          <w:rPr>
            <w:rFonts w:ascii="Papyrus" w:hAnsi="Papyrus"/>
            <w:color w:val="0000FF"/>
            <w:sz w:val="20"/>
            <w:szCs w:val="20"/>
            <w:lang w:val="es-ES"/>
          </w:rPr>
          <w:t>NTU</w:t>
        </w:r>
      </w:hyperlink>
      <w:r w:rsidRPr="00901AFD">
        <w:rPr>
          <w:rFonts w:ascii="Papyrus" w:hAnsi="Papyrus"/>
          <w:color w:val="000000"/>
          <w:sz w:val="20"/>
          <w:szCs w:val="20"/>
          <w:lang w:val="es-ES"/>
        </w:rPr>
        <w:t xml:space="preserve">, y estará idealmente por debajo de 1 NTU. </w:t>
      </w:r>
    </w:p>
    <w:p w:rsidR="00A41346" w:rsidRPr="00901AFD" w:rsidRDefault="00A41346" w:rsidP="000F733A">
      <w:pPr>
        <w:spacing w:before="100" w:beforeAutospacing="1" w:after="100" w:afterAutospacing="1"/>
        <w:jc w:val="both"/>
        <w:outlineLvl w:val="0"/>
        <w:rPr>
          <w:rFonts w:ascii="Papyrus" w:hAnsi="Papyrus"/>
          <w:b/>
          <w:bCs/>
          <w:iCs/>
          <w:color w:val="000000"/>
          <w:kern w:val="36"/>
          <w:sz w:val="20"/>
          <w:szCs w:val="20"/>
        </w:rPr>
      </w:pPr>
      <w:r w:rsidRPr="00901AFD">
        <w:rPr>
          <w:rFonts w:ascii="Papyrus" w:hAnsi="Papyrus"/>
          <w:b/>
          <w:bCs/>
          <w:iCs/>
          <w:color w:val="000000"/>
          <w:kern w:val="36"/>
          <w:sz w:val="20"/>
          <w:szCs w:val="20"/>
          <w:lang w:val="es-ES"/>
        </w:rPr>
        <w:t> </w:t>
      </w:r>
      <w:bookmarkStart w:id="3" w:name="¿Cuáles_son_las_consecuencias_de_una__al"/>
      <w:r w:rsidRPr="00901AFD">
        <w:rPr>
          <w:rFonts w:ascii="Papyrus" w:hAnsi="Papyrus"/>
          <w:b/>
          <w:bCs/>
          <w:iCs/>
          <w:color w:val="000000"/>
          <w:kern w:val="36"/>
          <w:sz w:val="20"/>
          <w:szCs w:val="20"/>
          <w:lang w:val="es-ES"/>
        </w:rPr>
        <w:t xml:space="preserve">¿Cuáles son las consecuencias de una  alta turbidez?  </w:t>
      </w:r>
      <w:bookmarkEnd w:id="3"/>
    </w:p>
    <w:p w:rsidR="00A41346" w:rsidRPr="00901AFD" w:rsidRDefault="00A41346" w:rsidP="000F733A">
      <w:pPr>
        <w:spacing w:before="100" w:beforeAutospacing="1" w:after="100" w:afterAutospacing="1"/>
        <w:jc w:val="both"/>
        <w:rPr>
          <w:rFonts w:ascii="Papyrus" w:hAnsi="Papyrus"/>
          <w:color w:val="000000"/>
          <w:sz w:val="20"/>
          <w:szCs w:val="20"/>
        </w:rPr>
      </w:pPr>
      <w:r w:rsidRPr="00901AFD">
        <w:rPr>
          <w:rFonts w:ascii="Papyrus" w:hAnsi="Papyrus"/>
          <w:color w:val="000000"/>
          <w:sz w:val="20"/>
          <w:szCs w:val="20"/>
          <w:lang w:val="es-ES"/>
        </w:rPr>
        <w:lastRenderedPageBreak/>
        <w:t xml:space="preserve">Las partículas suspendidas absorben calor de la luz del sol, haciendo que las aguas turbias se vuelvan más calientes, y así reduciendo la concentración de oxígeno en el agua (el oxígeno se disuelve mejor en el agua más fría). Además algunos organismos no pueden sobrevivir en agua más caliente. </w:t>
      </w:r>
    </w:p>
    <w:p w:rsidR="00A41346" w:rsidRPr="00901AFD" w:rsidRDefault="00A41346" w:rsidP="000F733A">
      <w:pPr>
        <w:spacing w:before="100" w:beforeAutospacing="1" w:after="100" w:afterAutospacing="1"/>
        <w:jc w:val="both"/>
        <w:rPr>
          <w:rFonts w:ascii="Papyrus" w:hAnsi="Papyrus"/>
          <w:color w:val="000000"/>
          <w:sz w:val="20"/>
          <w:szCs w:val="20"/>
        </w:rPr>
      </w:pPr>
      <w:r w:rsidRPr="00901AFD">
        <w:rPr>
          <w:rFonts w:ascii="Papyrus" w:hAnsi="Papyrus"/>
          <w:color w:val="000000"/>
          <w:sz w:val="20"/>
          <w:szCs w:val="20"/>
          <w:lang w:val="es-ES"/>
        </w:rPr>
        <w:t xml:space="preserve">Las partículas en suspensión dispersan la luz, de esta forma decreciendo la actividad fotosintética en plantas y algas, que contribuye a bajar la concentración de oxígeno más aún.  </w:t>
      </w:r>
    </w:p>
    <w:p w:rsidR="00A41346" w:rsidRPr="00901AFD" w:rsidRDefault="00A41346" w:rsidP="000F733A">
      <w:pPr>
        <w:spacing w:before="100" w:beforeAutospacing="1" w:after="100" w:afterAutospacing="1"/>
        <w:jc w:val="both"/>
        <w:rPr>
          <w:rFonts w:ascii="Papyrus" w:hAnsi="Papyrus"/>
          <w:color w:val="000000"/>
          <w:sz w:val="20"/>
          <w:szCs w:val="20"/>
        </w:rPr>
      </w:pPr>
      <w:r w:rsidRPr="00901AFD">
        <w:rPr>
          <w:rFonts w:ascii="Papyrus" w:hAnsi="Papyrus"/>
          <w:color w:val="000000"/>
          <w:sz w:val="20"/>
          <w:szCs w:val="20"/>
          <w:lang w:val="es-ES"/>
        </w:rPr>
        <w:t>Como consecuencia de la sedimentación de las partículas en el fondo, los lagos poco profundos se colmatan más rápido, los huevos de peces y las larvas de los insectos son cubiertas y</w:t>
      </w:r>
      <w:r w:rsidR="006D6469" w:rsidRPr="00901AFD">
        <w:rPr>
          <w:rFonts w:ascii="Papyrus" w:hAnsi="Papyrus"/>
          <w:color w:val="000000"/>
          <w:sz w:val="20"/>
          <w:szCs w:val="20"/>
          <w:lang w:val="es-ES"/>
        </w:rPr>
        <w:t xml:space="preserve"> </w:t>
      </w:r>
      <w:r w:rsidRPr="00901AFD">
        <w:rPr>
          <w:rFonts w:ascii="Papyrus" w:hAnsi="Papyrus"/>
          <w:color w:val="000000"/>
          <w:sz w:val="20"/>
          <w:szCs w:val="20"/>
          <w:lang w:val="es-ES"/>
        </w:rPr>
        <w:t xml:space="preserve"> sofocadas, las agallas se tup</w:t>
      </w:r>
      <w:r w:rsidR="006D6469" w:rsidRPr="00901AFD">
        <w:rPr>
          <w:rFonts w:ascii="Papyrus" w:hAnsi="Papyrus"/>
          <w:color w:val="000000"/>
          <w:sz w:val="20"/>
          <w:szCs w:val="20"/>
          <w:lang w:val="es-ES"/>
        </w:rPr>
        <w:t>en o dañan.</w:t>
      </w:r>
    </w:p>
    <w:p w:rsidR="00A41346" w:rsidRPr="00901AFD" w:rsidRDefault="00A41346" w:rsidP="006D6469">
      <w:pPr>
        <w:spacing w:before="100" w:beforeAutospacing="1" w:after="100" w:afterAutospacing="1"/>
        <w:jc w:val="both"/>
        <w:outlineLvl w:val="0"/>
        <w:rPr>
          <w:rFonts w:ascii="Papyrus" w:hAnsi="Papyrus"/>
          <w:b/>
          <w:bCs/>
          <w:iCs/>
          <w:color w:val="000000"/>
          <w:kern w:val="36"/>
          <w:sz w:val="20"/>
          <w:szCs w:val="20"/>
          <w:lang w:val="es-ES"/>
        </w:rPr>
      </w:pPr>
      <w:bookmarkStart w:id="4" w:name="¿Cuáles_son_los_impactos_de_la_turbidez?"/>
      <w:r w:rsidRPr="00901AFD">
        <w:rPr>
          <w:rFonts w:ascii="Papyrus" w:hAnsi="Papyrus"/>
          <w:b/>
          <w:bCs/>
          <w:iCs/>
          <w:color w:val="000000"/>
          <w:kern w:val="36"/>
          <w:sz w:val="20"/>
          <w:szCs w:val="20"/>
          <w:lang w:val="es-ES"/>
        </w:rPr>
        <w:t>¿Cuáles son los impactos de la turbidez? </w:t>
      </w:r>
      <w:bookmarkEnd w:id="4"/>
    </w:p>
    <w:p w:rsidR="00901AFD" w:rsidRDefault="00A41346" w:rsidP="006D6469">
      <w:pPr>
        <w:spacing w:before="100" w:beforeAutospacing="1" w:after="100" w:afterAutospacing="1"/>
        <w:jc w:val="both"/>
        <w:rPr>
          <w:rFonts w:ascii="Papyrus" w:hAnsi="Papyrus"/>
          <w:color w:val="000000"/>
          <w:sz w:val="20"/>
          <w:szCs w:val="20"/>
          <w:lang w:val="es-ES"/>
        </w:rPr>
      </w:pPr>
      <w:r w:rsidRPr="00901AFD">
        <w:rPr>
          <w:rFonts w:ascii="Papyrus" w:hAnsi="Papyrus"/>
          <w:color w:val="000000"/>
          <w:sz w:val="20"/>
          <w:szCs w:val="20"/>
          <w:lang w:val="es-ES"/>
        </w:rPr>
        <w:t>El principal impacto es meramente estético: a nadie le gusta el aspecto del agua sucia.  Pero además, es esencial eliminar la turbidez para desinfectar efectivamente el agua que desea ser bebida. Esto añade costes extra para el tratamiento de las aguas superficiales.  Las partículas suspendidas también ayudan a la adhesión de metales pesados y muchos otros compuestos orgánicos tóxicos y pesticidas. </w:t>
      </w:r>
      <w:r w:rsidRPr="00901AFD">
        <w:rPr>
          <w:rFonts w:ascii="Papyrus" w:hAnsi="Papyrus"/>
          <w:color w:val="000000"/>
          <w:sz w:val="20"/>
          <w:szCs w:val="20"/>
          <w:lang w:val="es-ES"/>
        </w:rPr>
        <w:br/>
      </w:r>
    </w:p>
    <w:p w:rsidR="004A0AC8" w:rsidRPr="00901AFD" w:rsidRDefault="004A0AC8" w:rsidP="006D6469">
      <w:pPr>
        <w:spacing w:before="100" w:beforeAutospacing="1" w:after="100" w:afterAutospacing="1"/>
        <w:jc w:val="both"/>
        <w:rPr>
          <w:rFonts w:ascii="Papyrus" w:hAnsi="Papyrus"/>
          <w:b/>
          <w:sz w:val="20"/>
          <w:szCs w:val="20"/>
          <w:u w:val="single"/>
        </w:rPr>
      </w:pPr>
      <w:r w:rsidRPr="00901AFD">
        <w:rPr>
          <w:rFonts w:ascii="Papyrus" w:hAnsi="Papyrus"/>
          <w:b/>
          <w:sz w:val="20"/>
          <w:szCs w:val="20"/>
          <w:u w:val="single"/>
        </w:rPr>
        <w:t>Conclusión:</w:t>
      </w:r>
    </w:p>
    <w:p w:rsidR="000F733A" w:rsidRPr="00901AFD" w:rsidRDefault="000F733A" w:rsidP="000F733A">
      <w:pPr>
        <w:spacing w:before="100" w:beforeAutospacing="1" w:after="100" w:afterAutospacing="1"/>
        <w:jc w:val="both"/>
        <w:rPr>
          <w:rFonts w:ascii="Papyrus" w:hAnsi="Papyrus"/>
          <w:color w:val="000000"/>
          <w:sz w:val="20"/>
          <w:szCs w:val="20"/>
        </w:rPr>
      </w:pPr>
      <w:r w:rsidRPr="00901AFD">
        <w:rPr>
          <w:rFonts w:ascii="Papyrus" w:hAnsi="Papyrus"/>
          <w:sz w:val="20"/>
          <w:szCs w:val="20"/>
        </w:rPr>
        <w:t>En conclusión se puede decir que la turbidez del agua se mide por los sólidos en suspensión que contienen y por el color,  también existen parámetros que influyen en la turbidez del agua como:</w:t>
      </w:r>
      <w:r w:rsidRPr="00901AFD">
        <w:rPr>
          <w:rFonts w:ascii="Papyrus" w:hAnsi="Papyrus"/>
          <w:color w:val="000000"/>
          <w:sz w:val="20"/>
          <w:szCs w:val="20"/>
          <w:lang w:val="es-ES"/>
        </w:rPr>
        <w:t xml:space="preserve">   Fitoplancton, Sedimentos procedentes de la erosión  </w:t>
      </w:r>
      <w:r w:rsidR="006D6469" w:rsidRPr="00901AFD">
        <w:rPr>
          <w:rFonts w:ascii="Papyrus" w:hAnsi="Papyrus"/>
          <w:color w:val="000000"/>
          <w:sz w:val="20"/>
          <w:szCs w:val="20"/>
          <w:lang w:val="es-ES"/>
        </w:rPr>
        <w:t>etc. y para esto existen aparatos de medición los cuales miden con precisión si es apta o no para lo que se requiere como el como el consumo humano.</w:t>
      </w:r>
    </w:p>
    <w:p w:rsidR="007B18D3" w:rsidRPr="00901AFD" w:rsidRDefault="007B18D3" w:rsidP="000F733A">
      <w:pPr>
        <w:jc w:val="both"/>
        <w:rPr>
          <w:rFonts w:ascii="Papyrus" w:hAnsi="Papyrus"/>
          <w:b/>
          <w:sz w:val="20"/>
          <w:szCs w:val="20"/>
          <w:u w:val="single"/>
        </w:rPr>
      </w:pPr>
      <w:r w:rsidRPr="00901AFD">
        <w:rPr>
          <w:rFonts w:ascii="Papyrus" w:hAnsi="Papyrus"/>
          <w:b/>
          <w:sz w:val="20"/>
          <w:szCs w:val="20"/>
          <w:u w:val="single"/>
        </w:rPr>
        <w:t xml:space="preserve">Bibliografía: </w:t>
      </w:r>
    </w:p>
    <w:p w:rsidR="007B18D3" w:rsidRPr="00901AFD" w:rsidRDefault="007B18D3" w:rsidP="000F733A">
      <w:pPr>
        <w:jc w:val="both"/>
        <w:rPr>
          <w:rFonts w:ascii="Papyrus" w:hAnsi="Papyrus"/>
          <w:b/>
          <w:sz w:val="20"/>
          <w:szCs w:val="20"/>
        </w:rPr>
      </w:pPr>
    </w:p>
    <w:p w:rsidR="007B18D3" w:rsidRPr="00901AFD" w:rsidRDefault="007B18D3" w:rsidP="000F733A">
      <w:pPr>
        <w:jc w:val="both"/>
        <w:rPr>
          <w:rFonts w:ascii="Papyrus" w:hAnsi="Papyrus"/>
          <w:sz w:val="20"/>
          <w:szCs w:val="20"/>
        </w:rPr>
      </w:pPr>
      <w:r w:rsidRPr="00901AFD">
        <w:rPr>
          <w:rFonts w:ascii="Papyrus" w:hAnsi="Papyrus"/>
          <w:sz w:val="20"/>
          <w:szCs w:val="20"/>
          <w:lang w:val="en-US"/>
        </w:rPr>
        <w:t xml:space="preserve">American Society for testing and Materials. </w:t>
      </w:r>
      <w:r w:rsidRPr="00901AFD">
        <w:rPr>
          <w:rFonts w:ascii="Papyrus" w:hAnsi="Papyrus"/>
          <w:sz w:val="20"/>
          <w:szCs w:val="20"/>
        </w:rPr>
        <w:t xml:space="preserve">Annual book Of. Standards 1994 </w:t>
      </w:r>
    </w:p>
    <w:p w:rsidR="007B18D3" w:rsidRPr="00901AFD" w:rsidRDefault="007B18D3" w:rsidP="000F733A">
      <w:pPr>
        <w:jc w:val="both"/>
        <w:rPr>
          <w:rFonts w:ascii="Papyrus" w:hAnsi="Papyrus"/>
          <w:sz w:val="20"/>
          <w:szCs w:val="20"/>
        </w:rPr>
      </w:pPr>
      <w:r w:rsidRPr="00901AFD">
        <w:rPr>
          <w:rFonts w:ascii="Papyrus" w:hAnsi="Papyrus"/>
          <w:sz w:val="20"/>
          <w:szCs w:val="20"/>
        </w:rPr>
        <w:t xml:space="preserve">Determinación de turbidez en agua. Método ASTM D1889-88a </w:t>
      </w:r>
    </w:p>
    <w:p w:rsidR="007B18D3" w:rsidRPr="00901AFD" w:rsidRDefault="007B18D3" w:rsidP="000F733A">
      <w:pPr>
        <w:jc w:val="both"/>
        <w:rPr>
          <w:rFonts w:ascii="Papyrus" w:hAnsi="Papyrus"/>
          <w:sz w:val="20"/>
          <w:szCs w:val="20"/>
        </w:rPr>
      </w:pPr>
    </w:p>
    <w:p w:rsidR="007B18D3" w:rsidRPr="00901AFD" w:rsidRDefault="007B18D3" w:rsidP="000F733A">
      <w:pPr>
        <w:jc w:val="both"/>
        <w:rPr>
          <w:rFonts w:ascii="Papyrus" w:hAnsi="Papyrus"/>
          <w:sz w:val="20"/>
          <w:szCs w:val="20"/>
        </w:rPr>
      </w:pPr>
      <w:r w:rsidRPr="00901AFD">
        <w:rPr>
          <w:rFonts w:ascii="Papyrus" w:hAnsi="Papyrus"/>
          <w:sz w:val="20"/>
          <w:szCs w:val="20"/>
        </w:rPr>
        <w:t xml:space="preserve">Determinación de turbidez en agua. </w:t>
      </w:r>
      <w:r w:rsidRPr="00901AFD">
        <w:rPr>
          <w:rFonts w:ascii="Papyrus" w:hAnsi="Papyrus"/>
          <w:sz w:val="20"/>
          <w:szCs w:val="20"/>
          <w:lang w:val="en-US"/>
        </w:rPr>
        <w:t xml:space="preserve">Standard methods for the examination of water and waste water publicado por </w:t>
      </w:r>
      <w:smartTag w:uri="urn:schemas-microsoft-com:office:smarttags" w:element="PersonName">
        <w:smartTagPr>
          <w:attr w:name="ProductID" w:val="la APHA. M￩todo"/>
        </w:smartTagPr>
        <w:r w:rsidRPr="00901AFD">
          <w:rPr>
            <w:rFonts w:ascii="Papyrus" w:hAnsi="Papyrus"/>
            <w:sz w:val="20"/>
            <w:szCs w:val="20"/>
            <w:lang w:val="en-US"/>
          </w:rPr>
          <w:t xml:space="preserve">la APHA. </w:t>
        </w:r>
        <w:r w:rsidRPr="00901AFD">
          <w:rPr>
            <w:rFonts w:ascii="Papyrus" w:hAnsi="Papyrus"/>
            <w:sz w:val="20"/>
            <w:szCs w:val="20"/>
          </w:rPr>
          <w:t>Método</w:t>
        </w:r>
      </w:smartTag>
      <w:r w:rsidRPr="00901AFD">
        <w:rPr>
          <w:rFonts w:ascii="Papyrus" w:hAnsi="Papyrus"/>
          <w:sz w:val="20"/>
          <w:szCs w:val="20"/>
        </w:rPr>
        <w:t xml:space="preserve"> 2130 A-B/1995 </w:t>
      </w:r>
    </w:p>
    <w:p w:rsidR="007B18D3" w:rsidRPr="00901AFD" w:rsidRDefault="007B18D3" w:rsidP="000F733A">
      <w:pPr>
        <w:jc w:val="both"/>
        <w:rPr>
          <w:rFonts w:ascii="Papyrus" w:hAnsi="Papyrus"/>
          <w:sz w:val="20"/>
          <w:szCs w:val="20"/>
        </w:rPr>
      </w:pPr>
    </w:p>
    <w:p w:rsidR="007B18D3" w:rsidRPr="00901AFD" w:rsidRDefault="007B18D3" w:rsidP="000F733A">
      <w:pPr>
        <w:jc w:val="both"/>
        <w:rPr>
          <w:rFonts w:ascii="Papyrus" w:hAnsi="Papyrus"/>
          <w:sz w:val="20"/>
          <w:szCs w:val="20"/>
        </w:rPr>
      </w:pPr>
    </w:p>
    <w:sectPr w:rsidR="007B18D3" w:rsidRPr="00901AFD" w:rsidSect="00762B4B">
      <w:pgSz w:w="12240" w:h="15840" w:code="1"/>
      <w:pgMar w:top="1440" w:right="1797" w:bottom="1440" w:left="179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Papyrus">
    <w:panose1 w:val="03070502060502030205"/>
    <w:charset w:val="00"/>
    <w:family w:val="script"/>
    <w:pitch w:val="variable"/>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Times">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0C3C30"/>
    <w:multiLevelType w:val="hybridMultilevel"/>
    <w:tmpl w:val="176838B4"/>
    <w:lvl w:ilvl="0" w:tplc="0409000F">
      <w:start w:val="1"/>
      <w:numFmt w:val="decimal"/>
      <w:lvlText w:val="%1."/>
      <w:lvlJc w:val="left"/>
      <w:pPr>
        <w:tabs>
          <w:tab w:val="num" w:pos="720"/>
        </w:tabs>
        <w:ind w:left="720" w:hanging="360"/>
      </w:pPr>
    </w:lvl>
    <w:lvl w:ilvl="1" w:tplc="C4DCE746">
      <w:numFmt w:val="bullet"/>
      <w:lvlText w:val="-"/>
      <w:lvlJc w:val="left"/>
      <w:pPr>
        <w:tabs>
          <w:tab w:val="num" w:pos="1605"/>
        </w:tabs>
        <w:ind w:left="1605" w:hanging="525"/>
      </w:pPr>
      <w:rPr>
        <w:rFonts w:ascii="Papyrus" w:eastAsia="Times New Roman" w:hAnsi="Papyrus"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stylePaneFormatFilter w:val="3F01"/>
  <w:defaultTabStop w:val="720"/>
  <w:drawingGridHorizontalSpacing w:val="120"/>
  <w:displayHorizontalDrawingGridEvery w:val="2"/>
  <w:displayVerticalDrawingGridEvery w:val="2"/>
  <w:characterSpacingControl w:val="doNotCompress"/>
  <w:compat/>
  <w:rsids>
    <w:rsidRoot w:val="00166495"/>
    <w:rsid w:val="000145DB"/>
    <w:rsid w:val="000617A6"/>
    <w:rsid w:val="000F38C3"/>
    <w:rsid w:val="000F733A"/>
    <w:rsid w:val="00105603"/>
    <w:rsid w:val="00166495"/>
    <w:rsid w:val="001B7634"/>
    <w:rsid w:val="0023368F"/>
    <w:rsid w:val="004147DA"/>
    <w:rsid w:val="004A0AC8"/>
    <w:rsid w:val="00525362"/>
    <w:rsid w:val="005C3CF7"/>
    <w:rsid w:val="006D6469"/>
    <w:rsid w:val="007001B2"/>
    <w:rsid w:val="00762B4B"/>
    <w:rsid w:val="007B18D3"/>
    <w:rsid w:val="007B7C82"/>
    <w:rsid w:val="0080477C"/>
    <w:rsid w:val="00814716"/>
    <w:rsid w:val="008174A2"/>
    <w:rsid w:val="00901AFD"/>
    <w:rsid w:val="0092417E"/>
    <w:rsid w:val="0098676F"/>
    <w:rsid w:val="009B38CF"/>
    <w:rsid w:val="00A41346"/>
    <w:rsid w:val="00B002A2"/>
    <w:rsid w:val="00B01D37"/>
    <w:rsid w:val="00B730E6"/>
    <w:rsid w:val="00BC1EA2"/>
    <w:rsid w:val="00C30D2E"/>
    <w:rsid w:val="00CF4DF2"/>
    <w:rsid w:val="00D62DFF"/>
    <w:rsid w:val="00E20C35"/>
    <w:rsid w:val="00F22328"/>
    <w:rsid w:val="00F60D5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s-EC" w:eastAsia="en-US"/>
    </w:rPr>
  </w:style>
  <w:style w:type="paragraph" w:styleId="Ttulo1">
    <w:name w:val="heading 1"/>
    <w:basedOn w:val="Normal"/>
    <w:qFormat/>
    <w:rsid w:val="00A41346"/>
    <w:pPr>
      <w:spacing w:before="100" w:beforeAutospacing="1" w:after="100" w:afterAutospacing="1"/>
      <w:outlineLvl w:val="0"/>
    </w:pPr>
    <w:rPr>
      <w:rFonts w:ascii="Verdana" w:hAnsi="Verdana"/>
      <w:b/>
      <w:bCs/>
      <w:i/>
      <w:iCs/>
      <w:color w:val="000000"/>
      <w:kern w:val="36"/>
      <w:lang w:val="en-US"/>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character" w:styleId="Hipervnculo">
    <w:name w:val="Hyperlink"/>
    <w:basedOn w:val="Fuentedeprrafopredeter"/>
    <w:rsid w:val="00166495"/>
    <w:rPr>
      <w:color w:val="0000FF"/>
      <w:u w:val="single"/>
    </w:rPr>
  </w:style>
  <w:style w:type="paragraph" w:styleId="NormalWeb">
    <w:name w:val="Normal (Web)"/>
    <w:basedOn w:val="Normal"/>
    <w:rsid w:val="00B002A2"/>
    <w:pPr>
      <w:spacing w:before="100" w:beforeAutospacing="1" w:after="100" w:afterAutospacing="1"/>
    </w:pPr>
    <w:rPr>
      <w:color w:val="000000"/>
      <w:lang w:val="en-US"/>
    </w:rPr>
  </w:style>
  <w:style w:type="character" w:customStyle="1" w:styleId="estilo51">
    <w:name w:val="estilo51"/>
    <w:basedOn w:val="Fuentedeprrafopredeter"/>
    <w:rsid w:val="007B7C82"/>
    <w:rPr>
      <w:sz w:val="28"/>
      <w:szCs w:val="28"/>
    </w:rPr>
  </w:style>
  <w:style w:type="character" w:customStyle="1" w:styleId="estilo61">
    <w:name w:val="estilo61"/>
    <w:basedOn w:val="Fuentedeprrafopredeter"/>
    <w:rsid w:val="007B7C82"/>
    <w:rPr>
      <w:b/>
      <w:bCs/>
      <w:color w:val="FF0000"/>
    </w:rPr>
  </w:style>
  <w:style w:type="character" w:styleId="Textoennegrita">
    <w:name w:val="Strong"/>
    <w:basedOn w:val="Fuentedeprrafopredeter"/>
    <w:qFormat/>
    <w:rsid w:val="007B7C82"/>
    <w:rPr>
      <w:b/>
      <w:bCs/>
    </w:rPr>
  </w:style>
  <w:style w:type="character" w:styleId="nfasis">
    <w:name w:val="Emphasis"/>
    <w:basedOn w:val="Fuentedeprrafopredeter"/>
    <w:qFormat/>
    <w:rsid w:val="007B7C82"/>
    <w:rPr>
      <w:i/>
      <w:iCs/>
    </w:rPr>
  </w:style>
  <w:style w:type="character" w:customStyle="1" w:styleId="estilo11">
    <w:name w:val="estilo11"/>
    <w:basedOn w:val="Fuentedeprrafopredeter"/>
    <w:rsid w:val="007B7C82"/>
    <w:rPr>
      <w:color w:val="000066"/>
      <w:sz w:val="24"/>
      <w:szCs w:val="24"/>
    </w:rPr>
  </w:style>
</w:styles>
</file>

<file path=word/webSettings.xml><?xml version="1.0" encoding="utf-8"?>
<w:webSettings xmlns:r="http://schemas.openxmlformats.org/officeDocument/2006/relationships" xmlns:w="http://schemas.openxmlformats.org/wordprocessingml/2006/main">
  <w:divs>
    <w:div w:id="751122563">
      <w:bodyDiv w:val="1"/>
      <w:marLeft w:val="0"/>
      <w:marRight w:val="0"/>
      <w:marTop w:val="0"/>
      <w:marBottom w:val="0"/>
      <w:divBdr>
        <w:top w:val="none" w:sz="0" w:space="0" w:color="auto"/>
        <w:left w:val="none" w:sz="0" w:space="0" w:color="auto"/>
        <w:bottom w:val="none" w:sz="0" w:space="0" w:color="auto"/>
        <w:right w:val="none" w:sz="0" w:space="0" w:color="auto"/>
      </w:divBdr>
      <w:divsChild>
        <w:div w:id="458496987">
          <w:marLeft w:val="0"/>
          <w:marRight w:val="0"/>
          <w:marTop w:val="0"/>
          <w:marBottom w:val="0"/>
          <w:divBdr>
            <w:top w:val="none" w:sz="0" w:space="0" w:color="auto"/>
            <w:left w:val="none" w:sz="0" w:space="0" w:color="auto"/>
            <w:bottom w:val="none" w:sz="0" w:space="0" w:color="auto"/>
            <w:right w:val="none" w:sz="0" w:space="0" w:color="auto"/>
          </w:divBdr>
        </w:div>
      </w:divsChild>
    </w:div>
    <w:div w:id="824586904">
      <w:bodyDiv w:val="1"/>
      <w:marLeft w:val="0"/>
      <w:marRight w:val="0"/>
      <w:marTop w:val="0"/>
      <w:marBottom w:val="0"/>
      <w:divBdr>
        <w:top w:val="none" w:sz="0" w:space="0" w:color="auto"/>
        <w:left w:val="none" w:sz="0" w:space="0" w:color="auto"/>
        <w:bottom w:val="none" w:sz="0" w:space="0" w:color="auto"/>
        <w:right w:val="none" w:sz="0" w:space="0" w:color="auto"/>
      </w:divBdr>
    </w:div>
    <w:div w:id="1030448864">
      <w:bodyDiv w:val="1"/>
      <w:marLeft w:val="0"/>
      <w:marRight w:val="0"/>
      <w:marTop w:val="0"/>
      <w:marBottom w:val="0"/>
      <w:divBdr>
        <w:top w:val="none" w:sz="0" w:space="0" w:color="auto"/>
        <w:left w:val="none" w:sz="0" w:space="0" w:color="auto"/>
        <w:bottom w:val="none" w:sz="0" w:space="0" w:color="auto"/>
        <w:right w:val="none" w:sz="0" w:space="0" w:color="auto"/>
      </w:divBdr>
    </w:div>
    <w:div w:id="1221214257">
      <w:bodyDiv w:val="1"/>
      <w:marLeft w:val="0"/>
      <w:marRight w:val="0"/>
      <w:marTop w:val="0"/>
      <w:marBottom w:val="0"/>
      <w:divBdr>
        <w:top w:val="none" w:sz="0" w:space="0" w:color="auto"/>
        <w:left w:val="none" w:sz="0" w:space="0" w:color="auto"/>
        <w:bottom w:val="none" w:sz="0" w:space="0" w:color="auto"/>
        <w:right w:val="none" w:sz="0" w:space="0" w:color="auto"/>
      </w:divBdr>
      <w:divsChild>
        <w:div w:id="1876110998">
          <w:marLeft w:val="0"/>
          <w:marRight w:val="0"/>
          <w:marTop w:val="0"/>
          <w:marBottom w:val="0"/>
          <w:divBdr>
            <w:top w:val="none" w:sz="0" w:space="0" w:color="auto"/>
            <w:left w:val="none" w:sz="0" w:space="0" w:color="auto"/>
            <w:bottom w:val="none" w:sz="0" w:space="0" w:color="auto"/>
            <w:right w:val="none" w:sz="0" w:space="0" w:color="auto"/>
          </w:divBdr>
        </w:div>
      </w:divsChild>
    </w:div>
    <w:div w:id="1301501014">
      <w:bodyDiv w:val="1"/>
      <w:marLeft w:val="0"/>
      <w:marRight w:val="0"/>
      <w:marTop w:val="0"/>
      <w:marBottom w:val="0"/>
      <w:divBdr>
        <w:top w:val="none" w:sz="0" w:space="0" w:color="auto"/>
        <w:left w:val="none" w:sz="0" w:space="0" w:color="auto"/>
        <w:bottom w:val="none" w:sz="0" w:space="0" w:color="auto"/>
        <w:right w:val="none" w:sz="0" w:space="0" w:color="auto"/>
      </w:divBdr>
    </w:div>
    <w:div w:id="1710565119">
      <w:bodyDiv w:val="1"/>
      <w:marLeft w:val="0"/>
      <w:marRight w:val="0"/>
      <w:marTop w:val="0"/>
      <w:marBottom w:val="0"/>
      <w:divBdr>
        <w:top w:val="none" w:sz="0" w:space="0" w:color="auto"/>
        <w:left w:val="none" w:sz="0" w:space="0" w:color="auto"/>
        <w:bottom w:val="none" w:sz="0" w:space="0" w:color="auto"/>
        <w:right w:val="none" w:sz="0" w:space="0" w:color="auto"/>
      </w:divBdr>
    </w:div>
    <w:div w:id="1881357164">
      <w:bodyDiv w:val="1"/>
      <w:marLeft w:val="0"/>
      <w:marRight w:val="0"/>
      <w:marTop w:val="0"/>
      <w:marBottom w:val="0"/>
      <w:divBdr>
        <w:top w:val="none" w:sz="0" w:space="0" w:color="auto"/>
        <w:left w:val="none" w:sz="0" w:space="0" w:color="auto"/>
        <w:bottom w:val="none" w:sz="0" w:space="0" w:color="auto"/>
        <w:right w:val="none" w:sz="0" w:space="0" w:color="auto"/>
      </w:divBdr>
      <w:divsChild>
        <w:div w:id="7275375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http://tbn0.google.com/images?q=tbn:zaY3v89P1ILi1M:http://www.aguatec.com.mx/images/productos/industriales_img_211.jpg" TargetMode="External"/><Relationship Id="rId12" Type="http://schemas.openxmlformats.org/officeDocument/2006/relationships/hyperlink" Target="http://www.lenntech.com/espanol/Turbidez.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http://www.aguamarket.com/sql/productos/fotos/turbidimetross.bmp" TargetMode="External"/><Relationship Id="rId5" Type="http://schemas.openxmlformats.org/officeDocument/2006/relationships/hyperlink" Target="http://images.google.com.ec/imgres?imgurl=http://www.aguatec.com.mx/images/productos/industriales_img_211.jpg&amp;imgrefurl=http://www.aguatec.com.mx/domesticos01.htm&amp;h=205&amp;w=250&amp;sz=5&amp;hl=es&amp;start=17&amp;um=1&amp;tbnid=zaY3v89P1ILi1M:&amp;tbnh=91&amp;tbnw=111&amp;prev=/images%3Fq%3Dturbiedad%2B%252B%2Bagua%26svnum%3D10%26um%3D1%26hl%3Des%26sa%3DN" TargetMode="Externa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hyperlink" Target="http://www.aguamarket.com/sql/cotizaciones/ForCot.asp?nombrePro=Turbidimetro%20Portatil&amp;idproducto=1012"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1462</Words>
  <Characters>8043</Characters>
  <Application>Microsoft Office Word</Application>
  <DocSecurity>0</DocSecurity>
  <Lines>67</Lines>
  <Paragraphs>18</Paragraphs>
  <ScaleCrop>false</ScaleCrop>
  <HeadingPairs>
    <vt:vector size="2" baseType="variant">
      <vt:variant>
        <vt:lpstr>Título</vt:lpstr>
      </vt:variant>
      <vt:variant>
        <vt:i4>1</vt:i4>
      </vt:variant>
    </vt:vector>
  </HeadingPairs>
  <TitlesOfParts>
    <vt:vector size="1" baseType="lpstr">
      <vt:lpstr>Investigación: </vt:lpstr>
    </vt:vector>
  </TitlesOfParts>
  <Company>ICM - ESPOL</Company>
  <LinksUpToDate>false</LinksUpToDate>
  <CharactersWithSpaces>9487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Investigación: </dc:title>
  <dc:subject/>
  <dc:creator>aeicm</dc:creator>
  <cp:keywords/>
  <dc:description/>
  <cp:lastModifiedBy>Administrador</cp:lastModifiedBy>
  <cp:revision>2</cp:revision>
  <dcterms:created xsi:type="dcterms:W3CDTF">2009-07-27T19:45:00Z</dcterms:created>
  <dcterms:modified xsi:type="dcterms:W3CDTF">2009-07-27T19:45:00Z</dcterms:modified>
</cp:coreProperties>
</file>