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2FF" w:rsidRDefault="002E32FF">
      <w:pPr>
        <w:jc w:val="center"/>
        <w:rPr>
          <w:b/>
          <w:shadow/>
          <w:spacing w:val="10"/>
          <w:sz w:val="32"/>
        </w:rPr>
      </w:pPr>
      <w:r>
        <w:rPr>
          <w:b/>
          <w:shadow/>
          <w:spacing w:val="10"/>
          <w:sz w:val="32"/>
        </w:rPr>
        <w:t>ESCUELA SUPERIOR POLITÉCNICA DEL LITORAL</w:t>
      </w:r>
    </w:p>
    <w:p w:rsidR="002E32FF" w:rsidRDefault="002E32FF">
      <w:pPr>
        <w:jc w:val="center"/>
      </w:pPr>
    </w:p>
    <w:p w:rsidR="002E32FF" w:rsidRDefault="002E32FF">
      <w:pPr>
        <w:jc w:val="center"/>
        <w:rPr>
          <w:b/>
          <w:sz w:val="28"/>
        </w:rPr>
      </w:pPr>
    </w:p>
    <w:p w:rsidR="002E32FF" w:rsidRDefault="002E32FF">
      <w:pPr>
        <w:jc w:val="center"/>
        <w:rPr>
          <w:b/>
          <w:sz w:val="28"/>
        </w:rPr>
      </w:pPr>
      <w:r>
        <w:rPr>
          <w:b/>
          <w:sz w:val="28"/>
        </w:rPr>
        <w:t>FACULTAD DE CIENCIAS HUMANÍSTICAS Y ECONÓMICAS</w:t>
      </w:r>
    </w:p>
    <w:p w:rsidR="002E32FF" w:rsidRDefault="002E32FF">
      <w:pPr>
        <w:jc w:val="center"/>
        <w:rPr>
          <w:b/>
          <w:sz w:val="28"/>
        </w:rPr>
      </w:pPr>
    </w:p>
    <w:p w:rsidR="002E32FF" w:rsidRDefault="002E32FF">
      <w:pPr>
        <w:jc w:val="center"/>
      </w:pPr>
    </w:p>
    <w:p w:rsidR="002E32FF" w:rsidRDefault="005D7CF4">
      <w:r>
        <w:rPr>
          <w:noProof/>
          <w:lang w:eastAsia="es-ES"/>
        </w:rPr>
        <w:drawing>
          <wp:anchor distT="0" distB="0" distL="114300" distR="114300" simplePos="0" relativeHeight="251664896" behindDoc="0" locked="0" layoutInCell="0" allowOverlap="1">
            <wp:simplePos x="0" y="0"/>
            <wp:positionH relativeFrom="column">
              <wp:posOffset>4440555</wp:posOffset>
            </wp:positionH>
            <wp:positionV relativeFrom="paragraph">
              <wp:posOffset>161290</wp:posOffset>
            </wp:positionV>
            <wp:extent cx="762000" cy="812800"/>
            <wp:effectExtent l="19050" t="0" r="0" b="0"/>
            <wp:wrapSquare wrapText="lef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a:stretch>
                      <a:fillRect/>
                    </a:stretch>
                  </pic:blipFill>
                  <pic:spPr bwMode="auto">
                    <a:xfrm>
                      <a:off x="0" y="0"/>
                      <a:ext cx="762000" cy="812800"/>
                    </a:xfrm>
                    <a:prstGeom prst="rect">
                      <a:avLst/>
                    </a:prstGeom>
                    <a:noFill/>
                    <a:ln w="9525">
                      <a:noFill/>
                      <a:miter lim="800000"/>
                      <a:headEnd/>
                      <a:tailEnd/>
                    </a:ln>
                  </pic:spPr>
                </pic:pic>
              </a:graphicData>
            </a:graphic>
          </wp:anchor>
        </w:drawing>
      </w:r>
      <w:r>
        <w:rPr>
          <w:noProof/>
          <w:lang w:eastAsia="es-ES"/>
        </w:rPr>
        <w:drawing>
          <wp:inline distT="0" distB="0" distL="0" distR="0">
            <wp:extent cx="1066800" cy="977900"/>
            <wp:effectExtent l="19050" t="0" r="0" b="0"/>
            <wp:docPr id="1" name="Imagen 1" descr="index_r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_r1_c1"/>
                    <pic:cNvPicPr>
                      <a:picLocks noChangeAspect="1" noChangeArrowheads="1"/>
                    </pic:cNvPicPr>
                  </pic:nvPicPr>
                  <pic:blipFill>
                    <a:blip r:embed="rId8"/>
                    <a:srcRect l="1741" r="75124"/>
                    <a:stretch>
                      <a:fillRect/>
                    </a:stretch>
                  </pic:blipFill>
                  <pic:spPr bwMode="auto">
                    <a:xfrm>
                      <a:off x="0" y="0"/>
                      <a:ext cx="1066800" cy="977900"/>
                    </a:xfrm>
                    <a:prstGeom prst="rect">
                      <a:avLst/>
                    </a:prstGeom>
                    <a:noFill/>
                    <a:ln w="9525">
                      <a:noFill/>
                      <a:miter lim="800000"/>
                      <a:headEnd/>
                      <a:tailEnd/>
                    </a:ln>
                  </pic:spPr>
                </pic:pic>
              </a:graphicData>
            </a:graphic>
          </wp:inline>
        </w:drawing>
      </w:r>
      <w:r w:rsidR="002E32FF">
        <w:br/>
      </w:r>
    </w:p>
    <w:p w:rsidR="002E32FF" w:rsidRDefault="002E32FF"/>
    <w:p w:rsidR="002E32FF" w:rsidRDefault="002E32FF">
      <w:pPr>
        <w:jc w:val="center"/>
      </w:pPr>
    </w:p>
    <w:p w:rsidR="002E32FF" w:rsidRDefault="002E32FF">
      <w:pPr>
        <w:jc w:val="center"/>
        <w:rPr>
          <w:b/>
          <w:sz w:val="32"/>
        </w:rPr>
      </w:pPr>
      <w:r>
        <w:rPr>
          <w:b/>
          <w:sz w:val="32"/>
        </w:rPr>
        <w:t>Tesis de Grado</w:t>
      </w:r>
    </w:p>
    <w:p w:rsidR="002E32FF" w:rsidRDefault="002E32FF">
      <w:pPr>
        <w:jc w:val="center"/>
        <w:rPr>
          <w:b/>
          <w:sz w:val="32"/>
        </w:rPr>
      </w:pPr>
    </w:p>
    <w:p w:rsidR="002E32FF" w:rsidRDefault="002E32FF">
      <w:pPr>
        <w:jc w:val="center"/>
        <w:rPr>
          <w:b/>
          <w:sz w:val="32"/>
        </w:rPr>
      </w:pPr>
      <w:r>
        <w:rPr>
          <w:b/>
          <w:sz w:val="32"/>
        </w:rPr>
        <w:t>Previa la obtención del título de:</w:t>
      </w:r>
    </w:p>
    <w:p w:rsidR="002E32FF" w:rsidRDefault="002E32FF">
      <w:pPr>
        <w:jc w:val="center"/>
        <w:rPr>
          <w:b/>
          <w:sz w:val="32"/>
        </w:rPr>
      </w:pPr>
    </w:p>
    <w:p w:rsidR="002E32FF" w:rsidRDefault="002E32FF">
      <w:pPr>
        <w:jc w:val="center"/>
        <w:rPr>
          <w:b/>
          <w:sz w:val="32"/>
        </w:rPr>
      </w:pPr>
      <w:r>
        <w:rPr>
          <w:b/>
          <w:sz w:val="32"/>
        </w:rPr>
        <w:t>ECONOMÍA Y GESTIÓN EMPRESARIAL FINANZAS</w:t>
      </w:r>
    </w:p>
    <w:p w:rsidR="002E32FF" w:rsidRDefault="002E32FF">
      <w:pPr>
        <w:jc w:val="center"/>
        <w:rPr>
          <w:b/>
          <w:sz w:val="32"/>
        </w:rPr>
      </w:pPr>
    </w:p>
    <w:p w:rsidR="002E32FF" w:rsidRDefault="002E32FF">
      <w:pPr>
        <w:jc w:val="center"/>
      </w:pPr>
    </w:p>
    <w:p w:rsidR="002E32FF" w:rsidRDefault="002E32FF">
      <w:pPr>
        <w:jc w:val="center"/>
      </w:pPr>
    </w:p>
    <w:p w:rsidR="002E32FF" w:rsidRDefault="002E32FF">
      <w:pPr>
        <w:jc w:val="center"/>
      </w:pPr>
    </w:p>
    <w:p w:rsidR="002E32FF" w:rsidRDefault="002E32FF">
      <w:pPr>
        <w:jc w:val="center"/>
        <w:rPr>
          <w:b/>
          <w:sz w:val="36"/>
          <w:u w:val="single"/>
        </w:rPr>
      </w:pPr>
      <w:r>
        <w:rPr>
          <w:b/>
          <w:sz w:val="36"/>
          <w:u w:val="single"/>
        </w:rPr>
        <w:t>Tema:</w:t>
      </w:r>
    </w:p>
    <w:p w:rsidR="002E32FF" w:rsidRDefault="002E32FF">
      <w:pPr>
        <w:jc w:val="center"/>
        <w:rPr>
          <w:b/>
          <w:sz w:val="36"/>
          <w:u w:val="single"/>
        </w:rPr>
      </w:pPr>
    </w:p>
    <w:p w:rsidR="002E32FF" w:rsidRDefault="002E32FF">
      <w:pPr>
        <w:spacing w:line="360" w:lineRule="auto"/>
        <w:jc w:val="center"/>
        <w:rPr>
          <w:b/>
          <w:sz w:val="36"/>
        </w:rPr>
      </w:pPr>
      <w:r>
        <w:rPr>
          <w:b/>
          <w:sz w:val="36"/>
        </w:rPr>
        <w:t>¨Transacción Bursátil basada en reglas técnicas simples y modelos ARIMA: Evidencia en el Ecuador¨</w:t>
      </w:r>
    </w:p>
    <w:p w:rsidR="002E32FF" w:rsidRDefault="002E32FF">
      <w:pPr>
        <w:jc w:val="center"/>
        <w:rPr>
          <w:b/>
          <w:sz w:val="28"/>
        </w:rPr>
      </w:pPr>
    </w:p>
    <w:p w:rsidR="002E32FF" w:rsidRDefault="002E32FF">
      <w:pPr>
        <w:jc w:val="center"/>
        <w:rPr>
          <w:b/>
          <w:sz w:val="28"/>
        </w:rPr>
      </w:pPr>
    </w:p>
    <w:p w:rsidR="002E32FF" w:rsidRDefault="002E32FF">
      <w:pPr>
        <w:rPr>
          <w:b/>
          <w:sz w:val="28"/>
        </w:rPr>
      </w:pPr>
    </w:p>
    <w:p w:rsidR="002E32FF" w:rsidRDefault="002E32FF">
      <w:pPr>
        <w:jc w:val="center"/>
        <w:rPr>
          <w:b/>
          <w:sz w:val="32"/>
          <w:u w:val="single"/>
        </w:rPr>
      </w:pPr>
      <w:r>
        <w:rPr>
          <w:b/>
          <w:sz w:val="32"/>
          <w:u w:val="single"/>
        </w:rPr>
        <w:t>Presentado por:</w:t>
      </w:r>
    </w:p>
    <w:p w:rsidR="002E32FF" w:rsidRDefault="002E32FF">
      <w:pPr>
        <w:jc w:val="center"/>
        <w:rPr>
          <w:b/>
          <w:sz w:val="32"/>
          <w:u w:val="single"/>
        </w:rPr>
      </w:pPr>
    </w:p>
    <w:p w:rsidR="002E32FF" w:rsidRDefault="002E32FF">
      <w:pPr>
        <w:jc w:val="center"/>
        <w:rPr>
          <w:b/>
          <w:sz w:val="32"/>
        </w:rPr>
      </w:pPr>
      <w:r>
        <w:rPr>
          <w:b/>
          <w:sz w:val="32"/>
        </w:rPr>
        <w:t>María Alexandra Moscoso Alvarado</w:t>
      </w:r>
    </w:p>
    <w:p w:rsidR="002E32FF" w:rsidRDefault="002E32FF">
      <w:pPr>
        <w:jc w:val="center"/>
        <w:rPr>
          <w:b/>
          <w:sz w:val="28"/>
        </w:rPr>
      </w:pPr>
    </w:p>
    <w:p w:rsidR="002E32FF" w:rsidRDefault="002E32FF">
      <w:pPr>
        <w:jc w:val="center"/>
        <w:rPr>
          <w:b/>
          <w:sz w:val="28"/>
        </w:rPr>
      </w:pPr>
    </w:p>
    <w:p w:rsidR="002E32FF" w:rsidRDefault="002E32FF">
      <w:pPr>
        <w:jc w:val="center"/>
        <w:rPr>
          <w:b/>
          <w:sz w:val="32"/>
        </w:rPr>
      </w:pPr>
      <w:r>
        <w:rPr>
          <w:b/>
          <w:sz w:val="32"/>
        </w:rPr>
        <w:t>Guayaquil - Ecuador</w:t>
      </w:r>
    </w:p>
    <w:p w:rsidR="002E32FF" w:rsidRDefault="002E32FF">
      <w:pPr>
        <w:jc w:val="center"/>
        <w:rPr>
          <w:b/>
          <w:sz w:val="28"/>
        </w:rPr>
      </w:pPr>
      <w:r>
        <w:rPr>
          <w:b/>
          <w:sz w:val="28"/>
        </w:rPr>
        <w:t>2007-2008</w:t>
      </w: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center"/>
        <w:rPr>
          <w:b/>
          <w:sz w:val="28"/>
        </w:rPr>
      </w:pPr>
    </w:p>
    <w:p w:rsidR="002E32FF" w:rsidRDefault="002E32FF">
      <w:pPr>
        <w:jc w:val="right"/>
        <w:rPr>
          <w:b/>
          <w:sz w:val="28"/>
        </w:rPr>
      </w:pPr>
    </w:p>
    <w:p w:rsidR="002E32FF" w:rsidRDefault="002E32FF">
      <w:pPr>
        <w:pStyle w:val="Ttulo1"/>
        <w:spacing w:line="480" w:lineRule="auto"/>
        <w:rPr>
          <w:rFonts w:ascii="Arial" w:hAnsi="Arial"/>
          <w:i/>
        </w:rPr>
      </w:pPr>
      <w:r>
        <w:rPr>
          <w:rFonts w:ascii="Arial" w:hAnsi="Arial"/>
          <w:i/>
        </w:rPr>
        <w:t>A DIOS por haberme dado</w:t>
      </w:r>
    </w:p>
    <w:p w:rsidR="002E32FF" w:rsidRDefault="002E32FF">
      <w:pPr>
        <w:spacing w:line="480" w:lineRule="auto"/>
        <w:jc w:val="right"/>
        <w:rPr>
          <w:rFonts w:ascii="Arial" w:hAnsi="Arial"/>
          <w:b/>
          <w:i/>
          <w:sz w:val="28"/>
        </w:rPr>
      </w:pPr>
      <w:r>
        <w:rPr>
          <w:rFonts w:ascii="Arial" w:hAnsi="Arial"/>
          <w:b/>
          <w:i/>
          <w:sz w:val="28"/>
        </w:rPr>
        <w:t>la fortaleza.</w:t>
      </w:r>
    </w:p>
    <w:p w:rsidR="002E32FF" w:rsidRDefault="002E32FF">
      <w:pPr>
        <w:spacing w:line="480" w:lineRule="auto"/>
        <w:jc w:val="right"/>
        <w:rPr>
          <w:rFonts w:ascii="Arial" w:hAnsi="Arial"/>
          <w:b/>
          <w:i/>
          <w:sz w:val="28"/>
        </w:rPr>
      </w:pPr>
    </w:p>
    <w:p w:rsidR="002E32FF" w:rsidRDefault="002E32FF">
      <w:pPr>
        <w:spacing w:line="480" w:lineRule="auto"/>
        <w:jc w:val="right"/>
        <w:rPr>
          <w:rFonts w:ascii="Arial" w:hAnsi="Arial"/>
          <w:b/>
          <w:i/>
          <w:sz w:val="28"/>
        </w:rPr>
      </w:pPr>
      <w:r>
        <w:rPr>
          <w:rFonts w:ascii="Arial" w:hAnsi="Arial"/>
          <w:b/>
          <w:i/>
          <w:sz w:val="28"/>
        </w:rPr>
        <w:t>A mis Padres quienes me</w:t>
      </w:r>
    </w:p>
    <w:p w:rsidR="002E32FF" w:rsidRDefault="002E32FF">
      <w:pPr>
        <w:spacing w:line="480" w:lineRule="auto"/>
        <w:jc w:val="right"/>
        <w:rPr>
          <w:rFonts w:ascii="Arial" w:hAnsi="Arial"/>
          <w:b/>
          <w:i/>
          <w:sz w:val="28"/>
        </w:rPr>
      </w:pPr>
      <w:r>
        <w:rPr>
          <w:rFonts w:ascii="Arial" w:hAnsi="Arial"/>
          <w:b/>
          <w:i/>
          <w:sz w:val="28"/>
        </w:rPr>
        <w:t>apoyaron en todo momento.</w:t>
      </w: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center"/>
        <w:rPr>
          <w:b/>
          <w:i/>
          <w:sz w:val="28"/>
        </w:rPr>
      </w:pPr>
    </w:p>
    <w:p w:rsidR="002E32FF" w:rsidRDefault="002E32FF">
      <w:pPr>
        <w:spacing w:line="480" w:lineRule="auto"/>
        <w:jc w:val="right"/>
        <w:rPr>
          <w:b/>
          <w:i/>
          <w:sz w:val="28"/>
        </w:rPr>
      </w:pPr>
      <w:r>
        <w:rPr>
          <w:b/>
          <w:i/>
          <w:sz w:val="28"/>
        </w:rPr>
        <w:t>Agradezco a Dios, porque sin el nada</w:t>
      </w:r>
    </w:p>
    <w:p w:rsidR="002E32FF" w:rsidRDefault="002E32FF">
      <w:pPr>
        <w:spacing w:line="480" w:lineRule="auto"/>
        <w:jc w:val="right"/>
        <w:rPr>
          <w:b/>
          <w:i/>
          <w:sz w:val="28"/>
        </w:rPr>
      </w:pPr>
      <w:r>
        <w:rPr>
          <w:b/>
          <w:i/>
          <w:sz w:val="28"/>
        </w:rPr>
        <w:t>de esto hubiera sido posible.</w:t>
      </w:r>
    </w:p>
    <w:p w:rsidR="002E32FF" w:rsidRDefault="002E32FF">
      <w:pPr>
        <w:spacing w:line="480" w:lineRule="auto"/>
        <w:jc w:val="right"/>
        <w:rPr>
          <w:b/>
          <w:i/>
          <w:sz w:val="28"/>
        </w:rPr>
      </w:pPr>
    </w:p>
    <w:p w:rsidR="002E32FF" w:rsidRDefault="002E32FF">
      <w:pPr>
        <w:spacing w:line="480" w:lineRule="auto"/>
        <w:jc w:val="right"/>
        <w:rPr>
          <w:b/>
          <w:i/>
          <w:sz w:val="28"/>
        </w:rPr>
      </w:pPr>
      <w:r>
        <w:rPr>
          <w:b/>
          <w:i/>
          <w:sz w:val="28"/>
        </w:rPr>
        <w:t>Agradezco a mis padres por sus</w:t>
      </w:r>
    </w:p>
    <w:p w:rsidR="002E32FF" w:rsidRDefault="002E32FF">
      <w:pPr>
        <w:spacing w:line="480" w:lineRule="auto"/>
        <w:jc w:val="right"/>
        <w:rPr>
          <w:b/>
          <w:i/>
          <w:sz w:val="28"/>
        </w:rPr>
      </w:pPr>
      <w:r>
        <w:rPr>
          <w:b/>
          <w:i/>
          <w:sz w:val="28"/>
        </w:rPr>
        <w:t>Enseñanzas.</w:t>
      </w:r>
    </w:p>
    <w:p w:rsidR="002E32FF" w:rsidRDefault="002E32FF">
      <w:pPr>
        <w:spacing w:line="480" w:lineRule="auto"/>
        <w:jc w:val="right"/>
        <w:rPr>
          <w:b/>
          <w:i/>
          <w:sz w:val="28"/>
        </w:rPr>
      </w:pPr>
    </w:p>
    <w:p w:rsidR="002E32FF" w:rsidRDefault="002E32FF">
      <w:pPr>
        <w:spacing w:line="480" w:lineRule="auto"/>
        <w:jc w:val="right"/>
        <w:rPr>
          <w:b/>
          <w:i/>
          <w:sz w:val="28"/>
        </w:rPr>
      </w:pPr>
      <w:r>
        <w:rPr>
          <w:b/>
          <w:i/>
          <w:sz w:val="28"/>
        </w:rPr>
        <w:t>A mi director por guiarme en la</w:t>
      </w:r>
    </w:p>
    <w:p w:rsidR="002E32FF" w:rsidRDefault="002E32FF">
      <w:pPr>
        <w:spacing w:line="480" w:lineRule="auto"/>
        <w:jc w:val="right"/>
        <w:rPr>
          <w:b/>
          <w:i/>
          <w:sz w:val="28"/>
        </w:rPr>
      </w:pPr>
      <w:r>
        <w:rPr>
          <w:b/>
          <w:i/>
          <w:sz w:val="28"/>
        </w:rPr>
        <w:t>elaboración de esta tesis.</w:t>
      </w: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b/>
          <w:i/>
          <w:sz w:val="28"/>
        </w:rPr>
      </w:pPr>
    </w:p>
    <w:p w:rsidR="002E32FF" w:rsidRDefault="002E32FF">
      <w:pPr>
        <w:jc w:val="center"/>
        <w:rPr>
          <w:rFonts w:ascii="Arial" w:hAnsi="Arial"/>
          <w:b/>
          <w:sz w:val="36"/>
        </w:rPr>
      </w:pPr>
      <w:r>
        <w:rPr>
          <w:rFonts w:ascii="Arial" w:hAnsi="Arial"/>
          <w:b/>
          <w:sz w:val="36"/>
        </w:rPr>
        <w:t>TRIBUNAL DE GRADUACIÓN</w:t>
      </w:r>
    </w:p>
    <w:p w:rsidR="002E32FF" w:rsidRDefault="002E32FF">
      <w:pPr>
        <w:jc w:val="center"/>
        <w:rPr>
          <w:b/>
          <w:sz w:val="32"/>
        </w:rPr>
      </w:pPr>
    </w:p>
    <w:p w:rsidR="002E32FF" w:rsidRDefault="002E32FF">
      <w:pPr>
        <w:jc w:val="center"/>
        <w:rPr>
          <w:b/>
          <w:sz w:val="32"/>
        </w:rPr>
      </w:pPr>
    </w:p>
    <w:p w:rsidR="002E32FF" w:rsidRDefault="002E32FF">
      <w:pPr>
        <w:jc w:val="center"/>
        <w:rPr>
          <w:b/>
          <w:sz w:val="32"/>
        </w:rPr>
      </w:pPr>
    </w:p>
    <w:p w:rsidR="002E32FF" w:rsidRDefault="002E32FF">
      <w:pPr>
        <w:rPr>
          <w:b/>
          <w:sz w:val="32"/>
        </w:rPr>
      </w:pPr>
    </w:p>
    <w:p w:rsidR="002E32FF" w:rsidRDefault="002E32FF">
      <w:pPr>
        <w:jc w:val="center"/>
        <w:rPr>
          <w:b/>
          <w:sz w:val="32"/>
        </w:rPr>
      </w:pPr>
    </w:p>
    <w:p w:rsidR="002E32FF" w:rsidRDefault="002E32FF">
      <w:pPr>
        <w:jc w:val="center"/>
        <w:rPr>
          <w:b/>
          <w:sz w:val="32"/>
        </w:rPr>
      </w:pPr>
    </w:p>
    <w:p w:rsidR="002E32FF" w:rsidRDefault="002E32FF">
      <w:pPr>
        <w:jc w:val="center"/>
        <w:rPr>
          <w:rFonts w:ascii="Arial" w:hAnsi="Arial"/>
          <w:b/>
          <w:sz w:val="32"/>
        </w:rPr>
      </w:pPr>
      <w:r>
        <w:rPr>
          <w:rFonts w:ascii="Arial" w:hAnsi="Arial"/>
          <w:b/>
          <w:noProof/>
          <w:sz w:val="32"/>
        </w:rPr>
        <w:pict>
          <v:line id="_x0000_s1065" style="position:absolute;left:0;text-align:left;z-index:251657728" from="99pt,0" to="334.05pt,0" o:allowincell="f"/>
        </w:pict>
      </w:r>
      <w:r>
        <w:rPr>
          <w:rFonts w:ascii="Arial" w:hAnsi="Arial"/>
          <w:b/>
          <w:sz w:val="32"/>
        </w:rPr>
        <w:t>Ing. Oscar Mendoza Macías, Decano</w:t>
      </w:r>
    </w:p>
    <w:p w:rsidR="002E32FF" w:rsidRDefault="002E32FF">
      <w:pPr>
        <w:jc w:val="center"/>
        <w:rPr>
          <w:rFonts w:ascii="Arial" w:hAnsi="Arial"/>
          <w:b/>
          <w:sz w:val="32"/>
        </w:rPr>
      </w:pPr>
      <w:r>
        <w:rPr>
          <w:rFonts w:ascii="Arial" w:hAnsi="Arial"/>
          <w:b/>
          <w:sz w:val="32"/>
        </w:rPr>
        <w:t>PRESIDENTE</w:t>
      </w:r>
    </w:p>
    <w:p w:rsidR="002E32FF" w:rsidRDefault="002E32FF">
      <w:pPr>
        <w:jc w:val="center"/>
        <w:rPr>
          <w:b/>
          <w:sz w:val="32"/>
        </w:rPr>
      </w:pPr>
    </w:p>
    <w:p w:rsidR="002E32FF" w:rsidRDefault="002E32FF">
      <w:pPr>
        <w:jc w:val="center"/>
        <w:rPr>
          <w:b/>
          <w:sz w:val="32"/>
        </w:rPr>
      </w:pPr>
    </w:p>
    <w:p w:rsidR="002E32FF" w:rsidRDefault="002E32FF">
      <w:pPr>
        <w:jc w:val="center"/>
        <w:rPr>
          <w:b/>
          <w:sz w:val="32"/>
        </w:rPr>
      </w:pPr>
    </w:p>
    <w:p w:rsidR="002E32FF" w:rsidRDefault="002E32FF">
      <w:pPr>
        <w:jc w:val="center"/>
        <w:rPr>
          <w:b/>
          <w:sz w:val="32"/>
        </w:rPr>
      </w:pPr>
    </w:p>
    <w:p w:rsidR="002E32FF" w:rsidRDefault="002E32FF">
      <w:pPr>
        <w:rPr>
          <w:b/>
          <w:sz w:val="32"/>
        </w:rPr>
      </w:pPr>
    </w:p>
    <w:p w:rsidR="002E32FF" w:rsidRDefault="002E32FF">
      <w:pPr>
        <w:tabs>
          <w:tab w:val="center" w:pos="4252"/>
          <w:tab w:val="left" w:pos="6960"/>
        </w:tabs>
        <w:rPr>
          <w:b/>
          <w:sz w:val="32"/>
        </w:rPr>
      </w:pPr>
      <w:r>
        <w:rPr>
          <w:b/>
          <w:sz w:val="32"/>
        </w:rPr>
        <w:tab/>
      </w:r>
      <w:r>
        <w:rPr>
          <w:b/>
          <w:noProof/>
          <w:sz w:val="32"/>
        </w:rPr>
        <w:pict>
          <v:line id="_x0000_s1066" style="position:absolute;z-index:251658752;mso-position-horizontal-relative:text;mso-position-vertical-relative:text" from="108pt,14.85pt" to="343.05pt,14.85pt" o:allowincell="f"/>
        </w:pict>
      </w:r>
      <w:r>
        <w:rPr>
          <w:b/>
          <w:sz w:val="32"/>
        </w:rPr>
        <w:tab/>
      </w:r>
    </w:p>
    <w:p w:rsidR="002E32FF" w:rsidRDefault="002E32FF">
      <w:pPr>
        <w:tabs>
          <w:tab w:val="center" w:pos="4252"/>
          <w:tab w:val="left" w:pos="6960"/>
        </w:tabs>
        <w:jc w:val="center"/>
        <w:rPr>
          <w:rFonts w:ascii="Arial" w:hAnsi="Arial"/>
          <w:b/>
          <w:sz w:val="32"/>
        </w:rPr>
      </w:pPr>
      <w:r>
        <w:rPr>
          <w:rFonts w:ascii="Arial" w:hAnsi="Arial"/>
          <w:b/>
          <w:sz w:val="32"/>
        </w:rPr>
        <w:t>Ec. Washington Macías Rendón</w:t>
      </w:r>
    </w:p>
    <w:p w:rsidR="002E32FF" w:rsidRDefault="002E32FF">
      <w:pPr>
        <w:tabs>
          <w:tab w:val="center" w:pos="4252"/>
          <w:tab w:val="left" w:pos="6960"/>
        </w:tabs>
        <w:jc w:val="center"/>
        <w:rPr>
          <w:rFonts w:ascii="Arial" w:hAnsi="Arial"/>
          <w:b/>
          <w:sz w:val="32"/>
        </w:rPr>
      </w:pPr>
      <w:r>
        <w:rPr>
          <w:rFonts w:ascii="Arial" w:hAnsi="Arial"/>
          <w:b/>
          <w:sz w:val="32"/>
        </w:rPr>
        <w:t>DIRECTOR DE TESIS</w:t>
      </w:r>
    </w:p>
    <w:p w:rsidR="002E32FF" w:rsidRDefault="002E32FF">
      <w:pPr>
        <w:tabs>
          <w:tab w:val="center" w:pos="4252"/>
          <w:tab w:val="left" w:pos="6960"/>
        </w:tabs>
        <w:jc w:val="center"/>
        <w:rPr>
          <w:rFonts w:ascii="Arial" w:hAnsi="Arial"/>
          <w:b/>
          <w:sz w:val="32"/>
        </w:rPr>
      </w:pPr>
    </w:p>
    <w:p w:rsidR="002E32FF" w:rsidRDefault="002E32FF">
      <w:pPr>
        <w:tabs>
          <w:tab w:val="center" w:pos="4252"/>
          <w:tab w:val="left" w:pos="6960"/>
        </w:tabs>
        <w:jc w:val="center"/>
        <w:rPr>
          <w:b/>
          <w:sz w:val="32"/>
        </w:rPr>
      </w:pPr>
    </w:p>
    <w:p w:rsidR="002E32FF" w:rsidRDefault="002E32FF">
      <w:pPr>
        <w:tabs>
          <w:tab w:val="center" w:pos="4252"/>
          <w:tab w:val="left" w:pos="6960"/>
        </w:tabs>
        <w:jc w:val="center"/>
        <w:rPr>
          <w:b/>
          <w:sz w:val="32"/>
        </w:rPr>
      </w:pPr>
    </w:p>
    <w:p w:rsidR="002E32FF" w:rsidRDefault="002E32FF">
      <w:pPr>
        <w:tabs>
          <w:tab w:val="center" w:pos="4252"/>
          <w:tab w:val="left" w:pos="6960"/>
        </w:tabs>
        <w:rPr>
          <w:b/>
          <w:sz w:val="32"/>
        </w:rPr>
      </w:pPr>
    </w:p>
    <w:p w:rsidR="002E32FF" w:rsidRDefault="002E32FF">
      <w:pPr>
        <w:tabs>
          <w:tab w:val="center" w:pos="4252"/>
          <w:tab w:val="left" w:pos="6960"/>
        </w:tabs>
        <w:jc w:val="center"/>
        <w:rPr>
          <w:b/>
          <w:sz w:val="32"/>
        </w:rPr>
      </w:pPr>
    </w:p>
    <w:p w:rsidR="002E32FF" w:rsidRDefault="002E32FF">
      <w:pPr>
        <w:tabs>
          <w:tab w:val="center" w:pos="4252"/>
          <w:tab w:val="left" w:pos="6960"/>
        </w:tabs>
        <w:jc w:val="center"/>
        <w:rPr>
          <w:b/>
          <w:sz w:val="32"/>
        </w:rPr>
      </w:pPr>
      <w:r>
        <w:rPr>
          <w:b/>
          <w:noProof/>
          <w:sz w:val="32"/>
        </w:rPr>
        <w:pict>
          <v:line id="_x0000_s1067" style="position:absolute;left:0;text-align:left;z-index:251659776" from="108pt,11.25pt" to="343.05pt,11.25pt" o:allowincell="f"/>
        </w:pict>
      </w:r>
    </w:p>
    <w:p w:rsidR="002E32FF" w:rsidRDefault="002E32FF">
      <w:pPr>
        <w:jc w:val="center"/>
        <w:rPr>
          <w:rFonts w:ascii="Arial" w:hAnsi="Arial"/>
          <w:b/>
          <w:sz w:val="32"/>
        </w:rPr>
      </w:pPr>
      <w:r>
        <w:rPr>
          <w:rFonts w:ascii="Arial" w:hAnsi="Arial"/>
          <w:b/>
          <w:sz w:val="32"/>
        </w:rPr>
        <w:t>Ec. Mariela Méndez Prado</w:t>
      </w:r>
    </w:p>
    <w:p w:rsidR="002E32FF" w:rsidRDefault="002E32FF">
      <w:pPr>
        <w:jc w:val="center"/>
        <w:rPr>
          <w:rFonts w:ascii="Arial" w:hAnsi="Arial"/>
          <w:b/>
          <w:sz w:val="32"/>
        </w:rPr>
      </w:pPr>
      <w:r>
        <w:rPr>
          <w:rFonts w:ascii="Arial" w:hAnsi="Arial"/>
          <w:b/>
          <w:sz w:val="32"/>
        </w:rPr>
        <w:t>VOCAL PRINCIPAL</w:t>
      </w:r>
    </w:p>
    <w:p w:rsidR="002E32FF" w:rsidRDefault="002E32FF">
      <w:pPr>
        <w:tabs>
          <w:tab w:val="left" w:pos="5360"/>
        </w:tabs>
        <w:rPr>
          <w:b/>
          <w:smallCaps/>
          <w:shadow/>
          <w:sz w:val="32"/>
        </w:rPr>
      </w:pPr>
      <w:r>
        <w:rPr>
          <w:b/>
          <w:smallCaps/>
          <w:shadow/>
          <w:sz w:val="32"/>
        </w:rPr>
        <w:tab/>
      </w:r>
    </w:p>
    <w:p w:rsidR="002E32FF" w:rsidRDefault="002E32FF">
      <w:pPr>
        <w:tabs>
          <w:tab w:val="left" w:pos="5360"/>
        </w:tabs>
        <w:rPr>
          <w:b/>
          <w:smallCaps/>
          <w:shadow/>
          <w:sz w:val="32"/>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rPr>
          <w:b/>
          <w:smallCaps/>
          <w:shadow/>
          <w:sz w:val="32"/>
          <w:u w:val="single"/>
        </w:rPr>
      </w:pPr>
      <w:r>
        <w:rPr>
          <w:b/>
          <w:smallCaps/>
          <w:shadow/>
          <w:noProof/>
          <w:sz w:val="32"/>
          <w:u w:val="single"/>
        </w:rPr>
        <w:pict>
          <v:line id="_x0000_s1068" style="position:absolute;z-index:251660800" from="108pt,16.65pt" to="343.05pt,16.65pt" o:allowincell="f"/>
        </w:pict>
      </w:r>
    </w:p>
    <w:p w:rsidR="002E32FF" w:rsidRDefault="002E32FF">
      <w:pPr>
        <w:jc w:val="center"/>
        <w:rPr>
          <w:rFonts w:ascii="Arial" w:hAnsi="Arial"/>
          <w:b/>
          <w:smallCaps/>
          <w:shadow/>
          <w:sz w:val="32"/>
        </w:rPr>
      </w:pPr>
      <w:r>
        <w:rPr>
          <w:rFonts w:ascii="Arial" w:hAnsi="Arial"/>
          <w:b/>
          <w:smallCaps/>
          <w:shadow/>
          <w:sz w:val="32"/>
        </w:rPr>
        <w:t>Ec. Gustavo Solórzano Andrade</w:t>
      </w:r>
    </w:p>
    <w:p w:rsidR="002E32FF" w:rsidRDefault="002E32FF">
      <w:pPr>
        <w:jc w:val="center"/>
        <w:rPr>
          <w:b/>
          <w:smallCaps/>
          <w:shadow/>
          <w:sz w:val="32"/>
        </w:rPr>
      </w:pPr>
      <w:r>
        <w:rPr>
          <w:rFonts w:ascii="Arial" w:hAnsi="Arial"/>
          <w:b/>
          <w:smallCaps/>
          <w:shadow/>
          <w:sz w:val="32"/>
        </w:rPr>
        <w:t>VOCAL PRINCIPAL</w:t>
      </w: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rPr>
          <w:b/>
          <w:smallCaps/>
          <w:shadow/>
          <w:sz w:val="32"/>
          <w:u w:val="single"/>
        </w:rPr>
      </w:pPr>
    </w:p>
    <w:p w:rsidR="002E32FF" w:rsidRDefault="002E32FF">
      <w:pPr>
        <w:jc w:val="center"/>
        <w:rPr>
          <w:b/>
          <w:smallCaps/>
          <w:shadow/>
          <w:sz w:val="32"/>
          <w:u w:val="single"/>
        </w:rPr>
      </w:pPr>
    </w:p>
    <w:p w:rsidR="002E32FF" w:rsidRDefault="002E32FF">
      <w:pPr>
        <w:jc w:val="center"/>
        <w:rPr>
          <w:rFonts w:ascii="Arial" w:hAnsi="Arial"/>
          <w:b/>
          <w:smallCaps/>
          <w:shadow/>
          <w:sz w:val="36"/>
        </w:rPr>
      </w:pPr>
      <w:r>
        <w:rPr>
          <w:rFonts w:ascii="Arial" w:hAnsi="Arial"/>
          <w:b/>
          <w:smallCaps/>
          <w:shadow/>
          <w:sz w:val="36"/>
        </w:rPr>
        <w:t>DECLARACIÓN EXPRESA</w:t>
      </w:r>
    </w:p>
    <w:p w:rsidR="002E32FF" w:rsidRDefault="002E32FF">
      <w:pPr>
        <w:jc w:val="center"/>
        <w:rPr>
          <w:rFonts w:ascii="Arial" w:hAnsi="Arial"/>
          <w:b/>
          <w:smallCaps/>
          <w:shadow/>
          <w:sz w:val="36"/>
        </w:rPr>
      </w:pPr>
    </w:p>
    <w:p w:rsidR="002E32FF" w:rsidRDefault="002E32FF">
      <w:pPr>
        <w:jc w:val="center"/>
        <w:rPr>
          <w:rFonts w:ascii="Arial" w:hAnsi="Arial"/>
          <w:b/>
          <w:smallCaps/>
          <w:shadow/>
          <w:sz w:val="36"/>
        </w:rPr>
      </w:pPr>
    </w:p>
    <w:p w:rsidR="002E32FF" w:rsidRDefault="002E32FF">
      <w:pPr>
        <w:jc w:val="center"/>
        <w:rPr>
          <w:rFonts w:ascii="Arial" w:hAnsi="Arial"/>
          <w:b/>
          <w:smallCaps/>
          <w:shadow/>
          <w:sz w:val="36"/>
        </w:rPr>
      </w:pPr>
    </w:p>
    <w:p w:rsidR="002E32FF" w:rsidRDefault="002E32FF">
      <w:pPr>
        <w:jc w:val="center"/>
        <w:rPr>
          <w:rFonts w:ascii="Arial" w:hAnsi="Arial"/>
          <w:b/>
          <w:smallCaps/>
          <w:shadow/>
          <w:sz w:val="36"/>
        </w:rPr>
      </w:pPr>
    </w:p>
    <w:p w:rsidR="002E32FF" w:rsidRDefault="002E32FF">
      <w:pPr>
        <w:jc w:val="center"/>
        <w:rPr>
          <w:rFonts w:ascii="Arial" w:hAnsi="Arial"/>
          <w:b/>
          <w:smallCaps/>
          <w:shadow/>
          <w:sz w:val="36"/>
        </w:rPr>
      </w:pPr>
    </w:p>
    <w:p w:rsidR="002E32FF" w:rsidRDefault="002E32FF">
      <w:pPr>
        <w:spacing w:line="480" w:lineRule="auto"/>
        <w:jc w:val="both"/>
        <w:rPr>
          <w:rFonts w:ascii="Arial" w:hAnsi="Arial"/>
          <w:sz w:val="24"/>
        </w:rPr>
      </w:pPr>
      <w:r>
        <w:rPr>
          <w:rFonts w:ascii="Arial" w:hAnsi="Arial"/>
          <w:sz w:val="24"/>
        </w:rPr>
        <w:t xml:space="preserve">¨La responsabilidad del contenido e ideas de esta tesis de grado corresponden exclusivamente a la autora; y el patrimonio intelectual de la misma a </w:t>
      </w:r>
      <w:smartTag w:uri="urn:schemas-microsoft-com:office:smarttags" w:element="PersonName">
        <w:smartTagPr>
          <w:attr w:name="ProductID" w:val="la Escuela Superior"/>
        </w:smartTagPr>
        <w:r>
          <w:rPr>
            <w:rFonts w:ascii="Arial" w:hAnsi="Arial"/>
            <w:sz w:val="24"/>
          </w:rPr>
          <w:t>la Escuela Superior</w:t>
        </w:r>
      </w:smartTag>
      <w:r>
        <w:rPr>
          <w:rFonts w:ascii="Arial" w:hAnsi="Arial"/>
          <w:sz w:val="24"/>
        </w:rPr>
        <w:t xml:space="preserve"> Politécnica del Litoral¨</w:t>
      </w:r>
    </w:p>
    <w:p w:rsidR="002E32FF" w:rsidRDefault="002E32FF">
      <w:pPr>
        <w:jc w:val="center"/>
        <w:rPr>
          <w:rFonts w:ascii="Arial" w:hAnsi="Arial"/>
          <w:b/>
          <w:smallCaps/>
          <w:shadow/>
          <w:sz w:val="36"/>
          <w:u w:val="single"/>
        </w:rPr>
      </w:pPr>
    </w:p>
    <w:p w:rsidR="002E32FF" w:rsidRDefault="002E32FF">
      <w:pPr>
        <w:jc w:val="center"/>
        <w:rPr>
          <w:rFonts w:ascii="Arial" w:hAnsi="Arial"/>
          <w:b/>
          <w:smallCaps/>
          <w:shadow/>
          <w:sz w:val="36"/>
          <w:u w:val="single"/>
        </w:rPr>
      </w:pPr>
    </w:p>
    <w:p w:rsidR="002E32FF" w:rsidRDefault="002E32FF">
      <w:pPr>
        <w:jc w:val="center"/>
        <w:rPr>
          <w:rFonts w:ascii="Arial" w:hAnsi="Arial"/>
          <w:b/>
          <w:smallCaps/>
          <w:shadow/>
          <w:sz w:val="36"/>
          <w:u w:val="single"/>
        </w:rPr>
      </w:pPr>
    </w:p>
    <w:p w:rsidR="002E32FF" w:rsidRDefault="002E32FF">
      <w:pPr>
        <w:jc w:val="center"/>
        <w:rPr>
          <w:rFonts w:ascii="Arial" w:hAnsi="Arial"/>
          <w:b/>
          <w:smallCaps/>
          <w:shadow/>
          <w:sz w:val="36"/>
          <w:u w:val="single"/>
        </w:rPr>
      </w:pPr>
    </w:p>
    <w:p w:rsidR="002E32FF" w:rsidRDefault="002E32FF">
      <w:pPr>
        <w:jc w:val="center"/>
        <w:rPr>
          <w:rFonts w:ascii="Arial" w:hAnsi="Arial"/>
          <w:b/>
          <w:smallCaps/>
          <w:shadow/>
          <w:sz w:val="36"/>
          <w:u w:val="single"/>
        </w:rPr>
      </w:pPr>
    </w:p>
    <w:p w:rsidR="002E32FF" w:rsidRDefault="002E32FF">
      <w:pPr>
        <w:jc w:val="center"/>
        <w:rPr>
          <w:rFonts w:ascii="Arial" w:hAnsi="Arial"/>
          <w:b/>
          <w:smallCaps/>
          <w:shadow/>
          <w:sz w:val="36"/>
          <w:u w:val="single"/>
        </w:rPr>
      </w:pPr>
    </w:p>
    <w:p w:rsidR="002E32FF" w:rsidRDefault="002E32FF">
      <w:pPr>
        <w:jc w:val="center"/>
        <w:rPr>
          <w:rFonts w:ascii="Arial" w:hAnsi="Arial"/>
          <w:b/>
          <w:smallCaps/>
          <w:shadow/>
          <w:sz w:val="36"/>
          <w:u w:val="single"/>
        </w:rPr>
      </w:pPr>
      <w:r>
        <w:rPr>
          <w:rFonts w:ascii="Arial" w:hAnsi="Arial"/>
          <w:b/>
          <w:smallCaps/>
          <w:shadow/>
          <w:noProof/>
          <w:sz w:val="36"/>
          <w:u w:val="single"/>
        </w:rPr>
        <w:pict>
          <v:line id="_x0000_s1071" style="position:absolute;left:0;text-align:left;z-index:251661824" from="81pt,15.95pt" to="333pt,15.95pt" o:allowincell="f"/>
        </w:pict>
      </w:r>
    </w:p>
    <w:p w:rsidR="002E32FF" w:rsidRDefault="002E32FF">
      <w:pPr>
        <w:jc w:val="center"/>
        <w:rPr>
          <w:rFonts w:ascii="Arial" w:hAnsi="Arial"/>
          <w:sz w:val="24"/>
        </w:rPr>
      </w:pPr>
      <w:r>
        <w:rPr>
          <w:rFonts w:ascii="Arial" w:hAnsi="Arial"/>
          <w:sz w:val="24"/>
        </w:rPr>
        <w:t>MARÍA ALEXANDRA MOSCOSO ALVARADO</w:t>
      </w:r>
    </w:p>
    <w:p w:rsidR="002E32FF" w:rsidRDefault="002E32FF">
      <w:pPr>
        <w:jc w:val="center"/>
        <w:rPr>
          <w:rFonts w:ascii="Arial" w:hAnsi="Arial"/>
          <w:b/>
          <w:sz w:val="24"/>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p>
    <w:p w:rsidR="002E32FF" w:rsidRDefault="002E32FF">
      <w:pPr>
        <w:jc w:val="center"/>
        <w:rPr>
          <w:b/>
          <w:smallCaps/>
          <w:shadow/>
          <w:sz w:val="32"/>
          <w:u w:val="single"/>
        </w:rPr>
      </w:pPr>
      <w:r>
        <w:rPr>
          <w:b/>
          <w:smallCaps/>
          <w:shadow/>
          <w:sz w:val="32"/>
          <w:u w:val="single"/>
        </w:rPr>
        <w:t>Tabla de Contenido</w:t>
      </w:r>
    </w:p>
    <w:p w:rsidR="002E32FF" w:rsidRDefault="002E32FF">
      <w:pPr>
        <w:jc w:val="center"/>
        <w:rPr>
          <w:b/>
          <w:smallCaps/>
          <w:shadow/>
          <w:sz w:val="32"/>
          <w:u w:val="single"/>
        </w:rPr>
      </w:pPr>
    </w:p>
    <w:p w:rsidR="002E32FF" w:rsidRDefault="002E32FF">
      <w:pPr>
        <w:jc w:val="both"/>
        <w:rPr>
          <w:b/>
          <w:smallCaps/>
          <w:shadow/>
          <w:sz w:val="32"/>
          <w:u w:val="single"/>
        </w:rPr>
      </w:pPr>
    </w:p>
    <w:p w:rsidR="002E32FF" w:rsidRDefault="002E32FF">
      <w:pPr>
        <w:pStyle w:val="TDC1"/>
      </w:pPr>
      <w:r>
        <w:t>DEDICATORIA………………………………………………………………………I</w:t>
      </w:r>
    </w:p>
    <w:p w:rsidR="002E32FF" w:rsidRDefault="002E32FF">
      <w:pPr>
        <w:rPr>
          <w:rFonts w:ascii="Arial" w:hAnsi="Arial"/>
          <w:b/>
          <w:sz w:val="24"/>
        </w:rPr>
      </w:pPr>
    </w:p>
    <w:p w:rsidR="002E32FF" w:rsidRDefault="002E32FF">
      <w:pPr>
        <w:rPr>
          <w:rFonts w:ascii="Arial" w:hAnsi="Arial"/>
          <w:b/>
          <w:sz w:val="24"/>
        </w:rPr>
      </w:pPr>
      <w:r>
        <w:rPr>
          <w:rFonts w:ascii="Arial" w:hAnsi="Arial"/>
          <w:b/>
          <w:sz w:val="24"/>
        </w:rPr>
        <w:t>AGRADECIMIENTO……………………………………………………………….II</w:t>
      </w:r>
    </w:p>
    <w:p w:rsidR="002E32FF" w:rsidRDefault="002E32FF">
      <w:pPr>
        <w:rPr>
          <w:rFonts w:ascii="Arial" w:hAnsi="Arial"/>
          <w:b/>
          <w:sz w:val="24"/>
        </w:rPr>
      </w:pPr>
    </w:p>
    <w:p w:rsidR="002E32FF" w:rsidRDefault="002E32FF">
      <w:pPr>
        <w:rPr>
          <w:rFonts w:ascii="Arial" w:hAnsi="Arial"/>
          <w:b/>
          <w:sz w:val="24"/>
        </w:rPr>
      </w:pPr>
      <w:r>
        <w:rPr>
          <w:rFonts w:ascii="Arial" w:hAnsi="Arial"/>
          <w:b/>
          <w:sz w:val="24"/>
        </w:rPr>
        <w:t>TRIBUNAL DE GRADUACIÓN………………………………………………….III</w:t>
      </w:r>
    </w:p>
    <w:p w:rsidR="002E32FF" w:rsidRDefault="002E32FF">
      <w:pPr>
        <w:rPr>
          <w:rFonts w:ascii="Arial" w:hAnsi="Arial"/>
          <w:b/>
          <w:sz w:val="24"/>
        </w:rPr>
      </w:pPr>
    </w:p>
    <w:p w:rsidR="002E32FF" w:rsidRDefault="002E32FF">
      <w:pPr>
        <w:rPr>
          <w:rFonts w:ascii="Arial" w:hAnsi="Arial"/>
          <w:b/>
          <w:sz w:val="24"/>
        </w:rPr>
      </w:pPr>
      <w:r>
        <w:rPr>
          <w:rFonts w:ascii="Arial" w:hAnsi="Arial"/>
          <w:b/>
          <w:sz w:val="24"/>
        </w:rPr>
        <w:t>DECLARACIÓN EXPRESA……………………………………………………...IV</w:t>
      </w:r>
    </w:p>
    <w:p w:rsidR="002E32FF" w:rsidRDefault="002E32FF">
      <w:pPr>
        <w:rPr>
          <w:rFonts w:ascii="Arial" w:hAnsi="Arial"/>
          <w:b/>
          <w:sz w:val="24"/>
        </w:rPr>
      </w:pPr>
    </w:p>
    <w:p w:rsidR="002E32FF" w:rsidRDefault="002E32FF">
      <w:pPr>
        <w:rPr>
          <w:rFonts w:ascii="Arial" w:hAnsi="Arial"/>
          <w:b/>
          <w:sz w:val="24"/>
        </w:rPr>
      </w:pPr>
    </w:p>
    <w:p w:rsidR="002E32FF" w:rsidRDefault="002E32FF">
      <w:pPr>
        <w:pStyle w:val="TDC1"/>
        <w:rPr>
          <w:caps/>
        </w:rPr>
      </w:pPr>
      <w:r>
        <w:fldChar w:fldCharType="begin"/>
      </w:r>
      <w:r>
        <w:instrText xml:space="preserve"> TOC \o "1-2" \h \z \t "Title,1" </w:instrText>
      </w:r>
      <w:r>
        <w:fldChar w:fldCharType="separate"/>
      </w:r>
      <w:bookmarkStart w:id="0" w:name="_Hlt170021536"/>
      <w:r>
        <w:t>INTRODUCCIÓN</w:t>
      </w:r>
      <w:bookmarkEnd w:id="0"/>
      <w:r>
        <w:t>…………………………………………………………………...9</w:t>
      </w:r>
    </w:p>
    <w:p w:rsidR="002E32FF" w:rsidRDefault="002E32FF">
      <w:pPr>
        <w:pStyle w:val="TDC1"/>
      </w:pPr>
      <w:r>
        <w:t>CAPÍTULO I. MERCADO BURSÁTIL: ASPECTOS GENERALES................................................................................................13</w:t>
      </w:r>
    </w:p>
    <w:p w:rsidR="002E32FF" w:rsidRDefault="002E32FF">
      <w:pPr>
        <w:pStyle w:val="TDC2"/>
        <w:rPr>
          <w:rStyle w:val="Hipervnculo"/>
          <w:color w:val="000000"/>
          <w:u w:val="none"/>
        </w:rPr>
      </w:pPr>
      <w:r>
        <w:t xml:space="preserve">1.1 </w:t>
      </w:r>
      <w:r>
        <w:tab/>
        <w:t>Definición del</w:t>
      </w:r>
      <w:bookmarkStart w:id="1" w:name="_Hlt170021728"/>
      <w:r>
        <w:t xml:space="preserve"> </w:t>
      </w:r>
      <w:bookmarkEnd w:id="1"/>
      <w:r>
        <w:t>Mercado bursátil</w:t>
      </w:r>
      <w:bookmarkStart w:id="2" w:name="_Hlt170019611"/>
      <w:bookmarkEnd w:id="2"/>
      <w:r>
        <w:t>...........................................................13</w:t>
      </w:r>
    </w:p>
    <w:p w:rsidR="002E32FF" w:rsidRDefault="002E32FF">
      <w:pPr>
        <w:pStyle w:val="TDC2"/>
      </w:pPr>
      <w:r>
        <w:t xml:space="preserve">1.2 </w:t>
      </w:r>
      <w:r>
        <w:tab/>
        <w:t>Antecedentes del Mercado B</w:t>
      </w:r>
      <w:bookmarkStart w:id="3" w:name="_Hlt170021739"/>
      <w:r>
        <w:t>u</w:t>
      </w:r>
      <w:bookmarkEnd w:id="3"/>
      <w:r>
        <w:t>rsátil Ecuatoriano................................13</w:t>
      </w:r>
    </w:p>
    <w:p w:rsidR="002E32FF" w:rsidRDefault="002E32FF">
      <w:pPr>
        <w:pStyle w:val="TDC2"/>
        <w:rPr>
          <w:rStyle w:val="Hipervnculo"/>
          <w:color w:val="000000"/>
          <w:u w:val="none"/>
        </w:rPr>
      </w:pPr>
      <w:r>
        <w:t xml:space="preserve">1.3 </w:t>
      </w:r>
      <w:r>
        <w:tab/>
        <w:t xml:space="preserve">Características del Mercado Bursátil </w:t>
      </w:r>
      <w:bookmarkStart w:id="4" w:name="_Hlt170021561"/>
      <w:bookmarkStart w:id="5" w:name="_Hlt170021570"/>
      <w:bookmarkEnd w:id="5"/>
      <w:r>
        <w:t>E</w:t>
      </w:r>
      <w:bookmarkEnd w:id="4"/>
      <w:r>
        <w:t>c</w:t>
      </w:r>
      <w:bookmarkStart w:id="6" w:name="_Hlt170021585"/>
      <w:r>
        <w:t>u</w:t>
      </w:r>
      <w:bookmarkEnd w:id="6"/>
      <w:r>
        <w:t>at</w:t>
      </w:r>
      <w:bookmarkStart w:id="7" w:name="_Hlt170021574"/>
      <w:r>
        <w:t>o</w:t>
      </w:r>
      <w:bookmarkEnd w:id="7"/>
      <w:r>
        <w:t>riano..............................15</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1.4      Definición de las Bolsas de Valores...................................................16</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1.4.1   Características de la Bolsa de Valores de Guayaquil.........................17</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1.4.2   Características de la Bolsa de Valores de Quito................................17</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1.4.3   Definición de Mercado Primario y Secundario....................................19</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1.4.4   Principales Índices Bursátiles Ecuatorianos.......................................19</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1.5      Organismos Rectores del Mercado de Valores..................................22</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1.5.1   Consejo Nacional de Valores.............................................................22</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1.5.2   Superintendencia de Compañías.......................................................24</w:t>
      </w:r>
    </w:p>
    <w:p w:rsidR="002E32FF" w:rsidRDefault="002E32FF">
      <w:pPr>
        <w:jc w:val="both"/>
        <w:rPr>
          <w:rFonts w:ascii="Arial" w:hAnsi="Arial"/>
          <w:color w:val="000000"/>
          <w:sz w:val="24"/>
        </w:rPr>
      </w:pPr>
    </w:p>
    <w:p w:rsidR="002E32FF" w:rsidRDefault="002E32FF">
      <w:pPr>
        <w:pStyle w:val="TDC1"/>
        <w:rPr>
          <w:rStyle w:val="Hipervnculo"/>
          <w:b w:val="0"/>
          <w:color w:val="000000"/>
          <w:u w:val="none"/>
        </w:rPr>
      </w:pPr>
      <w:r>
        <w:t>CAPÍTULO II. MARCO TEÓRICO................................................................27</w:t>
      </w:r>
    </w:p>
    <w:p w:rsidR="002E32FF" w:rsidRDefault="002E32FF">
      <w:pPr>
        <w:spacing w:line="360" w:lineRule="auto"/>
        <w:jc w:val="both"/>
        <w:rPr>
          <w:rFonts w:ascii="Arial" w:hAnsi="Arial"/>
          <w:sz w:val="24"/>
        </w:rPr>
      </w:pPr>
    </w:p>
    <w:p w:rsidR="002E32FF" w:rsidRDefault="002E32FF">
      <w:pPr>
        <w:spacing w:line="360" w:lineRule="auto"/>
        <w:jc w:val="both"/>
        <w:rPr>
          <w:rFonts w:ascii="Arial" w:hAnsi="Arial"/>
          <w:noProof/>
          <w:color w:val="000000"/>
          <w:sz w:val="24"/>
        </w:rPr>
      </w:pPr>
      <w:r>
        <w:rPr>
          <w:rFonts w:ascii="Arial" w:hAnsi="Arial"/>
          <w:sz w:val="24"/>
        </w:rPr>
        <w:t>2.1      Mercados Eficientes...........................................................................28</w:t>
      </w:r>
    </w:p>
    <w:p w:rsidR="002E32FF" w:rsidRDefault="002E32FF">
      <w:pPr>
        <w:pStyle w:val="TDC2"/>
        <w:rPr>
          <w:noProof w:val="0"/>
          <w:lang w:val="es-ES_tradnl"/>
        </w:rPr>
      </w:pPr>
      <w:r>
        <w:t>2.2        Eficiencia del Mercado según Fama</w:t>
      </w:r>
      <w:r>
        <w:rPr>
          <w:noProof w:val="0"/>
          <w:lang w:val="es-ES_tradnl"/>
        </w:rPr>
        <w:t>.................................................28</w:t>
      </w:r>
    </w:p>
    <w:p w:rsidR="002E32FF" w:rsidRDefault="002E32FF">
      <w:pPr>
        <w:pStyle w:val="NormalWeb"/>
        <w:spacing w:before="0" w:after="0"/>
        <w:rPr>
          <w:rFonts w:ascii="Arial" w:hAnsi="Arial"/>
        </w:rPr>
      </w:pPr>
      <w:r>
        <w:rPr>
          <w:rFonts w:ascii="Arial" w:hAnsi="Arial"/>
        </w:rPr>
        <w:t>2.2.1     Hipótesis débil del Mercado Eficiente...............................................29</w:t>
      </w:r>
    </w:p>
    <w:p w:rsidR="002E32FF" w:rsidRDefault="002E32FF">
      <w:pPr>
        <w:pStyle w:val="TDC2"/>
      </w:pPr>
      <w:r>
        <w:t>2.2.2     Hipótesis intermedia del Mercado Eficiente......................................30</w:t>
      </w:r>
    </w:p>
    <w:p w:rsidR="002E32FF" w:rsidRDefault="002E32FF">
      <w:pPr>
        <w:pStyle w:val="NormalWeb"/>
        <w:spacing w:before="0" w:after="0"/>
        <w:rPr>
          <w:rFonts w:ascii="Arial" w:hAnsi="Arial"/>
        </w:rPr>
      </w:pPr>
      <w:r>
        <w:rPr>
          <w:rFonts w:ascii="Arial" w:hAnsi="Arial"/>
        </w:rPr>
        <w:t>2.2.3     Hipótesis fuerte del Mercado Eficiente.............................................30</w:t>
      </w:r>
    </w:p>
    <w:p w:rsidR="002E32FF" w:rsidRDefault="002E32FF"/>
    <w:p w:rsidR="002E32FF" w:rsidRDefault="002E32FF">
      <w:pPr>
        <w:pStyle w:val="TDC2"/>
      </w:pPr>
      <w:r>
        <w:t>2.3        Análisis Técnico................................................................................31</w:t>
      </w:r>
    </w:p>
    <w:p w:rsidR="002E32FF" w:rsidRDefault="002E32FF">
      <w:pPr>
        <w:pStyle w:val="NormalWeb"/>
        <w:spacing w:before="0" w:after="0"/>
        <w:rPr>
          <w:rFonts w:ascii="Arial" w:hAnsi="Arial"/>
        </w:rPr>
      </w:pPr>
      <w:r>
        <w:rPr>
          <w:rFonts w:ascii="Arial" w:hAnsi="Arial"/>
        </w:rPr>
        <w:t>2.3.1     Definición de Análisis Técnico..........................................................31</w:t>
      </w:r>
    </w:p>
    <w:p w:rsidR="002E32FF" w:rsidRDefault="002E32FF">
      <w:pPr>
        <w:rPr>
          <w:rFonts w:ascii="Arial" w:hAnsi="Arial"/>
          <w:sz w:val="24"/>
        </w:rPr>
      </w:pPr>
    </w:p>
    <w:p w:rsidR="002E32FF" w:rsidRDefault="002E32FF">
      <w:pPr>
        <w:rPr>
          <w:rFonts w:ascii="Arial" w:hAnsi="Arial"/>
          <w:sz w:val="24"/>
        </w:rPr>
      </w:pPr>
      <w:r>
        <w:rPr>
          <w:rFonts w:ascii="Arial" w:hAnsi="Arial"/>
          <w:sz w:val="24"/>
        </w:rPr>
        <w:t>2.3.2     Teorías Clásicas...............................................................................31</w:t>
      </w:r>
    </w:p>
    <w:p w:rsidR="002E32FF" w:rsidRDefault="002E32FF">
      <w:pPr>
        <w:rPr>
          <w:rFonts w:ascii="Arial" w:hAnsi="Arial"/>
          <w:sz w:val="24"/>
        </w:rPr>
      </w:pPr>
    </w:p>
    <w:p w:rsidR="002E32FF" w:rsidRDefault="002E32FF">
      <w:pPr>
        <w:rPr>
          <w:rFonts w:ascii="Arial" w:hAnsi="Arial"/>
          <w:sz w:val="24"/>
        </w:rPr>
      </w:pPr>
      <w:r>
        <w:rPr>
          <w:rFonts w:ascii="Arial" w:hAnsi="Arial"/>
          <w:sz w:val="24"/>
        </w:rPr>
        <w:t>2.3.2.1  Teoría de Dow..................................................................................31</w:t>
      </w:r>
    </w:p>
    <w:p w:rsidR="002E32FF" w:rsidRDefault="002E32FF">
      <w:pPr>
        <w:rPr>
          <w:rFonts w:ascii="Arial" w:hAnsi="Arial"/>
          <w:sz w:val="24"/>
        </w:rPr>
      </w:pPr>
    </w:p>
    <w:p w:rsidR="002E32FF" w:rsidRDefault="002E32FF">
      <w:pPr>
        <w:rPr>
          <w:rFonts w:ascii="Arial" w:hAnsi="Arial"/>
          <w:sz w:val="24"/>
        </w:rPr>
      </w:pPr>
      <w:r>
        <w:rPr>
          <w:rFonts w:ascii="Arial" w:hAnsi="Arial"/>
          <w:sz w:val="24"/>
        </w:rPr>
        <w:t>2.3.2.2  Ondas de Elliot.................................................................................35</w:t>
      </w:r>
    </w:p>
    <w:p w:rsidR="002E32FF" w:rsidRDefault="002E32FF">
      <w:pPr>
        <w:pStyle w:val="TDC2"/>
      </w:pPr>
      <w:r>
        <w:t>2.3.3      Reglas Técnicas para tensar en el Mercado Bursátil......................36</w:t>
      </w:r>
    </w:p>
    <w:p w:rsidR="002E32FF" w:rsidRDefault="002E32FF">
      <w:pPr>
        <w:pStyle w:val="NormalWeb"/>
        <w:spacing w:before="0" w:after="0"/>
        <w:rPr>
          <w:rFonts w:ascii="Arial" w:hAnsi="Arial"/>
        </w:rPr>
      </w:pPr>
      <w:r>
        <w:rPr>
          <w:rFonts w:ascii="Arial" w:hAnsi="Arial"/>
        </w:rPr>
        <w:t>2.3.3.1   Media Móvil......................................................................................36</w:t>
      </w:r>
    </w:p>
    <w:p w:rsidR="002E32FF" w:rsidRDefault="002E32FF">
      <w:pPr>
        <w:rPr>
          <w:rFonts w:ascii="Arial" w:hAnsi="Arial"/>
          <w:sz w:val="24"/>
        </w:rPr>
      </w:pPr>
    </w:p>
    <w:p w:rsidR="002E32FF" w:rsidRDefault="002E32FF">
      <w:pPr>
        <w:rPr>
          <w:rFonts w:ascii="Arial" w:hAnsi="Arial"/>
          <w:sz w:val="24"/>
        </w:rPr>
      </w:pPr>
      <w:r>
        <w:rPr>
          <w:rFonts w:ascii="Arial" w:hAnsi="Arial"/>
          <w:sz w:val="24"/>
        </w:rPr>
        <w:t>2.3.3.2   Longitud Variable de la Media Móvil................................................37</w:t>
      </w:r>
    </w:p>
    <w:p w:rsidR="002E32FF" w:rsidRDefault="002E32FF">
      <w:pPr>
        <w:rPr>
          <w:rFonts w:ascii="Arial" w:hAnsi="Arial"/>
          <w:sz w:val="24"/>
          <w:lang w:val="es-ES_tradnl"/>
        </w:rPr>
      </w:pPr>
    </w:p>
    <w:p w:rsidR="002E32FF" w:rsidRDefault="002E32FF">
      <w:pPr>
        <w:rPr>
          <w:rFonts w:ascii="Arial" w:hAnsi="Arial"/>
          <w:sz w:val="24"/>
          <w:lang w:val="en-US"/>
        </w:rPr>
      </w:pPr>
      <w:r>
        <w:rPr>
          <w:rFonts w:ascii="Arial" w:hAnsi="Arial"/>
          <w:sz w:val="24"/>
          <w:lang w:val="en-US"/>
        </w:rPr>
        <w:t>2.3.3.3   Trading Range Break-Out................................................................38</w:t>
      </w:r>
    </w:p>
    <w:p w:rsidR="002E32FF" w:rsidRDefault="002E32FF">
      <w:pPr>
        <w:rPr>
          <w:rFonts w:ascii="Arial" w:hAnsi="Arial"/>
          <w:sz w:val="24"/>
          <w:lang w:val="en-US"/>
        </w:rPr>
      </w:pPr>
    </w:p>
    <w:p w:rsidR="002E32FF" w:rsidRDefault="002E32FF">
      <w:pPr>
        <w:rPr>
          <w:rFonts w:ascii="Arial" w:hAnsi="Arial"/>
          <w:sz w:val="24"/>
          <w:lang w:val="en-US"/>
        </w:rPr>
      </w:pPr>
      <w:r>
        <w:rPr>
          <w:rFonts w:ascii="Arial" w:hAnsi="Arial"/>
          <w:sz w:val="24"/>
          <w:lang w:val="en-US"/>
        </w:rPr>
        <w:t>2.3.4      Osciladores……………………………………………………………...38</w:t>
      </w:r>
    </w:p>
    <w:p w:rsidR="002E32FF" w:rsidRDefault="002E32FF">
      <w:pPr>
        <w:rPr>
          <w:rFonts w:ascii="Arial" w:hAnsi="Arial"/>
          <w:sz w:val="24"/>
          <w:lang w:val="en-US"/>
        </w:rPr>
      </w:pPr>
    </w:p>
    <w:p w:rsidR="002E32FF" w:rsidRDefault="002E32FF">
      <w:pPr>
        <w:rPr>
          <w:rFonts w:ascii="Arial" w:hAnsi="Arial"/>
          <w:sz w:val="24"/>
        </w:rPr>
      </w:pPr>
      <w:r>
        <w:rPr>
          <w:rFonts w:ascii="Arial" w:hAnsi="Arial"/>
          <w:sz w:val="24"/>
        </w:rPr>
        <w:t>2.3.4.1   Tasa de cambio o ROC………………………………………………..39</w:t>
      </w:r>
    </w:p>
    <w:p w:rsidR="002E32FF" w:rsidRDefault="002E32FF">
      <w:pPr>
        <w:rPr>
          <w:rFonts w:ascii="Arial" w:hAnsi="Arial"/>
          <w:sz w:val="24"/>
        </w:rPr>
      </w:pPr>
    </w:p>
    <w:p w:rsidR="002E32FF" w:rsidRDefault="002E32FF">
      <w:pPr>
        <w:rPr>
          <w:rFonts w:ascii="Arial" w:hAnsi="Arial"/>
          <w:sz w:val="24"/>
        </w:rPr>
      </w:pPr>
      <w:r>
        <w:rPr>
          <w:rFonts w:ascii="Arial" w:hAnsi="Arial"/>
          <w:sz w:val="24"/>
        </w:rPr>
        <w:t>2.3.4.2   Oscilador RSI……………………………………………………………40</w:t>
      </w:r>
    </w:p>
    <w:p w:rsidR="002E32FF" w:rsidRDefault="002E32FF">
      <w:pPr>
        <w:rPr>
          <w:rFonts w:ascii="Arial" w:hAnsi="Arial"/>
          <w:sz w:val="24"/>
        </w:rPr>
      </w:pPr>
    </w:p>
    <w:p w:rsidR="002E32FF" w:rsidRDefault="002E32FF">
      <w:pPr>
        <w:rPr>
          <w:rFonts w:ascii="Arial" w:hAnsi="Arial"/>
          <w:sz w:val="24"/>
        </w:rPr>
      </w:pPr>
      <w:r>
        <w:rPr>
          <w:rFonts w:ascii="Arial" w:hAnsi="Arial"/>
          <w:sz w:val="24"/>
        </w:rPr>
        <w:t>2.3.4.3   Oscilador Estocástico o %K…………………………………………...41</w:t>
      </w:r>
    </w:p>
    <w:p w:rsidR="002E32FF" w:rsidRDefault="002E32FF">
      <w:pPr>
        <w:rPr>
          <w:rFonts w:ascii="Arial" w:hAnsi="Arial"/>
          <w:sz w:val="24"/>
        </w:rPr>
      </w:pPr>
    </w:p>
    <w:p w:rsidR="002E32FF" w:rsidRDefault="002E32FF">
      <w:pPr>
        <w:rPr>
          <w:rFonts w:ascii="Arial" w:hAnsi="Arial"/>
          <w:sz w:val="24"/>
        </w:rPr>
      </w:pPr>
      <w:r>
        <w:rPr>
          <w:rFonts w:ascii="Arial" w:hAnsi="Arial"/>
          <w:sz w:val="24"/>
        </w:rPr>
        <w:t>2.3.4.4   Oscilador MACD………………………………………………………..42</w:t>
      </w:r>
    </w:p>
    <w:p w:rsidR="002E32FF" w:rsidRDefault="002E32FF">
      <w:pPr>
        <w:rPr>
          <w:rFonts w:ascii="Arial" w:hAnsi="Arial"/>
          <w:sz w:val="24"/>
        </w:rPr>
      </w:pPr>
    </w:p>
    <w:p w:rsidR="002E32FF" w:rsidRDefault="002E32FF">
      <w:pPr>
        <w:rPr>
          <w:rFonts w:ascii="Arial" w:hAnsi="Arial"/>
          <w:sz w:val="24"/>
        </w:rPr>
      </w:pPr>
      <w:r>
        <w:rPr>
          <w:rFonts w:ascii="Arial" w:hAnsi="Arial"/>
          <w:sz w:val="24"/>
        </w:rPr>
        <w:t>2.4          Prueba de Filtros............................................................................42</w:t>
      </w:r>
    </w:p>
    <w:p w:rsidR="002E32FF" w:rsidRDefault="002E32FF">
      <w:pPr>
        <w:rPr>
          <w:rFonts w:ascii="Arial" w:hAnsi="Arial"/>
          <w:sz w:val="24"/>
        </w:rPr>
      </w:pPr>
    </w:p>
    <w:p w:rsidR="002E32FF" w:rsidRDefault="002E32FF">
      <w:pPr>
        <w:rPr>
          <w:rFonts w:ascii="Arial" w:hAnsi="Arial"/>
          <w:b/>
          <w:sz w:val="24"/>
        </w:rPr>
      </w:pPr>
      <w:r>
        <w:rPr>
          <w:rFonts w:ascii="Arial" w:hAnsi="Arial"/>
          <w:b/>
          <w:sz w:val="24"/>
        </w:rPr>
        <w:t>CAPÍTULO III. PRUEBAS SOBRE EFICIENCIA DE MERCADO…............44</w:t>
      </w:r>
    </w:p>
    <w:p w:rsidR="002E32FF" w:rsidRDefault="002E32FF">
      <w:pPr>
        <w:rPr>
          <w:rFonts w:ascii="Arial" w:hAnsi="Arial"/>
          <w:b/>
          <w:sz w:val="24"/>
        </w:rPr>
      </w:pPr>
    </w:p>
    <w:p w:rsidR="002E32FF" w:rsidRDefault="002E32FF">
      <w:pPr>
        <w:rPr>
          <w:rFonts w:ascii="Arial" w:hAnsi="Arial"/>
          <w:b/>
          <w:sz w:val="24"/>
        </w:rPr>
      </w:pPr>
    </w:p>
    <w:p w:rsidR="002E32FF" w:rsidRDefault="002E32FF">
      <w:pPr>
        <w:pStyle w:val="NormalWeb"/>
        <w:spacing w:before="0" w:after="0"/>
        <w:rPr>
          <w:rFonts w:ascii="Arial" w:hAnsi="Arial"/>
        </w:rPr>
      </w:pPr>
      <w:r>
        <w:rPr>
          <w:rFonts w:ascii="Arial" w:hAnsi="Arial"/>
        </w:rPr>
        <w:t>3.1          Correlación Serial...........................................................................45</w:t>
      </w: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sz w:val="24"/>
        </w:rPr>
      </w:pPr>
      <w:r>
        <w:rPr>
          <w:rFonts w:ascii="Arial" w:hAnsi="Arial"/>
          <w:sz w:val="24"/>
        </w:rPr>
        <w:t>3.2          Test de Corridas.............................................................................47</w:t>
      </w: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sz w:val="24"/>
        </w:rPr>
      </w:pPr>
      <w:r>
        <w:rPr>
          <w:rFonts w:ascii="Arial" w:hAnsi="Arial"/>
          <w:sz w:val="24"/>
        </w:rPr>
        <w:t>3.3           Regla de Filtros............ .................................................................47</w:t>
      </w: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sz w:val="24"/>
        </w:rPr>
      </w:pPr>
      <w:r>
        <w:rPr>
          <w:rFonts w:ascii="Arial" w:hAnsi="Arial"/>
          <w:sz w:val="24"/>
        </w:rPr>
        <w:t>3.4           Otras Reglas de Análisis Técnico..................................................48</w:t>
      </w: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sz w:val="24"/>
        </w:rPr>
      </w:pPr>
      <w:r>
        <w:rPr>
          <w:rFonts w:ascii="Arial" w:hAnsi="Arial"/>
          <w:sz w:val="24"/>
        </w:rPr>
        <w:t>3.5           Evidencia sobre Predictibilidad de Precios y Variaciones.............48</w:t>
      </w: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b/>
          <w:sz w:val="24"/>
        </w:rPr>
      </w:pPr>
      <w:r>
        <w:rPr>
          <w:rFonts w:ascii="Arial" w:hAnsi="Arial"/>
          <w:b/>
          <w:sz w:val="24"/>
        </w:rPr>
        <w:t>CAPÍTULO IV. DESCRIPCIÓN DE LOS DATOS Y METODOLOGÍA.........52</w:t>
      </w:r>
    </w:p>
    <w:p w:rsidR="002E32FF" w:rsidRDefault="002E32FF">
      <w:pPr>
        <w:rPr>
          <w:rFonts w:ascii="Arial" w:hAnsi="Arial"/>
          <w:b/>
          <w:sz w:val="24"/>
        </w:rPr>
      </w:pPr>
    </w:p>
    <w:p w:rsidR="002E32FF" w:rsidRDefault="002E32FF">
      <w:pPr>
        <w:rPr>
          <w:rFonts w:ascii="Arial" w:hAnsi="Arial"/>
          <w:b/>
          <w:sz w:val="24"/>
        </w:rPr>
      </w:pPr>
    </w:p>
    <w:p w:rsidR="002E32FF" w:rsidRDefault="002E32FF">
      <w:pPr>
        <w:pStyle w:val="NormalWeb"/>
        <w:spacing w:before="0" w:after="0"/>
        <w:rPr>
          <w:rFonts w:ascii="Arial" w:hAnsi="Arial"/>
        </w:rPr>
      </w:pPr>
      <w:r>
        <w:rPr>
          <w:rFonts w:ascii="Arial" w:hAnsi="Arial"/>
        </w:rPr>
        <w:t>4.1            Descripción de los datos...............................................................52</w:t>
      </w:r>
    </w:p>
    <w:p w:rsidR="002E32FF" w:rsidRDefault="002E32FF">
      <w:pPr>
        <w:rPr>
          <w:rFonts w:ascii="Arial" w:hAnsi="Arial"/>
          <w:sz w:val="24"/>
        </w:rPr>
      </w:pPr>
    </w:p>
    <w:p w:rsidR="002E32FF" w:rsidRDefault="002E32FF">
      <w:pPr>
        <w:rPr>
          <w:rFonts w:ascii="Arial" w:hAnsi="Arial"/>
          <w:sz w:val="24"/>
        </w:rPr>
      </w:pPr>
      <w:r>
        <w:rPr>
          <w:rFonts w:ascii="Arial" w:hAnsi="Arial"/>
          <w:sz w:val="24"/>
        </w:rPr>
        <w:t>4.2            Pruebas de eficiencia de mercado...............................................52</w:t>
      </w:r>
    </w:p>
    <w:p w:rsidR="002E32FF" w:rsidRDefault="002E32FF">
      <w:pPr>
        <w:rPr>
          <w:rFonts w:ascii="Arial" w:hAnsi="Arial"/>
          <w:sz w:val="24"/>
        </w:rPr>
      </w:pPr>
    </w:p>
    <w:p w:rsidR="002E32FF" w:rsidRDefault="002E32FF">
      <w:pPr>
        <w:rPr>
          <w:rFonts w:ascii="Arial" w:hAnsi="Arial"/>
          <w:sz w:val="24"/>
        </w:rPr>
      </w:pPr>
      <w:r>
        <w:rPr>
          <w:rFonts w:ascii="Arial" w:hAnsi="Arial"/>
          <w:sz w:val="24"/>
        </w:rPr>
        <w:t>4.3            Aplicación de análisis técnico……………………………………….54</w:t>
      </w:r>
    </w:p>
    <w:p w:rsidR="002E32FF" w:rsidRDefault="002E32FF">
      <w:pPr>
        <w:rPr>
          <w:rFonts w:ascii="Arial" w:hAnsi="Arial"/>
          <w:sz w:val="24"/>
        </w:rPr>
      </w:pPr>
    </w:p>
    <w:p w:rsidR="002E32FF" w:rsidRDefault="002E32FF">
      <w:pPr>
        <w:rPr>
          <w:rFonts w:ascii="Arial" w:hAnsi="Arial"/>
          <w:sz w:val="24"/>
        </w:rPr>
      </w:pPr>
      <w:r>
        <w:rPr>
          <w:rFonts w:ascii="Arial" w:hAnsi="Arial"/>
          <w:sz w:val="24"/>
        </w:rPr>
        <w:t>4.4            Cálculo de rentabilidades a partir de las variaciones de riqueza..55</w:t>
      </w: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sz w:val="24"/>
        </w:rPr>
      </w:pPr>
    </w:p>
    <w:p w:rsidR="002E32FF" w:rsidRDefault="002E32FF">
      <w:pPr>
        <w:rPr>
          <w:rFonts w:ascii="Arial" w:hAnsi="Arial"/>
          <w:b/>
          <w:sz w:val="24"/>
        </w:rPr>
      </w:pPr>
      <w:r>
        <w:rPr>
          <w:rFonts w:ascii="Arial" w:hAnsi="Arial"/>
          <w:b/>
          <w:sz w:val="24"/>
        </w:rPr>
        <w:t>CAPÍTULO V. RESULTADOS......................................................................56</w:t>
      </w:r>
    </w:p>
    <w:p w:rsidR="002E32FF" w:rsidRDefault="002E32FF">
      <w:pPr>
        <w:rPr>
          <w:rFonts w:ascii="Arial" w:hAnsi="Arial"/>
          <w:b/>
          <w:sz w:val="24"/>
        </w:rPr>
      </w:pPr>
    </w:p>
    <w:p w:rsidR="002E32FF" w:rsidRDefault="002E32FF">
      <w:pPr>
        <w:rPr>
          <w:rFonts w:ascii="Arial" w:hAnsi="Arial"/>
          <w:b/>
          <w:sz w:val="24"/>
        </w:rPr>
      </w:pPr>
    </w:p>
    <w:p w:rsidR="002E32FF" w:rsidRDefault="002E32FF">
      <w:pPr>
        <w:rPr>
          <w:rFonts w:ascii="Arial" w:hAnsi="Arial"/>
          <w:b/>
          <w:sz w:val="24"/>
        </w:rPr>
      </w:pPr>
    </w:p>
    <w:p w:rsidR="002E32FF" w:rsidRDefault="002E32FF">
      <w:pPr>
        <w:pStyle w:val="NormalWeb"/>
        <w:spacing w:before="0" w:after="0"/>
        <w:rPr>
          <w:rFonts w:ascii="Arial" w:hAnsi="Arial"/>
        </w:rPr>
      </w:pPr>
      <w:r>
        <w:rPr>
          <w:rFonts w:ascii="Arial" w:hAnsi="Arial"/>
        </w:rPr>
        <w:t>5.1            Test de Corridas...........................................................................56</w:t>
      </w:r>
    </w:p>
    <w:p w:rsidR="002E32FF" w:rsidRDefault="002E32FF">
      <w:pPr>
        <w:rPr>
          <w:rFonts w:ascii="Arial" w:hAnsi="Arial"/>
          <w:sz w:val="24"/>
        </w:rPr>
      </w:pPr>
    </w:p>
    <w:p w:rsidR="002E32FF" w:rsidRDefault="002E32FF">
      <w:pPr>
        <w:rPr>
          <w:rFonts w:ascii="Arial" w:hAnsi="Arial"/>
          <w:sz w:val="22"/>
        </w:rPr>
      </w:pPr>
      <w:r>
        <w:rPr>
          <w:rFonts w:ascii="Arial" w:hAnsi="Arial"/>
          <w:sz w:val="24"/>
        </w:rPr>
        <w:t xml:space="preserve">5.1.1         </w:t>
      </w:r>
      <w:r>
        <w:rPr>
          <w:rFonts w:ascii="Arial" w:hAnsi="Arial"/>
          <w:sz w:val="22"/>
        </w:rPr>
        <w:t>Aplicación y Análisis del Test de Corridas en el índice ECUINDEX .....</w:t>
      </w:r>
      <w:r>
        <w:rPr>
          <w:rFonts w:ascii="Arial" w:hAnsi="Arial"/>
          <w:sz w:val="24"/>
        </w:rPr>
        <w:t>57</w:t>
      </w:r>
    </w:p>
    <w:p w:rsidR="002E32FF" w:rsidRDefault="002E32FF">
      <w:pPr>
        <w:pStyle w:val="TDC2"/>
        <w:jc w:val="left"/>
      </w:pPr>
      <w:r>
        <w:t>5.1.2</w:t>
      </w:r>
      <w:r>
        <w:tab/>
        <w:t xml:space="preserve">      Aplicación y Análisis del Test de Cor</w:t>
      </w:r>
      <w:bookmarkStart w:id="8" w:name="_Hlt170021799"/>
      <w:r>
        <w:t>r</w:t>
      </w:r>
      <w:bookmarkEnd w:id="8"/>
      <w:r>
        <w:t xml:space="preserve">idas en </w:t>
      </w:r>
      <w:bookmarkStart w:id="9" w:name="_Hlt169942775"/>
      <w:r>
        <w:t>e</w:t>
      </w:r>
      <w:bookmarkEnd w:id="9"/>
      <w:r>
        <w:t>l índice IPECU.....58        5.1.3         Aplicación y Análisis del Test de Corridas en el índice IRECU....58</w:t>
      </w:r>
    </w:p>
    <w:p w:rsidR="002E32FF" w:rsidRDefault="002E32FF"/>
    <w:p w:rsidR="002E32FF" w:rsidRDefault="002E32FF">
      <w:pPr>
        <w:pStyle w:val="NormalWeb"/>
        <w:spacing w:before="0" w:after="0"/>
        <w:rPr>
          <w:rFonts w:ascii="Arial" w:hAnsi="Arial"/>
        </w:rPr>
      </w:pPr>
      <w:r>
        <w:rPr>
          <w:rFonts w:ascii="Arial" w:hAnsi="Arial"/>
        </w:rPr>
        <w:t>5.2             Correlograma Serial.....................................................................59</w:t>
      </w:r>
    </w:p>
    <w:p w:rsidR="002E32FF" w:rsidRDefault="002E32FF">
      <w:pPr>
        <w:rPr>
          <w:rFonts w:ascii="Arial" w:hAnsi="Arial"/>
          <w:sz w:val="24"/>
        </w:rPr>
      </w:pPr>
      <w:r>
        <w:rPr>
          <w:rFonts w:ascii="Arial" w:hAnsi="Arial"/>
          <w:sz w:val="24"/>
        </w:rPr>
        <w:t>5.3             Resultados del Análisis Técnico..................................................61</w:t>
      </w:r>
    </w:p>
    <w:p w:rsidR="002E32FF" w:rsidRDefault="002E32FF">
      <w:pPr>
        <w:rPr>
          <w:rFonts w:ascii="Arial" w:hAnsi="Arial"/>
          <w:sz w:val="24"/>
        </w:rPr>
      </w:pPr>
    </w:p>
    <w:p w:rsidR="002E32FF" w:rsidRDefault="002E32FF">
      <w:pPr>
        <w:rPr>
          <w:rFonts w:ascii="Arial" w:hAnsi="Arial"/>
          <w:sz w:val="24"/>
        </w:rPr>
      </w:pPr>
      <w:r>
        <w:rPr>
          <w:rFonts w:ascii="Arial" w:hAnsi="Arial"/>
          <w:sz w:val="24"/>
        </w:rPr>
        <w:t>5.3.1          Aplicación y Análisis (Media Móvil)..............................................61</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5.3.2          Aplicación y análisis (Longitud Variable de la Media Móvil)........65</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5.3.3          Aplicación y análisis (Trading Range break-out).........................68</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5.3.4          Oscilador ROC………………………………………………………71</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5.3.5          Oscilador RSI………………………………………………………..74</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5.3.6          Oscilador %K………………………………………………………...76</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5.3.7          Oscilador MACD……………………………………………………..79</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p>
    <w:p w:rsidR="002E32FF" w:rsidRDefault="002E32FF">
      <w:pPr>
        <w:jc w:val="both"/>
        <w:rPr>
          <w:rFonts w:ascii="Arial" w:hAnsi="Arial"/>
          <w:color w:val="000000"/>
          <w:sz w:val="24"/>
        </w:rPr>
      </w:pPr>
      <w:r>
        <w:rPr>
          <w:rFonts w:ascii="Arial" w:hAnsi="Arial"/>
          <w:color w:val="000000"/>
          <w:sz w:val="24"/>
        </w:rPr>
        <w:t>5.4            Resumen de los Resultados.........................................................82</w:t>
      </w:r>
    </w:p>
    <w:p w:rsidR="002E32FF" w:rsidRDefault="002E32FF">
      <w:pPr>
        <w:jc w:val="both"/>
        <w:rPr>
          <w:rFonts w:ascii="Arial" w:hAnsi="Arial"/>
          <w:color w:val="000000"/>
          <w:sz w:val="24"/>
        </w:rPr>
      </w:pPr>
    </w:p>
    <w:p w:rsidR="002E32FF" w:rsidRDefault="002E32FF">
      <w:pPr>
        <w:jc w:val="both"/>
        <w:rPr>
          <w:rFonts w:ascii="Arial" w:hAnsi="Arial"/>
          <w:color w:val="000000"/>
          <w:sz w:val="24"/>
        </w:rPr>
      </w:pPr>
    </w:p>
    <w:p w:rsidR="002E32FF" w:rsidRDefault="002E32FF">
      <w:pPr>
        <w:jc w:val="both"/>
        <w:rPr>
          <w:rFonts w:ascii="Arial" w:hAnsi="Arial"/>
          <w:color w:val="000000"/>
          <w:sz w:val="24"/>
        </w:rPr>
      </w:pPr>
    </w:p>
    <w:p w:rsidR="002E32FF" w:rsidRDefault="002E32FF">
      <w:pPr>
        <w:pStyle w:val="TDC1"/>
      </w:pPr>
      <w:r>
        <w:t>CONCLUSIONES Y RECOMENDACIONES………………………………….85</w:t>
      </w:r>
    </w:p>
    <w:p w:rsidR="002E32FF" w:rsidRDefault="002E32FF">
      <w:pPr>
        <w:rPr>
          <w:rFonts w:ascii="Arial" w:hAnsi="Arial"/>
          <w:sz w:val="24"/>
        </w:rPr>
      </w:pPr>
    </w:p>
    <w:p w:rsidR="002E32FF" w:rsidRDefault="002E32FF">
      <w:pPr>
        <w:rPr>
          <w:rFonts w:ascii="Arial" w:hAnsi="Arial"/>
          <w:b/>
          <w:sz w:val="24"/>
        </w:rPr>
      </w:pPr>
    </w:p>
    <w:p w:rsidR="002E32FF" w:rsidRDefault="002E32FF">
      <w:pPr>
        <w:rPr>
          <w:rFonts w:ascii="Arial" w:hAnsi="Arial"/>
          <w:b/>
          <w:sz w:val="24"/>
        </w:rPr>
      </w:pPr>
      <w:r>
        <w:rPr>
          <w:rFonts w:ascii="Arial" w:hAnsi="Arial"/>
          <w:b/>
          <w:sz w:val="24"/>
        </w:rPr>
        <w:t>BIBLIOGRAFÍA…………………………………………………………………...87</w:t>
      </w:r>
    </w:p>
    <w:p w:rsidR="002E32FF" w:rsidRDefault="002E32FF">
      <w:pPr>
        <w:pStyle w:val="TDC1"/>
      </w:pPr>
      <w:r>
        <w:fldChar w:fldCharType="end"/>
      </w:r>
      <w:bookmarkStart w:id="10" w:name="_Toc32755401"/>
      <w:r>
        <w:t>ANEXO DE TABLAS</w:t>
      </w:r>
      <w:bookmarkStart w:id="11" w:name="_Hlt170021529"/>
      <w:bookmarkEnd w:id="11"/>
      <w:r>
        <w:t>……………………………………………………………..89</w:t>
      </w:r>
    </w:p>
    <w:p w:rsidR="002E32FF" w:rsidRDefault="002E32FF"/>
    <w:p w:rsidR="002E32FF" w:rsidRDefault="002E32FF"/>
    <w:p w:rsidR="002E32FF" w:rsidRDefault="002E32FF">
      <w:pPr>
        <w:spacing w:line="480" w:lineRule="auto"/>
        <w:ind w:firstLine="708"/>
        <w:jc w:val="both"/>
      </w:pPr>
    </w:p>
    <w:p w:rsidR="002E32FF" w:rsidRDefault="002E32FF">
      <w:pPr>
        <w:spacing w:line="480" w:lineRule="auto"/>
        <w:jc w:val="both"/>
      </w:pPr>
    </w:p>
    <w:p w:rsidR="002E32FF" w:rsidRDefault="002E32FF">
      <w:pPr>
        <w:spacing w:line="480" w:lineRule="auto"/>
        <w:jc w:val="both"/>
      </w:pPr>
    </w:p>
    <w:p w:rsidR="002E32FF" w:rsidRDefault="002E32FF">
      <w:pPr>
        <w:spacing w:line="480" w:lineRule="auto"/>
        <w:jc w:val="both"/>
      </w:pPr>
    </w:p>
    <w:p w:rsidR="002E32FF" w:rsidRDefault="002E32FF">
      <w:pPr>
        <w:spacing w:line="480" w:lineRule="auto"/>
        <w:jc w:val="both"/>
      </w:pPr>
    </w:p>
    <w:p w:rsidR="002E32FF" w:rsidRDefault="002E32FF">
      <w:pPr>
        <w:spacing w:line="480" w:lineRule="auto"/>
        <w:jc w:val="both"/>
      </w:pPr>
    </w:p>
    <w:bookmarkEnd w:id="10"/>
    <w:p w:rsidR="002E32FF" w:rsidRDefault="002E32FF">
      <w:pPr>
        <w:spacing w:line="480" w:lineRule="auto"/>
        <w:jc w:val="center"/>
        <w:rPr>
          <w:rFonts w:ascii="Arial" w:hAnsi="Arial"/>
          <w:b/>
          <w:sz w:val="28"/>
        </w:rPr>
      </w:pPr>
    </w:p>
    <w:p w:rsidR="002E32FF" w:rsidRDefault="002E32FF">
      <w:pPr>
        <w:spacing w:line="480" w:lineRule="auto"/>
        <w:jc w:val="center"/>
        <w:rPr>
          <w:rFonts w:ascii="Arial" w:hAnsi="Arial"/>
          <w:b/>
          <w:sz w:val="28"/>
        </w:rPr>
      </w:pPr>
    </w:p>
    <w:p w:rsidR="002E32FF" w:rsidRDefault="002E32FF" w:rsidP="000A24C9">
      <w:pPr>
        <w:spacing w:line="480" w:lineRule="auto"/>
        <w:rPr>
          <w:rFonts w:ascii="Arial" w:hAnsi="Arial"/>
          <w:b/>
          <w:sz w:val="28"/>
        </w:rPr>
      </w:pPr>
    </w:p>
    <w:p w:rsidR="000A24C9" w:rsidRDefault="000A24C9" w:rsidP="000A24C9">
      <w:pPr>
        <w:spacing w:line="480" w:lineRule="auto"/>
        <w:rPr>
          <w:rFonts w:ascii="Arial" w:hAnsi="Arial"/>
          <w:b/>
          <w:sz w:val="28"/>
        </w:rPr>
        <w:sectPr w:rsidR="000A24C9">
          <w:footerReference w:type="even" r:id="rId9"/>
          <w:footerReference w:type="default" r:id="rId10"/>
          <w:footerReference w:type="first" r:id="rId11"/>
          <w:type w:val="oddPage"/>
          <w:pgSz w:w="11907" w:h="16840" w:code="9"/>
          <w:pgMar w:top="2268" w:right="1418" w:bottom="1701" w:left="2268" w:header="720" w:footer="720" w:gutter="0"/>
          <w:pgNumType w:start="1"/>
          <w:cols w:space="720"/>
          <w:titlePg/>
        </w:sectPr>
      </w:pPr>
    </w:p>
    <w:p w:rsidR="002E32FF" w:rsidRDefault="002E32FF">
      <w:pPr>
        <w:spacing w:line="480" w:lineRule="auto"/>
        <w:jc w:val="center"/>
        <w:rPr>
          <w:rFonts w:ascii="Arial" w:hAnsi="Arial"/>
          <w:b/>
          <w:sz w:val="28"/>
        </w:rPr>
      </w:pPr>
      <w:r>
        <w:rPr>
          <w:rFonts w:ascii="Arial" w:hAnsi="Arial"/>
          <w:b/>
          <w:sz w:val="28"/>
        </w:rPr>
        <w:t>INTRODUCCIÓN</w:t>
      </w:r>
    </w:p>
    <w:p w:rsidR="002E32FF" w:rsidRDefault="002E32FF">
      <w:pPr>
        <w:spacing w:line="480" w:lineRule="auto"/>
        <w:jc w:val="both"/>
        <w:rPr>
          <w:rFonts w:ascii="Arial" w:hAnsi="Arial"/>
          <w:sz w:val="28"/>
        </w:rPr>
      </w:pPr>
    </w:p>
    <w:p w:rsidR="002E32FF" w:rsidRDefault="002E32FF">
      <w:pPr>
        <w:spacing w:line="480" w:lineRule="auto"/>
        <w:jc w:val="both"/>
        <w:rPr>
          <w:rFonts w:ascii="Arial" w:hAnsi="Arial"/>
          <w:sz w:val="24"/>
        </w:rPr>
      </w:pPr>
      <w:r>
        <w:rPr>
          <w:rFonts w:ascii="Arial" w:hAnsi="Arial"/>
          <w:sz w:val="24"/>
        </w:rPr>
        <w:t xml:space="preserve">    Los mercados financieros tienen como objetivo principal permitir la transferencia de fondos desde los agentes superavitarios (ahorristas, prestamistas) hacia los deficitarios (productores, prestatarios).</w:t>
      </w:r>
    </w:p>
    <w:p w:rsidR="002E32FF" w:rsidRDefault="002E32FF">
      <w:pPr>
        <w:spacing w:line="480" w:lineRule="auto"/>
        <w:jc w:val="both"/>
        <w:rPr>
          <w:rFonts w:ascii="Arial" w:hAnsi="Arial"/>
          <w:sz w:val="24"/>
        </w:rPr>
      </w:pPr>
    </w:p>
    <w:p w:rsidR="002E32FF" w:rsidRDefault="002E32FF">
      <w:pPr>
        <w:spacing w:line="480" w:lineRule="auto"/>
        <w:jc w:val="both"/>
        <w:rPr>
          <w:rFonts w:ascii="Arial" w:hAnsi="Arial"/>
          <w:sz w:val="24"/>
        </w:rPr>
      </w:pPr>
      <w:r>
        <w:rPr>
          <w:rFonts w:ascii="Arial" w:hAnsi="Arial"/>
          <w:sz w:val="24"/>
        </w:rPr>
        <w:t xml:space="preserve">    Esta transferencia ocurrirá en la medida en que las oportunidades de inversión ofrezcan a los inversionistas una tasa de retorno que compense su costo de oportunidad ajustado por riesgo, dicha transferencia se llevará a cabo. En ese sentido, el análisis y valoración de los títulos valores es primordial para detectar las oportunidades de inversión que satisfacen las expectativas de retorno de los inversionistas.</w:t>
      </w:r>
    </w:p>
    <w:p w:rsidR="002E32FF" w:rsidRDefault="002E32FF">
      <w:pPr>
        <w:spacing w:line="480" w:lineRule="auto"/>
        <w:jc w:val="both"/>
        <w:rPr>
          <w:rFonts w:ascii="Arial" w:hAnsi="Arial"/>
          <w:sz w:val="24"/>
        </w:rPr>
      </w:pPr>
    </w:p>
    <w:p w:rsidR="002E32FF" w:rsidRDefault="002E32FF">
      <w:pPr>
        <w:spacing w:line="480" w:lineRule="auto"/>
        <w:jc w:val="both"/>
        <w:rPr>
          <w:rFonts w:ascii="Arial" w:hAnsi="Arial"/>
          <w:sz w:val="24"/>
        </w:rPr>
      </w:pPr>
      <w:r>
        <w:rPr>
          <w:rFonts w:ascii="Arial" w:hAnsi="Arial"/>
          <w:sz w:val="24"/>
        </w:rPr>
        <w:t xml:space="preserve">    Hay dos tipos principales de análisis que se realiza con respecto a los títulos que se transan en los mercados de valores, el análisis fundamental y el análisis técnico.</w:t>
      </w:r>
    </w:p>
    <w:p w:rsidR="002E32FF" w:rsidRDefault="002E32FF">
      <w:pPr>
        <w:spacing w:line="480" w:lineRule="auto"/>
        <w:jc w:val="both"/>
        <w:rPr>
          <w:rFonts w:ascii="Arial" w:hAnsi="Arial"/>
          <w:sz w:val="24"/>
        </w:rPr>
      </w:pPr>
    </w:p>
    <w:p w:rsidR="002E32FF" w:rsidRDefault="002E32FF">
      <w:pPr>
        <w:spacing w:line="480" w:lineRule="auto"/>
        <w:jc w:val="both"/>
        <w:rPr>
          <w:rFonts w:ascii="Arial" w:hAnsi="Arial"/>
          <w:sz w:val="24"/>
        </w:rPr>
      </w:pPr>
      <w:r>
        <w:rPr>
          <w:rFonts w:ascii="Arial" w:hAnsi="Arial"/>
          <w:sz w:val="24"/>
        </w:rPr>
        <w:t xml:space="preserve">    Como lo definen Elvira y Puig</w:t>
      </w:r>
      <w:r>
        <w:rPr>
          <w:rStyle w:val="Refdenotaalpie"/>
          <w:rFonts w:ascii="Arial" w:hAnsi="Arial"/>
          <w:sz w:val="24"/>
        </w:rPr>
        <w:footnoteReference w:id="2"/>
      </w:r>
      <w:r>
        <w:rPr>
          <w:rFonts w:ascii="Arial" w:hAnsi="Arial"/>
          <w:sz w:val="24"/>
        </w:rPr>
        <w:t>, “el análisis fundamental centra su estudio en las fuerzas económicas que afectan la demanda y oferta de un activo financiero, para poder determinar su valor intrínseco. Utiliza los estados financieros de las empresas, datos del sector económico en el que operan, estudios de mercado, datos relativos de la economía general, datos socio-políticos, etc. Consecuentemente el análisis fundamental exige disponer de muchos datos, de mucho tiempo y de complejos conocimientos para poderlo efectuar.</w:t>
      </w:r>
    </w:p>
    <w:p w:rsidR="002E32FF" w:rsidRDefault="002E32FF">
      <w:pPr>
        <w:spacing w:line="480" w:lineRule="auto"/>
        <w:jc w:val="both"/>
        <w:rPr>
          <w:rFonts w:ascii="Arial" w:hAnsi="Arial"/>
          <w:sz w:val="24"/>
        </w:rPr>
      </w:pPr>
    </w:p>
    <w:p w:rsidR="002E32FF" w:rsidRDefault="002E32FF">
      <w:pPr>
        <w:spacing w:line="480" w:lineRule="auto"/>
        <w:jc w:val="both"/>
        <w:rPr>
          <w:rFonts w:ascii="Arial" w:hAnsi="Arial"/>
          <w:sz w:val="24"/>
        </w:rPr>
      </w:pPr>
      <w:r>
        <w:rPr>
          <w:rFonts w:ascii="Arial" w:hAnsi="Arial"/>
          <w:sz w:val="24"/>
          <w:lang w:val="es-EC"/>
        </w:rPr>
        <w:t xml:space="preserve">    El análisis técnico, en cambio,</w:t>
      </w:r>
      <w:r>
        <w:rPr>
          <w:rFonts w:ascii="Arial" w:hAnsi="Arial"/>
          <w:sz w:val="24"/>
        </w:rPr>
        <w:t xml:space="preserve"> estudia la historia de los precios de las acciones y de volúmenes negociados, apoyada en el análisis de gráficas de evolución, con objeto de predecir su comportamiento futuro, independientemente del mercado y emisora que se trate.  El análisis técnico no sólo se aplica a títulos individuales, sino también a índices, divisas, commodities, derivados financieros, entre otros.</w:t>
      </w:r>
    </w:p>
    <w:p w:rsidR="002E32FF" w:rsidRDefault="002E32FF">
      <w:pPr>
        <w:spacing w:line="480" w:lineRule="auto"/>
        <w:jc w:val="both"/>
        <w:rPr>
          <w:rFonts w:ascii="Arial" w:hAnsi="Arial"/>
          <w:sz w:val="24"/>
        </w:rPr>
      </w:pPr>
    </w:p>
    <w:p w:rsidR="002E32FF" w:rsidRDefault="002E32FF">
      <w:pPr>
        <w:spacing w:line="480" w:lineRule="auto"/>
        <w:jc w:val="both"/>
        <w:rPr>
          <w:rFonts w:ascii="Arial" w:hAnsi="Arial"/>
          <w:sz w:val="24"/>
        </w:rPr>
      </w:pPr>
      <w:r>
        <w:rPr>
          <w:rFonts w:ascii="Arial" w:hAnsi="Arial"/>
          <w:sz w:val="24"/>
        </w:rPr>
        <w:t xml:space="preserve">    En la literatura financiera es ampliamente conocida la hipótesis de eficiencia de mercado, la cual plantea que los precios de los activos se ajustan inmediatamente a la información disponible. Fama, plantea tres niveles de eficiencia para los mercados financieros, los cuales se definen en función del tipo de información involucrada, estos son: Eficiencia del mercado en forma débil, intermedia (o semifuerte) y fuerte.</w:t>
      </w:r>
    </w:p>
    <w:p w:rsidR="002E32FF" w:rsidRDefault="002E32FF">
      <w:pPr>
        <w:spacing w:line="480" w:lineRule="auto"/>
        <w:jc w:val="both"/>
        <w:rPr>
          <w:sz w:val="24"/>
        </w:rPr>
      </w:pPr>
    </w:p>
    <w:p w:rsidR="002E32FF" w:rsidRDefault="002E32FF">
      <w:pPr>
        <w:jc w:val="both"/>
        <w:rPr>
          <w:sz w:val="24"/>
        </w:rPr>
      </w:pPr>
    </w:p>
    <w:p w:rsidR="002E32FF" w:rsidRDefault="002E32FF">
      <w:pPr>
        <w:spacing w:line="480" w:lineRule="auto"/>
        <w:jc w:val="both"/>
        <w:rPr>
          <w:rFonts w:ascii="Arial" w:hAnsi="Arial"/>
          <w:sz w:val="24"/>
        </w:rPr>
      </w:pPr>
      <w:r>
        <w:rPr>
          <w:rFonts w:ascii="Arial" w:hAnsi="Arial"/>
          <w:sz w:val="24"/>
        </w:rPr>
        <w:t xml:space="preserve">    La evidencia muestra que esta hipótesis no es completamente aceptada, por lo cual frecuentemente se buscan maneras de explotar las potenciales ineficiencias que existirían en algunos mercados, de manera de captar dichos retornos en exceso.</w:t>
      </w:r>
    </w:p>
    <w:p w:rsidR="002E32FF" w:rsidRDefault="002E32FF">
      <w:pPr>
        <w:spacing w:line="480" w:lineRule="auto"/>
        <w:jc w:val="both"/>
        <w:rPr>
          <w:rFonts w:ascii="Arial" w:hAnsi="Arial"/>
          <w:sz w:val="24"/>
        </w:rPr>
      </w:pPr>
      <w:r>
        <w:rPr>
          <w:rFonts w:ascii="Arial" w:hAnsi="Arial"/>
          <w:sz w:val="24"/>
        </w:rPr>
        <w:t xml:space="preserve">    El presente estudio pretende probar la hipótesis de eficiencia de forma débil del mercado bursátil ecuatoriano, aplicando pruebas estadísticas a los principales índices bursátiles ecuatorianos.  Estas pruebas tienen como principal objetivo determinar si hay o no patrones en los precios históricos que permitirían predecir los movimientos futuros.</w:t>
      </w:r>
    </w:p>
    <w:p w:rsidR="002E32FF" w:rsidRDefault="002E32FF">
      <w:pPr>
        <w:spacing w:line="480" w:lineRule="auto"/>
        <w:jc w:val="both"/>
        <w:rPr>
          <w:rFonts w:ascii="Arial" w:hAnsi="Arial"/>
          <w:sz w:val="24"/>
        </w:rPr>
      </w:pPr>
    </w:p>
    <w:p w:rsidR="002E32FF" w:rsidRDefault="002E32FF">
      <w:pPr>
        <w:spacing w:line="480" w:lineRule="auto"/>
        <w:jc w:val="both"/>
        <w:rPr>
          <w:rFonts w:ascii="Arial" w:hAnsi="Arial"/>
          <w:sz w:val="24"/>
        </w:rPr>
      </w:pPr>
      <w:r>
        <w:rPr>
          <w:rFonts w:ascii="Arial" w:hAnsi="Arial"/>
          <w:sz w:val="24"/>
        </w:rPr>
        <w:t xml:space="preserve">    Sin embargo, es importante señalar que si bien las pruebas anteriores pueden determinar la existencia de patrones y, por lo tanto, la predictibilidad de los movimientos futuros, esto no necesariamente implicaría que transar en base a dichas predicciones generaría rendimientos anormales a los inversionistas, por lo cual el estudio se complementa con la aplicación de reglas de análisis técnico frecuentemente utilizadas por los inversionistas.</w:t>
      </w:r>
    </w:p>
    <w:p w:rsidR="002E32FF" w:rsidRDefault="002E32FF">
      <w:pPr>
        <w:spacing w:line="480" w:lineRule="auto"/>
        <w:jc w:val="both"/>
        <w:rPr>
          <w:rFonts w:ascii="Arial" w:hAnsi="Arial"/>
          <w:sz w:val="24"/>
        </w:rPr>
      </w:pPr>
    </w:p>
    <w:p w:rsidR="002E32FF" w:rsidRDefault="002E32FF">
      <w:pPr>
        <w:jc w:val="both"/>
        <w:rPr>
          <w:rFonts w:ascii="Arial" w:hAnsi="Arial"/>
          <w:sz w:val="24"/>
        </w:rPr>
      </w:pPr>
    </w:p>
    <w:p w:rsidR="002E32FF" w:rsidRDefault="002E32FF">
      <w:pPr>
        <w:pStyle w:val="Subttulo"/>
        <w:spacing w:line="480" w:lineRule="auto"/>
        <w:jc w:val="both"/>
        <w:rPr>
          <w:sz w:val="24"/>
        </w:rPr>
      </w:pPr>
      <w:r>
        <w:rPr>
          <w:sz w:val="24"/>
        </w:rPr>
        <w:t xml:space="preserve">    El mercado ecuatoriano no cuenta con un estudio de esta naturaleza, debido a la poca información que se puede obtener sobre precios históricos. En este estudio tomaremos los datos semanales desde septiembre del 2001 hasta noviembre del 2006 de los índices bursátiles: ECUINDEX, IPECU e IRECU, obtenidos del proveedor de información financiera REUTERS©.</w:t>
      </w:r>
    </w:p>
    <w:p w:rsidR="002E32FF" w:rsidRDefault="002E32FF">
      <w:pPr>
        <w:jc w:val="both"/>
        <w:rPr>
          <w:b/>
          <w:sz w:val="24"/>
        </w:rPr>
      </w:pPr>
    </w:p>
    <w:p w:rsidR="002E32FF" w:rsidRDefault="002E32FF">
      <w:pPr>
        <w:jc w:val="both"/>
        <w:rPr>
          <w:b/>
          <w:sz w:val="24"/>
        </w:rPr>
      </w:pPr>
    </w:p>
    <w:p w:rsidR="002E32FF" w:rsidRDefault="002E32FF">
      <w:pPr>
        <w:spacing w:line="480" w:lineRule="auto"/>
        <w:jc w:val="both"/>
        <w:rPr>
          <w:rFonts w:ascii="Arial" w:hAnsi="Arial"/>
          <w:sz w:val="24"/>
        </w:rPr>
      </w:pPr>
      <w:r>
        <w:rPr>
          <w:rFonts w:ascii="Arial" w:hAnsi="Arial"/>
          <w:sz w:val="24"/>
        </w:rPr>
        <w:t xml:space="preserve">    La estructura de este trabajo es la siguiente: El capítulo uno presenta aspectos generales y definiciones básicas sobre el mercado bursátil; el capítulo dos presenta el marco teórico relacionado con </w:t>
      </w:r>
      <w:smartTag w:uri="urn:schemas-microsoft-com:office:smarttags" w:element="PersonName">
        <w:smartTagPr>
          <w:attr w:name="ProductID" w:val="la Hip￳tesis"/>
        </w:smartTagPr>
        <w:r>
          <w:rPr>
            <w:rFonts w:ascii="Arial" w:hAnsi="Arial"/>
            <w:sz w:val="24"/>
          </w:rPr>
          <w:t>la Hipótesis</w:t>
        </w:r>
      </w:smartTag>
      <w:r>
        <w:rPr>
          <w:rFonts w:ascii="Arial" w:hAnsi="Arial"/>
          <w:sz w:val="24"/>
        </w:rPr>
        <w:t xml:space="preserve"> de Eficiencia de Mercado según Fama en el año 1970, y la utilización del Análisis Técnico como instrumento para obtener ganancias transando en el mercado bursátil; el capítulo tres muestra las principales pruebas a las que se expone frecuentemente </w:t>
      </w:r>
      <w:smartTag w:uri="urn:schemas-microsoft-com:office:smarttags" w:element="PersonName">
        <w:smartTagPr>
          <w:attr w:name="ProductID" w:val="la Hip￳tesis"/>
        </w:smartTagPr>
        <w:r>
          <w:rPr>
            <w:rFonts w:ascii="Arial" w:hAnsi="Arial"/>
            <w:sz w:val="24"/>
          </w:rPr>
          <w:t>la Hipótesis</w:t>
        </w:r>
      </w:smartTag>
      <w:r>
        <w:rPr>
          <w:rFonts w:ascii="Arial" w:hAnsi="Arial"/>
          <w:sz w:val="24"/>
        </w:rPr>
        <w:t xml:space="preserve"> de Eficiencia de Mercado, en su nivel débil, así como los hallazgos de trabajos relacionados con estos temas; el capítulo cuatro describe los datos y la metodología del presente estudio, que se enfoca en las pruebas sobre eficiencia de mercado, las herramientas de análisis técnico y osciladores aplicados a los índices bursátiles ecuatorianos; el capítulo cinco resume los resultados del estudio y, por último, se presentan las conclusiones y recomendaciones en el sexto capítulo.</w:t>
      </w: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rPr>
      </w:pPr>
    </w:p>
    <w:p w:rsidR="002E32FF" w:rsidRDefault="002E32FF">
      <w:pPr>
        <w:jc w:val="both"/>
        <w:rPr>
          <w:sz w:val="24"/>
          <w:lang w:val="es-ES_tradnl"/>
        </w:rPr>
        <w:sectPr w:rsidR="002E32FF">
          <w:footerReference w:type="default" r:id="rId12"/>
          <w:footerReference w:type="first" r:id="rId13"/>
          <w:type w:val="continuous"/>
          <w:pgSz w:w="11907" w:h="16840" w:code="9"/>
          <w:pgMar w:top="2268" w:right="1418" w:bottom="1701" w:left="2268" w:header="720" w:footer="720" w:gutter="0"/>
          <w:pgNumType w:start="9"/>
          <w:cols w:space="720"/>
          <w:titlePg/>
        </w:sect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spacing w:line="480" w:lineRule="auto"/>
        <w:jc w:val="center"/>
        <w:rPr>
          <w:rFonts w:ascii="Arial" w:hAnsi="Arial"/>
          <w:b/>
          <w:sz w:val="32"/>
          <w:lang w:val="es-ES_tradnl"/>
        </w:rPr>
      </w:pPr>
      <w:r>
        <w:rPr>
          <w:rFonts w:ascii="Arial" w:hAnsi="Arial"/>
          <w:b/>
          <w:sz w:val="32"/>
          <w:lang w:val="es-ES_tradnl"/>
        </w:rPr>
        <w:t>CAPÍTULO I</w:t>
      </w:r>
    </w:p>
    <w:p w:rsidR="002E32FF" w:rsidRDefault="002E32FF">
      <w:pPr>
        <w:spacing w:line="480" w:lineRule="auto"/>
        <w:jc w:val="center"/>
        <w:rPr>
          <w:rFonts w:ascii="Arial" w:hAnsi="Arial"/>
          <w:b/>
          <w:sz w:val="32"/>
          <w:lang w:val="es-ES_tradnl"/>
        </w:rPr>
      </w:pPr>
      <w:r>
        <w:rPr>
          <w:rFonts w:ascii="Arial" w:hAnsi="Arial"/>
          <w:b/>
          <w:sz w:val="32"/>
          <w:lang w:val="es-ES_tradnl"/>
        </w:rPr>
        <w:t xml:space="preserve"> MERCADO BURSÁTIL: ASPECTOS GENERALES</w:t>
      </w:r>
    </w:p>
    <w:p w:rsidR="002E32FF" w:rsidRDefault="002E32FF">
      <w:pPr>
        <w:jc w:val="both"/>
        <w:rPr>
          <w:rFonts w:ascii="Arial" w:hAnsi="Arial"/>
          <w:sz w:val="32"/>
          <w:lang w:val="es-ES_tradnl"/>
        </w:rPr>
      </w:pPr>
    </w:p>
    <w:p w:rsidR="002E32FF" w:rsidRDefault="002E32FF">
      <w:pPr>
        <w:jc w:val="both"/>
        <w:rPr>
          <w:rFonts w:ascii="Arial" w:hAnsi="Arial"/>
          <w:sz w:val="32"/>
          <w:lang w:val="es-ES_tradnl"/>
        </w:rPr>
      </w:pPr>
    </w:p>
    <w:p w:rsidR="002E32FF" w:rsidRDefault="002E32FF">
      <w:pPr>
        <w:numPr>
          <w:ilvl w:val="1"/>
          <w:numId w:val="6"/>
        </w:numPr>
        <w:ind w:left="540" w:hanging="540"/>
        <w:jc w:val="both"/>
        <w:rPr>
          <w:rFonts w:ascii="Arial" w:hAnsi="Arial"/>
          <w:b/>
          <w:sz w:val="28"/>
          <w:lang w:val="es-ES_tradnl"/>
        </w:rPr>
      </w:pPr>
      <w:r>
        <w:rPr>
          <w:rFonts w:ascii="Arial" w:hAnsi="Arial"/>
          <w:b/>
          <w:sz w:val="28"/>
          <w:lang w:val="es-ES_tradnl"/>
        </w:rPr>
        <w:t>Definición del Mercado Bursátil</w:t>
      </w:r>
    </w:p>
    <w:p w:rsidR="002E32FF" w:rsidRDefault="002E32FF">
      <w:pPr>
        <w:jc w:val="both"/>
        <w:rPr>
          <w:rFonts w:ascii="Arial" w:hAnsi="Arial"/>
          <w:b/>
          <w:sz w:val="28"/>
          <w:lang w:val="es-ES_tradnl"/>
        </w:rPr>
      </w:pPr>
    </w:p>
    <w:p w:rsidR="002E32FF" w:rsidRDefault="002E32FF">
      <w:pPr>
        <w:jc w:val="both"/>
        <w:rPr>
          <w:rFonts w:ascii="Arial" w:hAnsi="Arial"/>
          <w:sz w:val="28"/>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Según </w:t>
      </w:r>
      <w:smartTag w:uri="urn:schemas-microsoft-com:office:smarttags" w:element="PersonName">
        <w:smartTagPr>
          <w:attr w:name="ProductID" w:val="la LEY DE"/>
        </w:smartTagPr>
        <w:r>
          <w:rPr>
            <w:rFonts w:ascii="Arial" w:hAnsi="Arial"/>
            <w:sz w:val="24"/>
            <w:lang w:val="es-ES_tradnl"/>
          </w:rPr>
          <w:t>la LEY DE</w:t>
        </w:r>
      </w:smartTag>
      <w:r>
        <w:rPr>
          <w:rFonts w:ascii="Arial" w:hAnsi="Arial"/>
          <w:sz w:val="24"/>
          <w:lang w:val="es-ES_tradnl"/>
        </w:rPr>
        <w:t xml:space="preserve"> MERCADO DE VALORES,  Mercado Bursátil es el segmento del Mercado de Valores conformado por ofertas, demandas y negociaciones de valores inscritos tanto en el Registro del Mercado de Valores a cargo de </w:t>
      </w:r>
      <w:smartTag w:uri="urn:schemas-microsoft-com:office:smarttags" w:element="PersonName">
        <w:smartTagPr>
          <w:attr w:name="ProductID" w:val="la Superintendencia"/>
        </w:smartTagPr>
        <w:r>
          <w:rPr>
            <w:rFonts w:ascii="Arial" w:hAnsi="Arial"/>
            <w:sz w:val="24"/>
            <w:lang w:val="es-ES_tradnl"/>
          </w:rPr>
          <w:t>la Superintendencia</w:t>
        </w:r>
      </w:smartTag>
      <w:r>
        <w:rPr>
          <w:rFonts w:ascii="Arial" w:hAnsi="Arial"/>
          <w:sz w:val="24"/>
          <w:lang w:val="es-ES_tradnl"/>
        </w:rPr>
        <w:t xml:space="preserve"> de Compañías, como en las Bolsas de Valores; negociaciones realizadas en dichas Bolsas por los intermediarios de valores autorizados, de acuerdo con lo establecido en la mencionada Ley.</w:t>
      </w:r>
    </w:p>
    <w:p w:rsidR="002E32FF" w:rsidRDefault="002E32FF">
      <w:pPr>
        <w:spacing w:line="480" w:lineRule="auto"/>
        <w:jc w:val="both"/>
        <w:rPr>
          <w:rFonts w:ascii="Arial" w:hAnsi="Arial"/>
          <w:sz w:val="24"/>
          <w:lang w:val="es-ES_tradnl"/>
        </w:rPr>
      </w:pPr>
    </w:p>
    <w:p w:rsidR="002E32FF" w:rsidRDefault="002E32FF">
      <w:pPr>
        <w:jc w:val="both"/>
        <w:rPr>
          <w:rFonts w:ascii="Arial" w:hAnsi="Arial"/>
          <w:sz w:val="24"/>
          <w:lang w:val="es-ES_tradnl"/>
        </w:rPr>
      </w:pPr>
    </w:p>
    <w:p w:rsidR="002E32FF" w:rsidRDefault="002E32FF">
      <w:pPr>
        <w:jc w:val="both"/>
        <w:rPr>
          <w:rFonts w:ascii="Arial" w:hAnsi="Arial"/>
          <w:b/>
          <w:sz w:val="28"/>
          <w:lang w:val="es-ES_tradnl"/>
        </w:rPr>
      </w:pPr>
      <w:r>
        <w:rPr>
          <w:rFonts w:ascii="Arial" w:hAnsi="Arial"/>
          <w:b/>
          <w:sz w:val="28"/>
          <w:lang w:val="es-ES_tradnl"/>
        </w:rPr>
        <w:t>1.2  Antecedentes del Mercado Bursátil Ecuatoriano</w:t>
      </w:r>
    </w:p>
    <w:p w:rsidR="002E32FF" w:rsidRDefault="002E32FF">
      <w:pPr>
        <w:jc w:val="both"/>
        <w:rPr>
          <w:rFonts w:ascii="Arial" w:hAnsi="Arial"/>
          <w:b/>
          <w:sz w:val="28"/>
          <w:lang w:val="es-ES_tradnl"/>
        </w:rPr>
      </w:pPr>
    </w:p>
    <w:p w:rsidR="002E32FF" w:rsidRDefault="002E32FF">
      <w:pPr>
        <w:jc w:val="both"/>
        <w:rPr>
          <w:rFonts w:ascii="Arial" w:hAnsi="Arial"/>
          <w:sz w:val="28"/>
          <w:lang w:val="es-ES_tradnl"/>
        </w:rPr>
      </w:pPr>
      <w:r>
        <w:rPr>
          <w:rFonts w:ascii="Arial" w:hAnsi="Arial"/>
          <w:sz w:val="28"/>
          <w:lang w:val="es-ES_tradnl"/>
        </w:rPr>
        <w:t xml:space="preserve">     </w:t>
      </w:r>
    </w:p>
    <w:p w:rsidR="002E32FF" w:rsidRDefault="002E32FF">
      <w:pPr>
        <w:spacing w:line="480" w:lineRule="auto"/>
        <w:jc w:val="both"/>
        <w:rPr>
          <w:rFonts w:ascii="Arial" w:hAnsi="Arial"/>
          <w:sz w:val="24"/>
          <w:lang w:val="es-ES_tradnl"/>
        </w:rPr>
        <w:sectPr w:rsidR="002E32FF">
          <w:footerReference w:type="default" r:id="rId14"/>
          <w:type w:val="oddPage"/>
          <w:pgSz w:w="11907" w:h="16840" w:code="9"/>
          <w:pgMar w:top="2268" w:right="1418" w:bottom="1701" w:left="2268" w:header="720" w:footer="720" w:gutter="0"/>
          <w:pgNumType w:start="1"/>
          <w:cols w:space="720"/>
        </w:sectPr>
      </w:pPr>
      <w:r>
        <w:rPr>
          <w:rFonts w:ascii="Arial" w:hAnsi="Arial"/>
          <w:sz w:val="24"/>
          <w:lang w:val="es-ES_tradnl"/>
        </w:rPr>
        <w:t xml:space="preserve">    La existencia de las bolsas de valores en realidad tiene</w:t>
      </w:r>
    </w:p>
    <w:p w:rsidR="002E32FF" w:rsidRDefault="002E32FF">
      <w:pPr>
        <w:spacing w:line="480" w:lineRule="auto"/>
        <w:jc w:val="both"/>
        <w:rPr>
          <w:rFonts w:ascii="Arial" w:hAnsi="Arial"/>
          <w:sz w:val="24"/>
          <w:lang w:val="es-ES_tradnl"/>
        </w:rPr>
      </w:pPr>
      <w:r>
        <w:rPr>
          <w:rFonts w:ascii="Arial" w:hAnsi="Arial"/>
          <w:sz w:val="24"/>
          <w:lang w:val="es-ES_tradnl"/>
        </w:rPr>
        <w:t xml:space="preserve">    un origen muy remoto. Podría decirse que surgen cuando los antiguos mercaderes se reunían en algún lugar conocido con el propósito de comprar o vender sus productos primarios. A medida que pasó el tiempo fue ampliándose el espectro de los bienes objeto de intercambio, hasta llegar finalmente a la producción y negociación de productos más sofisticados y complejos como son los títulos o papeles representativos de derechos económicos, sean patrimoniales o crediticios.</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El establecimiento de las Bolsas de Valores en el Ecuador, no solamente que constituyó un proyecto largamente esperado, sino que también respondió a la evolución y naturaleza de los procesos económicos y comerciales que se vienen dando en nuestro país a través del tiempo. El punto fundamental fue la necesidad de proveer a los comerciantes, de un medio idóneo y moderno para distribuir la riqueza, promover el ahorro interno e impulsar su canalización hacia las actividades productivas.</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En resumen el mercado bursátil ecuatoriano ha tenido dos momentos de especial relevancia. El primero corresponde a la fundación de las bolsas de valores de Guayaquil y Quito, que tuvo lugar en 1969 en calidad de Compañías Anónimas.</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Veinte y cuatro años después, en 1993; el mercado de valores ecuatoriano en general se vio reestructurado por </w:t>
      </w:r>
      <w:smartTag w:uri="urn:schemas-microsoft-com:office:smarttags" w:element="PersonName">
        <w:smartTagPr>
          <w:attr w:name="ProductID" w:val="la Ley"/>
        </w:smartTagPr>
        <w:r>
          <w:rPr>
            <w:rFonts w:ascii="Arial" w:hAnsi="Arial"/>
            <w:sz w:val="24"/>
            <w:lang w:val="es-ES_tradnl"/>
          </w:rPr>
          <w:t>la Ley</w:t>
        </w:r>
      </w:smartTag>
      <w:r>
        <w:rPr>
          <w:rFonts w:ascii="Arial" w:hAnsi="Arial"/>
          <w:sz w:val="24"/>
          <w:lang w:val="es-ES_tradnl"/>
        </w:rPr>
        <w:t xml:space="preserve"> de Mercado de Valores, en la que se estableció la disposición de que las Bolsas se transformen en Corporaciones Civiles sin fines de lucro.</w:t>
      </w:r>
    </w:p>
    <w:p w:rsidR="002E32FF" w:rsidRDefault="002E32FF">
      <w:pPr>
        <w:spacing w:line="480" w:lineRule="auto"/>
        <w:jc w:val="both"/>
        <w:rPr>
          <w:rFonts w:ascii="Arial" w:hAnsi="Arial"/>
          <w:sz w:val="28"/>
          <w:lang w:val="es-ES_tradnl"/>
        </w:rPr>
      </w:pPr>
    </w:p>
    <w:p w:rsidR="002E32FF" w:rsidRDefault="002E32FF">
      <w:pPr>
        <w:pStyle w:val="Sangradetextonormal"/>
      </w:pPr>
      <w:r>
        <w:t>1.3 CARACTERÍSTICAS DEL MERCADO BURSÁTIL  ECUATORIANO</w:t>
      </w:r>
    </w:p>
    <w:p w:rsidR="002E32FF" w:rsidRDefault="002E32FF">
      <w:pPr>
        <w:spacing w:line="480" w:lineRule="auto"/>
        <w:jc w:val="both"/>
        <w:rPr>
          <w:rFonts w:ascii="Arial" w:hAnsi="Arial"/>
          <w:sz w:val="28"/>
          <w:lang w:val="es-ES_tradnl"/>
        </w:rPr>
      </w:pPr>
    </w:p>
    <w:p w:rsidR="002E32FF" w:rsidRDefault="002E32FF">
      <w:pPr>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Actualmente los mercados bursátiles son una importante fuente de financiamiento para proyectos de largo plazo y un atractivo para las inversiones internas y externas, de ahí que su desarrollo sea indispensable para lograr el crecimiento económico del país.</w:t>
      </w:r>
    </w:p>
    <w:p w:rsidR="002E32FF" w:rsidRDefault="002E32FF">
      <w:pPr>
        <w:spacing w:line="480" w:lineRule="auto"/>
        <w:ind w:firstLine="720"/>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El mercado bursátil ecuatoriano se encuentra segmentado por las operaciones que independientemente realizan las bolsas de valores de Guayaquil y Quito a raíz de un conflicto legal. La existencia de un mercado segmentado, con un mercado extrabursátil que no está regulado, que no tiene información de los precios, con un volumen de negociación insuficiente, no permite una adecuada formación de precios.</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El problema de la falta de una adecuada formación de los precios empeora en razón de que los principales inversores en el mercado, tales como los bancos y los fondos de inversión, no requieren definir en el mercado sus portafolios, que en su lugar son anotados bajo un sistema de devengamiento. El mercado en general sufre problemas de liquidez en ambos lados de la transacción; la mayoría de los títulos son muy propensos a factores de escasez y las emisiones son pequeñas y poco frecuentes, por lo tanto es común tener problemas en encontrar un título particular o más aún emisores. Sin embargo, la mayor parte del mercado conformado por las emisiones de los bancos poseen transacciones líquidas, las cuales dependen de las tasas de interés y cuando el mercado empieza a ser líquido los bancos cesan de comprar títulos-valores.</w:t>
      </w:r>
    </w:p>
    <w:p w:rsidR="002E32FF" w:rsidRDefault="002E32FF">
      <w:pPr>
        <w:spacing w:line="480" w:lineRule="auto"/>
        <w:ind w:firstLine="720"/>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El mercado bursátil es un reflejo de la situación macroeconómica del país y de los choques tanto externos como internos que han afectado en los últimos años. Si los sectores industriales y de servicios abrieran sus empresas hacia los recursos que el mercado puede proveer, permitirían un mayor crecimiento del sector real, dejando de depender de recursos más costosos como lo son los provenientes de la intermediación financiera.</w:t>
      </w:r>
    </w:p>
    <w:p w:rsidR="002E32FF" w:rsidRDefault="002E32FF">
      <w:pPr>
        <w:spacing w:line="480" w:lineRule="auto"/>
        <w:jc w:val="both"/>
        <w:rPr>
          <w:rFonts w:ascii="Arial" w:hAnsi="Arial"/>
          <w:sz w:val="24"/>
          <w:lang w:val="es-ES_tradnl"/>
        </w:rPr>
      </w:pPr>
    </w:p>
    <w:p w:rsidR="002E32FF" w:rsidRDefault="002E32FF">
      <w:pPr>
        <w:jc w:val="both"/>
        <w:rPr>
          <w:rFonts w:ascii="Arial" w:hAnsi="Arial"/>
          <w:sz w:val="24"/>
          <w:lang w:val="es-ES_tradnl"/>
        </w:rPr>
      </w:pPr>
    </w:p>
    <w:p w:rsidR="002E32FF" w:rsidRDefault="002E32FF">
      <w:pPr>
        <w:jc w:val="both"/>
        <w:rPr>
          <w:rFonts w:ascii="Arial" w:hAnsi="Arial"/>
          <w:b/>
          <w:sz w:val="28"/>
          <w:lang w:val="es-ES_tradnl"/>
        </w:rPr>
      </w:pPr>
      <w:r>
        <w:rPr>
          <w:rFonts w:ascii="Arial" w:hAnsi="Arial"/>
          <w:b/>
          <w:sz w:val="28"/>
          <w:lang w:val="es-ES_tradnl"/>
        </w:rPr>
        <w:t>1.4  DEFINICIÓN DE LAS BOLSAS DE VALORES</w:t>
      </w:r>
    </w:p>
    <w:p w:rsidR="002E32FF" w:rsidRDefault="002E32FF">
      <w:pPr>
        <w:jc w:val="both"/>
        <w:rPr>
          <w:rFonts w:ascii="Arial" w:hAnsi="Arial"/>
          <w:sz w:val="28"/>
          <w:lang w:val="es-ES_tradnl"/>
        </w:rPr>
      </w:pPr>
    </w:p>
    <w:p w:rsidR="002E32FF" w:rsidRDefault="002E32FF">
      <w:pPr>
        <w:jc w:val="both"/>
        <w:rPr>
          <w:rFonts w:ascii="Arial" w:hAnsi="Arial"/>
          <w:sz w:val="28"/>
          <w:lang w:val="es-ES_tradnl"/>
        </w:rPr>
      </w:pPr>
    </w:p>
    <w:p w:rsidR="002E32FF" w:rsidRDefault="002E32FF">
      <w:pPr>
        <w:jc w:val="both"/>
        <w:rPr>
          <w:rFonts w:ascii="Arial" w:hAnsi="Arial"/>
          <w:sz w:val="28"/>
          <w:lang w:val="es-ES_tradnl"/>
        </w:rPr>
      </w:pPr>
    </w:p>
    <w:p w:rsidR="002E32FF" w:rsidRDefault="002E32FF">
      <w:pPr>
        <w:tabs>
          <w:tab w:val="left" w:pos="1095"/>
        </w:tabs>
        <w:spacing w:line="480" w:lineRule="auto"/>
        <w:jc w:val="both"/>
        <w:rPr>
          <w:rFonts w:ascii="Arial" w:hAnsi="Arial"/>
          <w:sz w:val="24"/>
          <w:lang w:val="es-ES_tradnl"/>
        </w:rPr>
      </w:pPr>
      <w:r>
        <w:rPr>
          <w:rFonts w:ascii="Arial" w:hAnsi="Arial"/>
          <w:sz w:val="28"/>
          <w:lang w:val="es-ES_tradnl"/>
        </w:rPr>
        <w:t xml:space="preserve">    </w:t>
      </w:r>
      <w:smartTag w:uri="urn:schemas-microsoft-com:office:smarttags" w:element="PersonName">
        <w:smartTagPr>
          <w:attr w:name="ProductID" w:val="la Ley"/>
        </w:smartTagPr>
        <w:r>
          <w:rPr>
            <w:rFonts w:ascii="Arial" w:hAnsi="Arial"/>
            <w:sz w:val="24"/>
            <w:lang w:val="es-ES_tradnl"/>
          </w:rPr>
          <w:t>La Ley</w:t>
        </w:r>
      </w:smartTag>
      <w:r>
        <w:rPr>
          <w:rFonts w:ascii="Arial" w:hAnsi="Arial"/>
          <w:sz w:val="24"/>
          <w:lang w:val="es-ES_tradnl"/>
        </w:rPr>
        <w:t xml:space="preserve"> de Mercado de Valores; define a las Bolsas de Valores como las corporaciones civiles, sin fines de lucro, autorizadas y controladas por </w:t>
      </w:r>
      <w:smartTag w:uri="urn:schemas-microsoft-com:office:smarttags" w:element="PersonName">
        <w:smartTagPr>
          <w:attr w:name="ProductID" w:val="la Superintendencia"/>
        </w:smartTagPr>
        <w:r>
          <w:rPr>
            <w:rFonts w:ascii="Arial" w:hAnsi="Arial"/>
            <w:sz w:val="24"/>
            <w:lang w:val="es-ES_tradnl"/>
          </w:rPr>
          <w:t>la Superintendencia</w:t>
        </w:r>
      </w:smartTag>
      <w:r>
        <w:rPr>
          <w:rFonts w:ascii="Arial" w:hAnsi="Arial"/>
          <w:sz w:val="24"/>
          <w:lang w:val="es-ES_tradnl"/>
        </w:rPr>
        <w:t xml:space="preserve"> de Compañías, que tienen por objeto brindar a sus miembros los servicios y mecanismos requeridos para la negociación de valores.</w:t>
      </w:r>
    </w:p>
    <w:p w:rsidR="002E32FF" w:rsidRDefault="002E32FF">
      <w:pPr>
        <w:spacing w:line="480" w:lineRule="auto"/>
        <w:ind w:left="902" w:hanging="902"/>
        <w:jc w:val="both"/>
        <w:rPr>
          <w:rFonts w:ascii="Arial" w:hAnsi="Arial"/>
          <w:b/>
          <w:sz w:val="28"/>
          <w:lang w:val="es-ES_tradnl"/>
        </w:rPr>
      </w:pPr>
      <w:r>
        <w:rPr>
          <w:rFonts w:ascii="Arial" w:hAnsi="Arial"/>
          <w:b/>
          <w:sz w:val="28"/>
          <w:lang w:val="es-ES_tradnl"/>
        </w:rPr>
        <w:t xml:space="preserve">1.4.1 CARACTERÍSTICAS DE </w:t>
      </w:r>
      <w:smartTag w:uri="urn:schemas-microsoft-com:office:smarttags" w:element="PersonName">
        <w:smartTagPr>
          <w:attr w:name="ProductID" w:val="LA BOLSA DE"/>
        </w:smartTagPr>
        <w:r>
          <w:rPr>
            <w:rFonts w:ascii="Arial" w:hAnsi="Arial"/>
            <w:b/>
            <w:sz w:val="28"/>
            <w:lang w:val="es-ES_tradnl"/>
          </w:rPr>
          <w:t>LA BOLSA DE</w:t>
        </w:r>
      </w:smartTag>
      <w:r>
        <w:rPr>
          <w:rFonts w:ascii="Arial" w:hAnsi="Arial"/>
          <w:b/>
          <w:sz w:val="28"/>
          <w:lang w:val="es-ES_tradnl"/>
        </w:rPr>
        <w:t xml:space="preserve"> VALORES DE GUAYAQUIL</w:t>
      </w:r>
    </w:p>
    <w:p w:rsidR="002E32FF" w:rsidRDefault="002E32FF">
      <w:pPr>
        <w:jc w:val="both"/>
        <w:rPr>
          <w:rFonts w:ascii="Arial" w:hAnsi="Arial"/>
          <w:sz w:val="28"/>
          <w:lang w:val="es-ES_tradnl"/>
        </w:rPr>
      </w:pPr>
    </w:p>
    <w:p w:rsidR="002E32FF" w:rsidRDefault="002E32FF">
      <w:pPr>
        <w:tabs>
          <w:tab w:val="left" w:pos="1020"/>
        </w:tabs>
        <w:spacing w:line="480" w:lineRule="auto"/>
        <w:jc w:val="both"/>
        <w:rPr>
          <w:rFonts w:ascii="Arial" w:hAnsi="Arial"/>
          <w:sz w:val="24"/>
          <w:lang w:val="es-ES_tradnl"/>
        </w:rPr>
      </w:pPr>
      <w:r>
        <w:rPr>
          <w:rFonts w:ascii="Arial" w:hAnsi="Arial"/>
          <w:sz w:val="28"/>
          <w:lang w:val="es-ES_tradnl"/>
        </w:rPr>
        <w:t xml:space="preserve">    </w:t>
      </w:r>
      <w:smartTag w:uri="urn:schemas-microsoft-com:office:smarttags" w:element="PersonName">
        <w:smartTagPr>
          <w:attr w:name="ProductID" w:val="la Bolsa"/>
        </w:smartTagPr>
        <w:r>
          <w:rPr>
            <w:rFonts w:ascii="Arial" w:hAnsi="Arial"/>
            <w:sz w:val="24"/>
            <w:lang w:val="es-ES_tradnl"/>
          </w:rPr>
          <w:t>La Bolsa</w:t>
        </w:r>
      </w:smartTag>
      <w:r>
        <w:rPr>
          <w:rFonts w:ascii="Arial" w:hAnsi="Arial"/>
          <w:sz w:val="24"/>
          <w:lang w:val="es-ES_tradnl"/>
        </w:rPr>
        <w:t xml:space="preserve"> de Valores de Guayaquil provee el espacio físico, instalaciones, sistemas y toda la infraestructura institucional para que las negociaciones de títulos-valores se desarrollen en forma ordenada, transparente y segura. De esta manera la misión de </w:t>
      </w:r>
      <w:smartTag w:uri="urn:schemas-microsoft-com:office:smarttags" w:element="PersonName">
        <w:smartTagPr>
          <w:attr w:name="ProductID" w:val="la Bolsa"/>
        </w:smartTagPr>
        <w:r>
          <w:rPr>
            <w:rFonts w:ascii="Arial" w:hAnsi="Arial"/>
            <w:sz w:val="24"/>
            <w:lang w:val="es-ES_tradnl"/>
          </w:rPr>
          <w:t>la Bolsa</w:t>
        </w:r>
      </w:smartTag>
      <w:r>
        <w:rPr>
          <w:rFonts w:ascii="Arial" w:hAnsi="Arial"/>
          <w:sz w:val="24"/>
          <w:lang w:val="es-ES_tradnl"/>
        </w:rPr>
        <w:t xml:space="preserve"> de Valores de Guayaquil no es más que: “Desarrollar el Mercado de Capitales del Ecuador sustentado en principios de transparencia, seguridad y sana competencia, generando servicios transaccionales y de información de constante incorporación tecnológica, impulsando el desarrollo de la cultura financiera en la sociedad y la inserción del Ecuador en los mercados financieros internacionales”.</w:t>
      </w:r>
    </w:p>
    <w:p w:rsidR="002E32FF" w:rsidRDefault="002E32FF">
      <w:pPr>
        <w:tabs>
          <w:tab w:val="left" w:pos="1020"/>
        </w:tabs>
        <w:spacing w:line="480" w:lineRule="auto"/>
        <w:jc w:val="both"/>
        <w:rPr>
          <w:rFonts w:ascii="Arial" w:hAnsi="Arial"/>
          <w:sz w:val="24"/>
          <w:lang w:val="es-ES_tradnl"/>
        </w:rPr>
      </w:pPr>
    </w:p>
    <w:p w:rsidR="002E32FF" w:rsidRDefault="002E32FF">
      <w:pPr>
        <w:tabs>
          <w:tab w:val="left" w:pos="1020"/>
        </w:tabs>
        <w:spacing w:line="480" w:lineRule="auto"/>
        <w:jc w:val="both"/>
        <w:rPr>
          <w:rFonts w:ascii="Arial" w:hAnsi="Arial"/>
          <w:sz w:val="24"/>
          <w:lang w:val="es-ES_tradnl"/>
        </w:rPr>
      </w:pPr>
      <w:r>
        <w:rPr>
          <w:rFonts w:ascii="Arial" w:hAnsi="Arial"/>
          <w:sz w:val="24"/>
          <w:lang w:val="es-ES_tradnl"/>
        </w:rPr>
        <w:t xml:space="preserve">    Para cumplir con lo antes mencionado, esta institución espera  crear los medios necesarios para contribuir a lograr la distribución eficiente de la riqueza, así lo plantea en su visión.</w:t>
      </w:r>
    </w:p>
    <w:p w:rsidR="002E32FF" w:rsidRDefault="002E32FF">
      <w:pPr>
        <w:tabs>
          <w:tab w:val="left" w:pos="1020"/>
        </w:tabs>
        <w:spacing w:line="480" w:lineRule="auto"/>
        <w:jc w:val="both"/>
        <w:rPr>
          <w:rFonts w:ascii="Arial" w:hAnsi="Arial"/>
          <w:sz w:val="24"/>
          <w:lang w:val="es-ES_tradnl"/>
        </w:rPr>
      </w:pPr>
    </w:p>
    <w:p w:rsidR="002E32FF" w:rsidRDefault="002E32FF">
      <w:pPr>
        <w:spacing w:line="480" w:lineRule="auto"/>
        <w:ind w:left="902" w:hanging="902"/>
        <w:jc w:val="both"/>
        <w:rPr>
          <w:rFonts w:ascii="Arial" w:hAnsi="Arial"/>
          <w:b/>
          <w:sz w:val="28"/>
          <w:lang w:val="es-ES_tradnl"/>
        </w:rPr>
      </w:pPr>
    </w:p>
    <w:p w:rsidR="002E32FF" w:rsidRDefault="002E32FF">
      <w:pPr>
        <w:spacing w:line="480" w:lineRule="auto"/>
        <w:ind w:left="902" w:hanging="902"/>
        <w:jc w:val="both"/>
        <w:rPr>
          <w:rFonts w:ascii="Arial" w:hAnsi="Arial"/>
          <w:b/>
          <w:sz w:val="28"/>
          <w:lang w:val="es-ES_tradnl"/>
        </w:rPr>
      </w:pPr>
      <w:r>
        <w:rPr>
          <w:rFonts w:ascii="Arial" w:hAnsi="Arial"/>
          <w:b/>
          <w:sz w:val="28"/>
          <w:lang w:val="es-ES_tradnl"/>
        </w:rPr>
        <w:t xml:space="preserve">1.4.2 CARACTERÍSTICAS DE </w:t>
      </w:r>
      <w:smartTag w:uri="urn:schemas-microsoft-com:office:smarttags" w:element="PersonName">
        <w:smartTagPr>
          <w:attr w:name="ProductID" w:val="LA BOLSA DE"/>
        </w:smartTagPr>
        <w:r>
          <w:rPr>
            <w:rFonts w:ascii="Arial" w:hAnsi="Arial"/>
            <w:b/>
            <w:sz w:val="28"/>
            <w:lang w:val="es-ES_tradnl"/>
          </w:rPr>
          <w:t>LA BOLSA DE</w:t>
        </w:r>
      </w:smartTag>
      <w:r>
        <w:rPr>
          <w:rFonts w:ascii="Arial" w:hAnsi="Arial"/>
          <w:b/>
          <w:sz w:val="28"/>
          <w:lang w:val="es-ES_tradnl"/>
        </w:rPr>
        <w:t xml:space="preserve"> VALORES DE QUITO</w:t>
      </w:r>
    </w:p>
    <w:p w:rsidR="002E32FF" w:rsidRDefault="002E32FF">
      <w:pPr>
        <w:spacing w:line="480" w:lineRule="auto"/>
        <w:jc w:val="both"/>
        <w:rPr>
          <w:rFonts w:ascii="Arial" w:hAnsi="Arial"/>
          <w:b/>
          <w:sz w:val="28"/>
          <w:lang w:val="es-ES_tradnl"/>
        </w:rPr>
      </w:pPr>
    </w:p>
    <w:p w:rsidR="002E32FF" w:rsidRDefault="002E32FF">
      <w:pPr>
        <w:pStyle w:val="Textoindependiente2"/>
        <w:tabs>
          <w:tab w:val="clear" w:pos="1060"/>
          <w:tab w:val="left" w:pos="0"/>
        </w:tabs>
        <w:rPr>
          <w:rFonts w:eastAsia="Times New Roman"/>
          <w:sz w:val="24"/>
        </w:rPr>
      </w:pPr>
      <w:r>
        <w:rPr>
          <w:rFonts w:eastAsia="Times New Roman"/>
          <w:sz w:val="24"/>
        </w:rPr>
        <w:t xml:space="preserve">    </w:t>
      </w:r>
      <w:smartTag w:uri="urn:schemas-microsoft-com:office:smarttags" w:element="PersonName">
        <w:smartTagPr>
          <w:attr w:name="ProductID" w:val="la Bolsa"/>
        </w:smartTagPr>
        <w:r>
          <w:rPr>
            <w:rFonts w:eastAsia="Times New Roman"/>
            <w:sz w:val="24"/>
          </w:rPr>
          <w:t>La Bolsa</w:t>
        </w:r>
      </w:smartTag>
      <w:r>
        <w:rPr>
          <w:rFonts w:eastAsia="Times New Roman"/>
          <w:sz w:val="24"/>
        </w:rPr>
        <w:t xml:space="preserve"> de Valores de Quito es una corporación civil sin fines de lucro, autorizada y controlada por </w:t>
      </w:r>
      <w:smartTag w:uri="urn:schemas-microsoft-com:office:smarttags" w:element="PersonName">
        <w:smartTagPr>
          <w:attr w:name="ProductID" w:val="la Superintendencia"/>
        </w:smartTagPr>
        <w:r>
          <w:rPr>
            <w:rFonts w:eastAsia="Times New Roman"/>
            <w:sz w:val="24"/>
          </w:rPr>
          <w:t>la Superintendencia</w:t>
        </w:r>
      </w:smartTag>
      <w:r>
        <w:rPr>
          <w:rFonts w:eastAsia="Times New Roman"/>
          <w:sz w:val="24"/>
        </w:rPr>
        <w:t xml:space="preserve"> de Compañías, la cual tiene por objeto brindar a sus miembros el lugar físico, servicios y mecanismos requeridos para negociar los títulos - valores inscritos en ella. Son miembros de </w:t>
      </w:r>
      <w:smartTag w:uri="urn:schemas-microsoft-com:office:smarttags" w:element="PersonName">
        <w:smartTagPr>
          <w:attr w:name="ProductID" w:val="la Bolsa"/>
        </w:smartTagPr>
        <w:r>
          <w:rPr>
            <w:rFonts w:eastAsia="Times New Roman"/>
            <w:sz w:val="24"/>
          </w:rPr>
          <w:t>la Bolsa</w:t>
        </w:r>
      </w:smartTag>
      <w:r>
        <w:rPr>
          <w:rFonts w:eastAsia="Times New Roman"/>
          <w:sz w:val="24"/>
        </w:rPr>
        <w:t xml:space="preserve"> de Valores de Quito, las Casas de Valores autorizadas por </w:t>
      </w:r>
      <w:smartTag w:uri="urn:schemas-microsoft-com:office:smarttags" w:element="PersonName">
        <w:smartTagPr>
          <w:attr w:name="ProductID" w:val="la Superintendencia"/>
        </w:smartTagPr>
        <w:r>
          <w:rPr>
            <w:rFonts w:eastAsia="Times New Roman"/>
            <w:sz w:val="24"/>
          </w:rPr>
          <w:t>la Superintendencia</w:t>
        </w:r>
      </w:smartTag>
      <w:r>
        <w:rPr>
          <w:rFonts w:eastAsia="Times New Roman"/>
          <w:sz w:val="24"/>
        </w:rPr>
        <w:t xml:space="preserve"> de Compañías y que hayan sido admitidas como tales, luego de cumplir los requisitos previstos en el Reglamento y Estatutos de </w:t>
      </w:r>
      <w:smartTag w:uri="urn:schemas-microsoft-com:office:smarttags" w:element="PersonName">
        <w:smartTagPr>
          <w:attr w:name="ProductID" w:val="la Bolsa"/>
        </w:smartTagPr>
        <w:r>
          <w:rPr>
            <w:rFonts w:eastAsia="Times New Roman"/>
            <w:sz w:val="24"/>
          </w:rPr>
          <w:t>la Bolsa</w:t>
        </w:r>
      </w:smartTag>
      <w:r>
        <w:rPr>
          <w:rFonts w:eastAsia="Times New Roman"/>
          <w:sz w:val="24"/>
        </w:rPr>
        <w:t xml:space="preserve"> de Valores de Quito. Actualmente </w:t>
      </w:r>
      <w:smartTag w:uri="urn:schemas-microsoft-com:office:smarttags" w:element="PersonName">
        <w:smartTagPr>
          <w:attr w:name="ProductID" w:val="la Bolsa"/>
        </w:smartTagPr>
        <w:r>
          <w:rPr>
            <w:rFonts w:eastAsia="Times New Roman"/>
            <w:sz w:val="24"/>
          </w:rPr>
          <w:t>la Bolsa</w:t>
        </w:r>
      </w:smartTag>
      <w:r>
        <w:rPr>
          <w:rFonts w:eastAsia="Times New Roman"/>
          <w:sz w:val="24"/>
        </w:rPr>
        <w:t xml:space="preserve"> cuenta con 30 Casas de Valores miembros.</w:t>
      </w:r>
    </w:p>
    <w:p w:rsidR="002E32FF" w:rsidRDefault="002E32FF">
      <w:pPr>
        <w:tabs>
          <w:tab w:val="left" w:pos="0"/>
        </w:tabs>
        <w:spacing w:line="480" w:lineRule="auto"/>
        <w:jc w:val="both"/>
        <w:rPr>
          <w:rFonts w:ascii="Arial" w:hAnsi="Arial"/>
          <w:sz w:val="24"/>
          <w:lang w:val="es-ES_tradnl"/>
        </w:rPr>
      </w:pPr>
    </w:p>
    <w:p w:rsidR="002E32FF" w:rsidRDefault="002E32FF">
      <w:pPr>
        <w:tabs>
          <w:tab w:val="left" w:pos="0"/>
        </w:tabs>
        <w:spacing w:line="480" w:lineRule="auto"/>
        <w:jc w:val="both"/>
        <w:rPr>
          <w:rFonts w:ascii="Arial" w:hAnsi="Arial"/>
          <w:sz w:val="28"/>
          <w:lang w:val="es-ES_tradnl"/>
        </w:rPr>
      </w:pPr>
      <w:r>
        <w:rPr>
          <w:rFonts w:ascii="Arial" w:hAnsi="Arial"/>
          <w:sz w:val="24"/>
          <w:lang w:val="es-ES_tradnl"/>
        </w:rPr>
        <w:t xml:space="preserve">    Cabe Recalcar que esta Institución en su nueva etapa busca adecuarse positivamente a los requerimientos y exigencias de un mercado dinámico, eficiente y especializado. Su Plan Estratégico de acción, establece como misión fundamental la de: “Ser la institución natural del mercado de capitales que ofrece el medio eficaz para lograr los mejores precios de los títulos - valores al más bajo costo y en el menor tiempo de transacción”. Para cumplir este propósito se ha creado una nueva estructura orgánica-funcional adoptada; de la modernización efectuada en las instalaciones y procedimientos; del funcionamiento eficiente de la rueda electrónica de negociaciones y del cumplimiento diario de valores como la transparencia, independencia, autorregulación, profesionalismo y liderazgo</w:t>
      </w:r>
      <w:r>
        <w:rPr>
          <w:rFonts w:ascii="Arial" w:hAnsi="Arial"/>
          <w:sz w:val="28"/>
          <w:lang w:val="es-ES_tradnl"/>
        </w:rPr>
        <w:t>.</w:t>
      </w:r>
    </w:p>
    <w:p w:rsidR="002E32FF" w:rsidRDefault="002E32FF">
      <w:pPr>
        <w:tabs>
          <w:tab w:val="left" w:pos="0"/>
        </w:tabs>
        <w:spacing w:line="480" w:lineRule="auto"/>
        <w:jc w:val="both"/>
        <w:rPr>
          <w:rFonts w:ascii="Arial" w:hAnsi="Arial"/>
          <w:sz w:val="28"/>
          <w:lang w:val="es-ES_tradnl"/>
        </w:rPr>
      </w:pPr>
    </w:p>
    <w:p w:rsidR="002E32FF" w:rsidRDefault="002E32FF">
      <w:pPr>
        <w:tabs>
          <w:tab w:val="left" w:pos="0"/>
        </w:tabs>
        <w:spacing w:line="480" w:lineRule="auto"/>
        <w:jc w:val="both"/>
        <w:rPr>
          <w:rFonts w:ascii="Arial" w:hAnsi="Arial"/>
          <w:sz w:val="28"/>
          <w:lang w:val="es-ES_tradnl"/>
        </w:rPr>
      </w:pPr>
    </w:p>
    <w:p w:rsidR="002E32FF" w:rsidRDefault="002E32FF">
      <w:pPr>
        <w:tabs>
          <w:tab w:val="left" w:pos="0"/>
        </w:tabs>
        <w:spacing w:line="480" w:lineRule="auto"/>
        <w:jc w:val="both"/>
        <w:rPr>
          <w:rFonts w:ascii="Arial" w:hAnsi="Arial"/>
          <w:sz w:val="28"/>
          <w:lang w:val="es-ES_tradnl"/>
        </w:rPr>
      </w:pPr>
    </w:p>
    <w:p w:rsidR="002E32FF" w:rsidRDefault="002E32FF">
      <w:pPr>
        <w:tabs>
          <w:tab w:val="left" w:pos="0"/>
        </w:tabs>
        <w:spacing w:line="480" w:lineRule="auto"/>
        <w:jc w:val="both"/>
        <w:rPr>
          <w:rFonts w:ascii="Arial" w:hAnsi="Arial"/>
          <w:sz w:val="28"/>
          <w:lang w:val="es-ES_tradnl"/>
        </w:rPr>
      </w:pPr>
    </w:p>
    <w:p w:rsidR="002E32FF" w:rsidRDefault="002E32FF">
      <w:pPr>
        <w:spacing w:line="480" w:lineRule="auto"/>
        <w:ind w:left="902" w:hanging="902"/>
        <w:jc w:val="both"/>
        <w:rPr>
          <w:rFonts w:ascii="Arial" w:hAnsi="Arial"/>
          <w:b/>
          <w:sz w:val="28"/>
          <w:lang w:val="es-ES_tradnl"/>
        </w:rPr>
      </w:pPr>
      <w:r>
        <w:rPr>
          <w:rFonts w:ascii="Arial" w:hAnsi="Arial"/>
          <w:b/>
          <w:sz w:val="28"/>
          <w:lang w:val="es-ES_tradnl"/>
        </w:rPr>
        <w:t>1.4.3   DEFINICIÓN DE MERCADO PRIMARIO Y SECUNDARIO</w:t>
      </w:r>
    </w:p>
    <w:p w:rsidR="002E32FF" w:rsidRDefault="002E32FF">
      <w:pPr>
        <w:spacing w:line="480" w:lineRule="auto"/>
        <w:ind w:left="902" w:hanging="902"/>
        <w:jc w:val="both"/>
        <w:rPr>
          <w:rFonts w:ascii="Arial" w:hAnsi="Arial"/>
          <w:b/>
          <w:sz w:val="28"/>
          <w:lang w:val="es-ES_tradnl"/>
        </w:rPr>
      </w:pPr>
    </w:p>
    <w:p w:rsidR="002E32FF" w:rsidRDefault="002E32FF">
      <w:pPr>
        <w:jc w:val="both"/>
        <w:rPr>
          <w:rFonts w:ascii="Arial" w:hAnsi="Arial"/>
          <w:b/>
          <w:sz w:val="28"/>
          <w:lang w:val="es-ES_tradnl"/>
        </w:rPr>
      </w:pPr>
      <w:r>
        <w:rPr>
          <w:rFonts w:ascii="Arial" w:hAnsi="Arial"/>
          <w:b/>
          <w:sz w:val="28"/>
          <w:lang w:val="es-ES_tradnl"/>
        </w:rPr>
        <w:t>Mercado Primario</w:t>
      </w:r>
    </w:p>
    <w:p w:rsidR="002E32FF" w:rsidRDefault="002E32FF">
      <w:pPr>
        <w:jc w:val="both"/>
        <w:rPr>
          <w:rFonts w:ascii="Arial" w:hAnsi="Arial"/>
          <w:sz w:val="28"/>
          <w:lang w:val="es-ES_tradnl"/>
        </w:rPr>
      </w:pPr>
    </w:p>
    <w:p w:rsidR="002E32FF" w:rsidRDefault="002E32FF">
      <w:pPr>
        <w:jc w:val="both"/>
        <w:rPr>
          <w:rFonts w:ascii="Arial" w:hAnsi="Arial"/>
          <w:sz w:val="28"/>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Según </w:t>
      </w:r>
      <w:smartTag w:uri="urn:schemas-microsoft-com:office:smarttags" w:element="PersonName">
        <w:smartTagPr>
          <w:attr w:name="ProductID" w:val="la Ley"/>
        </w:smartTagPr>
        <w:r>
          <w:rPr>
            <w:rFonts w:ascii="Arial" w:hAnsi="Arial"/>
            <w:sz w:val="24"/>
            <w:lang w:val="es-ES_tradnl"/>
          </w:rPr>
          <w:t>la Ley</w:t>
        </w:r>
      </w:smartTag>
      <w:r>
        <w:rPr>
          <w:rFonts w:ascii="Arial" w:hAnsi="Arial"/>
          <w:sz w:val="24"/>
          <w:lang w:val="es-ES_tradnl"/>
        </w:rPr>
        <w:t xml:space="preserve"> de Mercado de Valores, el mercado primario es aquel en que los compradores y el emisor participan directamente o a través de intermediarios, en la compraventa de valores de renta fija o variable y determinación de los precios ofrecidos al público por primera vez.</w:t>
      </w:r>
    </w:p>
    <w:p w:rsidR="002E32FF" w:rsidRDefault="002E32FF">
      <w:pPr>
        <w:jc w:val="both"/>
        <w:rPr>
          <w:rFonts w:ascii="Arial" w:hAnsi="Arial"/>
          <w:sz w:val="24"/>
          <w:lang w:val="es-ES_tradnl"/>
        </w:rPr>
      </w:pPr>
    </w:p>
    <w:p w:rsidR="002E32FF" w:rsidRDefault="002E32FF">
      <w:pPr>
        <w:jc w:val="both"/>
        <w:rPr>
          <w:rFonts w:ascii="Arial" w:hAnsi="Arial"/>
          <w:sz w:val="24"/>
          <w:lang w:val="es-ES_tradnl"/>
        </w:rPr>
      </w:pPr>
    </w:p>
    <w:p w:rsidR="002E32FF" w:rsidRDefault="002E32FF">
      <w:pPr>
        <w:jc w:val="both"/>
        <w:rPr>
          <w:rFonts w:ascii="Arial" w:hAnsi="Arial"/>
          <w:b/>
          <w:sz w:val="28"/>
          <w:lang w:val="es-ES_tradnl"/>
        </w:rPr>
      </w:pPr>
    </w:p>
    <w:p w:rsidR="002E32FF" w:rsidRDefault="002E32FF">
      <w:pPr>
        <w:jc w:val="both"/>
        <w:rPr>
          <w:rFonts w:ascii="Arial" w:hAnsi="Arial"/>
          <w:b/>
          <w:sz w:val="28"/>
          <w:lang w:val="es-ES_tradnl"/>
        </w:rPr>
      </w:pPr>
      <w:r>
        <w:rPr>
          <w:rFonts w:ascii="Arial" w:hAnsi="Arial"/>
          <w:b/>
          <w:sz w:val="28"/>
          <w:lang w:val="es-ES_tradnl"/>
        </w:rPr>
        <w:t>Mercado Secundario</w:t>
      </w:r>
    </w:p>
    <w:p w:rsidR="002E32FF" w:rsidRDefault="002E32FF">
      <w:pPr>
        <w:jc w:val="both"/>
        <w:rPr>
          <w:rFonts w:ascii="Arial" w:hAnsi="Arial"/>
          <w:sz w:val="28"/>
          <w:lang w:val="es-ES_tradnl"/>
        </w:rPr>
      </w:pPr>
    </w:p>
    <w:p w:rsidR="002E32FF" w:rsidRDefault="002E32FF">
      <w:pPr>
        <w:jc w:val="both"/>
        <w:rPr>
          <w:rFonts w:ascii="Arial" w:hAnsi="Arial"/>
          <w:sz w:val="28"/>
          <w:lang w:val="es-ES_tradnl"/>
        </w:rPr>
      </w:pPr>
    </w:p>
    <w:p w:rsidR="002E32FF" w:rsidRDefault="002E32FF">
      <w:pPr>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La  misma Ley, define al mercado secundario como aquel que comprende las operaciones o negociaciones que se realizan con posterioridad a la primera colocación; por lo tanto los recursos provenientes de aquellas, los reciben sus vendedores.</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8"/>
          <w:lang w:val="es-ES_tradnl"/>
        </w:rPr>
      </w:pPr>
    </w:p>
    <w:p w:rsidR="002E32FF" w:rsidRDefault="002E32FF">
      <w:pPr>
        <w:numPr>
          <w:ilvl w:val="2"/>
          <w:numId w:val="2"/>
        </w:numPr>
        <w:jc w:val="both"/>
        <w:rPr>
          <w:rFonts w:ascii="Arial" w:eastAsia="Arial Unicode MS" w:hAnsi="Arial"/>
          <w:b/>
          <w:sz w:val="28"/>
          <w:lang w:val="es-EC"/>
        </w:rPr>
      </w:pPr>
      <w:r>
        <w:rPr>
          <w:rFonts w:ascii="Arial" w:eastAsia="Arial Unicode MS" w:hAnsi="Arial"/>
          <w:b/>
          <w:sz w:val="28"/>
          <w:lang w:val="es-EC"/>
        </w:rPr>
        <w:t>PRINCIPALES ÍNDICES BURSÁTILES ECUATORIANOS.</w:t>
      </w:r>
    </w:p>
    <w:p w:rsidR="002E32FF" w:rsidRDefault="002E32FF">
      <w:pPr>
        <w:jc w:val="both"/>
        <w:rPr>
          <w:rFonts w:ascii="Arial" w:eastAsia="Arial Unicode MS" w:hAnsi="Arial"/>
          <w:b/>
          <w:sz w:val="28"/>
          <w:lang w:val="es-EC"/>
        </w:rPr>
      </w:pPr>
    </w:p>
    <w:p w:rsidR="002E32FF" w:rsidRDefault="002E32FF">
      <w:pPr>
        <w:jc w:val="both"/>
        <w:rPr>
          <w:rFonts w:ascii="Arial" w:eastAsia="Arial Unicode MS" w:hAnsi="Arial"/>
          <w:b/>
          <w:sz w:val="28"/>
          <w:lang w:val="es-EC"/>
        </w:rPr>
      </w:pPr>
    </w:p>
    <w:p w:rsidR="002E32FF" w:rsidRDefault="002E32FF">
      <w:pPr>
        <w:jc w:val="both"/>
        <w:rPr>
          <w:rFonts w:ascii="Arial" w:eastAsia="Arial Unicode MS" w:hAnsi="Arial"/>
          <w:b/>
          <w:sz w:val="28"/>
          <w:lang w:val="es-EC"/>
        </w:rPr>
      </w:pPr>
    </w:p>
    <w:p w:rsidR="002E32FF" w:rsidRDefault="002E32FF">
      <w:pPr>
        <w:spacing w:line="480" w:lineRule="auto"/>
        <w:jc w:val="both"/>
        <w:rPr>
          <w:rFonts w:ascii="Arial" w:eastAsia="Arial Unicode MS" w:hAnsi="Arial"/>
          <w:sz w:val="24"/>
          <w:lang w:val="es-EC"/>
        </w:rPr>
      </w:pPr>
      <w:r>
        <w:rPr>
          <w:rFonts w:ascii="Arial" w:eastAsia="Arial Unicode MS" w:hAnsi="Arial"/>
          <w:sz w:val="24"/>
          <w:lang w:val="es-EC"/>
        </w:rPr>
        <w:t xml:space="preserve">    Dentro de los principales índices bursátiles ecuatorianos tenemos:</w:t>
      </w:r>
    </w:p>
    <w:p w:rsidR="002E32FF" w:rsidRDefault="002E32FF">
      <w:pPr>
        <w:spacing w:line="480" w:lineRule="auto"/>
        <w:ind w:left="720"/>
        <w:jc w:val="both"/>
        <w:rPr>
          <w:rFonts w:ascii="Arial" w:eastAsia="Arial Unicode MS" w:hAnsi="Arial"/>
          <w:sz w:val="24"/>
          <w:lang w:val="es-EC"/>
        </w:rPr>
      </w:pPr>
    </w:p>
    <w:p w:rsidR="002E32FF" w:rsidRDefault="002E32FF">
      <w:pPr>
        <w:pStyle w:val="Textocomentario"/>
        <w:numPr>
          <w:ilvl w:val="0"/>
          <w:numId w:val="11"/>
        </w:numPr>
        <w:tabs>
          <w:tab w:val="clear" w:pos="360"/>
          <w:tab w:val="num" w:pos="1418"/>
        </w:tabs>
        <w:spacing w:line="480" w:lineRule="auto"/>
        <w:ind w:left="1418" w:hanging="425"/>
        <w:jc w:val="both"/>
        <w:rPr>
          <w:rFonts w:eastAsia="Arial Unicode MS"/>
          <w:sz w:val="24"/>
          <w:lang w:val="es-EC"/>
        </w:rPr>
      </w:pPr>
      <w:r>
        <w:rPr>
          <w:rFonts w:ascii="Arial" w:eastAsia="Arial Unicode MS" w:hAnsi="Arial"/>
          <w:b/>
          <w:sz w:val="24"/>
          <w:lang w:val="es-EC"/>
        </w:rPr>
        <w:t>ECUINDEX:</w:t>
      </w:r>
      <w:r>
        <w:rPr>
          <w:rFonts w:ascii="Arial" w:eastAsia="Arial Unicode MS" w:hAnsi="Arial"/>
          <w:sz w:val="24"/>
          <w:lang w:val="es-EC"/>
        </w:rPr>
        <w:t xml:space="preserve"> </w:t>
      </w:r>
      <w:r>
        <w:rPr>
          <w:rFonts w:ascii="Arial" w:hAnsi="Arial"/>
          <w:sz w:val="24"/>
          <w:lang w:val="es-ES_tradnl"/>
        </w:rPr>
        <w:t xml:space="preserve">Es el Índice Nacional de Precios y Cotizaciones del Mercado Ecuatoriano. Es un índice accionario que refleja adecuadamente el desenvolvimiento del mercado bursátil nacional en su conjunto. A continuación encontramos la fórmula de cálculo:                                                                                                                               </w:t>
      </w:r>
      <w:r w:rsidR="005D7CF4">
        <w:rPr>
          <w:rFonts w:ascii="Verdana" w:hAnsi="Verdana"/>
          <w:noProof/>
          <w:color w:val="808080"/>
          <w:sz w:val="24"/>
          <w:lang w:eastAsia="es-ES"/>
        </w:rPr>
        <w:drawing>
          <wp:inline distT="0" distB="0" distL="0" distR="0">
            <wp:extent cx="4508500" cy="635000"/>
            <wp:effectExtent l="19050" t="0" r="6350" b="0"/>
            <wp:docPr id="2" name="Imagen 2" descr="img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ecu"/>
                    <pic:cNvPicPr>
                      <a:picLocks noChangeAspect="1" noChangeArrowheads="1"/>
                    </pic:cNvPicPr>
                  </pic:nvPicPr>
                  <pic:blipFill>
                    <a:blip r:embed="rId15"/>
                    <a:srcRect/>
                    <a:stretch>
                      <a:fillRect/>
                    </a:stretch>
                  </pic:blipFill>
                  <pic:spPr bwMode="auto">
                    <a:xfrm>
                      <a:off x="0" y="0"/>
                      <a:ext cx="4508500" cy="635000"/>
                    </a:xfrm>
                    <a:prstGeom prst="rect">
                      <a:avLst/>
                    </a:prstGeom>
                    <a:noFill/>
                    <a:ln w="9525">
                      <a:noFill/>
                      <a:miter lim="800000"/>
                      <a:headEnd/>
                      <a:tailEnd/>
                    </a:ln>
                  </pic:spPr>
                </pic:pic>
              </a:graphicData>
            </a:graphic>
          </wp:inline>
        </w:drawing>
      </w:r>
      <w:r>
        <w:rPr>
          <w:sz w:val="24"/>
          <w:lang w:val="es-ES_tradnl"/>
        </w:rPr>
        <w:t xml:space="preserve"> </w:t>
      </w:r>
    </w:p>
    <w:p w:rsidR="002E32FF" w:rsidRDefault="002E32FF">
      <w:pPr>
        <w:pStyle w:val="Textocomentario"/>
        <w:spacing w:line="480" w:lineRule="auto"/>
        <w:ind w:left="1418"/>
        <w:jc w:val="both"/>
        <w:rPr>
          <w:rFonts w:ascii="Arial" w:eastAsia="Arial Unicode MS" w:hAnsi="Arial"/>
          <w:sz w:val="24"/>
          <w:lang w:val="es-EC"/>
        </w:rPr>
      </w:pPr>
      <w:r>
        <w:rPr>
          <w:rFonts w:ascii="Arial" w:eastAsia="Arial Unicode MS" w:hAnsi="Arial"/>
          <w:sz w:val="24"/>
          <w:lang w:val="es-EC"/>
        </w:rPr>
        <w:t>Donde:</w:t>
      </w:r>
    </w:p>
    <w:p w:rsidR="002E32FF" w:rsidRDefault="002E32FF">
      <w:pPr>
        <w:pStyle w:val="Textocomentario"/>
        <w:spacing w:line="480" w:lineRule="auto"/>
        <w:ind w:left="993"/>
        <w:jc w:val="both"/>
        <w:rPr>
          <w:rFonts w:ascii="Arial" w:eastAsia="Arial Unicode MS" w:hAnsi="Arial"/>
          <w:color w:val="000000"/>
          <w:sz w:val="24"/>
          <w:lang w:val="es-EC"/>
        </w:rPr>
      </w:pPr>
      <w:r>
        <w:rPr>
          <w:rFonts w:ascii="Arial" w:eastAsia="Arial Unicode MS" w:hAnsi="Arial"/>
          <w:sz w:val="24"/>
          <w:lang w:val="es-EC"/>
        </w:rPr>
        <w:t xml:space="preserve">     </w:t>
      </w:r>
      <w:r>
        <w:rPr>
          <w:rFonts w:ascii="Arial" w:hAnsi="Arial"/>
          <w:color w:val="000000"/>
          <w:sz w:val="24"/>
        </w:rPr>
        <w:t>PN = Precio de cada acción en el día de cálculo</w:t>
      </w:r>
      <w:r>
        <w:rPr>
          <w:rFonts w:ascii="Arial" w:hAnsi="Arial"/>
          <w:color w:val="000000"/>
          <w:sz w:val="24"/>
        </w:rPr>
        <w:br/>
        <w:t xml:space="preserve">     PB = Precio de cada acción en el día base</w:t>
      </w:r>
      <w:r>
        <w:rPr>
          <w:rFonts w:ascii="Arial" w:hAnsi="Arial"/>
          <w:color w:val="000000"/>
          <w:sz w:val="24"/>
        </w:rPr>
        <w:br/>
        <w:t xml:space="preserve">     C.B.I.S. (i) = Número de acciones circulantes por el           </w:t>
      </w:r>
      <w:r>
        <w:rPr>
          <w:rFonts w:ascii="Arial" w:hAnsi="Arial"/>
          <w:color w:val="000000"/>
          <w:sz w:val="24"/>
        </w:rPr>
        <w:br/>
        <w:t xml:space="preserve">     precio de la compañía i en el día inicial del semestre</w:t>
      </w:r>
      <w:r>
        <w:rPr>
          <w:rFonts w:ascii="Arial" w:hAnsi="Arial"/>
          <w:color w:val="000000"/>
          <w:sz w:val="24"/>
        </w:rPr>
        <w:br/>
        <w:t xml:space="preserve">      F = Factor de Corrección.</w:t>
      </w:r>
    </w:p>
    <w:p w:rsidR="002E32FF" w:rsidRDefault="002E32FF">
      <w:pPr>
        <w:numPr>
          <w:ilvl w:val="0"/>
          <w:numId w:val="5"/>
        </w:numPr>
        <w:spacing w:line="480" w:lineRule="auto"/>
        <w:jc w:val="both"/>
        <w:rPr>
          <w:rFonts w:ascii="Arial" w:eastAsia="Arial Unicode MS" w:hAnsi="Arial"/>
          <w:sz w:val="24"/>
          <w:lang w:val="es-EC"/>
        </w:rPr>
      </w:pPr>
      <w:r>
        <w:rPr>
          <w:rFonts w:ascii="Arial" w:eastAsia="Arial Unicode MS" w:hAnsi="Arial"/>
          <w:b/>
          <w:sz w:val="24"/>
          <w:lang w:val="es-EC"/>
        </w:rPr>
        <w:t>IRECU:</w:t>
      </w:r>
      <w:r>
        <w:rPr>
          <w:rFonts w:ascii="Arial" w:eastAsia="Arial Unicode MS" w:hAnsi="Arial"/>
          <w:sz w:val="24"/>
          <w:lang w:val="es-EC"/>
        </w:rPr>
        <w:t xml:space="preserve"> Sus siglas significan </w:t>
      </w:r>
      <w:r>
        <w:rPr>
          <w:rFonts w:ascii="Arial" w:hAnsi="Arial"/>
          <w:sz w:val="24"/>
          <w:lang w:val="es-ES_tradnl"/>
        </w:rPr>
        <w:t>Índice de Rendimientos del Mercado de Valores Ecuatoriano. Es un índice de rendimientos porque además de las ganancias de capital, reconoce las ganancias percibidas bajo la forma de dividendos en efectivo.</w:t>
      </w:r>
    </w:p>
    <w:p w:rsidR="002E32FF" w:rsidRDefault="002E32FF">
      <w:pPr>
        <w:spacing w:line="480" w:lineRule="auto"/>
        <w:ind w:left="1080"/>
        <w:jc w:val="both"/>
        <w:rPr>
          <w:rFonts w:ascii="Arial" w:eastAsia="Arial Unicode MS" w:hAnsi="Arial"/>
          <w:sz w:val="24"/>
          <w:lang w:val="es-EC"/>
        </w:rPr>
      </w:pPr>
    </w:p>
    <w:p w:rsidR="002E32FF" w:rsidRDefault="002E32FF">
      <w:pPr>
        <w:spacing w:line="480" w:lineRule="auto"/>
        <w:ind w:left="1418"/>
        <w:jc w:val="both"/>
        <w:rPr>
          <w:rFonts w:ascii="Arial" w:hAnsi="Arial"/>
          <w:sz w:val="24"/>
          <w:lang w:val="es-ES_tradnl"/>
        </w:rPr>
      </w:pPr>
      <w:r>
        <w:rPr>
          <w:rFonts w:eastAsia="Arial Unicode MS"/>
          <w:b/>
          <w:sz w:val="24"/>
          <w:lang w:val="es-EC"/>
        </w:rPr>
        <w:t xml:space="preserve">    </w:t>
      </w:r>
      <w:r>
        <w:rPr>
          <w:rFonts w:ascii="Arial" w:hAnsi="Arial"/>
          <w:sz w:val="24"/>
        </w:rPr>
        <w:t>El índice de rendimientos se calcula con la misma metodología empleada para el índice de precios IPECU, pero considerándose además ajustes por el pago de dividendos en efectivo.</w:t>
      </w:r>
      <w:r>
        <w:rPr>
          <w:rFonts w:ascii="Arial" w:hAnsi="Arial"/>
          <w:sz w:val="24"/>
          <w:lang w:val="es-ES_tradnl"/>
        </w:rPr>
        <w:t xml:space="preserve"> </w:t>
      </w:r>
      <w:r>
        <w:rPr>
          <w:rFonts w:ascii="Arial" w:hAnsi="Arial"/>
          <w:sz w:val="24"/>
        </w:rPr>
        <w:t xml:space="preserve">Cuando un emisor decrete un pago de dividendos en efectivo, se aplicará la siguiente fórmula: </w:t>
      </w:r>
      <w:r>
        <w:rPr>
          <w:rFonts w:ascii="Arial" w:hAnsi="Arial"/>
          <w:b/>
          <w:sz w:val="24"/>
          <w:lang w:val="es-ES_tradnl"/>
        </w:rPr>
        <w:t>CMAi = CMi + Di</w:t>
      </w:r>
      <w:r>
        <w:rPr>
          <w:rFonts w:ascii="Arial" w:hAnsi="Arial"/>
          <w:sz w:val="24"/>
          <w:lang w:val="es-ES_tradnl"/>
        </w:rPr>
        <w:t>, donde:</w:t>
      </w:r>
    </w:p>
    <w:p w:rsidR="002E32FF" w:rsidRDefault="002E32FF">
      <w:pPr>
        <w:pStyle w:val="Sangra3detindependiente"/>
        <w:spacing w:line="480" w:lineRule="auto"/>
        <w:rPr>
          <w:rFonts w:eastAsia="Arial Unicode MS"/>
          <w:sz w:val="24"/>
          <w:lang w:val="es-EC"/>
        </w:rPr>
      </w:pPr>
      <w:r>
        <w:rPr>
          <w:sz w:val="24"/>
        </w:rPr>
        <w:t>CMAi= capitalización de mercado ajustada</w:t>
      </w:r>
      <w:r>
        <w:rPr>
          <w:sz w:val="24"/>
        </w:rPr>
        <w:br/>
        <w:t>CMi = capitalización de mercado en el periodo i</w:t>
      </w:r>
      <w:r>
        <w:rPr>
          <w:sz w:val="24"/>
        </w:rPr>
        <w:br/>
        <w:t>Di = total de dividendos pagados en efectivo en el periodo i</w:t>
      </w:r>
    </w:p>
    <w:p w:rsidR="002E32FF" w:rsidRDefault="002E32FF">
      <w:pPr>
        <w:numPr>
          <w:ilvl w:val="0"/>
          <w:numId w:val="5"/>
        </w:numPr>
        <w:spacing w:line="480" w:lineRule="auto"/>
        <w:jc w:val="both"/>
        <w:rPr>
          <w:rFonts w:ascii="Arial" w:eastAsia="Arial Unicode MS" w:hAnsi="Arial"/>
          <w:sz w:val="24"/>
          <w:lang w:val="es-EC"/>
        </w:rPr>
      </w:pPr>
      <w:r>
        <w:rPr>
          <w:rFonts w:ascii="Arial" w:eastAsia="Arial Unicode MS" w:hAnsi="Arial"/>
          <w:b/>
          <w:sz w:val="24"/>
          <w:lang w:val="es-EC"/>
        </w:rPr>
        <w:t xml:space="preserve">IPECU: </w:t>
      </w:r>
      <w:r>
        <w:rPr>
          <w:rFonts w:ascii="Arial" w:eastAsia="Arial Unicode MS" w:hAnsi="Arial"/>
          <w:sz w:val="24"/>
          <w:lang w:val="es-EC"/>
        </w:rPr>
        <w:t xml:space="preserve">Sus siglas significan </w:t>
      </w:r>
      <w:r>
        <w:rPr>
          <w:rFonts w:ascii="Arial" w:hAnsi="Arial"/>
          <w:sz w:val="24"/>
          <w:lang w:val="es-ES_tradnl"/>
        </w:rPr>
        <w:t>Índice de Precios del Mercado de Valores Ecuatoriano. Este índice mide las ganancias de capital que el inversionista obtiene producto de la variación que experimentan los precios de las acciones en el mercado nacional.</w:t>
      </w:r>
    </w:p>
    <w:p w:rsidR="002E32FF" w:rsidRDefault="002E32FF">
      <w:pPr>
        <w:spacing w:line="480" w:lineRule="auto"/>
        <w:ind w:left="1080"/>
        <w:jc w:val="both"/>
        <w:rPr>
          <w:rFonts w:ascii="Arial" w:eastAsia="Arial Unicode MS" w:hAnsi="Arial"/>
          <w:sz w:val="24"/>
          <w:lang w:val="es-EC"/>
        </w:rPr>
      </w:pPr>
    </w:p>
    <w:p w:rsidR="002E32FF" w:rsidRDefault="002E32FF">
      <w:pPr>
        <w:pStyle w:val="Sangra3detindependiente"/>
        <w:spacing w:line="480" w:lineRule="auto"/>
        <w:rPr>
          <w:sz w:val="24"/>
        </w:rPr>
      </w:pPr>
      <w:r>
        <w:rPr>
          <w:sz w:val="24"/>
        </w:rPr>
        <w:t xml:space="preserve">    La fórmula de cálculo se basa en la metodología utilizada por </w:t>
      </w:r>
      <w:smartTag w:uri="urn:schemas-microsoft-com:office:smarttags" w:element="PersonName">
        <w:smartTagPr>
          <w:attr w:name="ProductID" w:val="la Corporaci￳n Financiera"/>
        </w:smartTagPr>
        <w:r>
          <w:rPr>
            <w:sz w:val="24"/>
          </w:rPr>
          <w:t>la Corporación Financiera</w:t>
        </w:r>
      </w:smartTag>
      <w:r>
        <w:rPr>
          <w:sz w:val="24"/>
        </w:rPr>
        <w:t xml:space="preserve"> Internacional (IFC), cuya fórmula es la siguiente: </w:t>
      </w:r>
    </w:p>
    <w:p w:rsidR="002E32FF" w:rsidRDefault="002E32FF">
      <w:pPr>
        <w:spacing w:line="480" w:lineRule="auto"/>
        <w:ind w:left="1418"/>
        <w:jc w:val="both"/>
        <w:rPr>
          <w:rFonts w:ascii="Arial" w:hAnsi="Arial"/>
          <w:sz w:val="24"/>
          <w:lang w:val="es-ES_tradnl"/>
        </w:rPr>
      </w:pPr>
      <w:r>
        <w:rPr>
          <w:rFonts w:ascii="Arial" w:hAnsi="Arial"/>
          <w:sz w:val="24"/>
          <w:lang w:val="es-ES_tradnl"/>
        </w:rPr>
        <w:t xml:space="preserve">IPECU = (CMi/Bi)*100; donde: </w:t>
      </w:r>
    </w:p>
    <w:p w:rsidR="002E32FF" w:rsidRDefault="002E32FF">
      <w:pPr>
        <w:spacing w:line="480" w:lineRule="auto"/>
        <w:ind w:left="1418"/>
        <w:jc w:val="both"/>
        <w:rPr>
          <w:rFonts w:ascii="Arial" w:hAnsi="Arial"/>
          <w:sz w:val="24"/>
          <w:lang w:val="es-ES_tradnl"/>
        </w:rPr>
      </w:pPr>
      <w:r>
        <w:rPr>
          <w:rFonts w:ascii="Arial" w:hAnsi="Arial"/>
          <w:sz w:val="24"/>
          <w:lang w:val="es-ES_tradnl"/>
        </w:rPr>
        <w:t>i = Periodo corriente.</w:t>
      </w:r>
      <w:r>
        <w:rPr>
          <w:rFonts w:ascii="Arial" w:hAnsi="Arial"/>
          <w:sz w:val="24"/>
          <w:lang w:val="es-ES_tradnl"/>
        </w:rPr>
        <w:br/>
        <w:t>Bi = Base al tiempo i = B</w:t>
      </w:r>
      <w:r>
        <w:rPr>
          <w:rFonts w:ascii="Arial" w:hAnsi="Arial"/>
          <w:sz w:val="24"/>
          <w:vertAlign w:val="subscript"/>
          <w:lang w:val="es-ES_tradnl"/>
        </w:rPr>
        <w:t>i-1</w:t>
      </w:r>
      <w:r>
        <w:rPr>
          <w:rFonts w:ascii="Arial" w:hAnsi="Arial"/>
          <w:sz w:val="24"/>
          <w:lang w:val="es-ES_tradnl"/>
        </w:rPr>
        <w:t>* (CMi/CMAi).</w:t>
      </w:r>
      <w:r>
        <w:rPr>
          <w:rFonts w:ascii="Arial" w:hAnsi="Arial"/>
          <w:sz w:val="24"/>
          <w:lang w:val="es-ES_tradnl"/>
        </w:rPr>
        <w:br/>
        <w:t>CMi = Capitalización de mercado total de los miembros  de la cartera.</w:t>
      </w:r>
      <w:r>
        <w:rPr>
          <w:rFonts w:ascii="Arial" w:hAnsi="Arial"/>
          <w:sz w:val="24"/>
          <w:lang w:val="es-ES_tradnl"/>
        </w:rPr>
        <w:br/>
        <w:t xml:space="preserve">CMAi = Capitalización de mercado total ajustada. El factor CMAi se calcula cuando ocurre alguno de los siguientes casos: </w:t>
      </w:r>
    </w:p>
    <w:p w:rsidR="002E32FF" w:rsidRDefault="002E32FF">
      <w:pPr>
        <w:pStyle w:val="Sangra3detindependiente"/>
        <w:spacing w:line="480" w:lineRule="auto"/>
        <w:rPr>
          <w:sz w:val="24"/>
        </w:rPr>
      </w:pPr>
      <w:r>
        <w:rPr>
          <w:sz w:val="24"/>
        </w:rPr>
        <w:t xml:space="preserve">1) Emisión de nuevas acciones. </w:t>
      </w:r>
      <w:r>
        <w:rPr>
          <w:sz w:val="24"/>
        </w:rPr>
        <w:br/>
        <w:t>2)  Cambios en la cartera del índice.</w:t>
      </w:r>
    </w:p>
    <w:p w:rsidR="002E32FF" w:rsidRDefault="002E32FF">
      <w:pPr>
        <w:spacing w:line="480" w:lineRule="auto"/>
        <w:ind w:left="1418"/>
        <w:jc w:val="both"/>
        <w:rPr>
          <w:rFonts w:ascii="Arial" w:hAnsi="Arial"/>
          <w:sz w:val="24"/>
          <w:lang w:val="es-ES_tradnl"/>
        </w:rPr>
      </w:pPr>
      <w:r>
        <w:rPr>
          <w:rFonts w:ascii="Arial" w:hAnsi="Arial"/>
          <w:sz w:val="24"/>
          <w:lang w:val="es-ES_tradnl"/>
        </w:rPr>
        <w:t xml:space="preserve">    Para el cálculo diario de los índices se considerará el precio de cierre de la acción ya sea en </w:t>
      </w:r>
      <w:smartTag w:uri="urn:schemas-microsoft-com:office:smarttags" w:element="PersonName">
        <w:smartTagPr>
          <w:attr w:name="ProductID" w:val="la Bolsa"/>
        </w:smartTagPr>
        <w:r>
          <w:rPr>
            <w:rFonts w:ascii="Arial" w:hAnsi="Arial"/>
            <w:sz w:val="24"/>
            <w:lang w:val="es-ES_tradnl"/>
          </w:rPr>
          <w:t>la Bolsa</w:t>
        </w:r>
      </w:smartTag>
      <w:r>
        <w:rPr>
          <w:rFonts w:ascii="Arial" w:hAnsi="Arial"/>
          <w:sz w:val="24"/>
          <w:lang w:val="es-ES_tradnl"/>
        </w:rPr>
        <w:t xml:space="preserve"> de Guayaquil o en </w:t>
      </w:r>
      <w:smartTag w:uri="urn:schemas-microsoft-com:office:smarttags" w:element="PersonName">
        <w:smartTagPr>
          <w:attr w:name="ProductID" w:val="la Bolsa"/>
        </w:smartTagPr>
        <w:r>
          <w:rPr>
            <w:rFonts w:ascii="Arial" w:hAnsi="Arial"/>
            <w:sz w:val="24"/>
            <w:lang w:val="es-ES_tradnl"/>
          </w:rPr>
          <w:t>la Bolsa</w:t>
        </w:r>
      </w:smartTag>
      <w:r>
        <w:rPr>
          <w:rFonts w:ascii="Arial" w:hAnsi="Arial"/>
          <w:sz w:val="24"/>
          <w:lang w:val="es-ES_tradnl"/>
        </w:rPr>
        <w:t xml:space="preserve"> de Quito. En el caso de que hubiere cotizado en ambas, se escogerá aquel que se haya registrado en la bolsa donde el emisor sea más líquido. Para efectos de medir la liquidez, se realizará un análisis trimestral móvil para ambas bolsas, y en base a este se fijarán los precios de cierre para el siguiente mes.</w:t>
      </w:r>
    </w:p>
    <w:p w:rsidR="002E32FF" w:rsidRDefault="002E32FF">
      <w:pPr>
        <w:spacing w:line="480" w:lineRule="auto"/>
        <w:jc w:val="both"/>
        <w:rPr>
          <w:rFonts w:ascii="Arial" w:eastAsia="Arial Unicode MS" w:hAnsi="Arial"/>
          <w:b/>
          <w:sz w:val="28"/>
          <w:lang w:val="es-EC"/>
        </w:rPr>
      </w:pPr>
    </w:p>
    <w:p w:rsidR="002E32FF" w:rsidRDefault="002E32FF">
      <w:pPr>
        <w:jc w:val="both"/>
        <w:rPr>
          <w:rFonts w:ascii="Arial" w:hAnsi="Arial"/>
          <w:sz w:val="28"/>
        </w:rPr>
      </w:pPr>
    </w:p>
    <w:p w:rsidR="002E32FF" w:rsidRDefault="002E32FF">
      <w:pPr>
        <w:spacing w:line="480" w:lineRule="auto"/>
        <w:ind w:left="1134" w:hanging="1134"/>
        <w:jc w:val="both"/>
        <w:rPr>
          <w:rFonts w:ascii="Arial" w:eastAsia="Arial Unicode MS" w:hAnsi="Arial"/>
          <w:b/>
          <w:sz w:val="28"/>
          <w:lang w:val="es-EC"/>
        </w:rPr>
      </w:pPr>
      <w:r>
        <w:rPr>
          <w:rFonts w:ascii="Arial" w:eastAsia="Arial Unicode MS" w:hAnsi="Arial"/>
          <w:b/>
          <w:sz w:val="28"/>
          <w:lang w:val="es-EC"/>
        </w:rPr>
        <w:t>1.5  ORGANISMOS RECTORES DEL MERCADO DE VALORES.</w:t>
      </w:r>
    </w:p>
    <w:p w:rsidR="002E32FF" w:rsidRDefault="002E32FF">
      <w:pPr>
        <w:pStyle w:val="Textoindependiente2"/>
        <w:tabs>
          <w:tab w:val="clear" w:pos="1060"/>
        </w:tabs>
        <w:rPr>
          <w:lang w:val="es-ES"/>
        </w:rPr>
      </w:pPr>
    </w:p>
    <w:p w:rsidR="002E32FF" w:rsidRDefault="002E32FF">
      <w:pPr>
        <w:pStyle w:val="Textoindependiente2"/>
        <w:tabs>
          <w:tab w:val="clear" w:pos="1060"/>
        </w:tabs>
        <w:rPr>
          <w:sz w:val="24"/>
          <w:lang w:val="es-ES"/>
        </w:rPr>
      </w:pPr>
      <w:r>
        <w:rPr>
          <w:lang w:val="es-ES"/>
        </w:rPr>
        <w:t xml:space="preserve">    </w:t>
      </w:r>
      <w:r>
        <w:rPr>
          <w:sz w:val="24"/>
          <w:lang w:val="es-ES"/>
        </w:rPr>
        <w:t xml:space="preserve">El Consejo Nacional de Valores y </w:t>
      </w:r>
      <w:smartTag w:uri="urn:schemas-microsoft-com:office:smarttags" w:element="PersonName">
        <w:smartTagPr>
          <w:attr w:name="ProductID" w:val="la Superintendencia"/>
        </w:smartTagPr>
        <w:r>
          <w:rPr>
            <w:sz w:val="24"/>
            <w:lang w:val="es-ES"/>
          </w:rPr>
          <w:t>la Superintendencia</w:t>
        </w:r>
      </w:smartTag>
      <w:r>
        <w:rPr>
          <w:sz w:val="24"/>
          <w:lang w:val="es-ES"/>
        </w:rPr>
        <w:t xml:space="preserve"> de Compañías, son los organismos regulador y de control, respectivamente.</w:t>
      </w:r>
    </w:p>
    <w:p w:rsidR="002E32FF" w:rsidRDefault="002E32FF">
      <w:pPr>
        <w:spacing w:line="480" w:lineRule="auto"/>
        <w:jc w:val="both"/>
        <w:rPr>
          <w:rFonts w:ascii="Arial" w:eastAsia="Arial Unicode MS" w:hAnsi="Arial"/>
          <w:sz w:val="28"/>
        </w:rPr>
      </w:pPr>
    </w:p>
    <w:p w:rsidR="002E32FF" w:rsidRDefault="002E32FF">
      <w:pPr>
        <w:spacing w:line="480" w:lineRule="auto"/>
        <w:jc w:val="both"/>
        <w:rPr>
          <w:rFonts w:ascii="Arial" w:eastAsia="Arial Unicode MS" w:hAnsi="Arial"/>
          <w:sz w:val="28"/>
        </w:rPr>
      </w:pPr>
    </w:p>
    <w:p w:rsidR="002E32FF" w:rsidRDefault="002E32FF">
      <w:pPr>
        <w:spacing w:line="480" w:lineRule="auto"/>
        <w:jc w:val="both"/>
        <w:rPr>
          <w:rFonts w:ascii="Arial" w:eastAsia="Arial Unicode MS" w:hAnsi="Arial"/>
          <w:b/>
          <w:sz w:val="28"/>
        </w:rPr>
      </w:pPr>
      <w:r>
        <w:rPr>
          <w:rFonts w:ascii="Arial" w:eastAsia="Arial Unicode MS" w:hAnsi="Arial"/>
          <w:b/>
          <w:sz w:val="28"/>
        </w:rPr>
        <w:t>1.5.1  Consejo Nacional de Valores</w:t>
      </w:r>
    </w:p>
    <w:p w:rsidR="002E32FF" w:rsidRDefault="002E32FF">
      <w:pPr>
        <w:spacing w:line="480" w:lineRule="auto"/>
        <w:jc w:val="both"/>
        <w:rPr>
          <w:rFonts w:ascii="Arial" w:eastAsia="Arial Unicode MS" w:hAnsi="Arial"/>
          <w:sz w:val="28"/>
        </w:rPr>
      </w:pPr>
    </w:p>
    <w:p w:rsidR="002E32FF" w:rsidRDefault="002E32FF">
      <w:pPr>
        <w:spacing w:line="480" w:lineRule="auto"/>
        <w:jc w:val="both"/>
        <w:rPr>
          <w:rFonts w:ascii="Arial" w:eastAsia="Arial Unicode MS" w:hAnsi="Arial"/>
          <w:sz w:val="24"/>
        </w:rPr>
      </w:pPr>
      <w:r>
        <w:rPr>
          <w:rFonts w:ascii="Arial" w:eastAsia="Arial Unicode MS" w:hAnsi="Arial"/>
          <w:sz w:val="28"/>
        </w:rPr>
        <w:t xml:space="preserve">    </w:t>
      </w:r>
      <w:r>
        <w:rPr>
          <w:rFonts w:ascii="Arial" w:eastAsia="Arial Unicode MS" w:hAnsi="Arial"/>
          <w:sz w:val="24"/>
        </w:rPr>
        <w:t xml:space="preserve">Para establecer la política general del mercado de valores y regular su funcionamiento, se crea adscrito a </w:t>
      </w:r>
      <w:smartTag w:uri="urn:schemas-microsoft-com:office:smarttags" w:element="PersonName">
        <w:smartTagPr>
          <w:attr w:name="ProductID" w:val="la Superintendencia"/>
        </w:smartTagPr>
        <w:r>
          <w:rPr>
            <w:rFonts w:ascii="Arial" w:eastAsia="Arial Unicode MS" w:hAnsi="Arial"/>
            <w:sz w:val="24"/>
          </w:rPr>
          <w:t>la Superintendencia</w:t>
        </w:r>
      </w:smartTag>
      <w:r>
        <w:rPr>
          <w:rFonts w:ascii="Arial" w:eastAsia="Arial Unicode MS" w:hAnsi="Arial"/>
          <w:sz w:val="24"/>
        </w:rPr>
        <w:t xml:space="preserve"> de Compañías, como órgano rector del mercado de valores, el Consejo Nacional de Valores (C.N.V.), el mismo que estará integrado por siete miembros:</w:t>
      </w:r>
    </w:p>
    <w:p w:rsidR="002E32FF" w:rsidRDefault="002E32FF">
      <w:pPr>
        <w:spacing w:line="480" w:lineRule="auto"/>
        <w:jc w:val="both"/>
        <w:rPr>
          <w:rFonts w:ascii="Arial" w:eastAsia="Arial Unicode MS" w:hAnsi="Arial"/>
          <w:sz w:val="24"/>
        </w:rPr>
      </w:pPr>
    </w:p>
    <w:p w:rsidR="002E32FF" w:rsidRDefault="002E32FF">
      <w:pPr>
        <w:spacing w:line="480" w:lineRule="auto"/>
        <w:jc w:val="both"/>
        <w:rPr>
          <w:rFonts w:ascii="Arial" w:eastAsia="Arial Unicode MS" w:hAnsi="Arial"/>
          <w:sz w:val="24"/>
        </w:rPr>
      </w:pPr>
      <w:r>
        <w:rPr>
          <w:rFonts w:ascii="Arial" w:eastAsia="Arial Unicode MS" w:hAnsi="Arial"/>
          <w:sz w:val="24"/>
        </w:rPr>
        <w:t xml:space="preserve">    Cuatro del sector público:</w:t>
      </w:r>
    </w:p>
    <w:p w:rsidR="002E32FF" w:rsidRDefault="002E32FF">
      <w:pPr>
        <w:numPr>
          <w:ilvl w:val="0"/>
          <w:numId w:val="12"/>
        </w:numPr>
        <w:spacing w:line="480" w:lineRule="auto"/>
        <w:jc w:val="both"/>
        <w:rPr>
          <w:rFonts w:ascii="Arial" w:eastAsia="Arial Unicode MS" w:hAnsi="Arial"/>
          <w:sz w:val="24"/>
        </w:rPr>
      </w:pPr>
      <w:r>
        <w:rPr>
          <w:rFonts w:ascii="Arial" w:eastAsia="Arial Unicode MS" w:hAnsi="Arial"/>
          <w:sz w:val="24"/>
        </w:rPr>
        <w:t>El Superintendente de Compañías, quien lo presidirá;</w:t>
      </w:r>
    </w:p>
    <w:p w:rsidR="002E32FF" w:rsidRDefault="002E32FF">
      <w:pPr>
        <w:numPr>
          <w:ilvl w:val="0"/>
          <w:numId w:val="12"/>
        </w:numPr>
        <w:spacing w:line="480" w:lineRule="auto"/>
        <w:jc w:val="both"/>
        <w:rPr>
          <w:rFonts w:ascii="Arial" w:eastAsia="Arial Unicode MS" w:hAnsi="Arial"/>
          <w:sz w:val="24"/>
        </w:rPr>
      </w:pPr>
      <w:r>
        <w:rPr>
          <w:rFonts w:ascii="Arial" w:eastAsia="Arial Unicode MS" w:hAnsi="Arial"/>
          <w:sz w:val="24"/>
        </w:rPr>
        <w:t xml:space="preserve">Un delegado del Presidente de </w:t>
      </w:r>
      <w:smartTag w:uri="urn:schemas-microsoft-com:office:smarttags" w:element="PersonName">
        <w:smartTagPr>
          <w:attr w:name="ProductID" w:val="la Rep￺blica"/>
        </w:smartTagPr>
        <w:r>
          <w:rPr>
            <w:rFonts w:ascii="Arial" w:eastAsia="Arial Unicode MS" w:hAnsi="Arial"/>
            <w:sz w:val="24"/>
          </w:rPr>
          <w:t>la República</w:t>
        </w:r>
      </w:smartTag>
      <w:r>
        <w:rPr>
          <w:rFonts w:ascii="Arial" w:eastAsia="Arial Unicode MS" w:hAnsi="Arial"/>
          <w:sz w:val="24"/>
        </w:rPr>
        <w:t>;</w:t>
      </w:r>
    </w:p>
    <w:p w:rsidR="002E32FF" w:rsidRDefault="002E32FF">
      <w:pPr>
        <w:numPr>
          <w:ilvl w:val="0"/>
          <w:numId w:val="12"/>
        </w:numPr>
        <w:spacing w:line="480" w:lineRule="auto"/>
        <w:jc w:val="both"/>
        <w:rPr>
          <w:rFonts w:ascii="Arial" w:eastAsia="Arial Unicode MS" w:hAnsi="Arial"/>
          <w:sz w:val="24"/>
        </w:rPr>
      </w:pPr>
      <w:r>
        <w:rPr>
          <w:rFonts w:ascii="Arial" w:eastAsia="Arial Unicode MS" w:hAnsi="Arial"/>
          <w:sz w:val="24"/>
        </w:rPr>
        <w:t>El Superintendente de Bancos; y</w:t>
      </w:r>
    </w:p>
    <w:p w:rsidR="002E32FF" w:rsidRDefault="002E32FF">
      <w:pPr>
        <w:numPr>
          <w:ilvl w:val="0"/>
          <w:numId w:val="12"/>
        </w:numPr>
        <w:spacing w:line="480" w:lineRule="auto"/>
        <w:jc w:val="both"/>
        <w:rPr>
          <w:rFonts w:ascii="Arial" w:eastAsia="Arial Unicode MS" w:hAnsi="Arial"/>
          <w:sz w:val="24"/>
        </w:rPr>
      </w:pPr>
      <w:r>
        <w:rPr>
          <w:rFonts w:ascii="Arial" w:eastAsia="Arial Unicode MS" w:hAnsi="Arial"/>
          <w:sz w:val="24"/>
        </w:rPr>
        <w:t>El Presidente del Directorio del Banco Central del Ecuador.</w:t>
      </w:r>
    </w:p>
    <w:p w:rsidR="002E32FF" w:rsidRDefault="002E32FF">
      <w:pPr>
        <w:spacing w:line="480" w:lineRule="auto"/>
        <w:jc w:val="both"/>
        <w:rPr>
          <w:rFonts w:ascii="Arial" w:eastAsia="Arial Unicode MS" w:hAnsi="Arial"/>
          <w:sz w:val="24"/>
        </w:rPr>
      </w:pPr>
    </w:p>
    <w:p w:rsidR="002E32FF" w:rsidRDefault="002E32FF">
      <w:pPr>
        <w:spacing w:line="480" w:lineRule="auto"/>
        <w:jc w:val="both"/>
        <w:rPr>
          <w:rFonts w:ascii="Arial" w:eastAsia="Arial Unicode MS" w:hAnsi="Arial"/>
          <w:sz w:val="24"/>
        </w:rPr>
      </w:pPr>
      <w:r>
        <w:rPr>
          <w:rFonts w:ascii="Arial" w:eastAsia="Arial Unicode MS" w:hAnsi="Arial"/>
          <w:sz w:val="24"/>
        </w:rPr>
        <w:t xml:space="preserve">    Tres del sector privado, designados por el Presidente de </w:t>
      </w:r>
      <w:smartTag w:uri="urn:schemas-microsoft-com:office:smarttags" w:element="PersonName">
        <w:smartTagPr>
          <w:attr w:name="ProductID" w:val="la Rep￺blica"/>
        </w:smartTagPr>
        <w:r>
          <w:rPr>
            <w:rFonts w:ascii="Arial" w:eastAsia="Arial Unicode MS" w:hAnsi="Arial"/>
            <w:sz w:val="24"/>
          </w:rPr>
          <w:t>la República</w:t>
        </w:r>
      </w:smartTag>
      <w:r>
        <w:rPr>
          <w:rFonts w:ascii="Arial" w:eastAsia="Arial Unicode MS" w:hAnsi="Arial"/>
          <w:sz w:val="24"/>
        </w:rPr>
        <w:t xml:space="preserve"> de las ternas enviadas por el Superintendente de Compañías.</w:t>
      </w:r>
    </w:p>
    <w:p w:rsidR="002E32FF" w:rsidRDefault="002E32FF">
      <w:pPr>
        <w:spacing w:line="480" w:lineRule="auto"/>
        <w:jc w:val="both"/>
        <w:rPr>
          <w:rFonts w:ascii="Arial" w:eastAsia="Arial Unicode MS" w:hAnsi="Arial"/>
          <w:sz w:val="24"/>
        </w:rPr>
      </w:pPr>
    </w:p>
    <w:p w:rsidR="002E32FF" w:rsidRDefault="002E32FF">
      <w:pPr>
        <w:spacing w:line="480" w:lineRule="auto"/>
        <w:jc w:val="both"/>
        <w:rPr>
          <w:rFonts w:ascii="Arial" w:eastAsia="Arial Unicode MS" w:hAnsi="Arial"/>
          <w:sz w:val="24"/>
        </w:rPr>
      </w:pPr>
      <w:r>
        <w:rPr>
          <w:rFonts w:ascii="Arial" w:eastAsia="Arial Unicode MS" w:hAnsi="Arial"/>
          <w:sz w:val="24"/>
        </w:rPr>
        <w:t xml:space="preserve">    Dentro de las atribuciones del C.N.V. tenemos:</w:t>
      </w:r>
    </w:p>
    <w:p w:rsidR="002E32FF" w:rsidRDefault="002E32FF">
      <w:pPr>
        <w:spacing w:line="480" w:lineRule="auto"/>
        <w:jc w:val="both"/>
        <w:rPr>
          <w:rFonts w:ascii="Arial" w:eastAsia="Arial Unicode MS" w:hAnsi="Arial"/>
          <w:sz w:val="24"/>
        </w:rPr>
      </w:pPr>
    </w:p>
    <w:p w:rsidR="002E32FF" w:rsidRDefault="002E32FF">
      <w:pPr>
        <w:numPr>
          <w:ilvl w:val="0"/>
          <w:numId w:val="3"/>
        </w:numPr>
        <w:spacing w:line="480" w:lineRule="auto"/>
        <w:jc w:val="both"/>
        <w:rPr>
          <w:rFonts w:ascii="Arial" w:eastAsia="Arial Unicode MS" w:hAnsi="Arial"/>
          <w:sz w:val="24"/>
          <w:lang w:val="es-EC"/>
        </w:rPr>
      </w:pPr>
      <w:r>
        <w:rPr>
          <w:rFonts w:ascii="Arial" w:eastAsia="Arial Unicode MS" w:hAnsi="Arial"/>
          <w:sz w:val="24"/>
          <w:lang w:val="es-EC"/>
        </w:rPr>
        <w:t>Establecer la política general del mercado de valores y regular su funcionamiento.</w:t>
      </w:r>
    </w:p>
    <w:p w:rsidR="002E32FF" w:rsidRDefault="002E32FF">
      <w:pPr>
        <w:numPr>
          <w:ilvl w:val="0"/>
          <w:numId w:val="3"/>
        </w:numPr>
        <w:spacing w:line="480" w:lineRule="auto"/>
        <w:jc w:val="both"/>
        <w:rPr>
          <w:rFonts w:ascii="Arial" w:eastAsia="Arial Unicode MS" w:hAnsi="Arial"/>
          <w:sz w:val="24"/>
          <w:lang w:val="es-EC"/>
        </w:rPr>
      </w:pPr>
      <w:r>
        <w:rPr>
          <w:rFonts w:ascii="Arial" w:eastAsia="Arial Unicode MS" w:hAnsi="Arial"/>
          <w:sz w:val="24"/>
          <w:lang w:val="es-EC"/>
        </w:rPr>
        <w:t>Regular la oferta pública de valores, estableciendo los requisitos mínimos que deberán tener los valores que se oferten públicamente, así como el procedimiento para que la información que deba ser difundida al público revele adecuadamente la situación financiera de los emisores.</w:t>
      </w:r>
    </w:p>
    <w:p w:rsidR="002E32FF" w:rsidRDefault="002E32FF">
      <w:pPr>
        <w:numPr>
          <w:ilvl w:val="0"/>
          <w:numId w:val="3"/>
        </w:numPr>
        <w:spacing w:line="480" w:lineRule="auto"/>
        <w:jc w:val="both"/>
        <w:rPr>
          <w:rFonts w:ascii="Arial" w:eastAsia="Arial Unicode MS" w:hAnsi="Arial"/>
          <w:sz w:val="24"/>
          <w:lang w:val="es-EC"/>
        </w:rPr>
      </w:pPr>
      <w:r>
        <w:rPr>
          <w:rFonts w:ascii="Arial" w:eastAsia="Arial Unicode MS" w:hAnsi="Arial"/>
          <w:sz w:val="24"/>
          <w:lang w:val="es-EC"/>
        </w:rPr>
        <w:t>Regular los procesos de titularización, su oferta pública, así como la información que debe de provenir de éstos, para la difusión al público.</w:t>
      </w:r>
    </w:p>
    <w:p w:rsidR="002E32FF" w:rsidRDefault="002E32FF">
      <w:pPr>
        <w:numPr>
          <w:ilvl w:val="0"/>
          <w:numId w:val="3"/>
        </w:numPr>
        <w:spacing w:line="480" w:lineRule="auto"/>
        <w:jc w:val="both"/>
        <w:rPr>
          <w:rFonts w:ascii="Arial" w:eastAsia="Arial Unicode MS" w:hAnsi="Arial"/>
          <w:sz w:val="24"/>
          <w:lang w:val="es-EC"/>
        </w:rPr>
      </w:pPr>
      <w:r>
        <w:rPr>
          <w:rFonts w:ascii="Arial" w:eastAsia="Arial Unicode MS" w:hAnsi="Arial"/>
          <w:sz w:val="24"/>
          <w:lang w:val="es-EC"/>
        </w:rPr>
        <w:t xml:space="preserve">Conocer, analizar e informar sobre los proyectos de reformas a </w:t>
      </w:r>
      <w:smartTag w:uri="urn:schemas-microsoft-com:office:smarttags" w:element="PersonName">
        <w:smartTagPr>
          <w:attr w:name="ProductID" w:val="la Ley"/>
        </w:smartTagPr>
        <w:r>
          <w:rPr>
            <w:rFonts w:ascii="Arial" w:eastAsia="Arial Unicode MS" w:hAnsi="Arial"/>
            <w:sz w:val="24"/>
            <w:lang w:val="es-EC"/>
          </w:rPr>
          <w:t>la Ley</w:t>
        </w:r>
      </w:smartTag>
      <w:r>
        <w:rPr>
          <w:rFonts w:ascii="Arial" w:eastAsia="Arial Unicode MS" w:hAnsi="Arial"/>
          <w:sz w:val="24"/>
          <w:lang w:val="es-EC"/>
        </w:rPr>
        <w:t xml:space="preserve"> de Mercado de Valores y su Reglamento General, previa su remisión a </w:t>
      </w:r>
      <w:smartTag w:uri="urn:schemas-microsoft-com:office:smarttags" w:element="PersonName">
        <w:smartTagPr>
          <w:attr w:name="ProductID" w:val="la Presidencia"/>
        </w:smartTagPr>
        <w:r>
          <w:rPr>
            <w:rFonts w:ascii="Arial" w:eastAsia="Arial Unicode MS" w:hAnsi="Arial"/>
            <w:sz w:val="24"/>
            <w:lang w:val="es-EC"/>
          </w:rPr>
          <w:t>la Presidencia</w:t>
        </w:r>
      </w:smartTag>
      <w:r>
        <w:rPr>
          <w:rFonts w:ascii="Arial" w:eastAsia="Arial Unicode MS" w:hAnsi="Arial"/>
          <w:sz w:val="24"/>
          <w:lang w:val="es-EC"/>
        </w:rPr>
        <w:t xml:space="preserve"> de </w:t>
      </w:r>
      <w:smartTag w:uri="urn:schemas-microsoft-com:office:smarttags" w:element="PersonName">
        <w:smartTagPr>
          <w:attr w:name="ProductID" w:val="la Rep￺blica."/>
        </w:smartTagPr>
        <w:r>
          <w:rPr>
            <w:rFonts w:ascii="Arial" w:eastAsia="Arial Unicode MS" w:hAnsi="Arial"/>
            <w:sz w:val="24"/>
            <w:lang w:val="es-EC"/>
          </w:rPr>
          <w:t>la República.</w:t>
        </w:r>
      </w:smartTag>
    </w:p>
    <w:p w:rsidR="002E32FF" w:rsidRDefault="002E32FF">
      <w:pPr>
        <w:numPr>
          <w:ilvl w:val="0"/>
          <w:numId w:val="3"/>
        </w:numPr>
        <w:spacing w:line="480" w:lineRule="auto"/>
        <w:jc w:val="both"/>
        <w:rPr>
          <w:rFonts w:ascii="Arial" w:eastAsia="Arial Unicode MS" w:hAnsi="Arial"/>
          <w:sz w:val="24"/>
          <w:lang w:val="es-EC"/>
        </w:rPr>
      </w:pPr>
      <w:r>
        <w:rPr>
          <w:rFonts w:ascii="Arial" w:eastAsia="Arial Unicode MS" w:hAnsi="Arial"/>
          <w:sz w:val="24"/>
          <w:lang w:val="es-EC"/>
        </w:rPr>
        <w:t>Autorizar las actividades conexas de las bolsas de valores, casas de valores, administradoras de fondos y fideicomisos y, calificadoras de riesgo, que sean necesarias para el adecuado desarrollo del mercado de valores.</w:t>
      </w:r>
    </w:p>
    <w:p w:rsidR="002E32FF" w:rsidRDefault="002E32FF">
      <w:pPr>
        <w:spacing w:line="480" w:lineRule="auto"/>
        <w:jc w:val="both"/>
        <w:rPr>
          <w:rFonts w:ascii="Arial" w:eastAsia="Arial Unicode MS" w:hAnsi="Arial"/>
          <w:b/>
          <w:sz w:val="24"/>
        </w:rPr>
      </w:pPr>
    </w:p>
    <w:p w:rsidR="002E32FF" w:rsidRDefault="002E32FF">
      <w:pPr>
        <w:spacing w:line="480" w:lineRule="auto"/>
        <w:jc w:val="both"/>
        <w:rPr>
          <w:rFonts w:ascii="Arial" w:eastAsia="Arial Unicode MS" w:hAnsi="Arial"/>
          <w:b/>
          <w:sz w:val="28"/>
        </w:rPr>
      </w:pPr>
    </w:p>
    <w:p w:rsidR="002E32FF" w:rsidRDefault="002E32FF">
      <w:pPr>
        <w:spacing w:line="480" w:lineRule="auto"/>
        <w:jc w:val="both"/>
        <w:rPr>
          <w:rFonts w:ascii="Arial" w:eastAsia="Arial Unicode MS" w:hAnsi="Arial"/>
          <w:b/>
          <w:sz w:val="28"/>
        </w:rPr>
      </w:pPr>
      <w:r>
        <w:rPr>
          <w:rFonts w:ascii="Arial" w:eastAsia="Arial Unicode MS" w:hAnsi="Arial"/>
          <w:b/>
          <w:sz w:val="28"/>
        </w:rPr>
        <w:t xml:space="preserve">1.5.2 Superintendencia de Compañías </w:t>
      </w:r>
    </w:p>
    <w:p w:rsidR="002E32FF" w:rsidRDefault="002E32FF">
      <w:pPr>
        <w:spacing w:line="480" w:lineRule="auto"/>
        <w:jc w:val="both"/>
        <w:rPr>
          <w:rFonts w:ascii="Arial" w:eastAsia="Arial Unicode MS" w:hAnsi="Arial"/>
          <w:sz w:val="28"/>
        </w:rPr>
      </w:pPr>
    </w:p>
    <w:p w:rsidR="002E32FF" w:rsidRDefault="002E32FF">
      <w:pPr>
        <w:spacing w:line="480" w:lineRule="auto"/>
        <w:jc w:val="both"/>
        <w:rPr>
          <w:rFonts w:ascii="Arial" w:eastAsia="Arial Unicode MS" w:hAnsi="Arial"/>
          <w:sz w:val="24"/>
        </w:rPr>
      </w:pPr>
      <w:r>
        <w:rPr>
          <w:rFonts w:ascii="Arial" w:eastAsia="Arial Unicode MS" w:hAnsi="Arial"/>
          <w:sz w:val="28"/>
        </w:rPr>
        <w:t xml:space="preserve">    </w:t>
      </w:r>
      <w:r>
        <w:rPr>
          <w:rFonts w:ascii="Arial" w:eastAsia="Arial Unicode MS" w:hAnsi="Arial"/>
          <w:sz w:val="24"/>
        </w:rPr>
        <w:t xml:space="preserve">Además de las funciones señaladas en </w:t>
      </w:r>
      <w:smartTag w:uri="urn:schemas-microsoft-com:office:smarttags" w:element="PersonName">
        <w:smartTagPr>
          <w:attr w:name="ProductID" w:val="la Ley"/>
        </w:smartTagPr>
        <w:r>
          <w:rPr>
            <w:rFonts w:ascii="Arial" w:eastAsia="Arial Unicode MS" w:hAnsi="Arial"/>
            <w:sz w:val="24"/>
          </w:rPr>
          <w:t>la Ley</w:t>
        </w:r>
      </w:smartTag>
      <w:r>
        <w:rPr>
          <w:rFonts w:ascii="Arial" w:eastAsia="Arial Unicode MS" w:hAnsi="Arial"/>
          <w:sz w:val="24"/>
        </w:rPr>
        <w:t xml:space="preserve"> de Compañías, </w:t>
      </w:r>
      <w:smartTag w:uri="urn:schemas-microsoft-com:office:smarttags" w:element="PersonName">
        <w:smartTagPr>
          <w:attr w:name="ProductID" w:val="la Superintendencia"/>
        </w:smartTagPr>
        <w:r>
          <w:rPr>
            <w:rFonts w:ascii="Arial" w:eastAsia="Arial Unicode MS" w:hAnsi="Arial"/>
            <w:sz w:val="24"/>
          </w:rPr>
          <w:t>la Superintendencia</w:t>
        </w:r>
      </w:smartTag>
      <w:r>
        <w:rPr>
          <w:rFonts w:ascii="Arial" w:eastAsia="Arial Unicode MS" w:hAnsi="Arial"/>
          <w:sz w:val="24"/>
        </w:rPr>
        <w:t xml:space="preserve"> de Compañías tiene como atribuciones principales dentro del Mercado de Valores, las siguientes:</w:t>
      </w:r>
    </w:p>
    <w:p w:rsidR="002E32FF" w:rsidRDefault="002E32FF">
      <w:pPr>
        <w:spacing w:line="480" w:lineRule="auto"/>
        <w:jc w:val="both"/>
        <w:rPr>
          <w:rFonts w:ascii="Arial" w:eastAsia="Arial Unicode MS" w:hAnsi="Arial"/>
          <w:sz w:val="24"/>
        </w:rPr>
      </w:pPr>
    </w:p>
    <w:p w:rsidR="002E32FF" w:rsidRDefault="002E32FF">
      <w:pPr>
        <w:numPr>
          <w:ilvl w:val="0"/>
          <w:numId w:val="4"/>
        </w:numPr>
        <w:spacing w:line="480" w:lineRule="auto"/>
        <w:ind w:left="1080" w:firstLine="0"/>
        <w:jc w:val="both"/>
        <w:rPr>
          <w:rFonts w:ascii="Arial" w:eastAsia="Arial Unicode MS" w:hAnsi="Arial"/>
          <w:sz w:val="24"/>
          <w:lang w:val="es-EC"/>
        </w:rPr>
      </w:pPr>
      <w:r>
        <w:rPr>
          <w:rFonts w:ascii="Arial" w:eastAsia="Arial Unicode MS" w:hAnsi="Arial"/>
          <w:sz w:val="24"/>
          <w:lang w:val="es-EC"/>
        </w:rPr>
        <w:t>Ejecutar la política general del mercado de valores dictada por el C.N.V.</w:t>
      </w:r>
    </w:p>
    <w:p w:rsidR="002E32FF" w:rsidRDefault="002E32FF">
      <w:pPr>
        <w:numPr>
          <w:ilvl w:val="0"/>
          <w:numId w:val="4"/>
        </w:numPr>
        <w:spacing w:line="480" w:lineRule="auto"/>
        <w:ind w:left="1080" w:firstLine="0"/>
        <w:jc w:val="both"/>
        <w:rPr>
          <w:rFonts w:ascii="Arial" w:eastAsia="Arial Unicode MS" w:hAnsi="Arial"/>
          <w:sz w:val="24"/>
          <w:lang w:val="es-EC"/>
        </w:rPr>
      </w:pPr>
      <w:r>
        <w:rPr>
          <w:rFonts w:ascii="Arial" w:eastAsia="Arial Unicode MS" w:hAnsi="Arial"/>
          <w:sz w:val="24"/>
          <w:lang w:val="es-EC"/>
        </w:rPr>
        <w:t>Autorizar, previo el cumplimiento de los requisitos establecidos, la realización de una oferta pública de valores; así como suspender o cancelar una oferta pública cuando se presentaren indicios de que la información proporcionada no refleja adecuadamente la situación financiera, patrimonial o económica de la empresa.</w:t>
      </w:r>
    </w:p>
    <w:p w:rsidR="002E32FF" w:rsidRDefault="002E32FF">
      <w:pPr>
        <w:numPr>
          <w:ilvl w:val="0"/>
          <w:numId w:val="4"/>
        </w:numPr>
        <w:spacing w:line="480" w:lineRule="auto"/>
        <w:ind w:left="1080" w:firstLine="0"/>
        <w:jc w:val="both"/>
        <w:rPr>
          <w:rFonts w:ascii="Arial" w:eastAsia="Arial Unicode MS" w:hAnsi="Arial"/>
          <w:sz w:val="24"/>
          <w:lang w:val="es-EC"/>
        </w:rPr>
      </w:pPr>
      <w:r>
        <w:rPr>
          <w:rFonts w:ascii="Arial" w:eastAsia="Arial Unicode MS" w:hAnsi="Arial"/>
          <w:sz w:val="24"/>
          <w:lang w:val="es-EC"/>
        </w:rPr>
        <w:t>Autorizar el funcionamiento en el mercado de valores de: Bolsas de valores, casas de valores, compañías calificadoras de riesgo, depósitos centralizados de compensación y liquidación de valores, sociedades administradoras de fondos y fideicomisos, auditoras externas y demás personas o entidades que actúen o intervengan en dicho mercado.</w:t>
      </w:r>
    </w:p>
    <w:p w:rsidR="002E32FF" w:rsidRDefault="002E32FF">
      <w:pPr>
        <w:numPr>
          <w:ilvl w:val="0"/>
          <w:numId w:val="4"/>
        </w:numPr>
        <w:spacing w:line="480" w:lineRule="auto"/>
        <w:ind w:left="1080" w:firstLine="0"/>
        <w:jc w:val="both"/>
        <w:rPr>
          <w:rFonts w:ascii="Arial" w:eastAsia="Arial Unicode MS" w:hAnsi="Arial"/>
          <w:sz w:val="24"/>
          <w:lang w:val="es-EC"/>
        </w:rPr>
      </w:pPr>
      <w:r>
        <w:rPr>
          <w:rFonts w:ascii="Arial" w:eastAsia="Arial Unicode MS" w:hAnsi="Arial"/>
          <w:sz w:val="24"/>
          <w:lang w:val="es-EC"/>
        </w:rPr>
        <w:t>I</w:t>
      </w:r>
      <w:r>
        <w:rPr>
          <w:rFonts w:ascii="Arial" w:eastAsia="Arial Unicode MS" w:hAnsi="Arial"/>
          <w:sz w:val="24"/>
        </w:rPr>
        <w:t>nspeccionar, en cualquier tiempo, a las compañías, entidades y demás personas que intervengan en el mercado de valores, con amplias facultades de verificación de sus operaciones, libros contables, información y cuanto documento o instrumento sea necesario examinar.</w:t>
      </w:r>
    </w:p>
    <w:p w:rsidR="002E32FF" w:rsidRDefault="002E32FF">
      <w:pPr>
        <w:spacing w:line="480" w:lineRule="auto"/>
        <w:jc w:val="both"/>
        <w:rPr>
          <w:rFonts w:ascii="Arial" w:eastAsia="Arial Unicode MS" w:hAnsi="Arial"/>
          <w:sz w:val="24"/>
        </w:rPr>
      </w:pPr>
    </w:p>
    <w:p w:rsidR="002E32FF" w:rsidRDefault="002E32FF">
      <w:pPr>
        <w:spacing w:line="480" w:lineRule="auto"/>
        <w:jc w:val="both"/>
        <w:rPr>
          <w:rFonts w:ascii="Arial" w:eastAsia="Arial Unicode MS" w:hAnsi="Arial"/>
          <w:sz w:val="24"/>
        </w:rPr>
      </w:pPr>
      <w:r>
        <w:rPr>
          <w:rFonts w:ascii="Arial" w:eastAsia="Arial Unicode MS" w:hAnsi="Arial"/>
          <w:sz w:val="24"/>
        </w:rPr>
        <w:t xml:space="preserve">    Adicionalmente, </w:t>
      </w:r>
      <w:smartTag w:uri="urn:schemas-microsoft-com:office:smarttags" w:element="PersonName">
        <w:smartTagPr>
          <w:attr w:name="ProductID" w:val="la Superintendencia"/>
        </w:smartTagPr>
        <w:r>
          <w:rPr>
            <w:rFonts w:ascii="Arial" w:eastAsia="Arial Unicode MS" w:hAnsi="Arial"/>
            <w:sz w:val="24"/>
          </w:rPr>
          <w:t>la Superintendencia</w:t>
        </w:r>
      </w:smartTag>
      <w:r>
        <w:rPr>
          <w:rFonts w:ascii="Arial" w:eastAsia="Arial Unicode MS" w:hAnsi="Arial"/>
          <w:sz w:val="24"/>
        </w:rPr>
        <w:t xml:space="preserve"> de Compañías deberá organizar y mantener el Registro del Mercado de Valores (R.M.V.).</w:t>
      </w:r>
    </w:p>
    <w:p w:rsidR="002E32FF" w:rsidRDefault="002E32FF">
      <w:pPr>
        <w:spacing w:line="480" w:lineRule="auto"/>
        <w:jc w:val="both"/>
        <w:rPr>
          <w:rFonts w:ascii="Arial" w:eastAsia="Arial Unicode MS" w:hAnsi="Arial"/>
          <w:sz w:val="24"/>
        </w:rPr>
      </w:pPr>
    </w:p>
    <w:p w:rsidR="002E32FF" w:rsidRDefault="002E32FF">
      <w:pPr>
        <w:spacing w:line="480" w:lineRule="auto"/>
        <w:jc w:val="both"/>
        <w:rPr>
          <w:rFonts w:ascii="Arial" w:eastAsia="Arial Unicode MS" w:hAnsi="Arial"/>
          <w:sz w:val="24"/>
        </w:rPr>
      </w:pPr>
      <w:r>
        <w:rPr>
          <w:rFonts w:ascii="Arial" w:eastAsia="Arial Unicode MS" w:hAnsi="Arial"/>
          <w:sz w:val="24"/>
        </w:rPr>
        <w:t xml:space="preserve">    El Registro del Mercado de Valores es donde se inscribirá la información pública respecto de los emisores, los valores y las demás instituciones reguladas por </w:t>
      </w:r>
      <w:smartTag w:uri="urn:schemas-microsoft-com:office:smarttags" w:element="PersonName">
        <w:smartTagPr>
          <w:attr w:name="ProductID" w:val="la Ley"/>
        </w:smartTagPr>
        <w:r>
          <w:rPr>
            <w:rFonts w:ascii="Arial" w:eastAsia="Arial Unicode MS" w:hAnsi="Arial"/>
            <w:sz w:val="24"/>
          </w:rPr>
          <w:t>la Ley</w:t>
        </w:r>
      </w:smartTag>
      <w:r>
        <w:rPr>
          <w:rFonts w:ascii="Arial" w:eastAsia="Arial Unicode MS" w:hAnsi="Arial"/>
          <w:sz w:val="24"/>
        </w:rPr>
        <w:t xml:space="preserve"> del Mercado de Valores.</w:t>
      </w:r>
    </w:p>
    <w:p w:rsidR="002E32FF" w:rsidRDefault="002E32FF">
      <w:pPr>
        <w:spacing w:line="480" w:lineRule="auto"/>
        <w:jc w:val="both"/>
        <w:rPr>
          <w:rFonts w:ascii="Arial" w:eastAsia="Arial Unicode MS" w:hAnsi="Arial"/>
          <w:sz w:val="24"/>
        </w:rPr>
      </w:pPr>
    </w:p>
    <w:p w:rsidR="002E32FF" w:rsidRDefault="002E32FF">
      <w:pPr>
        <w:spacing w:line="480" w:lineRule="auto"/>
        <w:jc w:val="both"/>
        <w:rPr>
          <w:rFonts w:ascii="Arial" w:eastAsia="Arial Unicode MS" w:hAnsi="Arial"/>
          <w:sz w:val="24"/>
        </w:rPr>
      </w:pPr>
      <w:r>
        <w:rPr>
          <w:rFonts w:ascii="Arial" w:eastAsia="Arial Unicode MS" w:hAnsi="Arial"/>
          <w:sz w:val="24"/>
        </w:rPr>
        <w:t xml:space="preserve">    La inscripción en el R.M.V. constituye requisito previo para participar en los mercados bursátil y extrabursátil.</w:t>
      </w:r>
    </w:p>
    <w:p w:rsidR="002E32FF" w:rsidRDefault="002E32FF">
      <w:pPr>
        <w:spacing w:line="480" w:lineRule="auto"/>
        <w:jc w:val="both"/>
        <w:rPr>
          <w:rFonts w:ascii="Arial" w:hAnsi="Arial"/>
          <w:sz w:val="28"/>
          <w:lang w:val="es-EC"/>
        </w:rPr>
      </w:pPr>
    </w:p>
    <w:p w:rsidR="002E32FF" w:rsidRDefault="002E32FF">
      <w:pPr>
        <w:rPr>
          <w:sz w:val="24"/>
        </w:rPr>
      </w:pPr>
    </w:p>
    <w:p w:rsidR="002E32FF" w:rsidRDefault="002E32FF">
      <w:pPr>
        <w:jc w:val="center"/>
        <w:rPr>
          <w:sz w:val="24"/>
        </w:rPr>
      </w:pPr>
    </w:p>
    <w:p w:rsidR="002E32FF" w:rsidRDefault="002E32FF">
      <w:pPr>
        <w:jc w:val="center"/>
        <w:rPr>
          <w:sz w:val="24"/>
        </w:rPr>
      </w:pPr>
    </w:p>
    <w:p w:rsidR="002E32FF" w:rsidRDefault="002E32FF">
      <w:pPr>
        <w:jc w:val="center"/>
        <w:rPr>
          <w:sz w:val="24"/>
        </w:rPr>
      </w:pPr>
    </w:p>
    <w:p w:rsidR="002E32FF" w:rsidRDefault="002E32FF">
      <w:pPr>
        <w:jc w:val="center"/>
        <w:rPr>
          <w:sz w:val="24"/>
        </w:rPr>
      </w:pPr>
    </w:p>
    <w:p w:rsidR="002E32FF" w:rsidRDefault="002E32FF">
      <w:pPr>
        <w:jc w:val="center"/>
        <w:rPr>
          <w:sz w:val="24"/>
        </w:rPr>
      </w:pPr>
    </w:p>
    <w:p w:rsidR="002E32FF" w:rsidRDefault="002E32FF">
      <w:pPr>
        <w:jc w:val="center"/>
        <w:rPr>
          <w:sz w:val="24"/>
        </w:rPr>
      </w:pPr>
    </w:p>
    <w:p w:rsidR="002E32FF" w:rsidRDefault="002E32FF">
      <w:pPr>
        <w:jc w:val="center"/>
        <w:rPr>
          <w:sz w:val="24"/>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rPr>
          <w:rFonts w:ascii="Arial" w:hAnsi="Arial"/>
          <w:b/>
          <w:sz w:val="32"/>
          <w:lang w:val="es-ES_tradnl"/>
        </w:rPr>
      </w:pPr>
    </w:p>
    <w:p w:rsidR="002E32FF" w:rsidRDefault="002E32FF">
      <w:pP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spacing w:line="480" w:lineRule="auto"/>
        <w:jc w:val="center"/>
        <w:rPr>
          <w:rFonts w:ascii="Arial" w:hAnsi="Arial"/>
          <w:b/>
          <w:sz w:val="32"/>
          <w:lang w:val="es-ES_tradnl"/>
        </w:rPr>
      </w:pPr>
    </w:p>
    <w:p w:rsidR="002E32FF" w:rsidRDefault="002E32FF">
      <w:pPr>
        <w:jc w:val="center"/>
        <w:rPr>
          <w:rFonts w:ascii="Arial" w:hAnsi="Arial"/>
          <w:b/>
          <w:sz w:val="32"/>
          <w:lang w:val="es-ES_tradnl"/>
        </w:rPr>
      </w:pPr>
    </w:p>
    <w:p w:rsidR="002E32FF" w:rsidRDefault="002E32FF">
      <w:pPr>
        <w:spacing w:line="480" w:lineRule="auto"/>
        <w:jc w:val="center"/>
        <w:rPr>
          <w:rFonts w:ascii="Arial" w:hAnsi="Arial"/>
          <w:b/>
          <w:sz w:val="32"/>
          <w:lang w:val="es-ES_tradnl"/>
        </w:rPr>
      </w:pPr>
    </w:p>
    <w:p w:rsidR="002E32FF" w:rsidRDefault="002E32FF">
      <w:pPr>
        <w:spacing w:line="480" w:lineRule="auto"/>
        <w:jc w:val="center"/>
        <w:rPr>
          <w:rFonts w:ascii="Arial" w:hAnsi="Arial"/>
          <w:b/>
          <w:sz w:val="32"/>
          <w:lang w:val="es-ES_tradnl"/>
        </w:rPr>
      </w:pPr>
    </w:p>
    <w:p w:rsidR="002E32FF" w:rsidRDefault="002E32FF">
      <w:pPr>
        <w:spacing w:line="480" w:lineRule="auto"/>
        <w:jc w:val="center"/>
        <w:rPr>
          <w:rFonts w:ascii="Arial" w:hAnsi="Arial"/>
          <w:b/>
          <w:sz w:val="32"/>
          <w:lang w:val="es-ES_tradnl"/>
        </w:rPr>
        <w:sectPr w:rsidR="002E32FF">
          <w:footerReference w:type="default" r:id="rId16"/>
          <w:type w:val="continuous"/>
          <w:pgSz w:w="11907" w:h="16840" w:code="9"/>
          <w:pgMar w:top="2268" w:right="1418" w:bottom="1701" w:left="2268" w:header="720" w:footer="720" w:gutter="0"/>
          <w:pgNumType w:start="14"/>
          <w:cols w:space="720"/>
        </w:sectPr>
      </w:pPr>
    </w:p>
    <w:p w:rsidR="002E32FF" w:rsidRDefault="002E32FF">
      <w:pPr>
        <w:spacing w:line="480" w:lineRule="auto"/>
        <w:rPr>
          <w:rFonts w:ascii="Arial" w:hAnsi="Arial"/>
          <w:b/>
          <w:sz w:val="32"/>
          <w:lang w:val="es-ES_tradnl"/>
        </w:rPr>
      </w:pPr>
    </w:p>
    <w:p w:rsidR="002E32FF" w:rsidRDefault="002E32FF">
      <w:pPr>
        <w:spacing w:line="480" w:lineRule="auto"/>
        <w:rPr>
          <w:rFonts w:ascii="Arial" w:hAnsi="Arial"/>
          <w:b/>
          <w:sz w:val="32"/>
          <w:lang w:val="es-ES_tradnl"/>
        </w:rPr>
      </w:pPr>
    </w:p>
    <w:p w:rsidR="002E32FF" w:rsidRDefault="002E32FF">
      <w:pPr>
        <w:spacing w:line="480" w:lineRule="auto"/>
        <w:rPr>
          <w:rFonts w:ascii="Arial" w:hAnsi="Arial"/>
          <w:b/>
          <w:sz w:val="32"/>
          <w:lang w:val="es-ES_tradnl"/>
        </w:rPr>
      </w:pPr>
    </w:p>
    <w:p w:rsidR="002E32FF" w:rsidRDefault="002E32FF">
      <w:pPr>
        <w:spacing w:line="480" w:lineRule="auto"/>
        <w:rPr>
          <w:rFonts w:ascii="Arial" w:hAnsi="Arial"/>
          <w:b/>
          <w:sz w:val="32"/>
          <w:lang w:val="es-ES_tradnl"/>
        </w:rPr>
      </w:pPr>
    </w:p>
    <w:p w:rsidR="002E32FF" w:rsidRDefault="002E32FF">
      <w:pPr>
        <w:spacing w:line="480" w:lineRule="auto"/>
        <w:rPr>
          <w:rFonts w:ascii="Arial" w:hAnsi="Arial"/>
          <w:b/>
          <w:sz w:val="32"/>
          <w:lang w:val="es-ES_tradnl"/>
        </w:rPr>
      </w:pPr>
    </w:p>
    <w:p w:rsidR="002E32FF" w:rsidRDefault="002E32FF">
      <w:pPr>
        <w:spacing w:line="480" w:lineRule="auto"/>
        <w:jc w:val="center"/>
        <w:rPr>
          <w:rFonts w:ascii="Arial" w:hAnsi="Arial"/>
          <w:b/>
          <w:sz w:val="32"/>
          <w:lang w:val="es-ES_tradnl"/>
        </w:rPr>
      </w:pPr>
      <w:r>
        <w:rPr>
          <w:rFonts w:ascii="Arial" w:hAnsi="Arial"/>
          <w:b/>
          <w:sz w:val="32"/>
          <w:lang w:val="es-ES_tradnl"/>
        </w:rPr>
        <w:t>CAPÍTULO II</w:t>
      </w:r>
    </w:p>
    <w:p w:rsidR="002E32FF" w:rsidRDefault="002E32FF">
      <w:pPr>
        <w:spacing w:line="480" w:lineRule="auto"/>
        <w:jc w:val="center"/>
        <w:rPr>
          <w:rFonts w:ascii="Arial" w:hAnsi="Arial"/>
          <w:b/>
          <w:sz w:val="32"/>
          <w:lang w:val="es-ES_tradnl"/>
        </w:rPr>
      </w:pPr>
      <w:r>
        <w:rPr>
          <w:rFonts w:ascii="Arial" w:hAnsi="Arial"/>
          <w:b/>
          <w:sz w:val="32"/>
          <w:lang w:val="es-ES_tradnl"/>
        </w:rPr>
        <w:t xml:space="preserve"> MARCO TEÓRICO</w:t>
      </w:r>
    </w:p>
    <w:p w:rsidR="002E32FF" w:rsidRDefault="002E32FF">
      <w:pPr>
        <w:jc w:val="both"/>
        <w:rPr>
          <w:rFonts w:ascii="Arial" w:hAnsi="Arial"/>
          <w:b/>
          <w:sz w:val="32"/>
          <w:lang w:val="es-ES_tradnl"/>
        </w:rPr>
      </w:pPr>
    </w:p>
    <w:p w:rsidR="002E32FF" w:rsidRDefault="002E32FF">
      <w:pPr>
        <w:jc w:val="both"/>
        <w:rPr>
          <w:rFonts w:ascii="Arial" w:hAnsi="Arial"/>
          <w:b/>
          <w:sz w:val="32"/>
          <w:lang w:val="es-ES_tradnl"/>
        </w:rPr>
      </w:pPr>
    </w:p>
    <w:p w:rsidR="002E32FF" w:rsidRDefault="002E32FF">
      <w:pPr>
        <w:jc w:val="both"/>
        <w:rPr>
          <w:rFonts w:ascii="Arial" w:hAnsi="Arial"/>
          <w:b/>
          <w:sz w:val="32"/>
          <w:lang w:val="es-ES_tradnl"/>
        </w:rPr>
      </w:pPr>
    </w:p>
    <w:p w:rsidR="002E32FF" w:rsidRDefault="002E32FF">
      <w:pPr>
        <w:pStyle w:val="Textoindependiente2"/>
        <w:rPr>
          <w:sz w:val="24"/>
          <w:lang w:val="es-EC"/>
        </w:rPr>
      </w:pPr>
      <w:r>
        <w:rPr>
          <w:sz w:val="24"/>
          <w:lang w:val="es-EC"/>
        </w:rPr>
        <w:t xml:space="preserve">    El propósito principal de los mercados financieros, tanto de aquellos donde existe intermediación financiera, como de aquellos donde no la hay, como es el caso del mercado bursátil, es permitir la transferencia de fondos desde los agentes superavitarios (ahorristas, prestamistas) hacia los deficitarios (productores, prestatarios).  En la medida en que las oportunidades de inversión ofrezcan a los inversionistas una tasa de retorno que compense su costo de oportunidad ajustado por riesgo, dicha transferencia se llevará a cabo.</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rPr>
          <w:rFonts w:ascii="Arial" w:eastAsia="Arial Unicode MS" w:hAnsi="Arial"/>
          <w:b/>
          <w:sz w:val="28"/>
          <w:lang w:val="es-EC"/>
        </w:rPr>
        <w:sectPr w:rsidR="002E32FF">
          <w:footerReference w:type="default" r:id="rId17"/>
          <w:type w:val="continuous"/>
          <w:pgSz w:w="11907" w:h="16840" w:code="9"/>
          <w:pgMar w:top="2268" w:right="1418" w:bottom="1701" w:left="2268" w:header="720" w:footer="720" w:gutter="0"/>
          <w:cols w:space="720"/>
        </w:sectPr>
      </w:pPr>
      <w:r>
        <w:rPr>
          <w:rFonts w:ascii="Arial" w:eastAsia="Arial Unicode MS" w:hAnsi="Arial"/>
          <w:b/>
          <w:sz w:val="28"/>
          <w:lang w:val="es-EC"/>
        </w:rPr>
        <w:t>2.1 Mercados Eficientes</w:t>
      </w: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pStyle w:val="Textoindependiente2"/>
        <w:spacing w:line="240" w:lineRule="auto"/>
        <w:rPr>
          <w:sz w:val="24"/>
          <w:lang w:val="es-EC"/>
        </w:rPr>
      </w:pPr>
    </w:p>
    <w:p w:rsidR="002E32FF" w:rsidRDefault="002E32FF">
      <w:pPr>
        <w:pStyle w:val="Textoindependiente2"/>
        <w:rPr>
          <w:sz w:val="24"/>
          <w:lang w:val="es-EC"/>
        </w:rPr>
      </w:pPr>
      <w:r>
        <w:rPr>
          <w:sz w:val="24"/>
          <w:lang w:val="es-EC"/>
        </w:rPr>
        <w:t xml:space="preserve">    La literatura financiera sostiene que un mercado es eficiente si los precios de los valores se ajustan rápida y correctamente cuando se recibe información nueva.</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Esta aseveración implica que, si nos basamos en la información disponible, no habría motivo para pensar que el precio de un título sea demasiado bajo o demasiado alto, sino que los títulos están valorados para proporcionar al agente superavitario un rendimiento acorde con el nivel de riesgo de la inversión que está realizando.  </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numPr>
          <w:ilvl w:val="1"/>
          <w:numId w:val="13"/>
        </w:numPr>
        <w:tabs>
          <w:tab w:val="left" w:pos="1040"/>
        </w:tabs>
        <w:spacing w:line="480" w:lineRule="auto"/>
        <w:jc w:val="both"/>
        <w:rPr>
          <w:rFonts w:ascii="Arial" w:eastAsia="Arial Unicode MS" w:hAnsi="Arial"/>
          <w:b/>
          <w:sz w:val="28"/>
          <w:lang w:val="es-EC"/>
        </w:rPr>
      </w:pPr>
      <w:r>
        <w:rPr>
          <w:rFonts w:ascii="Arial" w:eastAsia="Arial Unicode MS" w:hAnsi="Arial"/>
          <w:b/>
          <w:sz w:val="28"/>
          <w:lang w:val="es-EC"/>
        </w:rPr>
        <w:t>Eficiencia de Mercado según Fama.</w:t>
      </w: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Eugene Fama, profesor de finanzas de </w:t>
      </w:r>
      <w:smartTag w:uri="urn:schemas-microsoft-com:office:smarttags" w:element="PersonName">
        <w:smartTagPr>
          <w:attr w:name="ProductID" w:val="la Escuela"/>
        </w:smartTagPr>
        <w:r>
          <w:rPr>
            <w:rFonts w:ascii="Arial" w:eastAsia="Arial Unicode MS" w:hAnsi="Arial"/>
            <w:sz w:val="24"/>
            <w:lang w:val="es-EC"/>
          </w:rPr>
          <w:t>la Escuela</w:t>
        </w:r>
      </w:smartTag>
      <w:r>
        <w:rPr>
          <w:rFonts w:ascii="Arial" w:eastAsia="Arial Unicode MS" w:hAnsi="Arial"/>
          <w:sz w:val="24"/>
          <w:lang w:val="es-EC"/>
        </w:rPr>
        <w:t xml:space="preserve"> de Negocios de </w:t>
      </w:r>
      <w:smartTag w:uri="urn:schemas-microsoft-com:office:smarttags" w:element="PersonName">
        <w:smartTagPr>
          <w:attr w:name="ProductID" w:val="la Universidad"/>
        </w:smartTagPr>
        <w:r>
          <w:rPr>
            <w:rFonts w:ascii="Arial" w:eastAsia="Arial Unicode MS" w:hAnsi="Arial"/>
            <w:sz w:val="24"/>
            <w:lang w:val="es-EC"/>
          </w:rPr>
          <w:t>la Universidad</w:t>
        </w:r>
      </w:smartTag>
      <w:r>
        <w:rPr>
          <w:rFonts w:ascii="Arial" w:eastAsia="Arial Unicode MS" w:hAnsi="Arial"/>
          <w:sz w:val="24"/>
          <w:lang w:val="es-EC"/>
        </w:rPr>
        <w:t xml:space="preserve"> de Chicago, plantea la hipótesis de eficiencia de mercado en los mercados reales, agregando que, dado que la llegada de información es aleatoria, y los precios de los activos se ajustan inmediatamente a dicha información, éstos también serían aleatorios.</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Fama plantea tres niveles de eficiencia de mercado, los cuales se definen en función del tipo de información involucrada en la frase “los precios de los valores se ajustan rápida y correctamente a la información”, y son: Eficiencia del mercado en forma débil, intermedia (o semifuerte) y fuerte, las cuales se explicarán a continuación.</w:t>
      </w:r>
    </w:p>
    <w:p w:rsidR="002E32FF" w:rsidRDefault="002E32FF">
      <w:pPr>
        <w:tabs>
          <w:tab w:val="left" w:pos="1040"/>
        </w:tabs>
        <w:spacing w:line="480" w:lineRule="auto"/>
        <w:ind w:left="539" w:hanging="539"/>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tabs>
          <w:tab w:val="left" w:pos="1040"/>
        </w:tabs>
        <w:spacing w:line="480" w:lineRule="auto"/>
        <w:ind w:left="539" w:hanging="539"/>
        <w:jc w:val="both"/>
        <w:rPr>
          <w:rFonts w:ascii="Arial" w:eastAsia="Arial Unicode MS" w:hAnsi="Arial"/>
          <w:b/>
          <w:sz w:val="28"/>
          <w:lang w:val="es-EC"/>
        </w:rPr>
      </w:pPr>
      <w:r>
        <w:rPr>
          <w:rFonts w:ascii="Arial" w:eastAsia="Arial Unicode MS" w:hAnsi="Arial"/>
          <w:b/>
          <w:sz w:val="28"/>
          <w:lang w:val="es-EC"/>
        </w:rPr>
        <w:t>2.2.1 Hipótesis débil del mercado eficiente.</w:t>
      </w:r>
    </w:p>
    <w:p w:rsidR="002E32FF" w:rsidRDefault="002E32FF">
      <w:pPr>
        <w:tabs>
          <w:tab w:val="left" w:pos="1040"/>
        </w:tabs>
        <w:spacing w:line="480" w:lineRule="auto"/>
        <w:ind w:left="539" w:hanging="539"/>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En la hipótesis débil se supone que cada título refleja totalmente la información contenida en la serie histórica de precios, es decir, toda la información pasada. Los inversores por lo tanto no pueden obtener rentabilidades “en exceso” analizando dichas series (es decir, utilizando el análisis técnico).</w:t>
      </w:r>
    </w:p>
    <w:p w:rsidR="002E32FF" w:rsidRDefault="002E32FF">
      <w:pPr>
        <w:tabs>
          <w:tab w:val="left" w:pos="1040"/>
        </w:tabs>
        <w:spacing w:line="480" w:lineRule="auto"/>
        <w:ind w:left="539" w:hanging="539"/>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Según esta hipótesis ningún inversor podrá conseguir un rendimiento superior al del promedio del mercado analizando exclusivamente la información pasada y si lo logra, no será sistemáticamente. Ahora bien, si el mercado se ajusta a esta hipótesis, un inversionista si podrá batir el mercado utilizando la información hecha pública y la información privilegiada.</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ind w:left="539" w:hanging="539"/>
        <w:jc w:val="both"/>
        <w:rPr>
          <w:rFonts w:ascii="Arial" w:eastAsia="Arial Unicode MS" w:hAnsi="Arial"/>
          <w:b/>
          <w:sz w:val="28"/>
          <w:lang w:val="es-EC"/>
        </w:rPr>
      </w:pPr>
      <w:r>
        <w:rPr>
          <w:rFonts w:ascii="Arial" w:eastAsia="Arial Unicode MS" w:hAnsi="Arial"/>
          <w:b/>
          <w:sz w:val="28"/>
          <w:lang w:val="es-EC"/>
        </w:rPr>
        <w:t>2.2.2 Hipótesis intermedia del mercado eficiente.</w:t>
      </w:r>
    </w:p>
    <w:p w:rsidR="002E32FF" w:rsidRDefault="002E32FF">
      <w:pPr>
        <w:tabs>
          <w:tab w:val="left" w:pos="1040"/>
        </w:tabs>
        <w:spacing w:line="480" w:lineRule="auto"/>
        <w:ind w:left="539" w:hanging="539"/>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Según esta hipótesis el mercado es eficiente en su forma intermedia o semifuerte cuando los precios reflejan, no sólo toda la información pasada, sino también toda la información hecha pública acerca de la empresa o de su entorno, que pueda afectar a cada título en particular. Si la eficiencia del mercado se ajusta a dicha hipótesis, la aplicación de un análisis fundamental para intentar lograr un rendimiento superior a la media del mercado pierde validez, puesto que la cotización de los títulos-valores ya refleja su valor teórico o intrínseco.</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b/>
          <w:sz w:val="28"/>
          <w:lang w:val="es-EC"/>
        </w:rPr>
      </w:pPr>
      <w:r>
        <w:rPr>
          <w:rFonts w:ascii="Arial" w:eastAsia="Arial Unicode MS" w:hAnsi="Arial"/>
          <w:b/>
          <w:sz w:val="28"/>
          <w:lang w:val="es-EC"/>
        </w:rPr>
        <w:t>2.2.3 Hipótesis fuerte del mercado eficiente.</w:t>
      </w:r>
    </w:p>
    <w:p w:rsidR="002E32FF" w:rsidRDefault="002E32FF">
      <w:pPr>
        <w:tabs>
          <w:tab w:val="left" w:pos="1040"/>
        </w:tabs>
        <w:spacing w:line="480" w:lineRule="auto"/>
        <w:ind w:left="539" w:hanging="539"/>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La hipótesis fuerte parte del supuesto extremo de que los precios reflejan absolutamente toda la información ya sea pasada, pública o, incluso, privada.</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numPr>
          <w:ilvl w:val="1"/>
          <w:numId w:val="13"/>
        </w:numPr>
        <w:spacing w:line="480" w:lineRule="auto"/>
        <w:jc w:val="both"/>
        <w:rPr>
          <w:rFonts w:ascii="Arial" w:hAnsi="Arial"/>
          <w:b/>
          <w:sz w:val="28"/>
          <w:lang w:val="es-EC"/>
        </w:rPr>
      </w:pPr>
      <w:r>
        <w:rPr>
          <w:rFonts w:ascii="Arial" w:hAnsi="Arial"/>
          <w:b/>
          <w:sz w:val="28"/>
          <w:lang w:val="es-EC"/>
        </w:rPr>
        <w:t>Análisis Técnico</w:t>
      </w:r>
    </w:p>
    <w:p w:rsidR="002E32FF" w:rsidRDefault="002E32FF">
      <w:pPr>
        <w:jc w:val="both"/>
        <w:rPr>
          <w:rFonts w:ascii="Arial" w:hAnsi="Arial"/>
          <w:b/>
          <w:sz w:val="28"/>
          <w:lang w:val="es-EC"/>
        </w:rPr>
      </w:pPr>
    </w:p>
    <w:p w:rsidR="002E32FF" w:rsidRDefault="002E32FF">
      <w:pPr>
        <w:numPr>
          <w:ilvl w:val="2"/>
          <w:numId w:val="13"/>
        </w:numPr>
        <w:jc w:val="both"/>
        <w:rPr>
          <w:rFonts w:ascii="Arial" w:hAnsi="Arial"/>
          <w:b/>
          <w:sz w:val="28"/>
          <w:lang w:val="es-ES_tradnl"/>
        </w:rPr>
      </w:pPr>
      <w:r>
        <w:rPr>
          <w:rFonts w:ascii="Arial" w:hAnsi="Arial"/>
          <w:b/>
          <w:sz w:val="28"/>
          <w:lang w:val="es-ES_tradnl"/>
        </w:rPr>
        <w:t>Definición de Análisis Técnico</w:t>
      </w:r>
    </w:p>
    <w:p w:rsidR="002E32FF" w:rsidRDefault="002E32FF">
      <w:pPr>
        <w:jc w:val="both"/>
        <w:rPr>
          <w:rFonts w:ascii="Arial" w:hAnsi="Arial"/>
          <w:b/>
          <w:sz w:val="28"/>
          <w:lang w:val="es-ES_tradnl"/>
        </w:rPr>
      </w:pPr>
    </w:p>
    <w:p w:rsidR="002E32FF" w:rsidRDefault="002E32FF">
      <w:pPr>
        <w:ind w:left="720"/>
        <w:jc w:val="both"/>
        <w:rPr>
          <w:rFonts w:ascii="Arial" w:hAnsi="Arial"/>
          <w:b/>
          <w:sz w:val="28"/>
          <w:lang w:val="es-ES_tradnl"/>
        </w:rPr>
      </w:pPr>
    </w:p>
    <w:p w:rsidR="002E32FF" w:rsidRDefault="002E32FF">
      <w:pPr>
        <w:pStyle w:val="Textoindependiente"/>
        <w:spacing w:line="480" w:lineRule="auto"/>
        <w:jc w:val="both"/>
        <w:rPr>
          <w:rFonts w:ascii="Arial" w:hAnsi="Arial"/>
          <w:lang w:val="es-ES_tradnl"/>
        </w:rPr>
      </w:pPr>
      <w:r>
        <w:rPr>
          <w:rFonts w:ascii="Arial" w:hAnsi="Arial"/>
          <w:lang w:val="es-ES_tradnl"/>
        </w:rPr>
        <w:t xml:space="preserve">    El análisis técnico se lo define como una metodología de análisis que estudia la historia de los precios de las acciones y de volúmenes negociados, apoyada en el análisis de gráficas de evolución, con objeto de predecir su comportamiento futuro, independientemente del mercado y emisora que se trate. Su finalidad, al igual que otros tipos de análisis, es la de auxiliar al inversionista en sus decisiones de compra y venta de activos.</w:t>
      </w:r>
      <w:r>
        <w:rPr>
          <w:rFonts w:ascii="Arial" w:hAnsi="Arial"/>
          <w:lang w:val="es-ES_tradnl"/>
        </w:rPr>
        <w:br/>
      </w:r>
    </w:p>
    <w:p w:rsidR="002E32FF" w:rsidRDefault="002E32FF">
      <w:pPr>
        <w:pStyle w:val="Textoindependiente"/>
        <w:spacing w:line="480" w:lineRule="auto"/>
        <w:jc w:val="both"/>
        <w:rPr>
          <w:rFonts w:ascii="Arial" w:hAnsi="Arial"/>
          <w:lang w:val="es-ES_tradnl"/>
        </w:rPr>
      </w:pPr>
    </w:p>
    <w:p w:rsidR="002E32FF" w:rsidRDefault="002E32FF">
      <w:pPr>
        <w:numPr>
          <w:ilvl w:val="2"/>
          <w:numId w:val="13"/>
        </w:numPr>
        <w:jc w:val="both"/>
        <w:rPr>
          <w:rFonts w:ascii="Arial" w:hAnsi="Arial"/>
          <w:b/>
          <w:sz w:val="28"/>
          <w:lang w:val="es-ES_tradnl"/>
        </w:rPr>
      </w:pPr>
      <w:r>
        <w:rPr>
          <w:rFonts w:ascii="Arial" w:hAnsi="Arial"/>
          <w:b/>
          <w:sz w:val="28"/>
          <w:lang w:val="es-ES_tradnl"/>
        </w:rPr>
        <w:t>Teorías Clásicas</w:t>
      </w:r>
    </w:p>
    <w:p w:rsidR="002E32FF" w:rsidRDefault="002E32FF">
      <w:pPr>
        <w:jc w:val="both"/>
        <w:rPr>
          <w:rFonts w:ascii="Arial" w:hAnsi="Arial"/>
          <w:sz w:val="24"/>
          <w:lang w:val="es-ES_tradnl"/>
        </w:rPr>
      </w:pPr>
    </w:p>
    <w:p w:rsidR="002E32FF" w:rsidRDefault="002E32FF">
      <w:pPr>
        <w:jc w:val="both"/>
        <w:rPr>
          <w:lang w:val="es-ES_tradnl"/>
        </w:rPr>
      </w:pPr>
    </w:p>
    <w:p w:rsidR="002E32FF" w:rsidRDefault="002E32FF">
      <w:pPr>
        <w:jc w:val="both"/>
        <w:rPr>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Desde los inicios de la actividad bursátil, y antes de ella, han surgido un sin número  de teorías para intentar predecir la evolución futura de los mercados y de los precios de los diferentes títulos que en ellos se negocian. De todas estas teorías sobresalen las que mencionaremos a continuación.</w:t>
      </w:r>
    </w:p>
    <w:p w:rsidR="002E32FF" w:rsidRDefault="002E32FF">
      <w:pPr>
        <w:spacing w:line="480" w:lineRule="auto"/>
        <w:jc w:val="both"/>
        <w:rPr>
          <w:rFonts w:ascii="Arial" w:hAnsi="Arial"/>
          <w:sz w:val="24"/>
          <w:lang w:val="es-ES_tradnl"/>
        </w:rPr>
      </w:pPr>
    </w:p>
    <w:p w:rsidR="002E32FF" w:rsidRDefault="002E32FF">
      <w:pPr>
        <w:jc w:val="both"/>
        <w:rPr>
          <w:rFonts w:ascii="Arial" w:hAnsi="Arial"/>
          <w:b/>
          <w:sz w:val="28"/>
          <w:lang w:val="es-ES_tradnl"/>
        </w:rPr>
      </w:pPr>
      <w:r>
        <w:rPr>
          <w:rFonts w:ascii="Arial" w:eastAsia="Arial Unicode MS" w:hAnsi="Arial"/>
          <w:b/>
          <w:sz w:val="28"/>
          <w:lang w:val="es-EC"/>
        </w:rPr>
        <w:t>2.3.2.1   Teoría de Dow.</w:t>
      </w:r>
    </w:p>
    <w:p w:rsidR="002E32FF" w:rsidRDefault="002E32FF">
      <w:pPr>
        <w:jc w:val="both"/>
        <w:rPr>
          <w:rFonts w:ascii="Arial" w:hAnsi="Arial"/>
          <w:sz w:val="28"/>
          <w:lang w:val="es-ES_tradnl"/>
        </w:rPr>
      </w:pPr>
    </w:p>
    <w:p w:rsidR="002E32FF" w:rsidRDefault="002E32FF">
      <w:pPr>
        <w:jc w:val="both"/>
        <w:rPr>
          <w:rFonts w:ascii="Arial" w:hAnsi="Arial"/>
          <w:sz w:val="28"/>
          <w:lang w:val="es-ES_tradnl"/>
        </w:rPr>
      </w:pPr>
    </w:p>
    <w:p w:rsidR="002E32FF" w:rsidRDefault="002E32FF">
      <w:pPr>
        <w:tabs>
          <w:tab w:val="left" w:pos="960"/>
        </w:tabs>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Se la denomina así por Charles H. Dow, formulador de una teoría que hasta hoy es la más importante del análisis técnico. Los principios básicos de su teoría son muy útiles para poder detectar señales de compra o de venta. Según Dow, toda la información relevante para la toma de decisiones de inversión está contenida en las cotizaciones de mercado.</w:t>
      </w:r>
    </w:p>
    <w:p w:rsidR="002E32FF" w:rsidRDefault="002E32FF">
      <w:pPr>
        <w:tabs>
          <w:tab w:val="left" w:pos="1000"/>
        </w:tabs>
        <w:jc w:val="both"/>
        <w:rPr>
          <w:rFonts w:ascii="Arial" w:hAnsi="Arial"/>
          <w:sz w:val="24"/>
          <w:lang w:val="es-ES_tradnl"/>
        </w:rPr>
      </w:pPr>
    </w:p>
    <w:p w:rsidR="002E32FF" w:rsidRDefault="002E32FF">
      <w:pPr>
        <w:tabs>
          <w:tab w:val="left" w:pos="1000"/>
        </w:tabs>
        <w:jc w:val="both"/>
        <w:rPr>
          <w:rFonts w:ascii="Arial" w:hAnsi="Arial"/>
          <w:sz w:val="24"/>
          <w:lang w:val="es-ES_tradnl"/>
        </w:rPr>
      </w:pPr>
      <w:r>
        <w:rPr>
          <w:rFonts w:ascii="Arial" w:hAnsi="Arial"/>
          <w:sz w:val="24"/>
          <w:lang w:val="es-ES_tradnl"/>
        </w:rPr>
        <w:t xml:space="preserve">    Esta teoría se basa en los siguientes supuestos:</w:t>
      </w:r>
    </w:p>
    <w:p w:rsidR="002E32FF" w:rsidRDefault="002E32FF">
      <w:pPr>
        <w:tabs>
          <w:tab w:val="left" w:pos="1000"/>
        </w:tabs>
        <w:jc w:val="both"/>
        <w:rPr>
          <w:rFonts w:ascii="Arial" w:hAnsi="Arial"/>
          <w:sz w:val="24"/>
          <w:lang w:val="es-ES_tradnl"/>
        </w:rPr>
      </w:pPr>
    </w:p>
    <w:p w:rsidR="002E32FF" w:rsidRDefault="002E32FF">
      <w:pPr>
        <w:tabs>
          <w:tab w:val="left" w:pos="1000"/>
        </w:tabs>
        <w:jc w:val="both"/>
        <w:rPr>
          <w:rFonts w:ascii="Arial" w:hAnsi="Arial"/>
          <w:sz w:val="24"/>
          <w:lang w:val="es-ES_tradnl"/>
        </w:rPr>
      </w:pPr>
    </w:p>
    <w:p w:rsidR="002E32FF" w:rsidRDefault="002E32FF">
      <w:pPr>
        <w:numPr>
          <w:ilvl w:val="0"/>
          <w:numId w:val="7"/>
        </w:numPr>
        <w:spacing w:line="480" w:lineRule="auto"/>
        <w:jc w:val="both"/>
        <w:rPr>
          <w:rFonts w:ascii="Arial" w:hAnsi="Arial"/>
          <w:sz w:val="24"/>
          <w:lang w:val="es-EC"/>
        </w:rPr>
      </w:pPr>
      <w:r>
        <w:rPr>
          <w:rFonts w:ascii="Arial" w:hAnsi="Arial"/>
          <w:sz w:val="24"/>
          <w:lang w:val="es-EC"/>
        </w:rPr>
        <w:t>Los cambios diarios en los índices tienen en cuenta el juicio de todos los inversores. Por tanto, estos cambios descuentan todo lo que puede afectar a la oferta y demanda de valores.</w:t>
      </w:r>
    </w:p>
    <w:p w:rsidR="002E32FF" w:rsidRDefault="002E32FF">
      <w:pPr>
        <w:numPr>
          <w:ilvl w:val="0"/>
          <w:numId w:val="7"/>
        </w:numPr>
        <w:spacing w:line="480" w:lineRule="auto"/>
        <w:jc w:val="both"/>
        <w:rPr>
          <w:rFonts w:ascii="Arial" w:hAnsi="Arial"/>
          <w:sz w:val="24"/>
          <w:lang w:val="es-EC"/>
        </w:rPr>
      </w:pPr>
      <w:r>
        <w:rPr>
          <w:rFonts w:ascii="Arial" w:hAnsi="Arial"/>
          <w:sz w:val="24"/>
          <w:lang w:val="es-EC"/>
        </w:rPr>
        <w:t>El mercado tiene tres evoluciones que hay que estudiar continuamente: primaria, secundaria y terciaria.</w:t>
      </w:r>
    </w:p>
    <w:p w:rsidR="002E32FF" w:rsidRDefault="002E32FF">
      <w:pPr>
        <w:numPr>
          <w:ilvl w:val="0"/>
          <w:numId w:val="7"/>
        </w:numPr>
        <w:spacing w:line="480" w:lineRule="auto"/>
        <w:jc w:val="both"/>
        <w:rPr>
          <w:rFonts w:ascii="Arial" w:hAnsi="Arial"/>
          <w:sz w:val="24"/>
          <w:lang w:val="es-EC"/>
        </w:rPr>
      </w:pPr>
      <w:r>
        <w:rPr>
          <w:rFonts w:ascii="Arial" w:hAnsi="Arial"/>
          <w:sz w:val="24"/>
          <w:lang w:val="es-EC"/>
        </w:rPr>
        <w:t>Cuando se produzca un cambio de tendencia es conveniente asegurarse, esperando a que se confirme dicho cambio.</w:t>
      </w:r>
    </w:p>
    <w:p w:rsidR="002E32FF" w:rsidRDefault="002E32FF">
      <w:pPr>
        <w:numPr>
          <w:ilvl w:val="0"/>
          <w:numId w:val="7"/>
        </w:numPr>
        <w:spacing w:line="480" w:lineRule="auto"/>
        <w:jc w:val="both"/>
        <w:rPr>
          <w:rFonts w:ascii="Arial" w:hAnsi="Arial"/>
          <w:sz w:val="24"/>
          <w:lang w:val="es-EC"/>
        </w:rPr>
      </w:pPr>
      <w:r>
        <w:rPr>
          <w:rFonts w:ascii="Arial" w:hAnsi="Arial"/>
          <w:sz w:val="24"/>
          <w:lang w:val="es-EC"/>
        </w:rPr>
        <w:t>El volumen debe confirmar la evolución de la tendencia.</w:t>
      </w:r>
    </w:p>
    <w:p w:rsidR="002E32FF" w:rsidRDefault="002E32FF">
      <w:pPr>
        <w:numPr>
          <w:ilvl w:val="0"/>
          <w:numId w:val="7"/>
        </w:numPr>
        <w:spacing w:line="480" w:lineRule="auto"/>
        <w:jc w:val="both"/>
        <w:rPr>
          <w:rFonts w:ascii="Arial" w:hAnsi="Arial"/>
          <w:sz w:val="24"/>
          <w:lang w:val="es-EC"/>
        </w:rPr>
      </w:pPr>
      <w:r>
        <w:rPr>
          <w:rFonts w:ascii="Arial" w:hAnsi="Arial"/>
          <w:sz w:val="24"/>
          <w:lang w:val="es-EC"/>
        </w:rPr>
        <w:t>Una tendencia es válida hasta que se hayan dado suficientes señales que nos permite asegurar que se ha revertido.</w:t>
      </w:r>
    </w:p>
    <w:p w:rsidR="002E32FF" w:rsidRDefault="002E32FF">
      <w:pPr>
        <w:tabs>
          <w:tab w:val="left" w:pos="0"/>
        </w:tabs>
        <w:spacing w:line="480" w:lineRule="auto"/>
        <w:jc w:val="both"/>
        <w:rPr>
          <w:rFonts w:ascii="Arial" w:hAnsi="Arial"/>
          <w:sz w:val="24"/>
          <w:lang w:val="es-EC"/>
        </w:rPr>
      </w:pPr>
    </w:p>
    <w:p w:rsidR="002E32FF" w:rsidRDefault="002E32FF">
      <w:pPr>
        <w:tabs>
          <w:tab w:val="left" w:pos="0"/>
        </w:tabs>
        <w:spacing w:line="480" w:lineRule="auto"/>
        <w:jc w:val="both"/>
        <w:rPr>
          <w:rFonts w:ascii="Arial" w:hAnsi="Arial"/>
          <w:sz w:val="24"/>
          <w:lang w:val="es-EC"/>
        </w:rPr>
      </w:pPr>
      <w:r>
        <w:rPr>
          <w:rFonts w:ascii="Arial" w:hAnsi="Arial"/>
          <w:sz w:val="24"/>
          <w:lang w:val="es-EC"/>
        </w:rPr>
        <w:t xml:space="preserve">    Como lo mencionamos anteriormente dentro de los supuestos, el mercado tiene tres evoluciones o tendencias que se detallan a continuación:</w:t>
      </w:r>
    </w:p>
    <w:p w:rsidR="002E32FF" w:rsidRDefault="002E32FF">
      <w:pPr>
        <w:tabs>
          <w:tab w:val="left" w:pos="0"/>
        </w:tabs>
        <w:spacing w:line="480" w:lineRule="auto"/>
        <w:jc w:val="both"/>
        <w:rPr>
          <w:rFonts w:ascii="Arial" w:hAnsi="Arial"/>
          <w:sz w:val="24"/>
          <w:lang w:val="es-EC"/>
        </w:rPr>
      </w:pPr>
    </w:p>
    <w:p w:rsidR="002E32FF" w:rsidRDefault="002E32FF">
      <w:pPr>
        <w:spacing w:before="100" w:after="100" w:line="480" w:lineRule="auto"/>
        <w:jc w:val="both"/>
        <w:rPr>
          <w:rFonts w:ascii="Arial" w:hAnsi="Arial"/>
          <w:sz w:val="24"/>
          <w:lang w:val="es-ES_tradnl"/>
        </w:rPr>
      </w:pPr>
      <w:r>
        <w:rPr>
          <w:rFonts w:ascii="Arial" w:hAnsi="Arial"/>
          <w:b/>
          <w:sz w:val="24"/>
          <w:lang w:val="es-ES_tradnl"/>
        </w:rPr>
        <w:t xml:space="preserve">    Tendencia principal</w:t>
      </w:r>
      <w:r>
        <w:rPr>
          <w:rFonts w:ascii="Arial" w:hAnsi="Arial"/>
          <w:sz w:val="24"/>
          <w:lang w:val="es-ES_tradnl"/>
        </w:rPr>
        <w:t>: es la tendencia básica, la que marca la evolución del valor a largo plazo y cuya duración puede superar el año. Para el Análisis Técnico esta tendencia es la que tiene mayor importancia.</w:t>
      </w:r>
    </w:p>
    <w:p w:rsidR="002E32FF" w:rsidRDefault="002E32FF">
      <w:pPr>
        <w:jc w:val="both"/>
        <w:rPr>
          <w:rFonts w:ascii="Arial" w:hAnsi="Arial"/>
          <w:sz w:val="24"/>
          <w:lang w:val="es-ES_tradnl"/>
        </w:rPr>
      </w:pPr>
    </w:p>
    <w:p w:rsidR="002E32FF" w:rsidRDefault="002E32FF">
      <w:pPr>
        <w:jc w:val="both"/>
        <w:rPr>
          <w:rFonts w:ascii="Arial" w:hAnsi="Arial"/>
          <w:sz w:val="24"/>
          <w:lang w:val="es-ES_tradnl"/>
        </w:rPr>
      </w:pPr>
    </w:p>
    <w:p w:rsidR="002E32FF" w:rsidRDefault="002E32FF">
      <w:pPr>
        <w:jc w:val="both"/>
        <w:rPr>
          <w:rFonts w:ascii="Arial" w:hAnsi="Arial"/>
          <w:sz w:val="24"/>
          <w:lang w:val="es-ES_tradnl"/>
        </w:rPr>
      </w:pPr>
    </w:p>
    <w:p w:rsidR="002E32FF" w:rsidRDefault="002E32FF">
      <w:pPr>
        <w:pStyle w:val="Epgrafe"/>
      </w:pPr>
      <w:r>
        <w:t>Fig 2.1  Gráfica Tendencia Principal</w:t>
      </w:r>
    </w:p>
    <w:p w:rsidR="002E32FF" w:rsidRDefault="002E32FF">
      <w:pPr>
        <w:ind w:firstLine="720"/>
        <w:jc w:val="both"/>
        <w:rPr>
          <w:rFonts w:ascii="Arial" w:hAnsi="Arial"/>
          <w:sz w:val="28"/>
          <w:lang w:val="es-ES_tradnl"/>
        </w:rPr>
      </w:pPr>
    </w:p>
    <w:p w:rsidR="002E32FF" w:rsidRDefault="005D7CF4">
      <w:pPr>
        <w:spacing w:before="100" w:after="100"/>
        <w:jc w:val="center"/>
        <w:rPr>
          <w:rFonts w:ascii="Arial" w:hAnsi="Arial"/>
          <w:sz w:val="28"/>
        </w:rPr>
      </w:pPr>
      <w:r>
        <w:rPr>
          <w:rFonts w:ascii="Arial" w:hAnsi="Arial"/>
          <w:noProof/>
          <w:sz w:val="28"/>
          <w:lang w:eastAsia="es-ES"/>
        </w:rPr>
        <w:drawing>
          <wp:inline distT="0" distB="0" distL="0" distR="0">
            <wp:extent cx="2857500" cy="2133600"/>
            <wp:effectExtent l="19050" t="0" r="0" b="0"/>
            <wp:docPr id="3" name="Imagen 3" descr="Lec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cc-17-2"/>
                    <pic:cNvPicPr>
                      <a:picLocks noChangeAspect="1" noChangeArrowheads="1"/>
                    </pic:cNvPicPr>
                  </pic:nvPicPr>
                  <pic:blipFill>
                    <a:blip r:embed="rId18"/>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2E32FF" w:rsidRDefault="002E32FF">
      <w:pPr>
        <w:spacing w:after="100" w:line="480" w:lineRule="auto"/>
        <w:jc w:val="both"/>
        <w:rPr>
          <w:b/>
          <w:lang w:val="es-ES_tradnl"/>
        </w:rPr>
      </w:pPr>
      <w:r>
        <w:rPr>
          <w:rFonts w:ascii="Arial" w:hAnsi="Arial"/>
          <w:sz w:val="28"/>
          <w:lang w:val="es-ES_tradnl"/>
        </w:rPr>
        <w:t xml:space="preserve">                            </w:t>
      </w:r>
      <w:r>
        <w:rPr>
          <w:b/>
          <w:lang w:val="es-ES_tradnl"/>
        </w:rPr>
        <w:t>Elaborado por: starmedia</w:t>
      </w:r>
    </w:p>
    <w:p w:rsidR="002E32FF" w:rsidRDefault="002E32FF">
      <w:pPr>
        <w:spacing w:after="100" w:line="480" w:lineRule="auto"/>
        <w:jc w:val="both"/>
        <w:rPr>
          <w:b/>
          <w:lang w:val="es-ES_tradnl"/>
        </w:rPr>
      </w:pPr>
    </w:p>
    <w:p w:rsidR="002E32FF" w:rsidRDefault="002E32FF">
      <w:pPr>
        <w:spacing w:after="100" w:line="480" w:lineRule="auto"/>
        <w:jc w:val="both"/>
        <w:rPr>
          <w:rFonts w:ascii="Arial" w:hAnsi="Arial"/>
          <w:sz w:val="24"/>
          <w:lang w:val="es-ES_tradnl"/>
        </w:rPr>
      </w:pPr>
      <w:r>
        <w:rPr>
          <w:rFonts w:ascii="Arial" w:hAnsi="Arial"/>
          <w:sz w:val="24"/>
          <w:lang w:val="es-ES_tradnl"/>
        </w:rPr>
        <w:t xml:space="preserve">    La tendencia principal puede ser:</w:t>
      </w:r>
    </w:p>
    <w:p w:rsidR="002E32FF" w:rsidRDefault="002E32FF">
      <w:pPr>
        <w:numPr>
          <w:ilvl w:val="0"/>
          <w:numId w:val="17"/>
        </w:numPr>
        <w:spacing w:after="100" w:line="480" w:lineRule="auto"/>
        <w:jc w:val="both"/>
        <w:rPr>
          <w:rFonts w:ascii="Arial" w:hAnsi="Arial"/>
          <w:sz w:val="24"/>
          <w:lang w:val="en-GB"/>
        </w:rPr>
      </w:pPr>
      <w:r>
        <w:rPr>
          <w:rFonts w:ascii="Arial" w:hAnsi="Arial"/>
          <w:sz w:val="24"/>
          <w:lang w:val="en-GB"/>
        </w:rPr>
        <w:t>Alcista (bull market)</w:t>
      </w:r>
    </w:p>
    <w:p w:rsidR="002E32FF" w:rsidRDefault="002E32FF">
      <w:pPr>
        <w:numPr>
          <w:ilvl w:val="0"/>
          <w:numId w:val="17"/>
        </w:numPr>
        <w:spacing w:before="100" w:after="100" w:line="480" w:lineRule="auto"/>
        <w:jc w:val="both"/>
        <w:rPr>
          <w:rFonts w:ascii="Arial" w:hAnsi="Arial"/>
          <w:sz w:val="24"/>
          <w:lang w:val="en-GB"/>
        </w:rPr>
      </w:pPr>
      <w:r>
        <w:rPr>
          <w:rFonts w:ascii="Arial" w:hAnsi="Arial"/>
          <w:sz w:val="24"/>
          <w:lang w:val="en-GB"/>
        </w:rPr>
        <w:t>Bajista (bear market)</w:t>
      </w:r>
    </w:p>
    <w:p w:rsidR="002E32FF" w:rsidRDefault="002E32FF">
      <w:pPr>
        <w:pStyle w:val="Textoindependiente"/>
        <w:spacing w:before="100" w:after="100" w:line="480" w:lineRule="auto"/>
        <w:jc w:val="both"/>
        <w:rPr>
          <w:rFonts w:ascii="Arial" w:hAnsi="Arial"/>
          <w:lang w:val="en-US"/>
        </w:rPr>
      </w:pPr>
      <w:r>
        <w:rPr>
          <w:rFonts w:ascii="Arial" w:hAnsi="Arial"/>
          <w:lang w:val="en-US"/>
        </w:rPr>
        <w:t xml:space="preserve">    </w:t>
      </w:r>
    </w:p>
    <w:p w:rsidR="002E32FF" w:rsidRDefault="002E32FF">
      <w:pPr>
        <w:pStyle w:val="Textoindependiente"/>
        <w:spacing w:before="100" w:after="100" w:line="480" w:lineRule="auto"/>
        <w:jc w:val="both"/>
        <w:rPr>
          <w:rFonts w:ascii="Arial" w:hAnsi="Arial"/>
          <w:lang w:val="es-ES_tradnl"/>
        </w:rPr>
      </w:pPr>
      <w:r>
        <w:rPr>
          <w:rFonts w:ascii="Arial" w:hAnsi="Arial"/>
          <w:lang w:val="es-ES_tradnl"/>
        </w:rPr>
        <w:t xml:space="preserve">    Lateral u horizontal, en este caso se dice que la cotización se mueve sin una tendencia definida. Cuando esto ocurre, el Análisis Técnico aconseja no tomar decisiones hasta que no se manifieste nuevamente una tendencia.</w:t>
      </w:r>
    </w:p>
    <w:p w:rsidR="002E32FF" w:rsidRDefault="002E32FF">
      <w:pPr>
        <w:spacing w:before="100" w:after="100" w:line="480" w:lineRule="auto"/>
        <w:jc w:val="both"/>
        <w:rPr>
          <w:rFonts w:ascii="Arial" w:hAnsi="Arial"/>
          <w:sz w:val="24"/>
          <w:lang w:val="es-ES_tradnl"/>
        </w:rPr>
      </w:pPr>
    </w:p>
    <w:p w:rsidR="002E32FF" w:rsidRDefault="002E32FF">
      <w:pPr>
        <w:spacing w:before="100" w:after="100" w:line="480" w:lineRule="auto"/>
        <w:jc w:val="both"/>
        <w:rPr>
          <w:rFonts w:ascii="Arial" w:hAnsi="Arial"/>
          <w:sz w:val="24"/>
          <w:lang w:val="es-ES_tradnl"/>
        </w:rPr>
      </w:pPr>
      <w:r>
        <w:rPr>
          <w:rFonts w:ascii="Arial" w:hAnsi="Arial"/>
          <w:b/>
          <w:sz w:val="24"/>
          <w:lang w:val="es-ES_tradnl"/>
        </w:rPr>
        <w:t xml:space="preserve">    Tendencia secundaria</w:t>
      </w:r>
      <w:r>
        <w:rPr>
          <w:rFonts w:ascii="Arial" w:hAnsi="Arial"/>
          <w:sz w:val="24"/>
          <w:lang w:val="es-ES_tradnl"/>
        </w:rPr>
        <w:t>: su duración oscila entre varias semanas y 3-4 meses, y son movimientos que tienen lugar dentro de la tendencia principal.</w:t>
      </w:r>
    </w:p>
    <w:p w:rsidR="002E32FF" w:rsidRDefault="002E32FF">
      <w:pPr>
        <w:spacing w:before="100" w:after="100" w:line="480" w:lineRule="auto"/>
        <w:jc w:val="both"/>
        <w:rPr>
          <w:rFonts w:ascii="Arial" w:hAnsi="Arial"/>
          <w:sz w:val="24"/>
          <w:lang w:val="es-ES_tradnl"/>
        </w:rPr>
      </w:pPr>
    </w:p>
    <w:p w:rsidR="002E32FF" w:rsidRDefault="002E32FF">
      <w:pPr>
        <w:pStyle w:val="Epgrafe"/>
        <w:tabs>
          <w:tab w:val="left" w:pos="2500"/>
        </w:tabs>
        <w:spacing w:line="480" w:lineRule="auto"/>
      </w:pPr>
      <w:r>
        <w:t>Fig. 2.2  Gráfica Tendencia Secundaria</w:t>
      </w:r>
    </w:p>
    <w:p w:rsidR="002E32FF" w:rsidRDefault="005D7CF4">
      <w:pPr>
        <w:spacing w:before="100" w:after="100"/>
        <w:jc w:val="center"/>
        <w:rPr>
          <w:rFonts w:ascii="Arial" w:hAnsi="Arial"/>
          <w:sz w:val="28"/>
        </w:rPr>
      </w:pPr>
      <w:r>
        <w:rPr>
          <w:rFonts w:ascii="Arial" w:hAnsi="Arial"/>
          <w:noProof/>
          <w:sz w:val="28"/>
          <w:lang w:eastAsia="es-ES"/>
        </w:rPr>
        <w:drawing>
          <wp:inline distT="0" distB="0" distL="0" distR="0">
            <wp:extent cx="2857500" cy="2133600"/>
            <wp:effectExtent l="19050" t="0" r="0" b="0"/>
            <wp:docPr id="4" name="Imagen 4" descr="Lecc-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c-17-3"/>
                    <pic:cNvPicPr>
                      <a:picLocks noChangeAspect="1" noChangeArrowheads="1"/>
                    </pic:cNvPicPr>
                  </pic:nvPicPr>
                  <pic:blipFill>
                    <a:blip r:embed="rId19"/>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2E32FF" w:rsidRDefault="002E32FF">
      <w:pPr>
        <w:tabs>
          <w:tab w:val="left" w:pos="2500"/>
        </w:tabs>
        <w:spacing w:before="100" w:after="100" w:line="480" w:lineRule="auto"/>
        <w:jc w:val="both"/>
        <w:rPr>
          <w:b/>
          <w:lang w:val="es-ES_tradnl"/>
        </w:rPr>
      </w:pPr>
      <w:r>
        <w:rPr>
          <w:rFonts w:ascii="Arial" w:hAnsi="Arial"/>
          <w:b/>
          <w:i/>
          <w:sz w:val="28"/>
          <w:lang w:val="es-ES_tradnl"/>
        </w:rPr>
        <w:t xml:space="preserve">                           </w:t>
      </w:r>
      <w:r>
        <w:rPr>
          <w:b/>
          <w:lang w:val="es-ES_tradnl"/>
        </w:rPr>
        <w:t>Elaborado por: starmedia</w:t>
      </w:r>
    </w:p>
    <w:p w:rsidR="002E32FF" w:rsidRDefault="002E32FF">
      <w:pPr>
        <w:tabs>
          <w:tab w:val="left" w:pos="2500"/>
        </w:tabs>
        <w:spacing w:before="100" w:after="100" w:line="480" w:lineRule="auto"/>
        <w:jc w:val="both"/>
        <w:rPr>
          <w:rFonts w:ascii="Arial" w:hAnsi="Arial"/>
          <w:b/>
          <w:i/>
          <w:sz w:val="28"/>
          <w:lang w:val="es-ES_tradnl"/>
        </w:rPr>
      </w:pPr>
    </w:p>
    <w:p w:rsidR="002E32FF" w:rsidRDefault="002E32FF">
      <w:pPr>
        <w:spacing w:before="100" w:after="100" w:line="480" w:lineRule="auto"/>
        <w:jc w:val="both"/>
        <w:rPr>
          <w:rFonts w:ascii="Arial" w:hAnsi="Arial"/>
          <w:sz w:val="24"/>
          <w:lang w:val="es-ES_tradnl"/>
        </w:rPr>
      </w:pPr>
      <w:r>
        <w:rPr>
          <w:rFonts w:ascii="Arial" w:hAnsi="Arial"/>
          <w:b/>
          <w:sz w:val="24"/>
          <w:lang w:val="es-ES_tradnl"/>
        </w:rPr>
        <w:t xml:space="preserve">    Tendencias menores</w:t>
      </w:r>
      <w:r>
        <w:rPr>
          <w:rFonts w:ascii="Arial" w:hAnsi="Arial"/>
          <w:sz w:val="24"/>
          <w:lang w:val="es-ES_tradnl"/>
        </w:rPr>
        <w:t>: son movimientos a corto plazo, con una duración entre un día y varias semanas.</w:t>
      </w:r>
    </w:p>
    <w:p w:rsidR="002E32FF" w:rsidRDefault="002E32FF">
      <w:pPr>
        <w:spacing w:before="100" w:after="100" w:line="480" w:lineRule="auto"/>
        <w:jc w:val="both"/>
        <w:rPr>
          <w:rFonts w:ascii="Arial" w:hAnsi="Arial"/>
          <w:sz w:val="24"/>
          <w:lang w:val="es-ES_tradnl"/>
        </w:rPr>
      </w:pPr>
    </w:p>
    <w:p w:rsidR="002E32FF" w:rsidRDefault="002E32FF">
      <w:pPr>
        <w:tabs>
          <w:tab w:val="left" w:pos="2520"/>
        </w:tabs>
        <w:jc w:val="center"/>
        <w:rPr>
          <w:rFonts w:ascii="Arial" w:hAnsi="Arial"/>
          <w:b/>
          <w:i/>
          <w:sz w:val="28"/>
          <w:lang w:val="es-EC"/>
        </w:rPr>
      </w:pPr>
      <w:r>
        <w:rPr>
          <w:rFonts w:ascii="Arial" w:hAnsi="Arial"/>
          <w:b/>
          <w:i/>
          <w:sz w:val="28"/>
          <w:lang w:val="es-EC"/>
        </w:rPr>
        <w:t>Fig. 2.3  Gráfica Tendencias Menores</w:t>
      </w:r>
    </w:p>
    <w:p w:rsidR="002E32FF" w:rsidRDefault="002E32FF">
      <w:pPr>
        <w:tabs>
          <w:tab w:val="left" w:pos="2520"/>
        </w:tabs>
        <w:jc w:val="center"/>
        <w:rPr>
          <w:rFonts w:ascii="Arial" w:hAnsi="Arial"/>
          <w:b/>
          <w:i/>
          <w:sz w:val="28"/>
          <w:lang w:val="es-EC"/>
        </w:rPr>
      </w:pPr>
    </w:p>
    <w:p w:rsidR="002E32FF" w:rsidRDefault="005D7CF4">
      <w:pPr>
        <w:tabs>
          <w:tab w:val="left" w:pos="0"/>
        </w:tabs>
        <w:spacing w:line="480" w:lineRule="auto"/>
        <w:jc w:val="center"/>
        <w:rPr>
          <w:rFonts w:ascii="Arial" w:hAnsi="Arial"/>
          <w:sz w:val="28"/>
          <w:lang w:val="es-EC"/>
        </w:rPr>
      </w:pPr>
      <w:r>
        <w:rPr>
          <w:rFonts w:ascii="Arial" w:hAnsi="Arial"/>
          <w:noProof/>
          <w:sz w:val="28"/>
          <w:lang w:eastAsia="es-ES"/>
        </w:rPr>
        <w:drawing>
          <wp:inline distT="0" distB="0" distL="0" distR="0">
            <wp:extent cx="2857500" cy="2133600"/>
            <wp:effectExtent l="19050" t="0" r="0" b="0"/>
            <wp:docPr id="5" name="Imagen 5" descr="Lecc-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cc-17-4"/>
                    <pic:cNvPicPr>
                      <a:picLocks noChangeAspect="1" noChangeArrowheads="1"/>
                    </pic:cNvPicPr>
                  </pic:nvPicPr>
                  <pic:blipFill>
                    <a:blip r:embed="rId20"/>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2E32FF" w:rsidRDefault="002E32FF">
      <w:pPr>
        <w:tabs>
          <w:tab w:val="left" w:pos="2520"/>
        </w:tabs>
        <w:rPr>
          <w:b/>
          <w:lang w:val="es-ES_tradnl"/>
        </w:rPr>
      </w:pPr>
      <w:r>
        <w:rPr>
          <w:rFonts w:ascii="Arial" w:hAnsi="Arial"/>
          <w:sz w:val="28"/>
          <w:lang w:val="es-EC"/>
        </w:rPr>
        <w:t xml:space="preserve">                           </w:t>
      </w:r>
      <w:r>
        <w:rPr>
          <w:b/>
          <w:lang w:val="es-ES_tradnl"/>
        </w:rPr>
        <w:t>Elaborado por: starmedia</w:t>
      </w:r>
    </w:p>
    <w:p w:rsidR="002E32FF" w:rsidRDefault="002E32FF">
      <w:pPr>
        <w:tabs>
          <w:tab w:val="left" w:pos="2520"/>
        </w:tabs>
        <w:rPr>
          <w:rFonts w:ascii="Arial" w:hAnsi="Arial"/>
          <w:sz w:val="28"/>
          <w:lang w:val="es-EC"/>
        </w:rPr>
      </w:pPr>
    </w:p>
    <w:p w:rsidR="002E32FF" w:rsidRDefault="002E32FF">
      <w:pPr>
        <w:tabs>
          <w:tab w:val="left" w:pos="2520"/>
        </w:tabs>
        <w:rPr>
          <w:rFonts w:ascii="Arial" w:eastAsia="Arial Unicode MS" w:hAnsi="Arial"/>
          <w:b/>
          <w:sz w:val="28"/>
          <w:lang w:val="es-EC"/>
        </w:rPr>
      </w:pPr>
      <w:r>
        <w:rPr>
          <w:rFonts w:ascii="Arial" w:eastAsia="Arial Unicode MS" w:hAnsi="Arial"/>
          <w:b/>
          <w:sz w:val="28"/>
          <w:lang w:val="es-EC"/>
        </w:rPr>
        <w:t>2.3.2.2 Ondas de Elliot.</w:t>
      </w:r>
    </w:p>
    <w:p w:rsidR="002E32FF" w:rsidRDefault="002E32FF">
      <w:pPr>
        <w:jc w:val="both"/>
        <w:rPr>
          <w:rFonts w:ascii="Arial" w:hAnsi="Arial"/>
          <w:sz w:val="28"/>
          <w:lang w:val="es-EC"/>
        </w:rPr>
      </w:pPr>
    </w:p>
    <w:p w:rsidR="002E32FF" w:rsidRDefault="002E32FF">
      <w:pPr>
        <w:jc w:val="both"/>
        <w:rPr>
          <w:rFonts w:ascii="Arial" w:hAnsi="Arial"/>
          <w:sz w:val="28"/>
          <w:lang w:val="es-EC"/>
        </w:rPr>
      </w:pPr>
    </w:p>
    <w:p w:rsidR="002E32FF" w:rsidRDefault="002E32FF">
      <w:pPr>
        <w:spacing w:line="480" w:lineRule="auto"/>
        <w:jc w:val="both"/>
        <w:rPr>
          <w:rFonts w:ascii="Arial" w:hAnsi="Arial"/>
          <w:color w:val="000000"/>
          <w:sz w:val="24"/>
        </w:rPr>
      </w:pPr>
      <w:r>
        <w:rPr>
          <w:rFonts w:ascii="Arial" w:hAnsi="Arial"/>
          <w:sz w:val="24"/>
          <w:lang w:val="es-EC"/>
        </w:rPr>
        <w:t xml:space="preserve">    Otra de las teorías clásicas de mayor renombre es la de R.N. Elliot en 1939 conocida como el principio de las Ondas de Elliot. Se basó en la observación y el seguimiento de las cotizaciones de los activos, y concluyó que estos seguían unos patrones de comportamiento que podían ser clasificadas en figuras. La repetitividad en el tiempo de dichas formaciones permitía que pudieran llegar a ser predecibles una vez identificadas. Además, estos cambios en la evolución de los precios tenían una estructura relacionada con las leyes de la naturaleza. El principio de las Ondas de Elliot se basa en la serie  Fibonacci</w:t>
      </w:r>
      <w:r>
        <w:rPr>
          <w:rStyle w:val="Refdecomentario"/>
          <w:sz w:val="24"/>
        </w:rPr>
        <w:t xml:space="preserve">; </w:t>
      </w:r>
      <w:r>
        <w:rPr>
          <w:rStyle w:val="Refdecomentario"/>
          <w:rFonts w:ascii="Arial" w:hAnsi="Arial"/>
          <w:sz w:val="24"/>
        </w:rPr>
        <w:t xml:space="preserve">la cual </w:t>
      </w:r>
      <w:r>
        <w:rPr>
          <w:rFonts w:ascii="Arial" w:hAnsi="Arial"/>
          <w:color w:val="000000"/>
          <w:sz w:val="24"/>
        </w:rPr>
        <w:t xml:space="preserve">es una sucesión de números en la que cada término es igual a la suma de los dos términos precedentes, y a la vez esta serie de números tiende, en forma asintótica, a una razón constante e irracional. Los principales objetivos que </w:t>
      </w:r>
      <w:smartTag w:uri="urn:schemas-microsoft-com:office:smarttags" w:element="PersonName">
        <w:smartTagPr>
          <w:attr w:name="ProductID" w:val="la Serie"/>
        </w:smartTagPr>
        <w:r>
          <w:rPr>
            <w:rFonts w:ascii="Arial" w:hAnsi="Arial"/>
            <w:color w:val="000000"/>
            <w:sz w:val="24"/>
          </w:rPr>
          <w:t>la Serie</w:t>
        </w:r>
      </w:smartTag>
      <w:r>
        <w:rPr>
          <w:rFonts w:ascii="Arial" w:hAnsi="Arial"/>
          <w:color w:val="000000"/>
          <w:sz w:val="24"/>
        </w:rPr>
        <w:t xml:space="preserve"> de Fibonacci pretende alcanzar en su aplicación al mercado Bursátil son los siguientes: En lo que a precios respecta, busca predecir rangos de precios objetivos a los que debiera llegar una acción cuando se encuentra en una determinada tendencia.  En lo que a tiempo se refiere, busca determinar el periodo de tiempo que durará una tendencia, y cuando ocurrirá un cambio en ella.</w:t>
      </w:r>
    </w:p>
    <w:p w:rsidR="002E32FF" w:rsidRDefault="002E32FF">
      <w:pPr>
        <w:spacing w:line="480" w:lineRule="auto"/>
        <w:jc w:val="both"/>
        <w:rPr>
          <w:rFonts w:ascii="Arial" w:hAnsi="Arial"/>
          <w:sz w:val="24"/>
          <w:lang w:val="es-EC"/>
        </w:rPr>
      </w:pPr>
    </w:p>
    <w:p w:rsidR="002E32FF" w:rsidRDefault="002E32FF">
      <w:pPr>
        <w:spacing w:line="480" w:lineRule="auto"/>
        <w:jc w:val="both"/>
        <w:rPr>
          <w:rFonts w:ascii="Arial" w:hAnsi="Arial"/>
          <w:sz w:val="24"/>
          <w:lang w:val="es-EC"/>
        </w:rPr>
      </w:pPr>
    </w:p>
    <w:p w:rsidR="002E32FF" w:rsidRDefault="002E32FF">
      <w:pPr>
        <w:spacing w:line="480" w:lineRule="auto"/>
        <w:jc w:val="both"/>
        <w:rPr>
          <w:rFonts w:ascii="Arial" w:hAnsi="Arial"/>
          <w:sz w:val="24"/>
          <w:lang w:val="es-EC"/>
        </w:rPr>
      </w:pPr>
    </w:p>
    <w:p w:rsidR="002E32FF" w:rsidRDefault="002E32FF">
      <w:pPr>
        <w:jc w:val="both"/>
        <w:rPr>
          <w:rFonts w:ascii="Arial" w:hAnsi="Arial"/>
          <w:sz w:val="24"/>
          <w:lang w:val="es-EC"/>
        </w:rPr>
      </w:pPr>
    </w:p>
    <w:p w:rsidR="002E32FF" w:rsidRDefault="002E32FF">
      <w:pPr>
        <w:jc w:val="both"/>
        <w:rPr>
          <w:rFonts w:ascii="Arial" w:eastAsia="Arial Unicode MS" w:hAnsi="Arial"/>
          <w:b/>
          <w:sz w:val="28"/>
          <w:lang w:val="es-EC"/>
        </w:rPr>
      </w:pPr>
    </w:p>
    <w:p w:rsidR="002E32FF" w:rsidRDefault="002E32FF">
      <w:pPr>
        <w:jc w:val="both"/>
        <w:rPr>
          <w:rFonts w:ascii="Arial" w:eastAsia="Arial Unicode MS" w:hAnsi="Arial"/>
          <w:b/>
          <w:sz w:val="28"/>
          <w:lang w:val="es-EC"/>
        </w:rPr>
      </w:pPr>
      <w:r>
        <w:rPr>
          <w:rFonts w:ascii="Arial" w:eastAsia="Arial Unicode MS" w:hAnsi="Arial"/>
          <w:b/>
          <w:sz w:val="28"/>
          <w:lang w:val="es-EC"/>
        </w:rPr>
        <w:t>2.3.3  Reglas técnicas para transar en el mercado bursátil</w:t>
      </w:r>
    </w:p>
    <w:p w:rsidR="002E32FF" w:rsidRDefault="002E32FF">
      <w:pPr>
        <w:jc w:val="both"/>
        <w:rPr>
          <w:rFonts w:ascii="Arial" w:hAnsi="Arial"/>
          <w:sz w:val="28"/>
          <w:lang w:val="es-EC"/>
        </w:rPr>
      </w:pPr>
    </w:p>
    <w:p w:rsidR="002E32FF" w:rsidRDefault="002E32FF">
      <w:pPr>
        <w:jc w:val="both"/>
        <w:rPr>
          <w:rFonts w:ascii="Arial" w:hAnsi="Arial"/>
          <w:sz w:val="28"/>
          <w:lang w:val="es-EC"/>
        </w:rPr>
      </w:pPr>
    </w:p>
    <w:p w:rsidR="002E32FF" w:rsidRDefault="002E32FF">
      <w:pPr>
        <w:jc w:val="both"/>
        <w:rPr>
          <w:rFonts w:ascii="Arial" w:hAnsi="Arial"/>
          <w:sz w:val="28"/>
          <w:lang w:val="es-EC"/>
        </w:rPr>
      </w:pPr>
    </w:p>
    <w:p w:rsidR="002E32FF" w:rsidRDefault="002E32FF">
      <w:pPr>
        <w:spacing w:line="480" w:lineRule="auto"/>
        <w:jc w:val="both"/>
        <w:rPr>
          <w:rFonts w:ascii="Arial" w:hAnsi="Arial"/>
          <w:sz w:val="24"/>
          <w:lang w:val="es-EC"/>
        </w:rPr>
      </w:pPr>
      <w:r>
        <w:rPr>
          <w:rFonts w:ascii="Arial" w:hAnsi="Arial"/>
          <w:sz w:val="24"/>
          <w:lang w:val="es-EC"/>
        </w:rPr>
        <w:t xml:space="preserve">    Dentro de este análisis técnico emplearemos algunas reglas técnicas que profundizaremos en su definición, análisis y aplicación en los puntos siguientes, sólo mencionaremos a continuación cuáles son:</w:t>
      </w:r>
    </w:p>
    <w:p w:rsidR="002E32FF" w:rsidRDefault="002E32FF">
      <w:pPr>
        <w:numPr>
          <w:ilvl w:val="0"/>
          <w:numId w:val="9"/>
        </w:numPr>
        <w:spacing w:line="480" w:lineRule="auto"/>
        <w:jc w:val="both"/>
        <w:rPr>
          <w:rFonts w:ascii="Arial" w:hAnsi="Arial"/>
          <w:sz w:val="24"/>
          <w:lang w:val="es-EC"/>
        </w:rPr>
      </w:pPr>
      <w:r>
        <w:rPr>
          <w:rFonts w:ascii="Arial" w:hAnsi="Arial"/>
          <w:sz w:val="24"/>
          <w:lang w:val="es-EC"/>
        </w:rPr>
        <w:t>Media móvil</w:t>
      </w:r>
    </w:p>
    <w:p w:rsidR="002E32FF" w:rsidRDefault="002E32FF">
      <w:pPr>
        <w:numPr>
          <w:ilvl w:val="0"/>
          <w:numId w:val="9"/>
        </w:numPr>
        <w:spacing w:line="480" w:lineRule="auto"/>
        <w:jc w:val="both"/>
        <w:rPr>
          <w:rFonts w:ascii="Arial" w:hAnsi="Arial"/>
          <w:sz w:val="24"/>
          <w:lang w:val="es-EC"/>
        </w:rPr>
      </w:pPr>
      <w:r>
        <w:rPr>
          <w:rFonts w:ascii="Arial" w:hAnsi="Arial"/>
          <w:sz w:val="24"/>
          <w:lang w:val="es-EC"/>
        </w:rPr>
        <w:t>Longitud variable de la media móvil</w:t>
      </w:r>
    </w:p>
    <w:p w:rsidR="002E32FF" w:rsidRDefault="002E32FF">
      <w:pPr>
        <w:numPr>
          <w:ilvl w:val="0"/>
          <w:numId w:val="9"/>
        </w:numPr>
        <w:spacing w:line="480" w:lineRule="auto"/>
        <w:jc w:val="both"/>
        <w:rPr>
          <w:rFonts w:ascii="Arial" w:hAnsi="Arial"/>
          <w:sz w:val="24"/>
          <w:lang w:val="es-EC"/>
        </w:rPr>
      </w:pPr>
      <w:r>
        <w:rPr>
          <w:rFonts w:ascii="Arial" w:hAnsi="Arial"/>
          <w:sz w:val="24"/>
          <w:lang w:val="es-EC"/>
        </w:rPr>
        <w:t>Trading range break out</w:t>
      </w:r>
    </w:p>
    <w:p w:rsidR="002E32FF" w:rsidRDefault="002E32FF">
      <w:pPr>
        <w:spacing w:line="480" w:lineRule="auto"/>
        <w:jc w:val="both"/>
        <w:rPr>
          <w:rFonts w:ascii="Arial" w:hAnsi="Arial"/>
          <w:sz w:val="28"/>
          <w:lang w:val="es-EC"/>
        </w:rPr>
      </w:pPr>
    </w:p>
    <w:p w:rsidR="002E32FF" w:rsidRDefault="002E32FF">
      <w:pPr>
        <w:spacing w:line="480" w:lineRule="auto"/>
        <w:jc w:val="both"/>
        <w:rPr>
          <w:rFonts w:ascii="Arial" w:hAnsi="Arial"/>
          <w:sz w:val="28"/>
          <w:lang w:val="es-EC"/>
        </w:rPr>
      </w:pPr>
    </w:p>
    <w:p w:rsidR="002E32FF" w:rsidRDefault="002E32FF">
      <w:pPr>
        <w:tabs>
          <w:tab w:val="left" w:pos="360"/>
        </w:tabs>
        <w:jc w:val="both"/>
        <w:rPr>
          <w:rFonts w:ascii="Arial" w:eastAsia="Arial Unicode MS" w:hAnsi="Arial"/>
          <w:b/>
          <w:sz w:val="28"/>
          <w:lang w:val="es-EC"/>
        </w:rPr>
      </w:pPr>
      <w:r>
        <w:rPr>
          <w:rFonts w:ascii="Arial" w:eastAsia="Arial Unicode MS" w:hAnsi="Arial"/>
          <w:b/>
          <w:sz w:val="28"/>
          <w:lang w:val="es-EC"/>
        </w:rPr>
        <w:t>2.3.3.1 Media Móvil</w:t>
      </w: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spacing w:before="100" w:after="100" w:line="480" w:lineRule="auto"/>
        <w:jc w:val="both"/>
        <w:rPr>
          <w:rFonts w:ascii="Arial" w:hAnsi="Arial"/>
          <w:color w:val="000000"/>
          <w:sz w:val="24"/>
          <w:lang w:val="es-ES_tradnl"/>
        </w:rPr>
      </w:pPr>
      <w:r>
        <w:rPr>
          <w:rFonts w:ascii="Arial" w:hAnsi="Arial"/>
          <w:sz w:val="24"/>
          <w:lang w:val="es-ES_tradnl"/>
        </w:rPr>
        <w:t xml:space="preserve">    Las medias móviles son los indicadores más básicos y de los más efectivos que se emplean en el análisis técnico, </w:t>
      </w:r>
      <w:r>
        <w:rPr>
          <w:rFonts w:ascii="Arial" w:hAnsi="Arial"/>
          <w:color w:val="000000"/>
          <w:sz w:val="24"/>
          <w:lang w:val="es-ES_tradnl"/>
        </w:rPr>
        <w:t>son gráficas formadas por los valores medios de una cotización durante un periodo determinado.</w:t>
      </w:r>
    </w:p>
    <w:p w:rsidR="002E32FF" w:rsidRDefault="002E32FF">
      <w:pPr>
        <w:spacing w:before="100" w:after="100"/>
        <w:jc w:val="both"/>
        <w:rPr>
          <w:rFonts w:ascii="Arial" w:hAnsi="Arial"/>
          <w:color w:val="000000"/>
          <w:sz w:val="24"/>
          <w:lang w:val="es-ES_tradnl"/>
        </w:rPr>
      </w:pPr>
    </w:p>
    <w:p w:rsidR="002E32FF" w:rsidRDefault="002E32FF">
      <w:pPr>
        <w:spacing w:before="100" w:after="100" w:line="480" w:lineRule="auto"/>
        <w:jc w:val="both"/>
        <w:rPr>
          <w:rFonts w:ascii="Arial" w:hAnsi="Arial"/>
          <w:sz w:val="24"/>
          <w:lang w:val="es-ES_tradnl"/>
        </w:rPr>
      </w:pPr>
      <w:r>
        <w:rPr>
          <w:rFonts w:ascii="Arial" w:hAnsi="Arial"/>
          <w:sz w:val="24"/>
          <w:lang w:val="es-ES_tradnl"/>
        </w:rPr>
        <w:t xml:space="preserve">     Con las medias móviles se consigue seguir la pista de la tendencia, y se las conoce como indicadores retrasados, por su propia construcción. Una media permite eliminar el ruido de las cotizaciones y obtener una imagen suavizada de los precios. Cabe acotar que las medias móviles no anticipan cambio de tendencia, simplemente la detectan una vez que se ha producido.</w:t>
      </w:r>
    </w:p>
    <w:p w:rsidR="002E32FF" w:rsidRDefault="002E32FF">
      <w:pPr>
        <w:tabs>
          <w:tab w:val="left" w:pos="360"/>
        </w:tabs>
        <w:spacing w:line="480" w:lineRule="auto"/>
        <w:jc w:val="both"/>
        <w:rPr>
          <w:rFonts w:ascii="Arial" w:hAnsi="Arial"/>
          <w:sz w:val="24"/>
          <w:lang w:val="es-ES_tradnl"/>
        </w:rPr>
      </w:pPr>
    </w:p>
    <w:p w:rsidR="002E32FF" w:rsidRDefault="002E32FF">
      <w:pPr>
        <w:pStyle w:val="Textoindependiente3"/>
      </w:pPr>
      <w:r>
        <w:t xml:space="preserve">     Existen varias clases de medias móviles, exponenciales, ponderadas, y simples, las dos primeras se ajustan más a los precios porque las últimas cotizaciones pesan más a la hora de hacer el cálculo. También existen, las medias de corto, medio y largo plazo. Las de corto se ajustan más a los precios, sería por ejemplo una media de 15 sesiones (entiéndase por sesiones, el periodo que se escoja este puede ser diario, semanal, mensual, trimestral, semestral, anual). Las de medio serían de entre 20 y 70 sesiones; entre 100 y 250 sesiones la de largo plazo.</w:t>
      </w:r>
    </w:p>
    <w:p w:rsidR="002E32FF" w:rsidRDefault="002E32FF">
      <w:pPr>
        <w:tabs>
          <w:tab w:val="left" w:pos="360"/>
        </w:tabs>
        <w:spacing w:line="480" w:lineRule="auto"/>
        <w:jc w:val="both"/>
        <w:rPr>
          <w:rFonts w:ascii="Arial" w:eastAsia="Arial Unicode MS" w:hAnsi="Arial"/>
          <w:b/>
          <w:sz w:val="24"/>
          <w:lang w:val="es-ES_tradnl"/>
        </w:rPr>
      </w:pPr>
    </w:p>
    <w:p w:rsidR="002E32FF" w:rsidRDefault="002E32FF">
      <w:pPr>
        <w:tabs>
          <w:tab w:val="left" w:pos="360"/>
        </w:tabs>
        <w:spacing w:line="480" w:lineRule="auto"/>
        <w:jc w:val="both"/>
        <w:rPr>
          <w:rFonts w:ascii="Arial" w:eastAsia="Arial Unicode MS" w:hAnsi="Arial"/>
          <w:b/>
          <w:sz w:val="24"/>
          <w:lang w:val="es-ES_tradnl"/>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1360"/>
        </w:tabs>
        <w:jc w:val="both"/>
        <w:rPr>
          <w:rFonts w:ascii="Arial" w:hAnsi="Arial"/>
          <w:b/>
          <w:sz w:val="28"/>
        </w:rPr>
      </w:pPr>
      <w:r>
        <w:rPr>
          <w:rFonts w:ascii="Arial" w:eastAsia="Arial Unicode MS" w:hAnsi="Arial"/>
          <w:b/>
          <w:sz w:val="28"/>
          <w:lang w:val="es-EC"/>
        </w:rPr>
        <w:t>2.3.3.2 Longitud variable de la media móvil</w:t>
      </w:r>
    </w:p>
    <w:p w:rsidR="002E32FF" w:rsidRDefault="002E32FF">
      <w:pPr>
        <w:jc w:val="both"/>
        <w:rPr>
          <w:rFonts w:ascii="Arial" w:eastAsia="Arial Unicode MS" w:hAnsi="Arial"/>
          <w:b/>
          <w:sz w:val="28"/>
          <w:lang w:val="es-EC"/>
        </w:rPr>
      </w:pPr>
    </w:p>
    <w:p w:rsidR="002E32FF" w:rsidRDefault="002E32FF">
      <w:pPr>
        <w:spacing w:line="480" w:lineRule="auto"/>
        <w:jc w:val="both"/>
        <w:rPr>
          <w:rFonts w:ascii="Arial" w:eastAsia="Arial Unicode MS" w:hAnsi="Arial"/>
          <w:sz w:val="28"/>
          <w:lang w:val="es-EC"/>
        </w:rPr>
      </w:pPr>
    </w:p>
    <w:p w:rsidR="002E32FF" w:rsidRDefault="002E32FF">
      <w:pPr>
        <w:spacing w:line="480" w:lineRule="auto"/>
        <w:jc w:val="both"/>
        <w:rPr>
          <w:rFonts w:ascii="Arial" w:eastAsia="Arial Unicode MS" w:hAnsi="Arial"/>
          <w:sz w:val="24"/>
          <w:lang w:val="es-EC"/>
        </w:rPr>
      </w:pPr>
      <w:r>
        <w:rPr>
          <w:rFonts w:ascii="Arial" w:eastAsia="Arial Unicode MS" w:hAnsi="Arial"/>
          <w:sz w:val="24"/>
          <w:lang w:val="es-EC"/>
        </w:rPr>
        <w:t xml:space="preserve">    Es aquella regla técnica que nos permite analizar el desenvolvimiento de una cotización, para poder predecir movimientos futuros de los precios y así tomar las mejores decisiones de compra y de venta, para ello se basa en las medias móviles de corto y largo plazo, así como también de la utilización de bandas.</w:t>
      </w:r>
    </w:p>
    <w:p w:rsidR="002E32FF" w:rsidRDefault="002E32FF">
      <w:pPr>
        <w:spacing w:line="480" w:lineRule="auto"/>
        <w:jc w:val="both"/>
        <w:rPr>
          <w:rFonts w:ascii="Arial" w:eastAsia="Arial Unicode MS" w:hAnsi="Arial"/>
          <w:sz w:val="24"/>
          <w:lang w:val="es-EC"/>
        </w:rPr>
      </w:pPr>
    </w:p>
    <w:p w:rsidR="002E32FF" w:rsidRDefault="002E32FF">
      <w:pPr>
        <w:spacing w:line="480" w:lineRule="auto"/>
        <w:jc w:val="both"/>
        <w:rPr>
          <w:rFonts w:ascii="Arial" w:eastAsia="Arial Unicode MS" w:hAnsi="Arial"/>
          <w:sz w:val="24"/>
          <w:lang w:val="es-EC"/>
        </w:rPr>
      </w:pPr>
    </w:p>
    <w:p w:rsidR="002E32FF" w:rsidRDefault="002E32FF">
      <w:pPr>
        <w:spacing w:line="480" w:lineRule="auto"/>
        <w:jc w:val="both"/>
        <w:rPr>
          <w:rFonts w:ascii="Arial" w:eastAsia="Arial Unicode MS" w:hAnsi="Arial"/>
          <w:b/>
          <w:sz w:val="24"/>
          <w:lang w:val="es-EC"/>
        </w:rPr>
      </w:pPr>
    </w:p>
    <w:p w:rsidR="002E32FF" w:rsidRDefault="002E32FF">
      <w:pPr>
        <w:spacing w:line="480" w:lineRule="auto"/>
        <w:jc w:val="both"/>
        <w:rPr>
          <w:rFonts w:ascii="Arial" w:eastAsia="Arial Unicode MS" w:hAnsi="Arial"/>
          <w:b/>
          <w:sz w:val="24"/>
          <w:lang w:val="es-EC"/>
        </w:rPr>
      </w:pPr>
    </w:p>
    <w:p w:rsidR="002E32FF" w:rsidRDefault="002E32FF">
      <w:pPr>
        <w:spacing w:line="480" w:lineRule="auto"/>
        <w:jc w:val="both"/>
        <w:rPr>
          <w:rFonts w:ascii="Arial" w:eastAsia="Arial Unicode MS" w:hAnsi="Arial"/>
          <w:b/>
          <w:sz w:val="24"/>
          <w:lang w:val="es-EC"/>
        </w:rPr>
      </w:pPr>
    </w:p>
    <w:p w:rsidR="002E32FF" w:rsidRDefault="002E32FF">
      <w:pPr>
        <w:jc w:val="both"/>
        <w:rPr>
          <w:rFonts w:ascii="Arial" w:eastAsia="Arial Unicode MS" w:hAnsi="Arial"/>
          <w:b/>
          <w:sz w:val="28"/>
        </w:rPr>
      </w:pPr>
      <w:r>
        <w:rPr>
          <w:rFonts w:ascii="Arial" w:eastAsia="Arial Unicode MS" w:hAnsi="Arial"/>
          <w:b/>
          <w:sz w:val="28"/>
        </w:rPr>
        <w:t>2.3.3.3 Trading range break-out</w:t>
      </w:r>
    </w:p>
    <w:p w:rsidR="002E32FF" w:rsidRDefault="002E32FF">
      <w:pPr>
        <w:ind w:left="540" w:hanging="540"/>
        <w:jc w:val="both"/>
        <w:rPr>
          <w:rFonts w:ascii="Arial" w:eastAsia="Arial Unicode MS" w:hAnsi="Arial"/>
          <w:b/>
          <w:sz w:val="28"/>
        </w:rPr>
      </w:pPr>
    </w:p>
    <w:p w:rsidR="002E32FF" w:rsidRDefault="002E32FF">
      <w:pPr>
        <w:jc w:val="both"/>
        <w:rPr>
          <w:rFonts w:ascii="Arial" w:eastAsia="Arial Unicode MS" w:hAnsi="Arial"/>
          <w:b/>
          <w:sz w:val="28"/>
        </w:rPr>
      </w:pPr>
    </w:p>
    <w:p w:rsidR="002E32FF" w:rsidRDefault="002E32FF">
      <w:pPr>
        <w:ind w:left="540" w:hanging="540"/>
        <w:jc w:val="both"/>
        <w:rPr>
          <w:rFonts w:ascii="Arial" w:eastAsia="Arial Unicode MS" w:hAnsi="Arial"/>
          <w:b/>
          <w:sz w:val="28"/>
        </w:rPr>
      </w:pPr>
    </w:p>
    <w:p w:rsidR="002E32FF" w:rsidRDefault="002E32FF">
      <w:pPr>
        <w:ind w:left="540" w:hanging="540"/>
        <w:jc w:val="both"/>
        <w:rPr>
          <w:rFonts w:ascii="Arial" w:eastAsia="Arial Unicode MS" w:hAnsi="Arial"/>
          <w:b/>
          <w:sz w:val="28"/>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A diferencia de las anteriores, esta regla técnica es muy peculiar, ya que su aplicación y análisis se basan en soportes y resistencias, es decir máximos y mínimos locales respectivamente, las cuales son necesarias al momento de predecir los precios de los títulos-valores que el inversionista desee.</w:t>
      </w:r>
    </w:p>
    <w:p w:rsidR="002E32FF" w:rsidRDefault="002E32FF">
      <w:pPr>
        <w:tabs>
          <w:tab w:val="left" w:pos="1040"/>
        </w:tabs>
        <w:spacing w:line="480" w:lineRule="auto"/>
        <w:ind w:left="539" w:hanging="539"/>
        <w:jc w:val="both"/>
        <w:rPr>
          <w:rFonts w:ascii="Arial" w:eastAsia="Arial Unicode MS" w:hAnsi="Arial"/>
          <w:sz w:val="28"/>
          <w:lang w:val="es-EC"/>
        </w:rPr>
      </w:pPr>
    </w:p>
    <w:p w:rsidR="002E32FF" w:rsidRDefault="002E32FF">
      <w:pPr>
        <w:tabs>
          <w:tab w:val="left" w:pos="1040"/>
        </w:tabs>
        <w:spacing w:line="480" w:lineRule="auto"/>
        <w:jc w:val="both"/>
        <w:rPr>
          <w:rFonts w:ascii="Arial" w:eastAsia="Arial Unicode MS" w:hAnsi="Arial"/>
          <w:sz w:val="28"/>
          <w:lang w:val="es-EC"/>
        </w:rPr>
      </w:pPr>
    </w:p>
    <w:p w:rsidR="002E32FF" w:rsidRDefault="002E32FF">
      <w:pPr>
        <w:tabs>
          <w:tab w:val="left" w:pos="1040"/>
        </w:tabs>
        <w:spacing w:line="480" w:lineRule="auto"/>
        <w:jc w:val="both"/>
        <w:rPr>
          <w:rFonts w:ascii="Arial" w:eastAsia="Arial Unicode MS" w:hAnsi="Arial"/>
          <w:b/>
          <w:sz w:val="28"/>
          <w:lang w:val="es-EC"/>
        </w:rPr>
      </w:pPr>
      <w:r>
        <w:rPr>
          <w:rFonts w:ascii="Arial" w:eastAsia="Arial Unicode MS" w:hAnsi="Arial"/>
          <w:b/>
          <w:sz w:val="28"/>
          <w:lang w:val="es-EC"/>
        </w:rPr>
        <w:t>2.3.4 Osciladores</w:t>
      </w:r>
    </w:p>
    <w:p w:rsidR="002E32FF" w:rsidRDefault="002E32FF">
      <w:pPr>
        <w:tabs>
          <w:tab w:val="left" w:pos="1040"/>
        </w:tabs>
        <w:spacing w:line="480" w:lineRule="auto"/>
        <w:ind w:left="539" w:hanging="539"/>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Los osciladores son un conjunto de herramientas imprescindibles para la toma de decisiones de inversión en mercados, ya que nos permiten detectar si el mercado está en una situación de sobrecompra o de sobreventa, generando por lo tanto, señales de compra o de venta.</w:t>
      </w:r>
    </w:p>
    <w:p w:rsidR="002E32FF" w:rsidRDefault="002E32FF">
      <w:pPr>
        <w:tabs>
          <w:tab w:val="left" w:pos="1040"/>
        </w:tabs>
        <w:spacing w:line="480" w:lineRule="auto"/>
        <w:ind w:left="284" w:hanging="284"/>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Son varios los osciladores que se utilizan en el análisis técnico debido a que no existe uno que prediga cualquier situación del mercado, por lo que se utilizarán los siguientes osciladores en este estudio: ROC, RSI, %K, MACD. La principal aportación de estos osciladores es que informan los cambios de tendencia antes que las medias, hay que advertir que son indicadores útiles a corto plazo y en entornos estables, pero pueden generar confusiones en las decisiones en estrategias a largo plazo basadas en el concepto de tendencia.</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b/>
          <w:sz w:val="28"/>
          <w:lang w:val="es-EC"/>
        </w:rPr>
      </w:pPr>
      <w:r>
        <w:rPr>
          <w:rFonts w:ascii="Arial" w:eastAsia="Arial Unicode MS" w:hAnsi="Arial"/>
          <w:b/>
          <w:sz w:val="28"/>
          <w:lang w:val="es-EC"/>
        </w:rPr>
        <w:t>2.3.4.1 Tasa de cambio o ROC</w:t>
      </w: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b/>
          <w:sz w:val="28"/>
          <w:lang w:val="es-EC"/>
        </w:rPr>
        <w:t xml:space="preserve">    </w:t>
      </w:r>
      <w:r>
        <w:rPr>
          <w:rFonts w:ascii="Arial" w:eastAsia="Arial Unicode MS" w:hAnsi="Arial"/>
          <w:sz w:val="24"/>
          <w:lang w:val="es-EC"/>
        </w:rPr>
        <w:t xml:space="preserve">Este oscilador es un ratio que indica las subidas o bajadas en las cotizaciones. El análisis de este indicador consiste en que si este aumenta es señal de compra y si disminuye es señal de venta, ahora si este permanece constante significa que la tendencia pierde fuerza y por lo tanto se va a realizar un cambio de la misma, en los gráficos se puede ver más claramente lo indicado, ya que si el gráfico corta a la línea de referencia que es 100 de abajo hacia arriba es señal de compra y si la corta de arriba hacia abajo es señal de venta. </w:t>
      </w:r>
      <w:r>
        <w:rPr>
          <w:rFonts w:ascii="Arial" w:hAnsi="Arial"/>
          <w:sz w:val="24"/>
        </w:rPr>
        <w:t>El oscilador ROC basa su cálculo en el diferencial del índice actual y el índice anterior dividido para el índice anterior, el cual puede ser de n días o semanas anteriores, para este estudio hemos utilizado un n de 5 sesiones, esto quiere decir que para calcular el ROC de la fecha actual, restamos el valor del índice actual menos el valor del índice 4 periodos atrás y dividido para el valor del índice 4 periodos atrás.</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b/>
          <w:sz w:val="28"/>
          <w:lang w:val="es-EC"/>
        </w:rPr>
      </w:pPr>
      <w:r>
        <w:rPr>
          <w:rFonts w:ascii="Arial" w:eastAsia="Arial Unicode MS" w:hAnsi="Arial"/>
          <w:b/>
          <w:sz w:val="28"/>
          <w:lang w:val="es-EC"/>
        </w:rPr>
        <w:t xml:space="preserve">2.3.4.2 Oscilador RSI </w:t>
      </w:r>
    </w:p>
    <w:p w:rsidR="002E32FF" w:rsidRDefault="002E32FF">
      <w:pPr>
        <w:tabs>
          <w:tab w:val="left" w:pos="1040"/>
        </w:tabs>
        <w:spacing w:line="480" w:lineRule="auto"/>
        <w:ind w:left="539" w:hanging="539"/>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Este oscilador cuyas siglas en español significan Índice de Fuerza Relativa mide la velocidad de las variaciones en los precios. El RSI detecta cuándo un título-valor está sobrevalorado o subvalorado, por lo tanto se utiliza para obtener señales de compra o de venta. Se basa en los cambios que realizan los precios a lo largo de un periodo concreto.</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pStyle w:val="NormalWeb"/>
        <w:spacing w:line="480" w:lineRule="auto"/>
        <w:jc w:val="both"/>
        <w:rPr>
          <w:rFonts w:ascii="Arial" w:hAnsi="Arial"/>
        </w:rPr>
      </w:pPr>
      <w:r>
        <w:rPr>
          <w:rFonts w:ascii="Arial" w:hAnsi="Arial"/>
        </w:rPr>
        <w:t xml:space="preserve">    Para la elaboración del RSI hemos utilizado un n = 15 sesiones, de estas sesiones interesa conocer los incrementos y decrementos que ha habido en relación a los precios de cierre del día anterior, posteriormente se realiza el promedio de los incrementos producidos en las sesiones donde ha existido un precio de cierre mayor que el del precio de cierre anterior y el promedio de los decrementos en las sesiones en que ha existido un precio de cierre inferior al precio de cierre anterior, una vez obtenido ambos promedios aplicamos la siguiente fórmula para calcular el RSI:</w:t>
      </w:r>
    </w:p>
    <w:p w:rsidR="002E32FF" w:rsidRDefault="002E32FF">
      <w:pPr>
        <w:pStyle w:val="NormalWeb"/>
        <w:spacing w:line="480" w:lineRule="auto"/>
        <w:jc w:val="both"/>
        <w:rPr>
          <w:rFonts w:ascii="Arial" w:hAnsi="Arial"/>
        </w:rPr>
      </w:pPr>
      <w:r>
        <w:rPr>
          <w:rFonts w:ascii="Arial" w:hAnsi="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130.95pt;margin-top:5.7pt;width:175pt;height:49pt;z-index:251665920" o:allowincell="f">
            <v:imagedata r:id="rId21" o:title=""/>
            <w10:wrap type="topAndBottom"/>
          </v:shape>
          <o:OLEObject Type="Embed" ProgID="Equation.3" ShapeID="_x0000_s1079" DrawAspect="Content" ObjectID="_1319356247" r:id="rId22"/>
        </w:pict>
      </w:r>
    </w:p>
    <w:p w:rsidR="002E32FF" w:rsidRDefault="002E32FF">
      <w:pPr>
        <w:pStyle w:val="Textoindependiente3"/>
        <w:tabs>
          <w:tab w:val="clear" w:pos="360"/>
          <w:tab w:val="left" w:pos="1040"/>
        </w:tabs>
        <w:rPr>
          <w:rFonts w:eastAsia="Arial Unicode MS"/>
          <w:lang w:val="es-ES"/>
        </w:rPr>
      </w:pPr>
      <w:r>
        <w:rPr>
          <w:lang w:val="es-ES"/>
        </w:rPr>
        <w:t xml:space="preserve">    El gráfico es lineal, es un indicador normalizado en una escala de cero a cien.</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b/>
          <w:sz w:val="28"/>
          <w:lang w:val="es-EC"/>
        </w:rPr>
      </w:pPr>
      <w:r>
        <w:rPr>
          <w:rFonts w:ascii="Arial" w:eastAsia="Arial Unicode MS" w:hAnsi="Arial"/>
          <w:b/>
          <w:sz w:val="28"/>
          <w:lang w:val="es-EC"/>
        </w:rPr>
        <w:t>2.3.4.3 Oscilador Estocástico o %K</w:t>
      </w: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Este oscilador se basa en la observación empírica, en la cual si la tendencia es alcista, los precios de cierre de los títulos-valores se aproximan mucho a los máximos alcanzados a lo largo de todo el periodo en cambio si la tendencia es bajista los precios de cierre de los títulos-valores se aproximan mucho a los mínimos alcanzados a lo largo de todo el periodo.</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Este indicador refleja el estado del precio dentro de la gama de precios de un periodo determinado que puede estar en días, semanas o meses. Este valor está expresado en porcentaje.</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pStyle w:val="NormalWeb"/>
        <w:spacing w:line="480" w:lineRule="auto"/>
        <w:jc w:val="both"/>
        <w:rPr>
          <w:rFonts w:ascii="Arial" w:hAnsi="Arial"/>
        </w:rPr>
      </w:pPr>
      <w:r>
        <w:rPr>
          <w:rFonts w:ascii="Arial" w:hAnsi="Arial"/>
        </w:rPr>
        <w:t xml:space="preserve">    La construcción de este oscilador se realiza utilizando los precios de cierre mínimos y máximos de un periodo específico, para este estudio se ha utilizado un n de 50 sesiones, su cálculo es el siguiente:</w:t>
      </w:r>
    </w:p>
    <w:p w:rsidR="002E32FF" w:rsidRDefault="002E32FF">
      <w:pPr>
        <w:pStyle w:val="NormalWeb"/>
        <w:spacing w:line="480" w:lineRule="auto"/>
        <w:jc w:val="both"/>
        <w:rPr>
          <w:rFonts w:ascii="Arial" w:hAnsi="Arial"/>
        </w:rPr>
      </w:pPr>
      <w:r>
        <w:rPr>
          <w:rFonts w:ascii="Arial" w:hAnsi="Arial"/>
          <w:noProof/>
        </w:rPr>
        <w:pict>
          <v:shape id="_x0000_s1080" type="#_x0000_t75" style="position:absolute;left:0;text-align:left;margin-left:167.4pt;margin-top:21.85pt;width:100pt;height:34pt;z-index:251666944" o:allowincell="f">
            <v:imagedata r:id="rId23" o:title=""/>
            <w10:wrap type="topAndBottom"/>
          </v:shape>
          <o:OLEObject Type="Embed" ProgID="Equation.3" ShapeID="_x0000_s1080" DrawAspect="Content" ObjectID="_1319356248" r:id="rId24"/>
        </w:pict>
      </w:r>
    </w:p>
    <w:p w:rsidR="002E32FF" w:rsidRDefault="002E32FF">
      <w:pPr>
        <w:tabs>
          <w:tab w:val="left" w:pos="1040"/>
        </w:tabs>
        <w:spacing w:line="480" w:lineRule="auto"/>
        <w:jc w:val="both"/>
        <w:rPr>
          <w:rFonts w:ascii="Arial" w:eastAsia="Arial Unicode MS" w:hAnsi="Arial"/>
          <w:sz w:val="24"/>
          <w:lang w:val="es-EC"/>
        </w:rPr>
      </w:pPr>
      <w:r>
        <w:rPr>
          <w:rFonts w:ascii="Arial" w:hAnsi="Arial"/>
        </w:rPr>
        <w:t xml:space="preserve">    </w:t>
      </w:r>
      <w:r>
        <w:rPr>
          <w:rFonts w:ascii="Arial" w:hAnsi="Arial"/>
          <w:sz w:val="24"/>
        </w:rPr>
        <w:t>Siendo U: El último precio de cierre; B: Precio mínimo del periodo; A: Precio máximo del periodo.</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b/>
          <w:sz w:val="28"/>
          <w:lang w:val="es-EC"/>
        </w:rPr>
      </w:pPr>
      <w:r>
        <w:rPr>
          <w:rFonts w:ascii="Arial" w:eastAsia="Arial Unicode MS" w:hAnsi="Arial"/>
          <w:b/>
          <w:sz w:val="28"/>
          <w:lang w:val="es-EC"/>
        </w:rPr>
        <w:t xml:space="preserve">2.3.4.4 Oscilador MACD </w:t>
      </w: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b/>
          <w:sz w:val="28"/>
          <w:lang w:val="es-EC"/>
        </w:rPr>
        <w:t xml:space="preserve">    </w:t>
      </w:r>
      <w:r>
        <w:rPr>
          <w:rFonts w:ascii="Arial" w:eastAsia="Arial Unicode MS" w:hAnsi="Arial"/>
          <w:sz w:val="24"/>
          <w:lang w:val="es-EC"/>
        </w:rPr>
        <w:t>También conocido como indicador de convergencia o divergencia de la media móvil. Se basa en dos medias móviles exponenciales las cuales son: MACD-Hi y MACD-Mo, el cruce de ambas genera señales de compra y de venta.</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El MACD-Hi está formada por la diferencia entre una media móvil de corto plazo y de largo plazo, para este estudio hemos utilizado una media móvil de 5 y 50 sesiones respectivamente. El MACD-Mo en cambio es una línea que se grafica discontinua y básicamente es un indicador de momento del valor de MACD-Hi, esto significa que va a medir la diferencia de los datos separados por n sesiones, para este caso se utilizó un n de 5 sesiones.</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ind w:left="539" w:hanging="539"/>
        <w:jc w:val="both"/>
        <w:rPr>
          <w:rFonts w:ascii="Arial" w:eastAsia="Arial Unicode MS" w:hAnsi="Arial"/>
          <w:b/>
          <w:sz w:val="28"/>
          <w:lang w:val="es-EC"/>
        </w:rPr>
      </w:pPr>
    </w:p>
    <w:p w:rsidR="002E32FF" w:rsidRDefault="002E32FF">
      <w:pPr>
        <w:tabs>
          <w:tab w:val="left" w:pos="1040"/>
        </w:tabs>
        <w:spacing w:line="480" w:lineRule="auto"/>
        <w:ind w:left="539" w:hanging="539"/>
        <w:jc w:val="both"/>
        <w:rPr>
          <w:rFonts w:ascii="Arial" w:eastAsia="Arial Unicode MS" w:hAnsi="Arial"/>
          <w:b/>
          <w:sz w:val="28"/>
          <w:lang w:val="es-EC"/>
        </w:rPr>
      </w:pPr>
      <w:r>
        <w:rPr>
          <w:rFonts w:ascii="Arial" w:eastAsia="Arial Unicode MS" w:hAnsi="Arial"/>
          <w:b/>
          <w:sz w:val="28"/>
          <w:lang w:val="es-EC"/>
        </w:rPr>
        <w:t>2.4 Prueba de filtros</w:t>
      </w:r>
    </w:p>
    <w:p w:rsidR="002E32FF" w:rsidRDefault="002E32FF">
      <w:pPr>
        <w:tabs>
          <w:tab w:val="left" w:pos="1040"/>
        </w:tabs>
        <w:spacing w:line="480" w:lineRule="auto"/>
        <w:jc w:val="both"/>
        <w:rPr>
          <w:rFonts w:ascii="Arial" w:eastAsia="Arial Unicode MS" w:hAnsi="Arial"/>
          <w:b/>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b/>
          <w:sz w:val="28"/>
          <w:lang w:val="es-EC"/>
        </w:rPr>
        <w:t xml:space="preserve">    </w:t>
      </w:r>
      <w:r>
        <w:rPr>
          <w:rFonts w:ascii="Arial" w:eastAsia="Arial Unicode MS" w:hAnsi="Arial"/>
          <w:sz w:val="24"/>
          <w:lang w:val="es-EC"/>
        </w:rPr>
        <w:t>En una prueba de filtro, un inversionista compra una inversión si es que el límite del precio X%, previamente ha venido de una baja, se mantiene la inversión hasta que el límite del precio presente un salto en X% y presente una subida futura. La magnitud del cambio (X%)  en cada comercialización puede variar de un filtro a otro. Los pequeños cambios resultan en más transacciones por periodo e implica altos costos de transacción.</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ind w:left="539" w:hanging="539"/>
        <w:jc w:val="center"/>
        <w:rPr>
          <w:rFonts w:ascii="Arial" w:eastAsia="Arial Unicode MS" w:hAnsi="Arial"/>
          <w:b/>
          <w:i/>
          <w:sz w:val="28"/>
          <w:lang w:val="es-EC"/>
        </w:rPr>
      </w:pPr>
      <w:r>
        <w:rPr>
          <w:rFonts w:ascii="Arial" w:eastAsia="Arial Unicode MS" w:hAnsi="Arial"/>
          <w:b/>
          <w:i/>
          <w:sz w:val="28"/>
          <w:lang w:val="es-EC"/>
        </w:rPr>
        <w:t>Fig. 2.4  Gráfica Regla de Filtros</w:t>
      </w:r>
    </w:p>
    <w:p w:rsidR="002E32FF" w:rsidRDefault="005D7CF4">
      <w:pPr>
        <w:tabs>
          <w:tab w:val="left" w:pos="1040"/>
        </w:tabs>
        <w:spacing w:line="480" w:lineRule="auto"/>
        <w:ind w:left="539" w:hanging="539"/>
        <w:jc w:val="center"/>
        <w:rPr>
          <w:rFonts w:ascii="Arial" w:eastAsia="Arial Unicode MS" w:hAnsi="Arial"/>
          <w:sz w:val="28"/>
          <w:lang w:val="es-EC"/>
        </w:rPr>
      </w:pPr>
      <w:r>
        <w:rPr>
          <w:noProof/>
          <w:lang w:eastAsia="es-ES"/>
        </w:rPr>
        <w:drawing>
          <wp:inline distT="0" distB="0" distL="0" distR="0">
            <wp:extent cx="3746500" cy="1828800"/>
            <wp:effectExtent l="1905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l="19864" t="41776" r="13348" b="14423"/>
                    <a:stretch>
                      <a:fillRect/>
                    </a:stretch>
                  </pic:blipFill>
                  <pic:spPr bwMode="auto">
                    <a:xfrm>
                      <a:off x="0" y="0"/>
                      <a:ext cx="3746500" cy="1828800"/>
                    </a:xfrm>
                    <a:prstGeom prst="rect">
                      <a:avLst/>
                    </a:prstGeom>
                    <a:noFill/>
                    <a:ln w="9525">
                      <a:noFill/>
                      <a:miter lim="800000"/>
                      <a:headEnd/>
                      <a:tailEnd/>
                    </a:ln>
                  </pic:spPr>
                </pic:pic>
              </a:graphicData>
            </a:graphic>
          </wp:inline>
        </w:drawing>
      </w:r>
    </w:p>
    <w:p w:rsidR="002E32FF" w:rsidRDefault="002E32FF">
      <w:pPr>
        <w:tabs>
          <w:tab w:val="left" w:pos="1040"/>
        </w:tabs>
        <w:spacing w:line="480" w:lineRule="auto"/>
        <w:jc w:val="both"/>
        <w:rPr>
          <w:b/>
          <w:lang w:val="es-ES_tradnl"/>
        </w:rPr>
      </w:pPr>
      <w:r>
        <w:rPr>
          <w:b/>
          <w:lang w:val="es-ES_tradnl"/>
        </w:rPr>
        <w:t xml:space="preserve">                                     Elaborado por: Reuters</w:t>
      </w:r>
    </w:p>
    <w:p w:rsidR="002E32FF" w:rsidRDefault="002E32FF">
      <w:pPr>
        <w:tabs>
          <w:tab w:val="left" w:pos="1040"/>
        </w:tabs>
        <w:spacing w:line="480" w:lineRule="auto"/>
        <w:jc w:val="both"/>
        <w:rPr>
          <w:rFonts w:ascii="Arial" w:eastAsia="Arial Unicode MS" w:hAnsi="Arial"/>
          <w:b/>
          <w:i/>
          <w:sz w:val="28"/>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b/>
          <w:i/>
          <w:sz w:val="28"/>
          <w:lang w:val="es-EC"/>
        </w:rPr>
        <w:t xml:space="preserve">    </w:t>
      </w:r>
      <w:r>
        <w:rPr>
          <w:rFonts w:ascii="Arial" w:eastAsia="Arial Unicode MS" w:hAnsi="Arial"/>
          <w:sz w:val="24"/>
          <w:lang w:val="es-EC"/>
        </w:rPr>
        <w:t>Esta estrategia está basada sobre el supuesto de que cambios en el precio están seriamente correlacionados. Es decir que precios que han tendido a la alza fuertemente en el pasado van a seguir subiendo en vez de ir hacia la baja.</w:t>
      </w:r>
    </w:p>
    <w:p w:rsidR="002E32FF" w:rsidRDefault="002E32FF">
      <w:pPr>
        <w:tabs>
          <w:tab w:val="left" w:pos="1040"/>
        </w:tabs>
        <w:spacing w:line="480" w:lineRule="auto"/>
        <w:jc w:val="both"/>
        <w:rPr>
          <w:rFonts w:ascii="Arial" w:eastAsia="Arial Unicode MS" w:hAnsi="Arial"/>
          <w:sz w:val="24"/>
          <w:lang w:val="es-EC"/>
        </w:rPr>
      </w:pPr>
    </w:p>
    <w:p w:rsidR="002E32FF" w:rsidRDefault="002E32FF">
      <w:pPr>
        <w:tabs>
          <w:tab w:val="left" w:pos="1040"/>
        </w:tabs>
        <w:spacing w:line="480" w:lineRule="auto"/>
        <w:jc w:val="both"/>
        <w:rPr>
          <w:rFonts w:ascii="Arial" w:eastAsia="Arial Unicode MS" w:hAnsi="Arial"/>
          <w:sz w:val="24"/>
          <w:lang w:val="es-EC"/>
        </w:rPr>
      </w:pPr>
      <w:r>
        <w:rPr>
          <w:rFonts w:ascii="Arial" w:eastAsia="Arial Unicode MS" w:hAnsi="Arial"/>
          <w:sz w:val="24"/>
          <w:lang w:val="es-EC"/>
        </w:rPr>
        <w:t xml:space="preserve">    Un popular indicador entre los inversores, que varía según la regla de filtro es la medida de la fuerza relativa, la cual indica que se mantienen los precios recientes de otras inversiones que poseen la misma media de precios en un periodo específico. Esta estrategia de inversión está también basada en el supuesto de velocidad de los precios.</w:t>
      </w:r>
    </w:p>
    <w:p w:rsidR="002E32FF" w:rsidRDefault="002E32FF">
      <w:pPr>
        <w:rPr>
          <w:rFonts w:ascii="Arial" w:hAnsi="Arial"/>
        </w:rPr>
      </w:pPr>
    </w:p>
    <w:p w:rsidR="002E32FF" w:rsidRDefault="002E32FF">
      <w:pPr>
        <w:rPr>
          <w:rFonts w:ascii="Arial" w:hAnsi="Arial"/>
          <w:b/>
          <w:sz w:val="32"/>
          <w:lang w:val="es-ES_tradnl"/>
        </w:rPr>
        <w:sectPr w:rsidR="002E32FF">
          <w:footerReference w:type="default" r:id="rId26"/>
          <w:type w:val="continuous"/>
          <w:pgSz w:w="11907" w:h="16840" w:code="9"/>
          <w:pgMar w:top="2268" w:right="1418" w:bottom="1701" w:left="2268" w:header="720" w:footer="720" w:gutter="0"/>
          <w:cols w:space="720"/>
        </w:sectPr>
      </w:pPr>
    </w:p>
    <w:p w:rsidR="002E32FF" w:rsidRDefault="002E32FF">
      <w:pPr>
        <w:spacing w:line="480" w:lineRule="auto"/>
        <w:rPr>
          <w:rFonts w:ascii="Arial" w:hAnsi="Arial"/>
          <w:b/>
          <w:sz w:val="32"/>
          <w:lang w:val="es-ES_tradnl"/>
        </w:rPr>
        <w:sectPr w:rsidR="002E32FF">
          <w:type w:val="continuous"/>
          <w:pgSz w:w="11907" w:h="16840" w:code="9"/>
          <w:pgMar w:top="2268" w:right="1418" w:bottom="1701" w:left="2268" w:header="720" w:footer="720" w:gutter="0"/>
          <w:cols w:space="720"/>
        </w:sectPr>
      </w:pPr>
    </w:p>
    <w:p w:rsidR="002E32FF" w:rsidRDefault="002E32FF">
      <w:pPr>
        <w:spacing w:line="480" w:lineRule="auto"/>
        <w:rPr>
          <w:rFonts w:ascii="Arial" w:hAnsi="Arial"/>
          <w:b/>
          <w:sz w:val="32"/>
          <w:lang w:val="es-ES_tradnl"/>
        </w:rPr>
        <w:sectPr w:rsidR="002E32FF">
          <w:footerReference w:type="default" r:id="rId27"/>
          <w:type w:val="continuous"/>
          <w:pgSz w:w="11907" w:h="16840" w:code="9"/>
          <w:pgMar w:top="2268" w:right="1418" w:bottom="1701" w:left="2268" w:header="720" w:footer="720" w:gutter="0"/>
          <w:cols w:space="720"/>
        </w:sectPr>
      </w:pPr>
    </w:p>
    <w:p w:rsidR="002E32FF" w:rsidRDefault="002E32FF">
      <w:pPr>
        <w:spacing w:line="480" w:lineRule="auto"/>
        <w:rPr>
          <w:rFonts w:ascii="Arial" w:hAnsi="Arial"/>
          <w:b/>
          <w:sz w:val="32"/>
          <w:lang w:val="es-ES_tradnl"/>
        </w:rPr>
        <w:sectPr w:rsidR="002E32FF">
          <w:type w:val="continuous"/>
          <w:pgSz w:w="11907" w:h="16840" w:code="9"/>
          <w:pgMar w:top="2268" w:right="1418" w:bottom="1701" w:left="2268" w:header="720" w:footer="720" w:gutter="0"/>
          <w:cols w:space="720"/>
        </w:sectPr>
      </w:pPr>
    </w:p>
    <w:p w:rsidR="002E32FF" w:rsidRDefault="002E32FF">
      <w:pPr>
        <w:spacing w:line="480" w:lineRule="auto"/>
        <w:rPr>
          <w:rFonts w:ascii="Arial" w:hAnsi="Arial"/>
          <w:b/>
          <w:sz w:val="32"/>
          <w:lang w:val="es-ES_tradnl"/>
        </w:rPr>
        <w:sectPr w:rsidR="002E32FF">
          <w:type w:val="continuous"/>
          <w:pgSz w:w="11907" w:h="16840" w:code="9"/>
          <w:pgMar w:top="2268" w:right="1418" w:bottom="1701" w:left="2268" w:header="720" w:footer="720" w:gutter="0"/>
          <w:cols w:space="720"/>
        </w:sectPr>
      </w:pPr>
    </w:p>
    <w:p w:rsidR="002E32FF" w:rsidRDefault="002E32FF">
      <w:pPr>
        <w:spacing w:line="480" w:lineRule="auto"/>
        <w:jc w:val="center"/>
        <w:rPr>
          <w:rFonts w:ascii="Arial" w:hAnsi="Arial"/>
          <w:b/>
          <w:sz w:val="32"/>
          <w:lang w:val="es-ES_tradnl"/>
        </w:rPr>
      </w:pPr>
      <w:r>
        <w:rPr>
          <w:rFonts w:ascii="Arial" w:hAnsi="Arial"/>
          <w:b/>
          <w:sz w:val="32"/>
          <w:lang w:val="es-ES_tradnl"/>
        </w:rPr>
        <w:t>CAPÍTULO III</w:t>
      </w:r>
    </w:p>
    <w:p w:rsidR="002E32FF" w:rsidRDefault="002E32FF">
      <w:pPr>
        <w:spacing w:line="480" w:lineRule="auto"/>
        <w:jc w:val="center"/>
        <w:rPr>
          <w:rFonts w:ascii="Arial" w:hAnsi="Arial"/>
          <w:b/>
          <w:sz w:val="32"/>
          <w:lang w:val="es-ES_tradnl"/>
        </w:rPr>
      </w:pPr>
      <w:r>
        <w:rPr>
          <w:rFonts w:ascii="Arial" w:hAnsi="Arial"/>
          <w:b/>
          <w:sz w:val="32"/>
          <w:lang w:val="es-ES_tradnl"/>
        </w:rPr>
        <w:t>PRUEBAS SOBRE EFICIENCIA DE MERCADO</w:t>
      </w:r>
    </w:p>
    <w:p w:rsidR="002E32FF" w:rsidRDefault="002E32FF">
      <w:pPr>
        <w:jc w:val="both"/>
        <w:rPr>
          <w:rFonts w:ascii="Arial" w:hAnsi="Arial"/>
          <w:b/>
          <w:sz w:val="32"/>
          <w:lang w:val="es-ES_tradnl"/>
        </w:rPr>
      </w:pPr>
    </w:p>
    <w:p w:rsidR="002E32FF" w:rsidRDefault="002E32FF">
      <w:pPr>
        <w:jc w:val="both"/>
        <w:rPr>
          <w:rFonts w:ascii="Arial" w:hAnsi="Arial"/>
          <w:b/>
          <w:sz w:val="32"/>
          <w:lang w:val="es-ES_tradnl"/>
        </w:rPr>
      </w:pPr>
    </w:p>
    <w:p w:rsidR="002E32FF" w:rsidRDefault="002E32FF">
      <w:pPr>
        <w:pStyle w:val="Textoindependiente2"/>
        <w:tabs>
          <w:tab w:val="clear" w:pos="1060"/>
        </w:tabs>
        <w:rPr>
          <w:rFonts w:eastAsia="Times New Roman"/>
          <w:sz w:val="24"/>
          <w:lang w:val="es-EC"/>
        </w:rPr>
      </w:pPr>
      <w:r>
        <w:rPr>
          <w:rFonts w:eastAsia="Times New Roman"/>
          <w:sz w:val="24"/>
          <w:lang w:val="es-EC"/>
        </w:rPr>
        <w:t xml:space="preserve">    Este trabajo se enfoca en probar la hipótesis de eficiencia de mercado en su forma débil en el mercado bursátil ecuatoriano.</w:t>
      </w:r>
    </w:p>
    <w:p w:rsidR="002E32FF" w:rsidRDefault="002E32FF">
      <w:pPr>
        <w:spacing w:line="480" w:lineRule="auto"/>
        <w:jc w:val="both"/>
        <w:rPr>
          <w:rFonts w:ascii="Arial" w:hAnsi="Arial"/>
          <w:sz w:val="24"/>
          <w:lang w:val="es-EC"/>
        </w:rPr>
      </w:pPr>
    </w:p>
    <w:p w:rsidR="002E32FF" w:rsidRDefault="002E32FF">
      <w:pPr>
        <w:spacing w:line="480" w:lineRule="auto"/>
        <w:jc w:val="both"/>
        <w:rPr>
          <w:rFonts w:ascii="Arial" w:hAnsi="Arial"/>
          <w:sz w:val="24"/>
          <w:lang w:val="es-EC"/>
        </w:rPr>
      </w:pPr>
      <w:r>
        <w:rPr>
          <w:rFonts w:ascii="Arial" w:hAnsi="Arial"/>
          <w:sz w:val="24"/>
          <w:lang w:val="es-EC"/>
        </w:rPr>
        <w:t xml:space="preserve">    Es preciso mencionar que desde que existen los mercados financieros, los inversionistas han usado análisis técnico basado en indicadores estadísticos y patrones gráficos, como herramientas para predecir los movimientos de precios y tomar decisiones de inversión.</w:t>
      </w:r>
    </w:p>
    <w:p w:rsidR="002E32FF" w:rsidRDefault="002E32FF">
      <w:pPr>
        <w:spacing w:line="480" w:lineRule="auto"/>
        <w:jc w:val="both"/>
        <w:rPr>
          <w:rFonts w:ascii="Arial" w:hAnsi="Arial"/>
          <w:sz w:val="24"/>
          <w:lang w:val="es-EC"/>
        </w:rPr>
      </w:pPr>
    </w:p>
    <w:p w:rsidR="002E32FF" w:rsidRDefault="002E32FF">
      <w:pPr>
        <w:spacing w:line="480" w:lineRule="auto"/>
        <w:jc w:val="both"/>
        <w:rPr>
          <w:rFonts w:ascii="Arial" w:hAnsi="Arial"/>
          <w:sz w:val="24"/>
          <w:lang w:val="es-EC"/>
        </w:rPr>
      </w:pPr>
      <w:r>
        <w:rPr>
          <w:rFonts w:ascii="Arial" w:hAnsi="Arial"/>
          <w:sz w:val="24"/>
          <w:lang w:val="es-EC"/>
        </w:rPr>
        <w:t xml:space="preserve">    En ese sentido, muchas de las pruebas sobre eficiencia de mercado se centran en el estudio de la relación de los cambios de precios a través del tiempo, con el objeto de determinar si dichas predicciones son factibles.</w:t>
      </w:r>
    </w:p>
    <w:p w:rsidR="002E32FF" w:rsidRDefault="002E32FF">
      <w:pPr>
        <w:spacing w:line="480" w:lineRule="auto"/>
        <w:jc w:val="both"/>
        <w:rPr>
          <w:rFonts w:ascii="Arial" w:hAnsi="Arial"/>
          <w:sz w:val="24"/>
          <w:lang w:val="es-EC"/>
        </w:rPr>
      </w:pPr>
    </w:p>
    <w:p w:rsidR="002E32FF" w:rsidRDefault="002E32FF">
      <w:pPr>
        <w:spacing w:line="480" w:lineRule="auto"/>
        <w:jc w:val="both"/>
        <w:rPr>
          <w:rFonts w:ascii="Arial" w:hAnsi="Arial"/>
          <w:sz w:val="24"/>
          <w:lang w:val="es-EC"/>
        </w:rPr>
        <w:sectPr w:rsidR="002E32FF">
          <w:type w:val="continuous"/>
          <w:pgSz w:w="11907" w:h="16840" w:code="9"/>
          <w:pgMar w:top="2268" w:right="1418" w:bottom="1701" w:left="2268" w:header="720" w:footer="720" w:gutter="0"/>
          <w:cols w:space="720"/>
        </w:sectPr>
      </w:pPr>
      <w:r>
        <w:rPr>
          <w:rFonts w:ascii="Arial" w:hAnsi="Arial"/>
          <w:sz w:val="24"/>
          <w:lang w:val="es-EC"/>
        </w:rPr>
        <w:t xml:space="preserve">    Es entonces que el estudio de las series de tiempo toma</w:t>
      </w:r>
    </w:p>
    <w:p w:rsidR="002E32FF" w:rsidRDefault="002E32FF">
      <w:pPr>
        <w:spacing w:line="480" w:lineRule="auto"/>
        <w:jc w:val="both"/>
        <w:rPr>
          <w:rFonts w:ascii="Arial" w:hAnsi="Arial"/>
          <w:sz w:val="24"/>
          <w:lang w:val="es-EC"/>
        </w:rPr>
      </w:pPr>
      <w:r>
        <w:rPr>
          <w:rFonts w:ascii="Arial" w:hAnsi="Arial"/>
          <w:sz w:val="24"/>
          <w:lang w:val="es-EC"/>
        </w:rPr>
        <w:t xml:space="preserve"> importancia para determinar la predictibilidad de los precios o de los cambios de precios.  La creencia de que el cambio de precio actual, contiene información sobre el cambio de precio futuro, está arraigada en muchos inversionistas.  Las siguientes son formas en las que estudios anteriores han probado dicha hipótesis.</w:t>
      </w:r>
    </w:p>
    <w:p w:rsidR="002E32FF" w:rsidRDefault="002E32FF">
      <w:pPr>
        <w:spacing w:line="480" w:lineRule="auto"/>
        <w:jc w:val="both"/>
        <w:rPr>
          <w:rFonts w:ascii="Arial" w:hAnsi="Arial"/>
          <w:b/>
          <w:sz w:val="32"/>
          <w:lang w:val="es-ES_tradnl"/>
        </w:rPr>
      </w:pPr>
    </w:p>
    <w:p w:rsidR="002E32FF" w:rsidRDefault="002E32FF">
      <w:pPr>
        <w:spacing w:line="480" w:lineRule="auto"/>
        <w:jc w:val="both"/>
        <w:rPr>
          <w:rFonts w:ascii="Arial" w:hAnsi="Arial"/>
          <w:b/>
          <w:sz w:val="32"/>
          <w:lang w:val="es-ES_tradnl"/>
        </w:rPr>
      </w:pPr>
    </w:p>
    <w:p w:rsidR="002E32FF" w:rsidRDefault="002E32FF">
      <w:pPr>
        <w:spacing w:line="480" w:lineRule="auto"/>
        <w:jc w:val="both"/>
        <w:rPr>
          <w:rFonts w:ascii="Arial" w:hAnsi="Arial"/>
          <w:b/>
          <w:sz w:val="32"/>
          <w:lang w:val="es-ES_tradnl"/>
        </w:rPr>
      </w:pPr>
      <w:r>
        <w:rPr>
          <w:rFonts w:ascii="Arial" w:hAnsi="Arial"/>
          <w:b/>
          <w:sz w:val="32"/>
          <w:lang w:val="es-ES_tradnl"/>
        </w:rPr>
        <w:t>3.1 Correlación Serial</w:t>
      </w:r>
    </w:p>
    <w:p w:rsidR="002E32FF" w:rsidRDefault="002E32FF">
      <w:pPr>
        <w:spacing w:line="480" w:lineRule="auto"/>
        <w:jc w:val="both"/>
        <w:rPr>
          <w:rFonts w:ascii="Arial" w:hAnsi="Arial"/>
          <w:sz w:val="28"/>
          <w:lang w:val="es-ES_tradnl"/>
        </w:rPr>
      </w:pPr>
    </w:p>
    <w:p w:rsidR="002E32FF" w:rsidRDefault="002E32FF">
      <w:pPr>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El correlograma serial muestra la autocorrelación simple y parcial en función de un orden específico de rezagos. Estas funciones se caracterizan por un patrón de dependencia temporal en las series y tiene sentido sólo en datos de series de tiempo. La correlación se basa en el grado de variación conjunta existente entre dos o más variables, esta puede ser simple o parcial.</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La correlación simple estudia la relación lineal entre dos o más variables, esta puede dividirse en positiva, es decir las variables actúan o se mueven de igual manera, o negativa cuando las variables actúan de forma contraria. En cambio la correlación parcial permite estudiar la relación lineal existente entre dos o más variables controlando el posible efecto de una o más variables externas; las correlaciones poseen órdenes, es decir si se obtiene una correlación de orden uno esto nos indica que se controla el efecto de una variable si es de orden dos se controla el efecto de dos variables y así sucesivamente, cabe acotar que cuando la correlación obedece a un orden cero no se controla a ninguna variable.</w:t>
      </w:r>
    </w:p>
    <w:p w:rsidR="002E32FF" w:rsidRDefault="002E32FF">
      <w:pPr>
        <w:spacing w:line="480" w:lineRule="auto"/>
        <w:jc w:val="both"/>
        <w:rPr>
          <w:rFonts w:ascii="Arial" w:hAnsi="Arial"/>
          <w:sz w:val="24"/>
          <w:lang w:val="es-ES_tradnl"/>
        </w:rPr>
      </w:pPr>
    </w:p>
    <w:p w:rsidR="002E32FF" w:rsidRDefault="002E32FF">
      <w:pPr>
        <w:spacing w:line="480" w:lineRule="auto"/>
        <w:jc w:val="both"/>
        <w:rPr>
          <w:sz w:val="24"/>
        </w:rPr>
      </w:pPr>
      <w:r>
        <w:rPr>
          <w:rFonts w:ascii="Arial" w:hAnsi="Arial"/>
          <w:sz w:val="24"/>
          <w:lang w:val="es-ES_tradnl"/>
        </w:rPr>
        <w:t xml:space="preserve">    Un inversionista puede tener varias estrategias de inversión en  títulos-valores si la correlación de estos activos es de orden cero  esto implica que no se eliminaría el efecto de variables externas por lo cual el coeficiente de correlación explicaría el efecto de estas variables sobre los títulos y la relación lineal que en estos hubiere en cambio si la correlación es de orden uno esto indicaría que el efecto de una variable externa sobre los activos estaría controlado o eliminado, arrojando un coeficiente que no sería muy objetivo al momento de decidir que título-valor comprar o vender.</w:t>
      </w:r>
    </w:p>
    <w:p w:rsidR="002E32FF" w:rsidRDefault="002E32FF">
      <w:pPr>
        <w:spacing w:line="480" w:lineRule="auto"/>
        <w:jc w:val="both"/>
        <w:rPr>
          <w:rFonts w:ascii="Arial" w:hAnsi="Arial"/>
          <w:sz w:val="24"/>
          <w:lang w:val="es-ES_tradnl"/>
        </w:rPr>
      </w:pPr>
    </w:p>
    <w:p w:rsidR="002E32FF" w:rsidRDefault="002E32FF">
      <w:pPr>
        <w:pStyle w:val="Textoindependiente3"/>
        <w:tabs>
          <w:tab w:val="clear" w:pos="360"/>
        </w:tabs>
      </w:pPr>
      <w:r>
        <w:t xml:space="preserve">    El análisis del correlograma puede extenderse hasta la determinación de modelos autorregresivos y de medias móviles - modelos ARMA - que describan el comportamiento del cambio de precio a través del tiempo, de manera de que sean utilizados para transar sobre la base de las predicciones que arroje el modelo.</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b/>
          <w:sz w:val="28"/>
          <w:lang w:val="es-ES_tradnl"/>
        </w:rPr>
      </w:pPr>
      <w:r>
        <w:rPr>
          <w:rFonts w:ascii="Arial" w:hAnsi="Arial"/>
          <w:b/>
          <w:sz w:val="28"/>
          <w:lang w:val="es-ES_tradnl"/>
        </w:rPr>
        <w:t>3.2  Test de Corridas</w:t>
      </w:r>
    </w:p>
    <w:p w:rsidR="002E32FF" w:rsidRDefault="002E32FF">
      <w:pPr>
        <w:spacing w:line="480" w:lineRule="auto"/>
        <w:jc w:val="both"/>
        <w:rPr>
          <w:rFonts w:ascii="Arial" w:hAnsi="Arial"/>
          <w:b/>
          <w:sz w:val="28"/>
          <w:lang w:val="es-ES_tradnl"/>
        </w:rPr>
      </w:pPr>
    </w:p>
    <w:p w:rsidR="002E32FF" w:rsidRDefault="002E32FF">
      <w:pPr>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El test de corridas es una variación no paramétrica de una correlación serial, está basada en el conteo del número de corridas en los cambios de precios (es decir, el número de secuencias de incrementos o decrementos de precios).</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b/>
          <w:sz w:val="24"/>
          <w:lang w:val="es-ES_tradnl"/>
        </w:rPr>
      </w:pPr>
      <w:r>
        <w:rPr>
          <w:rFonts w:ascii="Arial" w:hAnsi="Arial"/>
          <w:sz w:val="24"/>
          <w:lang w:val="es-ES_tradnl"/>
        </w:rPr>
        <w:t xml:space="preserve">    La hipótesis nula del test de corridas es que los precios fluctúan aleatoriamente, lo que implicaría no predictibilidad de los mismos.</w:t>
      </w:r>
    </w:p>
    <w:p w:rsidR="002E32FF" w:rsidRDefault="002E32FF">
      <w:pPr>
        <w:spacing w:line="480" w:lineRule="auto"/>
        <w:jc w:val="both"/>
        <w:rPr>
          <w:rFonts w:ascii="Arial" w:hAnsi="Arial"/>
          <w:b/>
          <w:sz w:val="28"/>
          <w:lang w:val="es-ES_tradnl"/>
        </w:rPr>
      </w:pPr>
    </w:p>
    <w:p w:rsidR="002E32FF" w:rsidRDefault="002E32FF">
      <w:pPr>
        <w:spacing w:line="480" w:lineRule="auto"/>
        <w:jc w:val="both"/>
        <w:rPr>
          <w:rFonts w:ascii="Arial" w:hAnsi="Arial"/>
          <w:b/>
          <w:sz w:val="28"/>
          <w:lang w:val="es-ES_tradnl"/>
        </w:rPr>
      </w:pPr>
    </w:p>
    <w:p w:rsidR="002E32FF" w:rsidRDefault="002E32FF">
      <w:pPr>
        <w:spacing w:line="480" w:lineRule="auto"/>
        <w:jc w:val="both"/>
        <w:rPr>
          <w:rFonts w:ascii="Arial" w:hAnsi="Arial"/>
          <w:b/>
          <w:sz w:val="28"/>
          <w:lang w:val="es-ES_tradnl"/>
        </w:rPr>
      </w:pPr>
      <w:r>
        <w:rPr>
          <w:rFonts w:ascii="Arial" w:hAnsi="Arial"/>
          <w:b/>
          <w:sz w:val="28"/>
          <w:lang w:val="es-ES_tradnl"/>
        </w:rPr>
        <w:t>3.3 Regla de Filtros</w:t>
      </w:r>
    </w:p>
    <w:p w:rsidR="002E32FF" w:rsidRDefault="002E32FF">
      <w:pPr>
        <w:spacing w:line="480" w:lineRule="auto"/>
        <w:jc w:val="both"/>
        <w:rPr>
          <w:rFonts w:ascii="Arial" w:hAnsi="Arial"/>
          <w:b/>
          <w:sz w:val="28"/>
          <w:lang w:val="es-ES_tradnl"/>
        </w:rPr>
      </w:pPr>
    </w:p>
    <w:p w:rsidR="002E32FF" w:rsidRDefault="002E32FF">
      <w:pPr>
        <w:spacing w:line="480" w:lineRule="auto"/>
        <w:jc w:val="both"/>
        <w:rPr>
          <w:rFonts w:ascii="Arial" w:hAnsi="Arial"/>
          <w:sz w:val="24"/>
          <w:lang w:val="es-EC"/>
        </w:rPr>
      </w:pPr>
      <w:r>
        <w:rPr>
          <w:rFonts w:ascii="Arial" w:hAnsi="Arial"/>
          <w:sz w:val="28"/>
          <w:lang w:val="es-EC"/>
        </w:rPr>
        <w:t xml:space="preserve">    </w:t>
      </w:r>
      <w:r>
        <w:rPr>
          <w:rFonts w:ascii="Arial" w:hAnsi="Arial"/>
          <w:sz w:val="24"/>
          <w:lang w:val="es-EC"/>
        </w:rPr>
        <w:t xml:space="preserve">Partiendo del supuesto de que hay correlación serial en los precios, estas reglas permitirían obtener recomendaciones de compra o venta una vez que el precio ha subido o bajado un porcentaje determinado. </w:t>
      </w:r>
    </w:p>
    <w:p w:rsidR="002E32FF" w:rsidRDefault="002E32FF">
      <w:pPr>
        <w:spacing w:line="480" w:lineRule="auto"/>
        <w:jc w:val="both"/>
        <w:rPr>
          <w:rFonts w:ascii="Arial" w:hAnsi="Arial"/>
          <w:sz w:val="28"/>
          <w:lang w:val="es-EC"/>
        </w:rPr>
      </w:pPr>
    </w:p>
    <w:p w:rsidR="002E32FF" w:rsidRDefault="002E32FF">
      <w:pPr>
        <w:spacing w:line="480" w:lineRule="auto"/>
        <w:jc w:val="both"/>
        <w:rPr>
          <w:rFonts w:ascii="Arial" w:hAnsi="Arial"/>
          <w:sz w:val="24"/>
          <w:lang w:val="es-EC"/>
        </w:rPr>
      </w:pPr>
      <w:r>
        <w:rPr>
          <w:rFonts w:ascii="Arial" w:hAnsi="Arial"/>
          <w:sz w:val="28"/>
          <w:lang w:val="es-EC"/>
        </w:rPr>
        <w:t xml:space="preserve">    L</w:t>
      </w:r>
      <w:r>
        <w:rPr>
          <w:rFonts w:ascii="Arial" w:hAnsi="Arial"/>
          <w:sz w:val="24"/>
          <w:lang w:val="es-EC"/>
        </w:rPr>
        <w:t>as reglas de filtros son comparadas con la estrategia pasiva de comprar – mantener, ya que esta última se basa en la hipótesis de que no se pueden obtener retornos “extraordinarios” transando los títulos en base a la información pasada, por lo tanto, lo relevante es detectar un buen título, comprarlo y mantenerlo.</w:t>
      </w:r>
    </w:p>
    <w:p w:rsidR="002E32FF" w:rsidRDefault="002E32FF">
      <w:pPr>
        <w:spacing w:line="480" w:lineRule="auto"/>
        <w:jc w:val="both"/>
        <w:rPr>
          <w:rFonts w:ascii="Arial" w:hAnsi="Arial"/>
          <w:b/>
          <w:sz w:val="28"/>
          <w:lang w:val="es-ES_tradnl"/>
        </w:rPr>
      </w:pPr>
      <w:r>
        <w:rPr>
          <w:rFonts w:ascii="Arial" w:hAnsi="Arial"/>
          <w:b/>
          <w:sz w:val="28"/>
          <w:lang w:val="es-ES_tradnl"/>
        </w:rPr>
        <w:t>3.4 Otras reglas de Análisis Técnico</w:t>
      </w:r>
    </w:p>
    <w:p w:rsidR="002E32FF" w:rsidRDefault="002E32FF">
      <w:pPr>
        <w:spacing w:line="480" w:lineRule="auto"/>
        <w:jc w:val="both"/>
        <w:rPr>
          <w:rFonts w:ascii="Arial" w:hAnsi="Arial"/>
          <w:sz w:val="28"/>
          <w:lang w:val="es-EC"/>
        </w:rPr>
      </w:pPr>
    </w:p>
    <w:p w:rsidR="002E32FF" w:rsidRDefault="002E32FF">
      <w:pPr>
        <w:spacing w:line="480" w:lineRule="auto"/>
        <w:jc w:val="both"/>
        <w:rPr>
          <w:rFonts w:ascii="Arial" w:hAnsi="Arial"/>
          <w:sz w:val="24"/>
          <w:lang w:val="es-EC"/>
        </w:rPr>
      </w:pPr>
      <w:r>
        <w:rPr>
          <w:rFonts w:ascii="Arial" w:hAnsi="Arial"/>
          <w:sz w:val="28"/>
          <w:lang w:val="es-EC"/>
        </w:rPr>
        <w:t xml:space="preserve">    </w:t>
      </w:r>
      <w:r>
        <w:rPr>
          <w:rFonts w:ascii="Arial" w:hAnsi="Arial"/>
          <w:sz w:val="24"/>
          <w:lang w:val="es-EC"/>
        </w:rPr>
        <w:t>Comparar otras reglas de análisis técnico contra la estrategia comprar – mantener, también es una prueba sobre la hipótesis de eficiencia de mercado en forma débil.</w:t>
      </w:r>
    </w:p>
    <w:p w:rsidR="002E32FF" w:rsidRDefault="002E32FF">
      <w:pPr>
        <w:spacing w:line="480" w:lineRule="auto"/>
        <w:jc w:val="both"/>
        <w:rPr>
          <w:rFonts w:ascii="Arial" w:hAnsi="Arial"/>
          <w:sz w:val="24"/>
          <w:lang w:val="es-EC"/>
        </w:rPr>
      </w:pPr>
    </w:p>
    <w:p w:rsidR="002E32FF" w:rsidRDefault="002E32FF">
      <w:pPr>
        <w:spacing w:line="480" w:lineRule="auto"/>
        <w:jc w:val="both"/>
        <w:rPr>
          <w:rFonts w:ascii="Arial" w:hAnsi="Arial"/>
          <w:sz w:val="24"/>
          <w:lang w:val="es-EC"/>
        </w:rPr>
      </w:pPr>
      <w:r>
        <w:rPr>
          <w:rFonts w:ascii="Arial" w:hAnsi="Arial"/>
          <w:sz w:val="24"/>
          <w:lang w:val="es-EC"/>
        </w:rPr>
        <w:t xml:space="preserve">    Es importante recalcar que, si bien las pruebas de corridas y la correlación serial pueden mostrar predictibilidad en los cambios de precios, eso no necesariamente implicaría que se puedan obtener retornos “extraordinarios” transando sobre la base de dichas predicciones, por lo cual es importante complementar el estudio con análisis técnico.</w:t>
      </w:r>
    </w:p>
    <w:p w:rsidR="002E32FF" w:rsidRDefault="002E32FF">
      <w:pPr>
        <w:spacing w:line="480" w:lineRule="auto"/>
        <w:jc w:val="both"/>
        <w:rPr>
          <w:rFonts w:ascii="Arial" w:hAnsi="Arial"/>
          <w:sz w:val="24"/>
          <w:lang w:val="es-EC"/>
        </w:rPr>
      </w:pPr>
    </w:p>
    <w:p w:rsidR="002E32FF" w:rsidRDefault="002E32FF">
      <w:pPr>
        <w:spacing w:line="480" w:lineRule="auto"/>
        <w:jc w:val="both"/>
        <w:rPr>
          <w:rFonts w:ascii="Arial" w:eastAsia="Arial Unicode MS" w:hAnsi="Arial"/>
          <w:b/>
          <w:sz w:val="28"/>
          <w:lang w:val="es-EC"/>
        </w:rPr>
      </w:pPr>
    </w:p>
    <w:p w:rsidR="002E32FF" w:rsidRDefault="002E32FF">
      <w:pPr>
        <w:spacing w:line="480" w:lineRule="auto"/>
        <w:jc w:val="both"/>
        <w:rPr>
          <w:rFonts w:ascii="Arial" w:eastAsia="Arial Unicode MS" w:hAnsi="Arial"/>
          <w:b/>
          <w:sz w:val="28"/>
          <w:lang w:val="es-EC"/>
        </w:rPr>
      </w:pPr>
      <w:r>
        <w:rPr>
          <w:rFonts w:ascii="Arial" w:eastAsia="Arial Unicode MS" w:hAnsi="Arial"/>
          <w:b/>
          <w:sz w:val="28"/>
          <w:lang w:val="es-EC"/>
        </w:rPr>
        <w:t>3.5 Evidencia sobre predictibilidad de precios y variaciones</w:t>
      </w:r>
    </w:p>
    <w:p w:rsidR="002E32FF" w:rsidRDefault="002E32FF">
      <w:pPr>
        <w:spacing w:line="480" w:lineRule="auto"/>
        <w:jc w:val="both"/>
        <w:rPr>
          <w:rFonts w:ascii="Arial" w:hAnsi="Arial"/>
          <w:sz w:val="28"/>
          <w:lang w:val="es-EC"/>
        </w:rPr>
      </w:pPr>
    </w:p>
    <w:p w:rsidR="002E32FF" w:rsidRDefault="002E32FF">
      <w:pPr>
        <w:pStyle w:val="Textoindependiente2"/>
        <w:tabs>
          <w:tab w:val="clear" w:pos="1060"/>
        </w:tabs>
        <w:spacing w:after="480"/>
        <w:rPr>
          <w:rFonts w:eastAsia="Times New Roman"/>
          <w:sz w:val="24"/>
          <w:lang w:val="es-ES"/>
        </w:rPr>
      </w:pPr>
      <w:r>
        <w:rPr>
          <w:rFonts w:eastAsia="Times New Roman"/>
          <w:lang w:val="es-EC"/>
        </w:rPr>
        <w:t xml:space="preserve">    </w:t>
      </w:r>
      <w:r>
        <w:rPr>
          <w:rFonts w:eastAsia="Times New Roman"/>
          <w:sz w:val="24"/>
          <w:lang w:val="es-ES"/>
        </w:rPr>
        <w:t xml:space="preserve">La hipótesis de eficiencia de mercado, planteada por Fama (1970), expresa que los precios de los activos se ajustan completamente a la información, la cual es procesada correctamente por todos los individuos en el mercado, por lo que no habría posibilidad para un individuo en particular de obtener ganancias por encima de las que obtiene el mercado, transando sobre la base de dicha información.    </w:t>
      </w:r>
    </w:p>
    <w:p w:rsidR="002E32FF" w:rsidRDefault="002E32FF">
      <w:pPr>
        <w:pStyle w:val="Textoindependiente2"/>
        <w:tabs>
          <w:tab w:val="clear" w:pos="1060"/>
        </w:tabs>
        <w:spacing w:after="480"/>
        <w:rPr>
          <w:rFonts w:eastAsia="Times New Roman"/>
          <w:sz w:val="24"/>
          <w:lang w:val="es-ES"/>
        </w:rPr>
      </w:pPr>
      <w:r>
        <w:rPr>
          <w:rFonts w:eastAsia="Times New Roman"/>
          <w:sz w:val="24"/>
          <w:lang w:val="es-ES"/>
        </w:rPr>
        <w:t xml:space="preserve">    Este planteamiento no ha sido plenamente aceptado hasta la actualidad, por lo cual frecuentemente se buscan métodos que permitan predecir los movimientos de precios de los activos para diseñar estrategias de transacción rentables con base a dichas predicciones.</w:t>
      </w:r>
    </w:p>
    <w:p w:rsidR="002E32FF" w:rsidRDefault="002E32FF">
      <w:pPr>
        <w:pStyle w:val="Textoindependiente2"/>
        <w:tabs>
          <w:tab w:val="clear" w:pos="1060"/>
        </w:tabs>
        <w:spacing w:after="480"/>
        <w:rPr>
          <w:rFonts w:eastAsia="Times New Roman"/>
          <w:sz w:val="24"/>
          <w:lang w:val="es-ES"/>
        </w:rPr>
      </w:pPr>
      <w:r>
        <w:rPr>
          <w:rFonts w:eastAsia="Times New Roman"/>
          <w:sz w:val="24"/>
          <w:lang w:val="es-ES"/>
        </w:rPr>
        <w:t xml:space="preserve">    Lo y MacKinlay (1988), en un estudio con países desarrollados, concluyen que sí hay evidencia que muestra que los precios de las acciones no siguen un camino aleatorio, por lo tanto, son en algún grado predecibles.  El mismo Fama, junto a French, en 1988, encuentra correlación serial negativa en los retornos de acciones individuales y de distintos portafolios.  Jegadeesh (1990) también muestra evidencia de predictibilidad en los precios de los títulos individuales al encontrar correlación serial negativa para rezagos de dos meses y correlación positiva para rezagos mayores.</w:t>
      </w:r>
    </w:p>
    <w:p w:rsidR="002E32FF" w:rsidRDefault="002E32FF">
      <w:pPr>
        <w:pStyle w:val="Textoindependiente2"/>
        <w:tabs>
          <w:tab w:val="clear" w:pos="1060"/>
        </w:tabs>
        <w:spacing w:after="480"/>
        <w:rPr>
          <w:rFonts w:eastAsia="Times New Roman"/>
          <w:sz w:val="24"/>
          <w:lang w:val="es-ES"/>
        </w:rPr>
      </w:pPr>
      <w:r>
        <w:rPr>
          <w:rFonts w:eastAsia="Times New Roman"/>
          <w:sz w:val="24"/>
          <w:lang w:val="es-ES"/>
        </w:rPr>
        <w:t xml:space="preserve">    Gregoire y Zurita (1995) en un estudio sobre índices bursátiles chilenos, encontraron que los cambios de precios empíricos mostraban una correlación significativa de primer orden, pero no significativa con el resto de rezagos.  Es decir, la correlación serial de grado uno era evidencia en contra de una caminata aleatoria, pero no se podía rechazar la eficiencia de mercado.  Había algún grado de correlación en los precios, pero para confirmar si eso daba origen a ganancias extraordinarias, se realizó una prueba de filtros lineal.  Las utilidades en esta estrategia de filtros comparada con la estrategia ingenua de comprar y mantener son muy similares.  Más aún, al considerar los costos de transacción, la regla de filtros generaba rentabilidades por debajo de la estrategia más simple de comprar y mantener.  Los resultados del estudio fueron una evidencia a favor de la eficiencia en forma débil.</w:t>
      </w:r>
    </w:p>
    <w:p w:rsidR="002E32FF" w:rsidRDefault="002E32FF">
      <w:pPr>
        <w:pStyle w:val="Textoindependiente2"/>
        <w:tabs>
          <w:tab w:val="clear" w:pos="1060"/>
        </w:tabs>
        <w:spacing w:after="480"/>
        <w:rPr>
          <w:sz w:val="24"/>
        </w:rPr>
      </w:pPr>
      <w:r>
        <w:rPr>
          <w:sz w:val="24"/>
        </w:rPr>
        <w:t xml:space="preserve">    En un estudio distinto, enfocado en los retornos de las estrategias de inversión en base a información costosa, Cornell y Roll (1981) muestran que dos grupos de inversionistas, los informados y los no informados, pueden tener distintas rentabilidades brutas, siendo mayor la del primer grupo, pero aún así, no hay incentivos de obtener información adicional para el segundo grupo debido a los costos de la información.  Es decir, considerando los costos de obtener información, no hay retornos extraordinarios de manera sistemática para el grupo informado.</w:t>
      </w:r>
    </w:p>
    <w:p w:rsidR="002E32FF" w:rsidRDefault="002E32FF">
      <w:pPr>
        <w:pStyle w:val="Textoindependiente2"/>
        <w:tabs>
          <w:tab w:val="clear" w:pos="1060"/>
        </w:tabs>
        <w:spacing w:after="480"/>
        <w:rPr>
          <w:sz w:val="24"/>
          <w:lang w:val="es-EC"/>
        </w:rPr>
      </w:pPr>
      <w:r>
        <w:rPr>
          <w:sz w:val="24"/>
        </w:rPr>
        <w:t xml:space="preserve">    En otro estudio en el año 2006 referente a la validación del análisis técnico aplicado a las acciones de las empresas de los principales sectores industriales del Ecuador, se demuestra que los mercados que poseen tendencias definidas es recomendable utilizar el oscilador MACD porque sería un mejor predictor que otros osciladores tales como: ROC, RSI, este último se menciona para mercados con tendencias no definidas, sin embargo se recalca que la utilización de análisis técnico prevalece a cualquier tipo de análisis y esto se debe a que cuenta con una ventaja diferencial debido a que introduce la psicología del inversor y su percepción de las noticias positivas o negativas. Sin embargo, la capacidad predictiva de estos indicadores no necesariamente implicarían beneficios una vez que se sigan sus recomendaciones en el largo plazo.</w:t>
      </w:r>
    </w:p>
    <w:p w:rsidR="002E32FF" w:rsidRDefault="002E32FF">
      <w:pPr>
        <w:rPr>
          <w:rFonts w:ascii="Arial" w:hAnsi="Arial"/>
          <w:sz w:val="24"/>
          <w:lang w:val="es-EC"/>
        </w:rPr>
      </w:pPr>
    </w:p>
    <w:p w:rsidR="002E32FF" w:rsidRDefault="002E32FF">
      <w:pPr>
        <w:rPr>
          <w:rFonts w:ascii="Arial" w:hAnsi="Arial"/>
          <w:sz w:val="24"/>
          <w:lang w:val="es-EC"/>
        </w:rPr>
      </w:pPr>
    </w:p>
    <w:p w:rsidR="002E32FF" w:rsidRDefault="002E32FF">
      <w:pPr>
        <w:rPr>
          <w:rFonts w:ascii="Arial" w:hAnsi="Arial"/>
          <w:sz w:val="24"/>
          <w:lang w:val="es-EC"/>
        </w:rPr>
      </w:pPr>
    </w:p>
    <w:p w:rsidR="002E32FF" w:rsidRDefault="002E32FF">
      <w:pPr>
        <w:rPr>
          <w:rFonts w:ascii="Arial" w:hAnsi="Arial"/>
          <w:sz w:val="24"/>
          <w:lang w:val="es-EC"/>
        </w:rPr>
      </w:pPr>
    </w:p>
    <w:p w:rsidR="002E32FF" w:rsidRDefault="002E32FF">
      <w:pPr>
        <w:rPr>
          <w:rFonts w:ascii="Arial" w:hAnsi="Arial"/>
          <w:sz w:val="24"/>
          <w:lang w:val="es-EC"/>
        </w:rPr>
      </w:pPr>
    </w:p>
    <w:p w:rsidR="002E32FF" w:rsidRDefault="002E32FF">
      <w:pPr>
        <w:rPr>
          <w:rFonts w:ascii="Arial" w:hAnsi="Arial"/>
          <w:sz w:val="24"/>
          <w:lang w:val="es-EC"/>
        </w:rPr>
      </w:pPr>
    </w:p>
    <w:p w:rsidR="002E32FF" w:rsidRDefault="002E32FF">
      <w:pPr>
        <w:rPr>
          <w:rFonts w:ascii="Arial" w:hAnsi="Arial"/>
          <w:sz w:val="24"/>
          <w:lang w:val="es-EC"/>
        </w:rPr>
      </w:pPr>
    </w:p>
    <w:p w:rsidR="002E32FF" w:rsidRDefault="002E32FF">
      <w:pPr>
        <w:rPr>
          <w:rFonts w:ascii="Arial" w:hAnsi="Arial"/>
          <w:b/>
          <w:sz w:val="28"/>
          <w:lang w:val="es-EC"/>
        </w:rPr>
      </w:pPr>
    </w:p>
    <w:p w:rsidR="002E32FF" w:rsidRDefault="002E32FF">
      <w:pPr>
        <w:jc w:val="center"/>
        <w:rPr>
          <w:rFonts w:ascii="Arial" w:hAnsi="Arial"/>
          <w:b/>
          <w:sz w:val="28"/>
          <w:lang w:val="es-EC"/>
        </w:rPr>
      </w:pPr>
    </w:p>
    <w:p w:rsidR="002E32FF" w:rsidRDefault="002E32FF">
      <w:pPr>
        <w:jc w:val="center"/>
        <w:rPr>
          <w:rFonts w:ascii="Arial" w:hAnsi="Arial"/>
          <w:b/>
          <w:sz w:val="28"/>
          <w:lang w:val="es-EC"/>
        </w:rPr>
      </w:pPr>
    </w:p>
    <w:p w:rsidR="002E32FF" w:rsidRDefault="002E32FF">
      <w:pPr>
        <w:jc w:val="center"/>
        <w:rPr>
          <w:rFonts w:ascii="Arial" w:hAnsi="Arial"/>
          <w:b/>
          <w:sz w:val="28"/>
          <w:lang w:val="es-EC"/>
        </w:rPr>
      </w:pPr>
    </w:p>
    <w:p w:rsidR="002E32FF" w:rsidRDefault="002E32FF">
      <w:pPr>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sectPr w:rsidR="002E32FF">
          <w:footerReference w:type="default" r:id="rId28"/>
          <w:type w:val="continuous"/>
          <w:pgSz w:w="11907" w:h="16840" w:code="9"/>
          <w:pgMar w:top="2268" w:right="1418" w:bottom="1701" w:left="2268" w:header="720" w:footer="720" w:gutter="0"/>
          <w:cols w:space="720"/>
        </w:sect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p>
    <w:p w:rsidR="002E32FF" w:rsidRDefault="002E32FF">
      <w:pPr>
        <w:spacing w:line="480" w:lineRule="auto"/>
        <w:jc w:val="center"/>
        <w:rPr>
          <w:rFonts w:ascii="Arial" w:hAnsi="Arial"/>
          <w:b/>
          <w:sz w:val="28"/>
          <w:lang w:val="es-EC"/>
        </w:rPr>
      </w:pPr>
      <w:r>
        <w:rPr>
          <w:rFonts w:ascii="Arial" w:hAnsi="Arial"/>
          <w:b/>
          <w:sz w:val="28"/>
          <w:lang w:val="es-EC"/>
        </w:rPr>
        <w:t>CAPÍTULO IV</w:t>
      </w:r>
    </w:p>
    <w:p w:rsidR="002E32FF" w:rsidRDefault="002E32FF">
      <w:pPr>
        <w:spacing w:line="480" w:lineRule="auto"/>
        <w:jc w:val="center"/>
        <w:rPr>
          <w:rStyle w:val="Refdecomentario"/>
          <w:b/>
        </w:rPr>
      </w:pPr>
      <w:r>
        <w:rPr>
          <w:rFonts w:ascii="Arial" w:hAnsi="Arial"/>
          <w:b/>
          <w:sz w:val="28"/>
          <w:lang w:val="es-EC"/>
        </w:rPr>
        <w:t>DESCRIPCIÓN DE LOS DATOS Y METODOLOGÍA</w:t>
      </w:r>
    </w:p>
    <w:p w:rsidR="002E32FF" w:rsidRDefault="002E32FF">
      <w:pPr>
        <w:jc w:val="center"/>
        <w:rPr>
          <w:rFonts w:ascii="Arial" w:hAnsi="Arial"/>
          <w:b/>
          <w:sz w:val="28"/>
          <w:lang w:val="es-EC"/>
        </w:rPr>
      </w:pPr>
    </w:p>
    <w:p w:rsidR="002E32FF" w:rsidRDefault="002E32FF">
      <w:pPr>
        <w:jc w:val="center"/>
        <w:rPr>
          <w:rFonts w:ascii="Arial" w:hAnsi="Arial"/>
          <w:b/>
          <w:sz w:val="28"/>
          <w:lang w:val="es-EC"/>
        </w:rPr>
      </w:pPr>
    </w:p>
    <w:p w:rsidR="002E32FF" w:rsidRDefault="002E32FF">
      <w:pPr>
        <w:rPr>
          <w:rFonts w:ascii="Arial" w:hAnsi="Arial"/>
          <w:b/>
          <w:sz w:val="28"/>
          <w:lang w:val="es-EC"/>
        </w:rPr>
      </w:pPr>
    </w:p>
    <w:p w:rsidR="002E32FF" w:rsidRDefault="002E32FF">
      <w:pPr>
        <w:rPr>
          <w:rFonts w:ascii="Arial" w:hAnsi="Arial"/>
          <w:b/>
          <w:sz w:val="28"/>
          <w:lang w:val="es-EC"/>
        </w:rPr>
      </w:pPr>
      <w:r>
        <w:rPr>
          <w:rFonts w:ascii="Arial" w:hAnsi="Arial"/>
          <w:b/>
          <w:sz w:val="28"/>
          <w:lang w:val="es-EC"/>
        </w:rPr>
        <w:t>4.1 Descripción de los Datos</w:t>
      </w:r>
    </w:p>
    <w:p w:rsidR="002E32FF" w:rsidRDefault="002E32FF">
      <w:pPr>
        <w:rPr>
          <w:rFonts w:ascii="Arial" w:hAnsi="Arial"/>
          <w:b/>
          <w:sz w:val="28"/>
          <w:lang w:val="es-EC"/>
        </w:rPr>
      </w:pPr>
    </w:p>
    <w:p w:rsidR="002E32FF" w:rsidRDefault="002E32FF">
      <w:pPr>
        <w:rPr>
          <w:rFonts w:ascii="Arial" w:hAnsi="Arial"/>
          <w:b/>
          <w:sz w:val="28"/>
          <w:lang w:val="es-EC"/>
        </w:rPr>
      </w:pPr>
    </w:p>
    <w:p w:rsidR="002E32FF" w:rsidRDefault="002E32FF">
      <w:pPr>
        <w:pStyle w:val="Subttulo"/>
        <w:spacing w:line="480" w:lineRule="auto"/>
        <w:jc w:val="both"/>
        <w:rPr>
          <w:sz w:val="24"/>
        </w:rPr>
      </w:pPr>
      <w:r>
        <w:rPr>
          <w:b/>
          <w:lang w:val="es-EC"/>
        </w:rPr>
        <w:t xml:space="preserve">    </w:t>
      </w:r>
      <w:r>
        <w:rPr>
          <w:sz w:val="24"/>
          <w:lang w:val="es-EC"/>
        </w:rPr>
        <w:t xml:space="preserve">Este estudio está conformado por datos semanales desde </w:t>
      </w:r>
      <w:r>
        <w:rPr>
          <w:sz w:val="24"/>
        </w:rPr>
        <w:t>septiembre del 2001 hasta noviembre del 2006 de los índices bursátiles ecuatorianos: ECUINDEX, IPECU e IRECU, obtenidos del proveedor de información financiera REUTERS©. En total son doscientos setenta y tres datos por cada índice.</w:t>
      </w:r>
    </w:p>
    <w:p w:rsidR="002E32FF" w:rsidRDefault="002E32FF">
      <w:pPr>
        <w:pStyle w:val="Subttulo"/>
        <w:spacing w:line="480" w:lineRule="auto"/>
        <w:jc w:val="both"/>
        <w:rPr>
          <w:sz w:val="24"/>
        </w:rPr>
      </w:pPr>
    </w:p>
    <w:p w:rsidR="002E32FF" w:rsidRDefault="002E32FF">
      <w:pPr>
        <w:pStyle w:val="Subttulo"/>
        <w:spacing w:line="480" w:lineRule="auto"/>
        <w:jc w:val="both"/>
        <w:rPr>
          <w:sz w:val="24"/>
        </w:rPr>
      </w:pPr>
    </w:p>
    <w:p w:rsidR="002E32FF" w:rsidRDefault="002E32FF">
      <w:pPr>
        <w:pStyle w:val="Subttulo"/>
        <w:spacing w:line="480" w:lineRule="auto"/>
        <w:jc w:val="both"/>
        <w:rPr>
          <w:b/>
        </w:rPr>
        <w:sectPr w:rsidR="002E32FF">
          <w:footerReference w:type="default" r:id="rId29"/>
          <w:type w:val="continuous"/>
          <w:pgSz w:w="11907" w:h="16840" w:code="9"/>
          <w:pgMar w:top="2268" w:right="1418" w:bottom="1701" w:left="2268" w:header="720" w:footer="720" w:gutter="0"/>
          <w:cols w:space="720"/>
        </w:sectPr>
      </w:pPr>
    </w:p>
    <w:p w:rsidR="002E32FF" w:rsidRDefault="002E32FF">
      <w:pPr>
        <w:pStyle w:val="Subttulo"/>
        <w:spacing w:line="480" w:lineRule="auto"/>
        <w:jc w:val="both"/>
        <w:rPr>
          <w:b/>
        </w:rPr>
      </w:pPr>
      <w:r>
        <w:rPr>
          <w:b/>
        </w:rPr>
        <w:t>4.2 Pruebas de Eficiencia de Mercado</w:t>
      </w:r>
    </w:p>
    <w:p w:rsidR="002E32FF" w:rsidRDefault="002E32FF">
      <w:pPr>
        <w:pStyle w:val="Textoindependiente2"/>
        <w:tabs>
          <w:tab w:val="clear" w:pos="1060"/>
        </w:tabs>
        <w:rPr>
          <w:rFonts w:ascii="Times New Roman" w:eastAsia="Times New Roman" w:hAnsi="Times New Roman"/>
          <w:lang w:val="es-ES"/>
        </w:rPr>
      </w:pPr>
      <w:r>
        <w:rPr>
          <w:rFonts w:ascii="Times New Roman" w:eastAsia="Times New Roman" w:hAnsi="Times New Roman"/>
          <w:lang w:val="es-ES"/>
        </w:rPr>
        <w:t xml:space="preserve">    </w:t>
      </w:r>
    </w:p>
    <w:p w:rsidR="002E32FF" w:rsidRDefault="002E32FF">
      <w:pPr>
        <w:pStyle w:val="Textoindependiente2"/>
        <w:tabs>
          <w:tab w:val="clear" w:pos="1060"/>
        </w:tabs>
        <w:rPr>
          <w:rFonts w:eastAsia="Times New Roman"/>
          <w:sz w:val="24"/>
          <w:lang w:val="es-ES"/>
        </w:rPr>
        <w:sectPr w:rsidR="002E32FF">
          <w:footerReference w:type="default" r:id="rId30"/>
          <w:type w:val="continuous"/>
          <w:pgSz w:w="11907" w:h="16840" w:code="9"/>
          <w:pgMar w:top="2268" w:right="1418" w:bottom="1701" w:left="2268" w:header="720" w:footer="720" w:gutter="0"/>
          <w:cols w:space="720"/>
        </w:sectPr>
      </w:pPr>
      <w:r>
        <w:rPr>
          <w:rFonts w:eastAsia="Times New Roman"/>
          <w:sz w:val="24"/>
          <w:lang w:val="es-ES"/>
        </w:rPr>
        <w:t xml:space="preserve">    El empleo de herramientas estadísticas en este estudio es fundamental para probar la hipótesis si el mercado es eficiente en forma débil,</w:t>
      </w:r>
    </w:p>
    <w:p w:rsidR="002E32FF" w:rsidRDefault="002E32FF">
      <w:pPr>
        <w:pStyle w:val="Textoindependiente2"/>
        <w:tabs>
          <w:tab w:val="clear" w:pos="1060"/>
        </w:tabs>
        <w:rPr>
          <w:rFonts w:eastAsia="Times New Roman"/>
          <w:sz w:val="24"/>
          <w:lang w:val="es-ES"/>
        </w:rPr>
      </w:pPr>
      <w:r>
        <w:rPr>
          <w:rFonts w:eastAsia="Times New Roman"/>
          <w:sz w:val="24"/>
          <w:lang w:val="es-ES"/>
        </w:rPr>
        <w:t>para ello se realizó un análisis del Correlograma de las series correspondientes a las variaciones porcentuales de cada uno de los índices bursátiles, el cual nos muestra la correlación simple, parcial y el test Q, el mismo que tiene como hipótesis nula que los coeficientes de correlación de orden k sean iguales a cero, en otras palabras lo que se testea es que no haya correlación, al no haberla implicaría que no hay una relación entre las  series y sus rezagos. El cumplimiento de esta hipótesis se interpretaría como que los inversionistas no pudieran aprender de los movimientos futuros de los títulos a partir de información pasada.</w:t>
      </w:r>
    </w:p>
    <w:p w:rsidR="002E32FF" w:rsidRDefault="002E32FF">
      <w:pPr>
        <w:pStyle w:val="Textoindependiente2"/>
        <w:tabs>
          <w:tab w:val="clear" w:pos="1060"/>
        </w:tabs>
        <w:rPr>
          <w:rFonts w:ascii="Times New Roman" w:hAnsi="Times New Roman"/>
          <w:b/>
          <w:sz w:val="20"/>
        </w:rPr>
      </w:pPr>
      <w:r>
        <w:rPr>
          <w:b/>
        </w:rPr>
        <w:t xml:space="preserve">                     </w:t>
      </w:r>
    </w:p>
    <w:p w:rsidR="002E32FF" w:rsidRDefault="002E32FF">
      <w:pPr>
        <w:pStyle w:val="Textoindependiente2"/>
        <w:tabs>
          <w:tab w:val="clear" w:pos="1060"/>
        </w:tabs>
        <w:rPr>
          <w:rFonts w:eastAsia="Times New Roman"/>
          <w:sz w:val="24"/>
          <w:lang w:val="es-ES"/>
        </w:rPr>
      </w:pPr>
      <w:r>
        <w:rPr>
          <w:rFonts w:eastAsia="Times New Roman"/>
          <w:sz w:val="24"/>
          <w:lang w:val="es-ES"/>
        </w:rPr>
        <w:t xml:space="preserve">    El estadístico Q se distribuye como una chi cuadrado con m grados de libertad, cabe acotar que se ha utilizado el programa econométrico E-Views en su versión 4.1 para la elaboración de lo mencionado.</w:t>
      </w:r>
    </w:p>
    <w:p w:rsidR="002E32FF" w:rsidRDefault="002E32FF">
      <w:pPr>
        <w:pStyle w:val="Textoindependiente2"/>
        <w:tabs>
          <w:tab w:val="clear" w:pos="1060"/>
        </w:tabs>
        <w:rPr>
          <w:rFonts w:ascii="Times New Roman" w:eastAsia="Times New Roman" w:hAnsi="Times New Roman"/>
          <w:sz w:val="24"/>
          <w:lang w:val="es-ES"/>
        </w:rPr>
      </w:pPr>
    </w:p>
    <w:p w:rsidR="002E32FF" w:rsidRDefault="002E32FF">
      <w:pPr>
        <w:pStyle w:val="Textoindependiente2"/>
        <w:tabs>
          <w:tab w:val="clear" w:pos="1060"/>
        </w:tabs>
        <w:rPr>
          <w:rFonts w:ascii="Times New Roman" w:eastAsia="Times New Roman" w:hAnsi="Times New Roman"/>
          <w:sz w:val="20"/>
          <w:lang w:val="es-ES"/>
        </w:rPr>
      </w:pPr>
      <w:r>
        <w:rPr>
          <w:rFonts w:eastAsia="Times New Roman"/>
          <w:sz w:val="24"/>
          <w:lang w:val="es-ES"/>
        </w:rPr>
        <w:t xml:space="preserve">    Otro elemento que fue de gran ayuda son las pruebas de Corridas utilizando el test de Wald-Wolfowitz el cual es un test no paramétrico que se basa en los rangos de los retornos de las series y sirve para detectar la presencia de correlación serial, la serie de los rangos se centra restando a cada rango la media aritmética de los mismos.</w:t>
      </w:r>
      <w:r>
        <w:rPr>
          <w:rFonts w:ascii="Times New Roman" w:eastAsia="Times New Roman" w:hAnsi="Times New Roman"/>
          <w:sz w:val="20"/>
          <w:lang w:val="es-ES"/>
        </w:rPr>
        <w:t xml:space="preserve"> </w:t>
      </w:r>
    </w:p>
    <w:p w:rsidR="002E32FF" w:rsidRDefault="002E32FF">
      <w:pPr>
        <w:pStyle w:val="Textoindependiente2"/>
        <w:tabs>
          <w:tab w:val="clear" w:pos="1060"/>
        </w:tabs>
        <w:rPr>
          <w:rFonts w:eastAsia="Times New Roman"/>
          <w:b/>
          <w:i/>
          <w:lang w:val="es-ES"/>
        </w:rPr>
      </w:pPr>
    </w:p>
    <w:p w:rsidR="002E32FF" w:rsidRDefault="002E32FF">
      <w:pPr>
        <w:pStyle w:val="Textoindependiente2"/>
        <w:tabs>
          <w:tab w:val="clear" w:pos="1060"/>
        </w:tabs>
        <w:rPr>
          <w:rFonts w:eastAsia="Times New Roman"/>
          <w:sz w:val="24"/>
          <w:lang w:val="es-ES"/>
        </w:rPr>
      </w:pPr>
      <w:r>
        <w:rPr>
          <w:rFonts w:eastAsia="Times New Roman"/>
          <w:sz w:val="24"/>
          <w:lang w:val="es-ES"/>
        </w:rPr>
        <w:t xml:space="preserve">    La hipótesis nula a probarse es que los precios fluctúan aleatoriamente, lo que también se interpretaría como que los inversionistas no pudieran aprender de los movimientos futuros de los títulos a partir de información pasada. </w:t>
      </w:r>
    </w:p>
    <w:p w:rsidR="002E32FF" w:rsidRDefault="002E32FF">
      <w:pPr>
        <w:pStyle w:val="Textoindependiente2"/>
        <w:tabs>
          <w:tab w:val="clear" w:pos="1060"/>
        </w:tabs>
        <w:rPr>
          <w:rFonts w:eastAsia="Times New Roman"/>
          <w:sz w:val="24"/>
          <w:lang w:val="es-ES"/>
        </w:rPr>
      </w:pPr>
    </w:p>
    <w:p w:rsidR="002E32FF" w:rsidRDefault="002E32FF">
      <w:pPr>
        <w:pStyle w:val="Textoindependiente2"/>
        <w:tabs>
          <w:tab w:val="clear" w:pos="1060"/>
        </w:tabs>
        <w:rPr>
          <w:rFonts w:eastAsia="Times New Roman"/>
          <w:sz w:val="24"/>
          <w:lang w:val="es-ES"/>
        </w:rPr>
      </w:pPr>
      <w:r>
        <w:rPr>
          <w:rFonts w:eastAsia="Times New Roman"/>
          <w:sz w:val="24"/>
          <w:lang w:val="es-ES"/>
        </w:rPr>
        <w:t xml:space="preserve">    Los resultados del test aplicado a las variaciones de los índices se muestran en el próximo capítulo. </w:t>
      </w:r>
    </w:p>
    <w:p w:rsidR="002E32FF" w:rsidRDefault="002E32FF">
      <w:pPr>
        <w:pStyle w:val="Textoindependiente2"/>
        <w:tabs>
          <w:tab w:val="clear" w:pos="1060"/>
        </w:tabs>
        <w:rPr>
          <w:rFonts w:eastAsia="Times New Roman"/>
          <w:sz w:val="24"/>
          <w:lang w:val="es-ES"/>
        </w:rPr>
      </w:pPr>
    </w:p>
    <w:p w:rsidR="002E32FF" w:rsidRDefault="002E32FF">
      <w:pPr>
        <w:pStyle w:val="Textoindependiente2"/>
        <w:tabs>
          <w:tab w:val="clear" w:pos="1060"/>
        </w:tabs>
        <w:rPr>
          <w:rFonts w:eastAsia="Times New Roman"/>
          <w:sz w:val="24"/>
          <w:lang w:val="es-ES"/>
        </w:rPr>
      </w:pPr>
    </w:p>
    <w:p w:rsidR="002E32FF" w:rsidRDefault="002E32FF">
      <w:pPr>
        <w:pStyle w:val="Subttulo"/>
        <w:spacing w:line="480" w:lineRule="auto"/>
        <w:jc w:val="both"/>
        <w:rPr>
          <w:b/>
        </w:rPr>
      </w:pPr>
      <w:r>
        <w:rPr>
          <w:b/>
        </w:rPr>
        <w:t>4.3 Aplicación de Análisis Técnico</w:t>
      </w:r>
    </w:p>
    <w:p w:rsidR="002E32FF" w:rsidRDefault="002E32FF">
      <w:pPr>
        <w:pStyle w:val="Textoindependiente2"/>
        <w:tabs>
          <w:tab w:val="clear" w:pos="1060"/>
        </w:tabs>
        <w:rPr>
          <w:rFonts w:eastAsia="Times New Roman"/>
          <w:sz w:val="24"/>
          <w:lang w:val="es-ES"/>
        </w:rPr>
      </w:pPr>
    </w:p>
    <w:p w:rsidR="002E32FF" w:rsidRDefault="002E32FF">
      <w:pPr>
        <w:pStyle w:val="Textoindependiente2"/>
        <w:tabs>
          <w:tab w:val="clear" w:pos="1060"/>
        </w:tabs>
        <w:rPr>
          <w:rFonts w:eastAsia="Times New Roman"/>
          <w:sz w:val="24"/>
          <w:lang w:val="es-ES"/>
        </w:rPr>
      </w:pPr>
      <w:r>
        <w:rPr>
          <w:rFonts w:eastAsia="Times New Roman"/>
          <w:sz w:val="24"/>
          <w:lang w:val="es-ES"/>
        </w:rPr>
        <w:t xml:space="preserve">    Luego de esto se aplicaron las reglas de análisis técnico, estas son: Media Móvil, Longitud variable de </w:t>
      </w:r>
      <w:smartTag w:uri="urn:schemas-microsoft-com:office:smarttags" w:element="PersonName">
        <w:smartTagPr>
          <w:attr w:name="ProductID" w:val="la Media M￳vil"/>
        </w:smartTagPr>
        <w:r>
          <w:rPr>
            <w:rFonts w:eastAsia="Times New Roman"/>
            <w:sz w:val="24"/>
            <w:lang w:val="es-ES"/>
          </w:rPr>
          <w:t>la Media Móvil</w:t>
        </w:r>
      </w:smartTag>
      <w:r>
        <w:rPr>
          <w:rFonts w:eastAsia="Times New Roman"/>
          <w:sz w:val="24"/>
          <w:lang w:val="es-ES"/>
        </w:rPr>
        <w:t>, Trading Range Break-Out; sus definiciones fueron indicadas en el Marco Teórico, para posteriormente aplicar osciladores lo cual va a permitir detectar más fácilmente señales de compra y de venta de los títulos valores en el mercado.</w:t>
      </w:r>
    </w:p>
    <w:p w:rsidR="002E32FF" w:rsidRDefault="002E32FF">
      <w:pPr>
        <w:pStyle w:val="Textoindependiente2"/>
        <w:tabs>
          <w:tab w:val="clear" w:pos="1060"/>
        </w:tabs>
        <w:rPr>
          <w:rFonts w:eastAsia="Times New Roman"/>
          <w:sz w:val="24"/>
          <w:lang w:val="es-ES"/>
        </w:rPr>
      </w:pPr>
    </w:p>
    <w:p w:rsidR="002E32FF" w:rsidRDefault="002E32FF">
      <w:pPr>
        <w:pStyle w:val="Textoindependiente2"/>
        <w:tabs>
          <w:tab w:val="clear" w:pos="1060"/>
        </w:tabs>
        <w:rPr>
          <w:rFonts w:eastAsia="Times New Roman"/>
          <w:sz w:val="24"/>
          <w:lang w:val="es-ES"/>
        </w:rPr>
      </w:pPr>
      <w:r>
        <w:rPr>
          <w:rFonts w:eastAsia="Times New Roman"/>
          <w:sz w:val="24"/>
          <w:lang w:val="es-ES"/>
        </w:rPr>
        <w:t xml:space="preserve">    Por último se llevó a cabo pruebas de filtros aplicando así cuatro diferentes porcentajes que hacen la función de filtros, cabe acotar que cada uno de ellos fue comparado con la estrategia de comprar y mantener la cual consiste en que dado un nivel de riqueza inicial; asumimos que es en efectivo y que la riqueza de los inversionistas sólo se puede dar en dinero o en títulos-valores cotizados en el mercado bursátil, un inversionista obtiene su riqueza en activos a lo largo de su vida dividiendo el efectivo que posee para el precio de cierre inicial, estos serán multiplicados continuamente por el precio de cierre semanal (debido a que en este estudio se trabaja con datos semanales de los índices bursátiles) y así poder calcular la riqueza del inversionista en todo el periodo.</w:t>
      </w:r>
    </w:p>
    <w:p w:rsidR="002E32FF" w:rsidRDefault="002E32FF">
      <w:pPr>
        <w:pStyle w:val="Textoindependiente2"/>
        <w:tabs>
          <w:tab w:val="clear" w:pos="1060"/>
        </w:tabs>
        <w:rPr>
          <w:rFonts w:eastAsia="Times New Roman"/>
          <w:sz w:val="24"/>
          <w:lang w:val="es-ES"/>
        </w:rPr>
      </w:pPr>
    </w:p>
    <w:p w:rsidR="002E32FF" w:rsidRDefault="002E32FF">
      <w:pPr>
        <w:pStyle w:val="Textoindependiente2"/>
        <w:tabs>
          <w:tab w:val="clear" w:pos="1060"/>
        </w:tabs>
        <w:rPr>
          <w:rFonts w:eastAsia="Times New Roman"/>
          <w:sz w:val="24"/>
          <w:lang w:val="es-ES"/>
        </w:rPr>
      </w:pPr>
    </w:p>
    <w:p w:rsidR="002E32FF" w:rsidRDefault="002E32FF">
      <w:pPr>
        <w:pStyle w:val="Subttulo"/>
        <w:spacing w:line="480" w:lineRule="auto"/>
        <w:ind w:left="567" w:hanging="567"/>
        <w:jc w:val="both"/>
        <w:rPr>
          <w:b/>
        </w:rPr>
      </w:pPr>
      <w:r>
        <w:rPr>
          <w:b/>
        </w:rPr>
        <w:t>4.4 Cálculo de rentabilidades a partir de las variaciones de riqueza</w:t>
      </w:r>
    </w:p>
    <w:p w:rsidR="002E32FF" w:rsidRDefault="002E32FF">
      <w:pPr>
        <w:pStyle w:val="Textoindependiente2"/>
        <w:tabs>
          <w:tab w:val="clear" w:pos="1060"/>
        </w:tabs>
        <w:rPr>
          <w:rFonts w:eastAsia="Times New Roman"/>
          <w:sz w:val="24"/>
          <w:lang w:val="es-ES"/>
        </w:rPr>
      </w:pPr>
    </w:p>
    <w:p w:rsidR="002E32FF" w:rsidRDefault="002E32FF">
      <w:pPr>
        <w:spacing w:after="480" w:line="480" w:lineRule="auto"/>
        <w:jc w:val="both"/>
        <w:rPr>
          <w:rFonts w:ascii="Arial" w:hAnsi="Arial"/>
          <w:sz w:val="24"/>
        </w:rPr>
      </w:pPr>
      <w:r>
        <w:rPr>
          <w:rFonts w:ascii="Arial" w:hAnsi="Arial"/>
          <w:sz w:val="24"/>
        </w:rPr>
        <w:t xml:space="preserve">    La comparación de las distintas técnicas se hace en términos de la rentabilidad que generan las estrategias, por lo tanto</w:t>
      </w:r>
      <w:r>
        <w:rPr>
          <w:rFonts w:ascii="Arial" w:hAnsi="Arial"/>
          <w:sz w:val="24"/>
          <w:lang w:val="es-ES_tradnl"/>
        </w:rPr>
        <w:t xml:space="preserve"> se calculó la rentabilidad acumulada que se hubiera obtenido si se hubiese comprado o vendido la acción, siguiendo las recomendaciones de predicción del modelo en evaluación, asumiendo una inversión inicial de US$1000</w:t>
      </w:r>
      <w:r>
        <w:rPr>
          <w:rFonts w:ascii="Arial" w:hAnsi="Arial"/>
          <w:sz w:val="24"/>
        </w:rPr>
        <w:t>, por ejemplo, si el modelo predice que la acción va a subir, entonces se recomienda comprar.  Por el contrario, si se predice una baja del precio, se recomienda vender la acción.  Se asume que no se puede comprar más de lo que permiten</w:t>
      </w:r>
      <w:r>
        <w:rPr>
          <w:rStyle w:val="Refdenotaalpie"/>
          <w:rFonts w:ascii="Arial" w:hAnsi="Arial"/>
          <w:sz w:val="24"/>
        </w:rPr>
        <w:footnoteReference w:id="3"/>
      </w:r>
      <w:r>
        <w:rPr>
          <w:rFonts w:ascii="Arial" w:hAnsi="Arial"/>
          <w:sz w:val="24"/>
        </w:rPr>
        <w:t xml:space="preserve"> los fondos disponibles en efectivo, y no se pueden vender más</w:t>
      </w:r>
      <w:r>
        <w:rPr>
          <w:rStyle w:val="Refdenotaalpie"/>
          <w:rFonts w:ascii="Arial" w:hAnsi="Arial"/>
          <w:sz w:val="24"/>
        </w:rPr>
        <w:footnoteReference w:id="4"/>
      </w:r>
      <w:r>
        <w:rPr>
          <w:rFonts w:ascii="Arial" w:hAnsi="Arial"/>
          <w:sz w:val="24"/>
        </w:rPr>
        <w:t xml:space="preserve"> acciones de las que se poseen.  La rentabilidad acumulada estará determinada por la riqueza al final del periodo de predicción, con relación a los US$1000 iniciales.  El periodo semanal tomado en consideración va desde el 9 de septiembre del 2001 hasta el 26 de noviembre del 2006.</w:t>
      </w:r>
    </w:p>
    <w:p w:rsidR="002E32FF" w:rsidRDefault="002E32FF">
      <w:pPr>
        <w:pStyle w:val="Textoindependiente2"/>
        <w:tabs>
          <w:tab w:val="clear" w:pos="1060"/>
        </w:tabs>
        <w:rPr>
          <w:rFonts w:eastAsia="Times New Roman"/>
          <w:lang w:val="es-ES"/>
        </w:rPr>
      </w:pPr>
    </w:p>
    <w:p w:rsidR="002E32FF" w:rsidRDefault="002E32FF">
      <w:pPr>
        <w:pStyle w:val="Textoindependiente2"/>
        <w:tabs>
          <w:tab w:val="clear" w:pos="1060"/>
        </w:tabs>
        <w:rPr>
          <w:rFonts w:eastAsia="Times New Roman"/>
          <w:lang w:val="es-ES"/>
        </w:rPr>
      </w:pPr>
    </w:p>
    <w:p w:rsidR="002E32FF" w:rsidRDefault="002E32FF">
      <w:pPr>
        <w:pStyle w:val="Textoindependiente2"/>
        <w:tabs>
          <w:tab w:val="clear" w:pos="1060"/>
        </w:tabs>
        <w:rPr>
          <w:b/>
          <w:sz w:val="32"/>
          <w:lang w:val="es-EC"/>
        </w:rPr>
        <w:sectPr w:rsidR="002E32FF">
          <w:footerReference w:type="default" r:id="rId31"/>
          <w:type w:val="continuous"/>
          <w:pgSz w:w="11907" w:h="16840" w:code="9"/>
          <w:pgMar w:top="2268" w:right="1418" w:bottom="1701" w:left="2268" w:header="720" w:footer="720" w:gutter="0"/>
          <w:cols w:space="720"/>
        </w:sectPr>
      </w:pPr>
      <w:r>
        <w:t xml:space="preserve">  </w:t>
      </w:r>
    </w:p>
    <w:p w:rsidR="002E32FF" w:rsidRDefault="002E32FF">
      <w:pPr>
        <w:tabs>
          <w:tab w:val="left" w:pos="360"/>
        </w:tabs>
        <w:spacing w:line="480" w:lineRule="auto"/>
        <w:rPr>
          <w:rFonts w:ascii="Arial" w:eastAsia="Arial Unicode MS" w:hAnsi="Arial"/>
          <w:b/>
          <w:sz w:val="32"/>
          <w:lang w:val="es-EC"/>
        </w:rPr>
        <w:sectPr w:rsidR="002E32FF">
          <w:type w:val="continuous"/>
          <w:pgSz w:w="11907" w:h="16840" w:code="9"/>
          <w:pgMar w:top="2268" w:right="1418" w:bottom="1701" w:left="2268" w:header="720" w:footer="720" w:gutter="0"/>
          <w:cols w:space="720"/>
        </w:sectPr>
      </w:pPr>
    </w:p>
    <w:p w:rsidR="002E32FF" w:rsidRDefault="002E32FF">
      <w:pPr>
        <w:tabs>
          <w:tab w:val="left" w:pos="360"/>
        </w:tabs>
        <w:spacing w:line="480" w:lineRule="auto"/>
        <w:rPr>
          <w:rFonts w:ascii="Arial" w:eastAsia="Arial Unicode MS" w:hAnsi="Arial"/>
          <w:b/>
          <w:sz w:val="32"/>
          <w:lang w:val="es-EC"/>
        </w:rPr>
      </w:pPr>
    </w:p>
    <w:p w:rsidR="002E32FF" w:rsidRDefault="002E32FF">
      <w:pPr>
        <w:tabs>
          <w:tab w:val="left" w:pos="360"/>
        </w:tabs>
        <w:spacing w:line="480" w:lineRule="auto"/>
        <w:jc w:val="center"/>
        <w:rPr>
          <w:rFonts w:ascii="Arial" w:eastAsia="Arial Unicode MS" w:hAnsi="Arial"/>
          <w:b/>
          <w:sz w:val="32"/>
          <w:lang w:val="es-EC"/>
        </w:rPr>
      </w:pPr>
      <w:r>
        <w:rPr>
          <w:rFonts w:ascii="Arial" w:eastAsia="Arial Unicode MS" w:hAnsi="Arial"/>
          <w:b/>
          <w:sz w:val="32"/>
          <w:lang w:val="es-EC"/>
        </w:rPr>
        <w:t>CAPÍTULO V</w:t>
      </w:r>
    </w:p>
    <w:p w:rsidR="002E32FF" w:rsidRDefault="002E32FF">
      <w:pPr>
        <w:tabs>
          <w:tab w:val="left" w:pos="360"/>
        </w:tabs>
        <w:spacing w:line="480" w:lineRule="auto"/>
        <w:jc w:val="center"/>
        <w:rPr>
          <w:rFonts w:ascii="Arial" w:eastAsia="Arial Unicode MS" w:hAnsi="Arial"/>
          <w:b/>
          <w:sz w:val="32"/>
          <w:lang w:val="es-EC"/>
        </w:rPr>
      </w:pPr>
      <w:r>
        <w:rPr>
          <w:rFonts w:ascii="Arial" w:eastAsia="Arial Unicode MS" w:hAnsi="Arial"/>
          <w:b/>
          <w:sz w:val="32"/>
          <w:lang w:val="es-EC"/>
        </w:rPr>
        <w:t>RESULTADOS</w:t>
      </w: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rPr>
          <w:rFonts w:ascii="Arial" w:hAnsi="Arial"/>
          <w:b/>
          <w:sz w:val="32"/>
          <w:lang w:val="es-ES_tradnl"/>
        </w:rPr>
      </w:pPr>
      <w:r>
        <w:rPr>
          <w:rFonts w:ascii="Arial" w:hAnsi="Arial"/>
          <w:b/>
          <w:sz w:val="28"/>
          <w:lang w:val="es-ES_tradnl"/>
        </w:rPr>
        <w:t xml:space="preserve">5.1 </w:t>
      </w:r>
      <w:r>
        <w:rPr>
          <w:rFonts w:ascii="Arial" w:hAnsi="Arial"/>
          <w:b/>
          <w:sz w:val="32"/>
          <w:lang w:val="es-ES_tradnl"/>
        </w:rPr>
        <w:t xml:space="preserve">Test de Corridas </w:t>
      </w:r>
    </w:p>
    <w:p w:rsidR="002E32FF" w:rsidRDefault="002E32FF">
      <w:pPr>
        <w:jc w:val="both"/>
        <w:rPr>
          <w:rFonts w:ascii="Arial" w:hAnsi="Arial"/>
          <w:b/>
          <w:sz w:val="32"/>
          <w:lang w:val="es-ES_tradnl"/>
        </w:rPr>
      </w:pPr>
    </w:p>
    <w:p w:rsidR="002E32FF" w:rsidRDefault="002E32FF">
      <w:pPr>
        <w:jc w:val="both"/>
        <w:rPr>
          <w:rFonts w:ascii="Arial" w:hAnsi="Arial"/>
          <w:b/>
          <w:sz w:val="32"/>
          <w:lang w:val="es-ES_tradnl"/>
        </w:rPr>
      </w:pPr>
    </w:p>
    <w:p w:rsidR="002E32FF" w:rsidRDefault="002E32FF">
      <w:pPr>
        <w:pStyle w:val="Textoindependiente2"/>
        <w:tabs>
          <w:tab w:val="clear" w:pos="1060"/>
        </w:tabs>
        <w:rPr>
          <w:rFonts w:eastAsia="Times New Roman"/>
          <w:sz w:val="24"/>
        </w:rPr>
        <w:sectPr w:rsidR="002E32FF">
          <w:footerReference w:type="default" r:id="rId32"/>
          <w:type w:val="continuous"/>
          <w:pgSz w:w="11907" w:h="16840" w:code="9"/>
          <w:pgMar w:top="2268" w:right="1418" w:bottom="1701" w:left="2268" w:header="720" w:footer="720" w:gutter="0"/>
          <w:cols w:space="720"/>
        </w:sectPr>
      </w:pPr>
      <w:r>
        <w:rPr>
          <w:rFonts w:eastAsia="Times New Roman"/>
        </w:rPr>
        <w:t xml:space="preserve">    </w:t>
      </w:r>
      <w:r>
        <w:rPr>
          <w:rFonts w:eastAsia="Times New Roman"/>
          <w:sz w:val="24"/>
        </w:rPr>
        <w:t>Trabajamos con los retornos de los índices, una vez que hemos calculado estos procederemos ha ver cual de ellos es mayor e igual que cero, asignándole el número uno; y menor a cero, determinándolo con el número cero, dándonos como resultado una columna de ceros y unos. Ahora si procedemos a determinar las corridas; cada vez que exista un cambio es decir que la casilla posterior a un uno sea cero o viceversa se asignará a ese cambio el número uno, esa regla se aplicará a toda la columna revelando así algunos unos que posteriormente serán sumados, a esa cantidad se la denomina el número total de corridas, obtenemos la media y desviación estándar de las corridas que nos servirá para calcular nuestro valor de Z que junto con el Z crítico tomando un nivel de significancia del 1%, 5% y 10%, nos revelará si se rechaza o no la hipótesis</w:t>
      </w:r>
    </w:p>
    <w:p w:rsidR="002E32FF" w:rsidRDefault="002E32FF">
      <w:pPr>
        <w:pStyle w:val="Textoindependiente2"/>
        <w:tabs>
          <w:tab w:val="clear" w:pos="1060"/>
        </w:tabs>
        <w:rPr>
          <w:rFonts w:eastAsia="Times New Roman"/>
          <w:b/>
          <w:sz w:val="24"/>
        </w:rPr>
      </w:pPr>
      <w:r>
        <w:rPr>
          <w:rFonts w:eastAsia="Times New Roman"/>
          <w:sz w:val="24"/>
        </w:rPr>
        <w:t xml:space="preserve"> nula: Los precios fluctúan aleatoriamente, siendo la hipótesis alternativa lo contrario.</w:t>
      </w:r>
    </w:p>
    <w:p w:rsidR="002E32FF" w:rsidRDefault="002E32FF">
      <w:pPr>
        <w:tabs>
          <w:tab w:val="left" w:pos="360"/>
        </w:tabs>
        <w:jc w:val="both"/>
        <w:rPr>
          <w:rFonts w:ascii="Arial" w:eastAsia="Arial Unicode MS" w:hAnsi="Arial"/>
          <w:b/>
          <w:sz w:val="24"/>
          <w:lang w:val="es-EC"/>
        </w:rPr>
      </w:pPr>
    </w:p>
    <w:p w:rsidR="002E32FF" w:rsidRDefault="002E32FF">
      <w:pPr>
        <w:tabs>
          <w:tab w:val="left" w:pos="360"/>
        </w:tabs>
        <w:jc w:val="both"/>
        <w:rPr>
          <w:rFonts w:ascii="Arial" w:eastAsia="Arial Unicode MS" w:hAnsi="Arial"/>
          <w:b/>
          <w:sz w:val="24"/>
          <w:lang w:val="es-EC"/>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spacing w:line="480" w:lineRule="auto"/>
        <w:jc w:val="both"/>
        <w:rPr>
          <w:rFonts w:ascii="Arial" w:hAnsi="Arial"/>
          <w:b/>
          <w:sz w:val="28"/>
          <w:lang w:val="es-ES_tradnl"/>
        </w:rPr>
      </w:pPr>
      <w:r>
        <w:rPr>
          <w:rFonts w:ascii="Arial" w:hAnsi="Arial"/>
          <w:b/>
          <w:sz w:val="28"/>
          <w:lang w:val="es-ES_tradnl"/>
        </w:rPr>
        <w:t>5.1.1 Aplicación y análisis del Test de Corridas en el índice ECUINDEX</w:t>
      </w:r>
    </w:p>
    <w:p w:rsidR="002E32FF" w:rsidRDefault="002E32FF">
      <w:pPr>
        <w:spacing w:line="480" w:lineRule="auto"/>
        <w:jc w:val="both"/>
        <w:rPr>
          <w:rFonts w:ascii="Arial" w:hAnsi="Arial"/>
          <w:b/>
          <w:sz w:val="28"/>
          <w:lang w:val="es-ES_tradnl"/>
        </w:rPr>
      </w:pPr>
    </w:p>
    <w:p w:rsidR="002E32FF" w:rsidRDefault="002E32FF">
      <w:pPr>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Tal como lo indicamos en el apartado anterior, realizamos todos los pasos con los datos del índice ECUINDEX y nos arrojó un valor de Z = -1,08, tomando en consideración un nivel de significancia del 5%, el Z crítico para ese nivel es igual a  -1,645, como nos damos cuenta la hipótesis nula no se rechaza por lo tanto se puede decir que el ECUINDEX fluctúa aleatoriamente.</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Realizamos este mismo proceso con un nivel de significancia del 1%, 10% en ambos no se rechaza la hipótesis nula reafirmando lo indicado.</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b/>
          <w:sz w:val="28"/>
          <w:lang w:val="es-ES_tradnl"/>
        </w:rPr>
      </w:pPr>
      <w:r>
        <w:rPr>
          <w:rFonts w:ascii="Arial" w:hAnsi="Arial"/>
          <w:b/>
          <w:sz w:val="28"/>
          <w:lang w:val="es-ES_tradnl"/>
        </w:rPr>
        <w:t>5.1.2 Aplicación y análisis del Test de Corridas en el índice IPECU</w:t>
      </w:r>
    </w:p>
    <w:p w:rsidR="002E32FF" w:rsidRDefault="002E32FF">
      <w:pPr>
        <w:spacing w:line="480" w:lineRule="auto"/>
        <w:jc w:val="both"/>
        <w:rPr>
          <w:rFonts w:ascii="Arial" w:hAnsi="Arial"/>
          <w:b/>
          <w:sz w:val="28"/>
          <w:lang w:val="es-ES_tradnl"/>
        </w:rPr>
      </w:pPr>
    </w:p>
    <w:p w:rsidR="002E32FF" w:rsidRDefault="002E32FF">
      <w:pPr>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El mismo procedimiento a seguir mencionado anteriormente se aplica para el IPECU con sus respectivos datos, los resultados fueron los siguientes tomando un nivel de significancia del 5%; el Z crítico es igual a -1,645 y el Z que arrojó el test es de -2,14, por lo tanto se rechaza la hipótesis nula indicando así que el IPECU no fluctúa en forma aleatoria.</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Se realizó este procedimiento con un nivel de significancia del 1%, 10%, mostrando así para el primer caso el no rechazo de la hipótesis nula y para el segundo el rechazo de la misma respectivamente.</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8"/>
          <w:lang w:val="es-ES_tradnl"/>
        </w:rPr>
      </w:pPr>
    </w:p>
    <w:p w:rsidR="002E32FF" w:rsidRDefault="002E32FF">
      <w:pPr>
        <w:spacing w:line="480" w:lineRule="auto"/>
        <w:jc w:val="both"/>
        <w:rPr>
          <w:rFonts w:ascii="Arial" w:hAnsi="Arial"/>
          <w:b/>
          <w:sz w:val="28"/>
          <w:lang w:val="es-ES_tradnl"/>
        </w:rPr>
      </w:pPr>
      <w:r>
        <w:rPr>
          <w:rFonts w:ascii="Arial" w:hAnsi="Arial"/>
          <w:b/>
          <w:sz w:val="28"/>
          <w:lang w:val="es-ES_tradnl"/>
        </w:rPr>
        <w:t>5.1.3 Aplicación y análisis del Test de Corridas en el índice IRECU</w:t>
      </w:r>
    </w:p>
    <w:p w:rsidR="002E32FF" w:rsidRDefault="002E32FF">
      <w:pPr>
        <w:spacing w:line="480" w:lineRule="auto"/>
        <w:jc w:val="both"/>
        <w:rPr>
          <w:rFonts w:ascii="Arial" w:hAnsi="Arial"/>
          <w:b/>
          <w:sz w:val="28"/>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Al igual que en el IPECU, el índice IRECU reveló los mismos resultados que este tomando en cuenta un nivel de significancia del 5% y dado el Z crítico igual a -1,645, el valor de Z fue de -2,37, rechazando así la hipótesis nula, para de esta manera dar a conocer que los precios no fluctúan aleatoriamente.</w:t>
      </w:r>
    </w:p>
    <w:p w:rsidR="002E32FF" w:rsidRDefault="002E32FF">
      <w:pPr>
        <w:spacing w:line="480" w:lineRule="auto"/>
        <w:jc w:val="both"/>
        <w:rPr>
          <w:rFonts w:ascii="Arial" w:hAnsi="Arial"/>
          <w:sz w:val="24"/>
          <w:lang w:val="es-ES_tradnl"/>
        </w:rPr>
      </w:pPr>
      <w:r>
        <w:rPr>
          <w:rFonts w:ascii="Arial" w:hAnsi="Arial"/>
          <w:sz w:val="24"/>
          <w:lang w:val="es-ES_tradnl"/>
        </w:rPr>
        <w:t xml:space="preserve">    Al trabajar con los niveles de significancia del 1% y 10% se confirma lo antes expuesto es decir se rechaza la hipótesis nula.</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numPr>
          <w:ilvl w:val="1"/>
          <w:numId w:val="14"/>
        </w:numPr>
        <w:spacing w:line="480" w:lineRule="auto"/>
        <w:jc w:val="both"/>
        <w:rPr>
          <w:rFonts w:ascii="Arial" w:hAnsi="Arial"/>
          <w:b/>
          <w:sz w:val="28"/>
          <w:lang w:val="es-ES_tradnl"/>
        </w:rPr>
      </w:pPr>
      <w:r>
        <w:rPr>
          <w:rFonts w:ascii="Arial" w:hAnsi="Arial"/>
          <w:b/>
          <w:sz w:val="28"/>
          <w:lang w:val="es-ES_tradnl"/>
        </w:rPr>
        <w:t>Correlograma Serial</w:t>
      </w:r>
    </w:p>
    <w:p w:rsidR="002E32FF" w:rsidRDefault="002E32FF">
      <w:pPr>
        <w:spacing w:line="480" w:lineRule="auto"/>
        <w:jc w:val="both"/>
        <w:rPr>
          <w:rFonts w:ascii="Arial" w:hAnsi="Arial"/>
          <w:b/>
          <w:sz w:val="24"/>
          <w:lang w:val="es-ES_tradnl"/>
        </w:rPr>
      </w:pPr>
    </w:p>
    <w:p w:rsidR="002E32FF" w:rsidRDefault="002E32FF">
      <w:pPr>
        <w:spacing w:line="480" w:lineRule="auto"/>
        <w:jc w:val="both"/>
        <w:rPr>
          <w:rFonts w:ascii="Arial" w:hAnsi="Arial"/>
          <w:sz w:val="24"/>
          <w:lang w:val="es-ES_tradnl"/>
        </w:rPr>
      </w:pPr>
      <w:r>
        <w:rPr>
          <w:rFonts w:ascii="Arial" w:hAnsi="Arial"/>
          <w:sz w:val="28"/>
          <w:lang w:val="es-ES_tradnl"/>
        </w:rPr>
        <w:t xml:space="preserve">    </w:t>
      </w:r>
      <w:r>
        <w:rPr>
          <w:rFonts w:ascii="Arial" w:hAnsi="Arial"/>
          <w:sz w:val="24"/>
          <w:lang w:val="es-ES_tradnl"/>
        </w:rPr>
        <w:t>A continuación mostraremos el correlograma de cada uno de los índices para así poder analizar su comportamiento, comenzaremos con el ECUINDEX, IPECU e IRECU respectivamente.</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Las tablas 5.1, 5.2 y 5.3 correspondientes a los correlogramas de los índices: ECUINDEX, IPECU e IRECU  respectivamente, muestran la correlación simple y parcial así como el test Q y la probabilidad asignada al mismo. </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r>
        <w:rPr>
          <w:rFonts w:ascii="Arial" w:hAnsi="Arial"/>
          <w:sz w:val="24"/>
          <w:lang w:val="es-ES_tradnl"/>
        </w:rPr>
        <w:t xml:space="preserve">    Como podemos ver en las tres tablas la hipótesis nula del test Q no se rechaza, por lo tanto no hay correlación entre las variables que explican el comportamiento de los índices, así como también que datos pasados de los mismos no explican movimientos futuros. Esto demuestra que el mercado es eficiente en forma débil.</w:t>
      </w: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spacing w:line="480" w:lineRule="auto"/>
        <w:jc w:val="both"/>
        <w:rPr>
          <w:rFonts w:ascii="Arial" w:hAnsi="Arial"/>
          <w:sz w:val="24"/>
          <w:lang w:val="es-ES_tradnl"/>
        </w:rPr>
      </w:pPr>
    </w:p>
    <w:p w:rsidR="002E32FF" w:rsidRDefault="002E32FF">
      <w:pPr>
        <w:pStyle w:val="Epgrafe"/>
        <w:spacing w:before="0" w:after="0"/>
        <w:rPr>
          <w:lang w:val="es-ES"/>
        </w:rPr>
      </w:pPr>
      <w:r>
        <w:t>Tabla n. 5.1 Correlograma del índice ECUINDEX</w:t>
      </w:r>
    </w:p>
    <w:p w:rsidR="002E32FF" w:rsidRDefault="002E32FF">
      <w:pPr>
        <w:jc w:val="both"/>
      </w:pPr>
    </w:p>
    <w:p w:rsidR="002E32FF" w:rsidRDefault="005D7CF4">
      <w:pPr>
        <w:spacing w:line="480" w:lineRule="auto"/>
        <w:jc w:val="both"/>
        <w:rPr>
          <w:b/>
        </w:rPr>
      </w:pPr>
      <w:r>
        <w:rPr>
          <w:noProof/>
          <w:lang w:eastAsia="es-ES"/>
        </w:rPr>
        <w:drawing>
          <wp:inline distT="0" distB="0" distL="0" distR="0">
            <wp:extent cx="5016500" cy="29972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016500" cy="2997200"/>
                    </a:xfrm>
                    <a:prstGeom prst="rect">
                      <a:avLst/>
                    </a:prstGeom>
                    <a:noFill/>
                    <a:ln w="9525">
                      <a:noFill/>
                      <a:miter lim="800000"/>
                      <a:headEnd/>
                      <a:tailEnd/>
                    </a:ln>
                  </pic:spPr>
                </pic:pic>
              </a:graphicData>
            </a:graphic>
          </wp:inline>
        </w:drawing>
      </w:r>
      <w:r w:rsidR="002E32FF">
        <w:t xml:space="preserve"> </w:t>
      </w:r>
      <w:r w:rsidR="002E32FF">
        <w:rPr>
          <w:b/>
        </w:rPr>
        <w:t>Elaborado por: Autora de la tesis</w:t>
      </w:r>
    </w:p>
    <w:p w:rsidR="002E32FF" w:rsidRDefault="002E32FF">
      <w:pPr>
        <w:spacing w:line="480" w:lineRule="auto"/>
        <w:jc w:val="both"/>
        <w:rPr>
          <w:rFonts w:ascii="Arial" w:hAnsi="Arial"/>
          <w:sz w:val="28"/>
          <w:lang w:val="es-ES_tradnl"/>
        </w:rPr>
      </w:pPr>
    </w:p>
    <w:p w:rsidR="002E32FF" w:rsidRDefault="002E32FF">
      <w:pPr>
        <w:jc w:val="center"/>
        <w:rPr>
          <w:rFonts w:ascii="Arial" w:hAnsi="Arial"/>
          <w:b/>
          <w:i/>
          <w:sz w:val="28"/>
        </w:rPr>
      </w:pPr>
      <w:r>
        <w:rPr>
          <w:rFonts w:ascii="Arial" w:hAnsi="Arial"/>
          <w:b/>
          <w:i/>
          <w:sz w:val="28"/>
        </w:rPr>
        <w:t>Tabla n. 5.2 Correlograma del índice IPECU</w:t>
      </w:r>
    </w:p>
    <w:p w:rsidR="002E32FF" w:rsidRDefault="002E32FF">
      <w:pPr>
        <w:jc w:val="both"/>
      </w:pPr>
    </w:p>
    <w:p w:rsidR="002E32FF" w:rsidRDefault="002E32FF">
      <w:pPr>
        <w:jc w:val="both"/>
      </w:pPr>
    </w:p>
    <w:p w:rsidR="002E32FF" w:rsidRDefault="005D7CF4">
      <w:pPr>
        <w:jc w:val="both"/>
      </w:pPr>
      <w:r>
        <w:rPr>
          <w:noProof/>
          <w:lang w:eastAsia="es-ES"/>
        </w:rPr>
        <w:drawing>
          <wp:inline distT="0" distB="0" distL="0" distR="0">
            <wp:extent cx="5257800" cy="32131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257800" cy="3213100"/>
                    </a:xfrm>
                    <a:prstGeom prst="rect">
                      <a:avLst/>
                    </a:prstGeom>
                    <a:noFill/>
                    <a:ln w="9525">
                      <a:noFill/>
                      <a:miter lim="800000"/>
                      <a:headEnd/>
                      <a:tailEnd/>
                    </a:ln>
                  </pic:spPr>
                </pic:pic>
              </a:graphicData>
            </a:graphic>
          </wp:inline>
        </w:drawing>
      </w:r>
    </w:p>
    <w:p w:rsidR="002E32FF" w:rsidRDefault="002E32FF">
      <w:pPr>
        <w:jc w:val="both"/>
      </w:pPr>
      <w:r>
        <w:rPr>
          <w:b/>
        </w:rPr>
        <w:t>Elaborado por: Autora de la tesis</w:t>
      </w:r>
    </w:p>
    <w:p w:rsidR="002E32FF" w:rsidRDefault="002E32FF">
      <w:pPr>
        <w:spacing w:line="480" w:lineRule="auto"/>
        <w:jc w:val="center"/>
        <w:rPr>
          <w:rFonts w:ascii="Arial" w:hAnsi="Arial"/>
          <w:sz w:val="28"/>
          <w:lang w:val="es-ES_tradnl"/>
        </w:rPr>
      </w:pPr>
      <w:r>
        <w:rPr>
          <w:rFonts w:ascii="Arial" w:hAnsi="Arial"/>
          <w:b/>
          <w:i/>
          <w:sz w:val="28"/>
        </w:rPr>
        <w:t>Tabla n. 5.3 Correlograma del índice IRECU</w:t>
      </w:r>
    </w:p>
    <w:p w:rsidR="002E32FF" w:rsidRDefault="005D7CF4">
      <w:pPr>
        <w:spacing w:line="480" w:lineRule="auto"/>
        <w:jc w:val="both"/>
      </w:pPr>
      <w:r>
        <w:rPr>
          <w:noProof/>
          <w:lang w:eastAsia="es-ES"/>
        </w:rPr>
        <w:drawing>
          <wp:inline distT="0" distB="0" distL="0" distR="0">
            <wp:extent cx="5321300" cy="32131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5321300" cy="3213100"/>
                    </a:xfrm>
                    <a:prstGeom prst="rect">
                      <a:avLst/>
                    </a:prstGeom>
                    <a:noFill/>
                    <a:ln w="9525">
                      <a:noFill/>
                      <a:miter lim="800000"/>
                      <a:headEnd/>
                      <a:tailEnd/>
                    </a:ln>
                  </pic:spPr>
                </pic:pic>
              </a:graphicData>
            </a:graphic>
          </wp:inline>
        </w:drawing>
      </w:r>
      <w:r w:rsidR="002E32FF">
        <w:rPr>
          <w:b/>
        </w:rPr>
        <w:t>Elaborado por: Autora de la tesis</w:t>
      </w:r>
    </w:p>
    <w:p w:rsidR="002E32FF" w:rsidRDefault="002E32FF">
      <w:pPr>
        <w:tabs>
          <w:tab w:val="left" w:pos="360"/>
        </w:tabs>
        <w:jc w:val="both"/>
        <w:rPr>
          <w:rFonts w:ascii="Arial" w:hAnsi="Arial"/>
          <w:b/>
          <w:sz w:val="28"/>
          <w:lang w:val="es-ES_tradnl"/>
        </w:rPr>
      </w:pPr>
    </w:p>
    <w:p w:rsidR="002E32FF" w:rsidRDefault="002E32FF">
      <w:pPr>
        <w:tabs>
          <w:tab w:val="left" w:pos="360"/>
        </w:tabs>
        <w:jc w:val="both"/>
        <w:rPr>
          <w:rFonts w:ascii="Arial" w:hAnsi="Arial"/>
          <w:b/>
          <w:sz w:val="28"/>
          <w:lang w:val="es-ES_tradnl"/>
        </w:rPr>
      </w:pPr>
    </w:p>
    <w:p w:rsidR="002E32FF" w:rsidRDefault="002E32FF">
      <w:pPr>
        <w:tabs>
          <w:tab w:val="left" w:pos="360"/>
        </w:tabs>
        <w:jc w:val="both"/>
        <w:rPr>
          <w:rFonts w:ascii="Arial" w:hAnsi="Arial"/>
          <w:b/>
          <w:sz w:val="28"/>
          <w:lang w:val="es-ES_tradnl"/>
        </w:rPr>
      </w:pPr>
    </w:p>
    <w:p w:rsidR="002E32FF" w:rsidRDefault="002E32FF">
      <w:pPr>
        <w:tabs>
          <w:tab w:val="left" w:pos="360"/>
        </w:tabs>
        <w:jc w:val="both"/>
        <w:rPr>
          <w:rFonts w:ascii="Arial" w:hAnsi="Arial"/>
          <w:b/>
          <w:sz w:val="28"/>
          <w:lang w:val="es-ES_tradnl"/>
        </w:rPr>
      </w:pPr>
    </w:p>
    <w:p w:rsidR="002E32FF" w:rsidRDefault="002E32FF">
      <w:pPr>
        <w:tabs>
          <w:tab w:val="left" w:pos="360"/>
        </w:tabs>
        <w:jc w:val="both"/>
        <w:rPr>
          <w:rFonts w:ascii="Arial" w:hAnsi="Arial"/>
          <w:b/>
          <w:sz w:val="28"/>
          <w:lang w:val="es-ES_tradnl"/>
        </w:rPr>
      </w:pPr>
      <w:r>
        <w:rPr>
          <w:rFonts w:ascii="Arial" w:hAnsi="Arial"/>
          <w:b/>
          <w:sz w:val="28"/>
          <w:lang w:val="es-ES_tradnl"/>
        </w:rPr>
        <w:t>5.3 Resultados del Análisis Técnico</w:t>
      </w:r>
    </w:p>
    <w:p w:rsidR="002E32FF" w:rsidRDefault="002E32FF">
      <w:pPr>
        <w:tabs>
          <w:tab w:val="left" w:pos="360"/>
        </w:tabs>
        <w:jc w:val="both"/>
        <w:rPr>
          <w:rFonts w:ascii="Arial" w:hAnsi="Arial"/>
          <w:sz w:val="28"/>
          <w:lang w:val="es-ES_tradnl"/>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p>
    <w:p w:rsidR="002E32FF" w:rsidRDefault="002E32FF">
      <w:pPr>
        <w:tabs>
          <w:tab w:val="left" w:pos="360"/>
        </w:tabs>
        <w:jc w:val="both"/>
        <w:rPr>
          <w:rFonts w:ascii="Arial" w:eastAsia="Arial Unicode MS" w:hAnsi="Arial"/>
          <w:b/>
          <w:sz w:val="28"/>
          <w:lang w:val="es-EC"/>
        </w:rPr>
      </w:pPr>
      <w:r>
        <w:rPr>
          <w:rFonts w:ascii="Arial" w:eastAsia="Arial Unicode MS" w:hAnsi="Arial"/>
          <w:b/>
          <w:sz w:val="28"/>
          <w:lang w:val="es-EC"/>
        </w:rPr>
        <w:t>5.3.1 Aplicación y análisis (media móvil)</w:t>
      </w:r>
    </w:p>
    <w:p w:rsidR="002E32FF" w:rsidRDefault="002E32FF">
      <w:pPr>
        <w:tabs>
          <w:tab w:val="left" w:pos="360"/>
        </w:tabs>
        <w:jc w:val="both"/>
        <w:rPr>
          <w:rFonts w:ascii="Arial" w:hAnsi="Arial"/>
          <w:b/>
          <w:sz w:val="28"/>
          <w:lang w:val="es-EC"/>
        </w:rPr>
      </w:pPr>
    </w:p>
    <w:p w:rsidR="002E32FF" w:rsidRDefault="002E32FF">
      <w:pPr>
        <w:jc w:val="both"/>
        <w:rPr>
          <w:rFonts w:ascii="Arial" w:hAnsi="Arial"/>
          <w:sz w:val="28"/>
          <w:lang w:val="es-EC"/>
        </w:rPr>
      </w:pPr>
    </w:p>
    <w:p w:rsidR="002E32FF" w:rsidRDefault="002E32FF">
      <w:pPr>
        <w:spacing w:line="480" w:lineRule="auto"/>
        <w:jc w:val="both"/>
        <w:rPr>
          <w:rFonts w:ascii="Verdana" w:hAnsi="Verdana"/>
          <w:color w:val="000080"/>
          <w:sz w:val="24"/>
          <w:lang w:val="es-ES_tradnl"/>
        </w:rPr>
      </w:pPr>
      <w:r>
        <w:rPr>
          <w:rFonts w:ascii="Arial" w:hAnsi="Arial"/>
          <w:sz w:val="28"/>
          <w:lang w:val="es-EC"/>
        </w:rPr>
        <w:t xml:space="preserve">    </w:t>
      </w:r>
      <w:r>
        <w:rPr>
          <w:rFonts w:ascii="Arial" w:hAnsi="Arial"/>
          <w:sz w:val="24"/>
          <w:lang w:val="es-EC"/>
        </w:rPr>
        <w:t xml:space="preserve">Para proceder a la aplicación de la media móvil, sobre los datos de los índices bursátiles ecuatorianos, conviene primero explicar su cálculo, </w:t>
      </w:r>
      <w:r>
        <w:rPr>
          <w:rFonts w:ascii="Arial" w:hAnsi="Arial"/>
          <w:sz w:val="24"/>
          <w:lang w:val="es-ES_tradnl"/>
        </w:rPr>
        <w:t>es un promedio sobre un conjunto de valores, en este caso serán los datos semanales de los índices bursátiles ecuatorianos (ECUINDEX, IPECU, IRECU) con la particularidad de que su cómputo se efectúa sobre un número concreto de datos que marcan el periodo, el cual será de 50 datos. A medida que se incorpora un nuevo dato, desaparece el primero para mantener siempre este periodo de cálculo</w:t>
      </w:r>
      <w:r>
        <w:rPr>
          <w:rFonts w:ascii="Verdana" w:hAnsi="Verdana"/>
          <w:sz w:val="24"/>
          <w:lang w:val="es-ES_tradnl"/>
        </w:rPr>
        <w:t>.</w:t>
      </w:r>
    </w:p>
    <w:p w:rsidR="002E32FF" w:rsidRDefault="002E32FF">
      <w:pPr>
        <w:jc w:val="both"/>
        <w:rPr>
          <w:rFonts w:ascii="Arial" w:hAnsi="Arial"/>
          <w:sz w:val="24"/>
          <w:lang w:val="es-EC"/>
        </w:rPr>
      </w:pPr>
    </w:p>
    <w:p w:rsidR="002E32FF" w:rsidRDefault="002E32FF">
      <w:pPr>
        <w:tabs>
          <w:tab w:val="left" w:pos="1240"/>
        </w:tabs>
        <w:spacing w:line="480" w:lineRule="auto"/>
        <w:jc w:val="both"/>
        <w:rPr>
          <w:rFonts w:ascii="Arial" w:hAnsi="Arial"/>
          <w:sz w:val="24"/>
          <w:lang w:val="es-EC"/>
        </w:rPr>
      </w:pPr>
      <w:r>
        <w:rPr>
          <w:rFonts w:ascii="Arial" w:hAnsi="Arial"/>
          <w:sz w:val="24"/>
          <w:lang w:val="es-EC"/>
        </w:rPr>
        <w:t xml:space="preserve">    Procederemos a obtener la media móvil de los índices bursátiles ECUINDEX, IPECU e IRECU, para luego poder graficarlo. En el anexo1, anexo2 y anexo3 encontraremos los datos semanales de los índices bursátiles y de sus medias móviles respectivamente a partir de noviembre del 2001 hasta noviembre del 2006.</w:t>
      </w:r>
    </w:p>
    <w:p w:rsidR="002E32FF" w:rsidRDefault="002E32FF">
      <w:pPr>
        <w:tabs>
          <w:tab w:val="left" w:pos="1240"/>
        </w:tabs>
        <w:spacing w:line="480" w:lineRule="auto"/>
        <w:jc w:val="both"/>
        <w:rPr>
          <w:rFonts w:ascii="Arial" w:hAnsi="Arial"/>
          <w:sz w:val="24"/>
          <w:lang w:val="es-EC"/>
        </w:rPr>
      </w:pPr>
    </w:p>
    <w:p w:rsidR="002E32FF" w:rsidRDefault="002E32FF">
      <w:pPr>
        <w:jc w:val="both"/>
        <w:rPr>
          <w:lang w:val="es-ES_tradnl"/>
        </w:rPr>
      </w:pPr>
    </w:p>
    <w:p w:rsidR="002E32FF" w:rsidRDefault="002E32FF">
      <w:pPr>
        <w:jc w:val="center"/>
        <w:rPr>
          <w:rFonts w:ascii="Arial" w:hAnsi="Arial"/>
          <w:b/>
          <w:i/>
          <w:sz w:val="28"/>
          <w:lang w:val="es-EC"/>
        </w:rPr>
      </w:pPr>
      <w:r>
        <w:rPr>
          <w:rFonts w:ascii="Arial" w:hAnsi="Arial"/>
          <w:b/>
          <w:i/>
          <w:sz w:val="28"/>
          <w:lang w:val="es-EC"/>
        </w:rPr>
        <w:t>Gráfico n. 5.1  Media Móvil ECUINDEX</w:t>
      </w:r>
    </w:p>
    <w:p w:rsidR="002E32FF" w:rsidRDefault="002E32FF">
      <w:pPr>
        <w:jc w:val="both"/>
        <w:rPr>
          <w:lang w:val="es-ES_tradnl"/>
        </w:rPr>
      </w:pPr>
    </w:p>
    <w:p w:rsidR="002E32FF" w:rsidRDefault="005D7CF4">
      <w:pPr>
        <w:tabs>
          <w:tab w:val="left" w:pos="960"/>
        </w:tabs>
        <w:jc w:val="both"/>
        <w:rPr>
          <w:b/>
        </w:rPr>
      </w:pPr>
      <w:r>
        <w:rPr>
          <w:noProof/>
          <w:lang w:eastAsia="es-ES"/>
        </w:rPr>
        <w:drawing>
          <wp:anchor distT="0" distB="0" distL="114300" distR="114300" simplePos="0" relativeHeight="251646464" behindDoc="0" locked="0" layoutInCell="0" allowOverlap="1">
            <wp:simplePos x="0" y="0"/>
            <wp:positionH relativeFrom="column">
              <wp:posOffset>114300</wp:posOffset>
            </wp:positionH>
            <wp:positionV relativeFrom="paragraph">
              <wp:posOffset>123190</wp:posOffset>
            </wp:positionV>
            <wp:extent cx="5229225" cy="2743200"/>
            <wp:effectExtent l="0" t="0" r="0" b="0"/>
            <wp:wrapTopAndBottom/>
            <wp:docPr id="26"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2E32FF">
        <w:rPr>
          <w:b/>
        </w:rPr>
        <w:t xml:space="preserve">      Elaborado por: Autora de la tesis</w:t>
      </w:r>
    </w:p>
    <w:p w:rsidR="002E32FF" w:rsidRDefault="002E32FF">
      <w:pPr>
        <w:jc w:val="both"/>
        <w:rPr>
          <w:b/>
        </w:rPr>
      </w:pPr>
      <w:r>
        <w:rPr>
          <w:rFonts w:ascii="Arial" w:hAnsi="Arial"/>
          <w:sz w:val="28"/>
        </w:rPr>
        <w:t xml:space="preserve">    </w:t>
      </w:r>
    </w:p>
    <w:p w:rsidR="002E32FF" w:rsidRDefault="002E32FF">
      <w:pPr>
        <w:rPr>
          <w:rFonts w:ascii="Arial" w:hAnsi="Arial"/>
          <w:b/>
          <w:i/>
          <w:sz w:val="28"/>
          <w:lang w:val="es-EC"/>
        </w:rPr>
      </w:pPr>
    </w:p>
    <w:p w:rsidR="002E32FF" w:rsidRDefault="002E32FF">
      <w:pPr>
        <w:jc w:val="center"/>
        <w:rPr>
          <w:rFonts w:ascii="Arial" w:hAnsi="Arial"/>
          <w:b/>
          <w:i/>
          <w:sz w:val="28"/>
          <w:lang w:val="es-EC"/>
        </w:rPr>
      </w:pPr>
    </w:p>
    <w:p w:rsidR="002E32FF" w:rsidRDefault="002E32FF">
      <w:pPr>
        <w:jc w:val="center"/>
        <w:rPr>
          <w:rFonts w:ascii="Arial" w:hAnsi="Arial"/>
          <w:sz w:val="28"/>
          <w:lang w:val="es-EC"/>
        </w:rPr>
      </w:pPr>
    </w:p>
    <w:p w:rsidR="002E32FF" w:rsidRDefault="002E32FF">
      <w:pPr>
        <w:pStyle w:val="Textoindependiente3"/>
        <w:tabs>
          <w:tab w:val="clear" w:pos="360"/>
        </w:tabs>
        <w:rPr>
          <w:lang w:val="es-EC"/>
        </w:rPr>
      </w:pPr>
      <w:r>
        <w:rPr>
          <w:lang w:val="es-EC"/>
        </w:rPr>
        <w:t xml:space="preserve">    Como vemos, el gráfico muestra la senda de la media móvil y las cotizaciones del índice bursátil ECUINDEX, cada vez que la cotización (datos semanales ECUINDEX) corta a la gráfica de la media móvil es un aviso de cambio de tendencia, su interpretación es la siguiente:</w:t>
      </w:r>
    </w:p>
    <w:p w:rsidR="002E32FF" w:rsidRDefault="002E32FF">
      <w:pPr>
        <w:spacing w:line="480" w:lineRule="auto"/>
        <w:jc w:val="both"/>
        <w:rPr>
          <w:rFonts w:ascii="Arial" w:hAnsi="Arial"/>
          <w:sz w:val="24"/>
          <w:lang w:val="es-EC"/>
        </w:rPr>
      </w:pPr>
    </w:p>
    <w:p w:rsidR="002E32FF" w:rsidRDefault="002E32FF">
      <w:pPr>
        <w:pStyle w:val="NormalWeb"/>
        <w:numPr>
          <w:ilvl w:val="0"/>
          <w:numId w:val="8"/>
        </w:numPr>
        <w:spacing w:line="480" w:lineRule="auto"/>
        <w:ind w:left="714" w:hanging="357"/>
        <w:jc w:val="both"/>
        <w:rPr>
          <w:rFonts w:ascii="Arial" w:hAnsi="Arial"/>
        </w:rPr>
      </w:pPr>
      <w:r>
        <w:rPr>
          <w:rFonts w:ascii="Arial" w:hAnsi="Arial"/>
        </w:rPr>
        <w:t>Si la media móvil cruza a la senda de las cotizaciones de abajo hacia arriba es señal de VENTA.</w:t>
      </w:r>
    </w:p>
    <w:p w:rsidR="002E32FF" w:rsidRDefault="002E32FF">
      <w:pPr>
        <w:pStyle w:val="NormalWeb"/>
        <w:numPr>
          <w:ilvl w:val="0"/>
          <w:numId w:val="8"/>
        </w:numPr>
        <w:spacing w:line="480" w:lineRule="auto"/>
        <w:ind w:left="714" w:hanging="357"/>
        <w:jc w:val="both"/>
        <w:rPr>
          <w:rFonts w:ascii="Arial" w:hAnsi="Arial"/>
        </w:rPr>
      </w:pPr>
      <w:r>
        <w:rPr>
          <w:rFonts w:ascii="Arial" w:hAnsi="Arial"/>
        </w:rPr>
        <w:t>Si la media móvil cruza a la senda de las cotizaciones de arriba a abajo es señal de COMPRA.</w:t>
      </w:r>
    </w:p>
    <w:p w:rsidR="002E32FF" w:rsidRDefault="002E32FF">
      <w:pPr>
        <w:spacing w:line="480" w:lineRule="auto"/>
        <w:jc w:val="both"/>
        <w:rPr>
          <w:rFonts w:ascii="Arial" w:hAnsi="Arial"/>
          <w:sz w:val="24"/>
        </w:rPr>
      </w:pPr>
      <w:r>
        <w:rPr>
          <w:rFonts w:ascii="Arial" w:hAnsi="Arial"/>
          <w:sz w:val="24"/>
        </w:rPr>
        <w:t xml:space="preserve">    Por lo tanto, como se puede ver la gráfica de la media móvil corta la senda de la cotización del índice bursátil ECUINDEX, de abajo hacia arriba a partir de octubre del 2004 lo cual nos indica que es una clara señal de venta.</w:t>
      </w:r>
    </w:p>
    <w:p w:rsidR="002E32FF" w:rsidRDefault="002E32FF">
      <w:pPr>
        <w:spacing w:line="480" w:lineRule="auto"/>
        <w:jc w:val="both"/>
        <w:rPr>
          <w:rFonts w:ascii="Arial" w:hAnsi="Arial"/>
          <w:sz w:val="24"/>
        </w:rPr>
      </w:pPr>
      <w:r>
        <w:rPr>
          <w:rFonts w:ascii="Arial" w:hAnsi="Arial"/>
          <w:sz w:val="24"/>
        </w:rPr>
        <w:t xml:space="preserve">    A continuación procederemos a analizar las tendencias del IPECU e IRECU, que se muestran en los gráficos número 5.2 y 5.3    respectivamente.</w:t>
      </w:r>
    </w:p>
    <w:p w:rsidR="002E32FF" w:rsidRDefault="002E32FF">
      <w:pPr>
        <w:spacing w:line="480" w:lineRule="auto"/>
        <w:jc w:val="both"/>
        <w:rPr>
          <w:rFonts w:ascii="Arial" w:hAnsi="Arial"/>
          <w:sz w:val="24"/>
        </w:rPr>
      </w:pPr>
    </w:p>
    <w:p w:rsidR="002E32FF" w:rsidRDefault="002E32FF">
      <w:pPr>
        <w:pStyle w:val="Epgrafe"/>
        <w:spacing w:before="0" w:after="0"/>
        <w:rPr>
          <w:lang w:val="es-ES"/>
        </w:rPr>
      </w:pPr>
      <w:r>
        <w:rPr>
          <w:lang w:val="es-ES"/>
        </w:rPr>
        <w:t>Gráfico n 5.2  Media Móvil IPECU</w:t>
      </w:r>
    </w:p>
    <w:p w:rsidR="002E32FF" w:rsidRDefault="005D7CF4">
      <w:pPr>
        <w:tabs>
          <w:tab w:val="left" w:pos="960"/>
        </w:tabs>
        <w:jc w:val="both"/>
        <w:rPr>
          <w:b/>
        </w:rPr>
      </w:pPr>
      <w:r>
        <w:rPr>
          <w:noProof/>
          <w:lang w:eastAsia="es-ES"/>
        </w:rPr>
        <w:drawing>
          <wp:anchor distT="0" distB="0" distL="114300" distR="114300" simplePos="0" relativeHeight="251647488" behindDoc="0" locked="0" layoutInCell="0" allowOverlap="1">
            <wp:simplePos x="0" y="0"/>
            <wp:positionH relativeFrom="column">
              <wp:posOffset>-17145</wp:posOffset>
            </wp:positionH>
            <wp:positionV relativeFrom="paragraph">
              <wp:posOffset>291465</wp:posOffset>
            </wp:positionV>
            <wp:extent cx="5229225" cy="2288540"/>
            <wp:effectExtent l="0" t="0" r="0" b="0"/>
            <wp:wrapTopAndBottom/>
            <wp:docPr id="25"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2E32FF" w:rsidRDefault="002E32FF">
      <w:pPr>
        <w:jc w:val="both"/>
        <w:rPr>
          <w:b/>
        </w:rPr>
      </w:pPr>
      <w:r>
        <w:rPr>
          <w:rFonts w:ascii="Arial" w:hAnsi="Arial"/>
          <w:sz w:val="28"/>
        </w:rPr>
        <w:t xml:space="preserve">  </w:t>
      </w:r>
      <w:r>
        <w:rPr>
          <w:b/>
        </w:rPr>
        <w:t>Elaborado por: Autora de la tesis</w:t>
      </w:r>
    </w:p>
    <w:p w:rsidR="002E32FF" w:rsidRDefault="002E32FF">
      <w:pPr>
        <w:tabs>
          <w:tab w:val="left" w:pos="1300"/>
        </w:tabs>
        <w:spacing w:line="480" w:lineRule="auto"/>
        <w:jc w:val="both"/>
        <w:rPr>
          <w:rFonts w:ascii="Arial" w:hAnsi="Arial"/>
          <w:sz w:val="24"/>
        </w:rPr>
      </w:pPr>
      <w:r>
        <w:rPr>
          <w:rFonts w:ascii="Arial" w:hAnsi="Arial"/>
          <w:sz w:val="28"/>
        </w:rPr>
        <w:t xml:space="preserve">    </w:t>
      </w:r>
      <w:r>
        <w:rPr>
          <w:rFonts w:ascii="Arial" w:hAnsi="Arial"/>
          <w:sz w:val="24"/>
        </w:rPr>
        <w:t>Como lo indica el gráfico, existe poca interrelación entre la cotización semanal del IPECU y su media móvil. Desde el periodo de mayo del 2002 se logra ver que la media móvil cruza de abajo hacia arriba a la senda semanal del IPECU lo cual nos indica una señal de venta.</w:t>
      </w:r>
    </w:p>
    <w:p w:rsidR="002E32FF" w:rsidRDefault="002E32FF">
      <w:pPr>
        <w:tabs>
          <w:tab w:val="left" w:pos="1300"/>
        </w:tabs>
        <w:spacing w:line="480" w:lineRule="auto"/>
        <w:jc w:val="both"/>
        <w:rPr>
          <w:rFonts w:ascii="Arial" w:hAnsi="Arial"/>
          <w:sz w:val="24"/>
        </w:rPr>
      </w:pPr>
    </w:p>
    <w:p w:rsidR="002E32FF" w:rsidRDefault="005D7CF4">
      <w:pPr>
        <w:tabs>
          <w:tab w:val="left" w:pos="1300"/>
        </w:tabs>
        <w:spacing w:line="480" w:lineRule="auto"/>
        <w:jc w:val="center"/>
        <w:rPr>
          <w:rFonts w:ascii="Arial" w:hAnsi="Arial"/>
          <w:b/>
          <w:i/>
          <w:sz w:val="28"/>
        </w:rPr>
      </w:pPr>
      <w:r>
        <w:rPr>
          <w:rFonts w:ascii="Arial" w:hAnsi="Arial"/>
          <w:b/>
          <w:i/>
          <w:noProof/>
          <w:sz w:val="28"/>
          <w:lang w:eastAsia="es-ES"/>
        </w:rPr>
        <w:drawing>
          <wp:anchor distT="0" distB="0" distL="114300" distR="114300" simplePos="0" relativeHeight="251648512" behindDoc="0" locked="0" layoutInCell="0" allowOverlap="1">
            <wp:simplePos x="0" y="0"/>
            <wp:positionH relativeFrom="column">
              <wp:posOffset>228600</wp:posOffset>
            </wp:positionH>
            <wp:positionV relativeFrom="paragraph">
              <wp:posOffset>473710</wp:posOffset>
            </wp:positionV>
            <wp:extent cx="5320665" cy="3657600"/>
            <wp:effectExtent l="0" t="0" r="0" b="0"/>
            <wp:wrapTopAndBottom/>
            <wp:docPr id="24"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2E32FF">
        <w:rPr>
          <w:rFonts w:ascii="Arial" w:hAnsi="Arial"/>
          <w:b/>
          <w:i/>
          <w:sz w:val="28"/>
        </w:rPr>
        <w:t>Gráfico n. 5.3  Media Móvil IRECU</w:t>
      </w:r>
    </w:p>
    <w:p w:rsidR="002E32FF" w:rsidRDefault="002E32FF">
      <w:pPr>
        <w:jc w:val="both"/>
        <w:rPr>
          <w:b/>
        </w:rPr>
      </w:pPr>
      <w:r>
        <w:rPr>
          <w:b/>
        </w:rPr>
        <w:t xml:space="preserve">         Elaborado por: Autora de la tesis</w:t>
      </w:r>
    </w:p>
    <w:p w:rsidR="002E32FF" w:rsidRDefault="002E32FF">
      <w:pPr>
        <w:jc w:val="both"/>
        <w:rPr>
          <w:rFonts w:ascii="Arial" w:hAnsi="Arial"/>
          <w:sz w:val="28"/>
        </w:rPr>
      </w:pPr>
    </w:p>
    <w:p w:rsidR="002E32FF" w:rsidRDefault="002E32FF">
      <w:pPr>
        <w:tabs>
          <w:tab w:val="left" w:pos="1240"/>
        </w:tabs>
        <w:spacing w:line="480" w:lineRule="auto"/>
        <w:jc w:val="both"/>
        <w:rPr>
          <w:rFonts w:ascii="Arial" w:hAnsi="Arial"/>
          <w:sz w:val="28"/>
        </w:rPr>
      </w:pPr>
    </w:p>
    <w:p w:rsidR="002E32FF" w:rsidRDefault="002E32FF">
      <w:pPr>
        <w:tabs>
          <w:tab w:val="left" w:pos="1240"/>
        </w:tabs>
        <w:spacing w:line="480" w:lineRule="auto"/>
        <w:jc w:val="both"/>
        <w:rPr>
          <w:rFonts w:ascii="Arial" w:hAnsi="Arial"/>
          <w:sz w:val="24"/>
        </w:rPr>
      </w:pPr>
      <w:r>
        <w:rPr>
          <w:rFonts w:ascii="Arial" w:hAnsi="Arial"/>
          <w:sz w:val="28"/>
        </w:rPr>
        <w:t xml:space="preserve">    </w:t>
      </w:r>
      <w:r>
        <w:rPr>
          <w:rFonts w:ascii="Arial" w:hAnsi="Arial"/>
          <w:sz w:val="24"/>
        </w:rPr>
        <w:t>En este gráfico en particular ninguna de las gráficas cruza a la otra no hay señales de compra y venta claras.</w:t>
      </w:r>
    </w:p>
    <w:p w:rsidR="002E32FF" w:rsidRDefault="002E32FF">
      <w:pPr>
        <w:tabs>
          <w:tab w:val="left" w:pos="1240"/>
        </w:tabs>
        <w:spacing w:line="480" w:lineRule="auto"/>
        <w:jc w:val="both"/>
        <w:rPr>
          <w:rFonts w:ascii="Arial" w:hAnsi="Arial"/>
          <w:sz w:val="28"/>
        </w:rPr>
      </w:pPr>
    </w:p>
    <w:p w:rsidR="002E32FF" w:rsidRDefault="002E32FF">
      <w:pPr>
        <w:spacing w:line="480" w:lineRule="auto"/>
        <w:ind w:left="851" w:hanging="851"/>
        <w:jc w:val="both"/>
        <w:rPr>
          <w:rFonts w:ascii="Arial" w:eastAsia="Arial Unicode MS" w:hAnsi="Arial"/>
          <w:b/>
          <w:sz w:val="28"/>
          <w:lang w:val="es-EC"/>
        </w:rPr>
      </w:pPr>
      <w:r>
        <w:rPr>
          <w:rFonts w:ascii="Arial" w:eastAsia="Arial Unicode MS" w:hAnsi="Arial"/>
          <w:b/>
          <w:sz w:val="28"/>
          <w:lang w:val="es-EC"/>
        </w:rPr>
        <w:t>5.3.2 Aplicación y análisis (longitud variable de la media móvil).</w:t>
      </w:r>
    </w:p>
    <w:p w:rsidR="002E32FF" w:rsidRDefault="002E32FF">
      <w:pPr>
        <w:tabs>
          <w:tab w:val="left" w:pos="1360"/>
        </w:tabs>
        <w:jc w:val="both"/>
        <w:rPr>
          <w:rFonts w:ascii="Arial" w:hAnsi="Arial"/>
          <w:sz w:val="28"/>
          <w:lang w:val="es-EC"/>
        </w:rPr>
      </w:pPr>
    </w:p>
    <w:p w:rsidR="002E32FF" w:rsidRDefault="002E32FF">
      <w:pPr>
        <w:tabs>
          <w:tab w:val="left" w:pos="1360"/>
        </w:tabs>
        <w:jc w:val="both"/>
        <w:rPr>
          <w:rFonts w:ascii="Arial" w:hAnsi="Arial"/>
          <w:sz w:val="28"/>
        </w:rPr>
      </w:pPr>
    </w:p>
    <w:p w:rsidR="002E32FF" w:rsidRDefault="002E32FF">
      <w:pPr>
        <w:tabs>
          <w:tab w:val="left" w:pos="980"/>
        </w:tabs>
        <w:spacing w:line="480" w:lineRule="auto"/>
        <w:jc w:val="both"/>
        <w:rPr>
          <w:rFonts w:ascii="Arial" w:hAnsi="Arial"/>
          <w:sz w:val="24"/>
        </w:rPr>
      </w:pPr>
      <w:r>
        <w:rPr>
          <w:rFonts w:ascii="Arial" w:hAnsi="Arial"/>
          <w:sz w:val="28"/>
        </w:rPr>
        <w:t xml:space="preserve">    </w:t>
      </w:r>
      <w:r>
        <w:rPr>
          <w:rFonts w:ascii="Arial" w:hAnsi="Arial"/>
          <w:sz w:val="24"/>
        </w:rPr>
        <w:t xml:space="preserve">Para comenzar a explicar la aplicación y análisis de la longitud variable de la media móvil, vamos a indicar que necesitaremos de la media móvil de corto y largo plazo de los tres índices bursátiles ecuatorianos considerando la aplicación de bandas de </w:t>
      </w:r>
      <w:r>
        <w:rPr>
          <w:rFonts w:ascii="Arial" w:hAnsi="Arial"/>
          <w:position w:val="-6"/>
          <w:sz w:val="24"/>
        </w:rPr>
        <w:object w:dxaOrig="560" w:dyaOrig="279">
          <v:shape id="_x0000_i1025" type="#_x0000_t75" style="width:28pt;height:14pt" o:ole="" fillcolor="window">
            <v:imagedata r:id="rId39" o:title=""/>
          </v:shape>
          <o:OLEObject Type="Embed" ProgID="Equation.3" ShapeID="_x0000_i1025" DrawAspect="Content" ObjectID="_1319356246" r:id="rId40"/>
        </w:object>
      </w:r>
      <w:r>
        <w:rPr>
          <w:rFonts w:ascii="Arial" w:hAnsi="Arial"/>
          <w:sz w:val="24"/>
        </w:rPr>
        <w:t>, para la elaboración de las mismas se utilizarán los datos semanales y el periodo será de 5 y 50 semanas para la de corto y largo plazo respectivamente, el procedimiento a seguir es el siguiente, se utilizan dos bandas una superior y otra inferior, la primera no es más que el 1% de la media móvil de largo plazo, una vez que se obtienen lo valores se le suman los datos de la misma, en cambio la segunda tiene el mismo procedimiento sino que la diferencia radica que en vez de sumar el 1% se va a restar ese valor de los datos de la media móvil de largo plazo una vez obtenidas estas bandas se procede a graficarlas junto con la media móvil de corto plazo, en este estudio obtendremos tres gráficas tomando en cuenta los tres índices ecuatorianos.</w:t>
      </w:r>
    </w:p>
    <w:p w:rsidR="002E32FF" w:rsidRDefault="002E32FF">
      <w:pPr>
        <w:tabs>
          <w:tab w:val="left" w:pos="980"/>
        </w:tabs>
        <w:spacing w:line="480" w:lineRule="auto"/>
        <w:jc w:val="both"/>
        <w:rPr>
          <w:rFonts w:ascii="Arial" w:hAnsi="Arial"/>
          <w:sz w:val="24"/>
        </w:rPr>
      </w:pPr>
    </w:p>
    <w:p w:rsidR="002E32FF" w:rsidRDefault="002E32FF">
      <w:pPr>
        <w:tabs>
          <w:tab w:val="left" w:pos="980"/>
        </w:tabs>
        <w:spacing w:line="480" w:lineRule="auto"/>
        <w:jc w:val="both"/>
        <w:rPr>
          <w:rFonts w:ascii="Arial" w:hAnsi="Arial"/>
          <w:sz w:val="24"/>
        </w:rPr>
      </w:pPr>
      <w:r>
        <w:rPr>
          <w:rFonts w:ascii="Arial" w:hAnsi="Arial"/>
          <w:sz w:val="24"/>
        </w:rPr>
        <w:t xml:space="preserve">    Cabe anotar que los cálculos de las medias móviles de corto y largo plazo de los índices bursátiles se encuentran en los anexos 1, 2 y 3.  A continuación se muestran los gráficos para luego proceder a analizarlos.</w:t>
      </w:r>
    </w:p>
    <w:p w:rsidR="002E32FF" w:rsidRDefault="002E32FF">
      <w:pPr>
        <w:jc w:val="both"/>
        <w:rPr>
          <w:rFonts w:ascii="Arial" w:hAnsi="Arial"/>
          <w:sz w:val="28"/>
        </w:rPr>
      </w:pPr>
    </w:p>
    <w:p w:rsidR="002E32FF" w:rsidRDefault="002E32FF">
      <w:pPr>
        <w:jc w:val="both"/>
        <w:rPr>
          <w:rFonts w:ascii="Arial" w:hAnsi="Arial"/>
          <w:sz w:val="28"/>
        </w:rPr>
      </w:pPr>
    </w:p>
    <w:p w:rsidR="002E32FF" w:rsidRDefault="002E32FF">
      <w:pPr>
        <w:jc w:val="both"/>
        <w:rPr>
          <w:rFonts w:ascii="Arial" w:hAnsi="Arial"/>
          <w:sz w:val="28"/>
        </w:rPr>
      </w:pPr>
    </w:p>
    <w:p w:rsidR="002E32FF" w:rsidRDefault="002E32FF">
      <w:pPr>
        <w:jc w:val="center"/>
        <w:rPr>
          <w:rFonts w:ascii="Arial" w:hAnsi="Arial"/>
          <w:b/>
          <w:i/>
          <w:sz w:val="28"/>
        </w:rPr>
      </w:pPr>
      <w:r>
        <w:rPr>
          <w:rFonts w:ascii="Arial" w:hAnsi="Arial"/>
          <w:b/>
          <w:i/>
          <w:sz w:val="28"/>
        </w:rPr>
        <w:t xml:space="preserve">Gráfico n. 5.4  Longitud Variable de </w:t>
      </w:r>
      <w:smartTag w:uri="urn:schemas-microsoft-com:office:smarttags" w:element="PersonName">
        <w:smartTagPr>
          <w:attr w:name="ProductID" w:val="la Media M￳vil"/>
        </w:smartTagPr>
        <w:r>
          <w:rPr>
            <w:rFonts w:ascii="Arial" w:hAnsi="Arial"/>
            <w:b/>
            <w:i/>
            <w:sz w:val="28"/>
          </w:rPr>
          <w:t>la Media Móvil</w:t>
        </w:r>
      </w:smartTag>
      <w:r>
        <w:rPr>
          <w:rFonts w:ascii="Arial" w:hAnsi="Arial"/>
          <w:b/>
          <w:i/>
          <w:sz w:val="28"/>
        </w:rPr>
        <w:t xml:space="preserve"> ECUINDEX</w:t>
      </w:r>
    </w:p>
    <w:p w:rsidR="002E32FF" w:rsidRDefault="002E32FF">
      <w:pPr>
        <w:tabs>
          <w:tab w:val="left" w:pos="960"/>
        </w:tabs>
        <w:jc w:val="both"/>
        <w:rPr>
          <w:b/>
        </w:rPr>
      </w:pPr>
      <w:r>
        <w:rPr>
          <w:rFonts w:ascii="Arial" w:hAnsi="Arial"/>
          <w:sz w:val="28"/>
        </w:rPr>
        <w:t xml:space="preserve">   </w:t>
      </w:r>
    </w:p>
    <w:p w:rsidR="002E32FF" w:rsidRDefault="005D7CF4">
      <w:pPr>
        <w:jc w:val="both"/>
        <w:rPr>
          <w:b/>
        </w:rPr>
      </w:pPr>
      <w:r>
        <w:rPr>
          <w:noProof/>
          <w:lang w:eastAsia="es-ES"/>
        </w:rPr>
        <w:drawing>
          <wp:anchor distT="0" distB="0" distL="114300" distR="114300" simplePos="0" relativeHeight="251649536" behindDoc="0" locked="0" layoutInCell="0" allowOverlap="1">
            <wp:simplePos x="0" y="0"/>
            <wp:positionH relativeFrom="column">
              <wp:posOffset>-17145</wp:posOffset>
            </wp:positionH>
            <wp:positionV relativeFrom="paragraph">
              <wp:posOffset>40640</wp:posOffset>
            </wp:positionV>
            <wp:extent cx="5412105" cy="2834640"/>
            <wp:effectExtent l="0" t="0" r="0" b="0"/>
            <wp:wrapTopAndBottom/>
            <wp:docPr id="23"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2E32FF">
        <w:rPr>
          <w:rFonts w:ascii="Arial" w:hAnsi="Arial"/>
          <w:sz w:val="28"/>
        </w:rPr>
        <w:t xml:space="preserve">    </w:t>
      </w:r>
      <w:r w:rsidR="002E32FF">
        <w:rPr>
          <w:b/>
        </w:rPr>
        <w:t>Elaborado por: Autora de la tesis</w:t>
      </w:r>
    </w:p>
    <w:p w:rsidR="002E32FF" w:rsidRDefault="002E32FF">
      <w:pPr>
        <w:jc w:val="both"/>
        <w:rPr>
          <w:rFonts w:ascii="Arial" w:hAnsi="Arial"/>
          <w:sz w:val="28"/>
        </w:rPr>
      </w:pPr>
    </w:p>
    <w:p w:rsidR="002E32FF" w:rsidRDefault="002E32FF">
      <w:pPr>
        <w:jc w:val="both"/>
        <w:rPr>
          <w:rFonts w:ascii="Arial" w:hAnsi="Arial"/>
          <w:sz w:val="28"/>
        </w:rPr>
      </w:pPr>
    </w:p>
    <w:p w:rsidR="002E32FF" w:rsidRDefault="002E32FF">
      <w:pPr>
        <w:jc w:val="both"/>
        <w:rPr>
          <w:rFonts w:ascii="Arial" w:hAnsi="Arial"/>
          <w:sz w:val="28"/>
        </w:rPr>
      </w:pPr>
    </w:p>
    <w:p w:rsidR="002E32FF" w:rsidRDefault="002E32FF">
      <w:pPr>
        <w:jc w:val="both"/>
        <w:rPr>
          <w:rFonts w:ascii="Arial" w:hAnsi="Arial"/>
          <w:sz w:val="28"/>
        </w:rPr>
      </w:pPr>
    </w:p>
    <w:p w:rsidR="002E32FF" w:rsidRDefault="005D7CF4">
      <w:pPr>
        <w:jc w:val="center"/>
        <w:rPr>
          <w:rFonts w:ascii="Arial" w:hAnsi="Arial"/>
          <w:b/>
          <w:i/>
          <w:sz w:val="28"/>
        </w:rPr>
      </w:pPr>
      <w:r>
        <w:rPr>
          <w:noProof/>
          <w:lang w:eastAsia="es-ES"/>
        </w:rPr>
        <w:drawing>
          <wp:anchor distT="0" distB="0" distL="114300" distR="114300" simplePos="0" relativeHeight="251650560" behindDoc="0" locked="0" layoutInCell="0" allowOverlap="1">
            <wp:simplePos x="0" y="0"/>
            <wp:positionH relativeFrom="column">
              <wp:posOffset>0</wp:posOffset>
            </wp:positionH>
            <wp:positionV relativeFrom="paragraph">
              <wp:posOffset>359410</wp:posOffset>
            </wp:positionV>
            <wp:extent cx="5412105" cy="2988310"/>
            <wp:effectExtent l="0" t="0" r="0" b="0"/>
            <wp:wrapTopAndBottom/>
            <wp:docPr id="2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2E32FF">
        <w:rPr>
          <w:rFonts w:ascii="Arial" w:hAnsi="Arial"/>
          <w:b/>
          <w:i/>
          <w:sz w:val="28"/>
        </w:rPr>
        <w:t xml:space="preserve">Gráfico n. 5.5  Longitud Variable de </w:t>
      </w:r>
      <w:smartTag w:uri="urn:schemas-microsoft-com:office:smarttags" w:element="PersonName">
        <w:smartTagPr>
          <w:attr w:name="ProductID" w:val="la Media M￳vil"/>
        </w:smartTagPr>
        <w:r w:rsidR="002E32FF">
          <w:rPr>
            <w:rFonts w:ascii="Arial" w:hAnsi="Arial"/>
            <w:b/>
            <w:i/>
            <w:sz w:val="28"/>
          </w:rPr>
          <w:t>la Media Móvil</w:t>
        </w:r>
      </w:smartTag>
      <w:r w:rsidR="002E32FF">
        <w:rPr>
          <w:rFonts w:ascii="Arial" w:hAnsi="Arial"/>
          <w:b/>
          <w:i/>
          <w:sz w:val="28"/>
        </w:rPr>
        <w:t xml:space="preserve"> IPECU</w:t>
      </w:r>
    </w:p>
    <w:p w:rsidR="002E32FF" w:rsidRDefault="002E32FF">
      <w:pPr>
        <w:jc w:val="both"/>
        <w:rPr>
          <w:b/>
        </w:rPr>
      </w:pPr>
      <w:r>
        <w:rPr>
          <w:rFonts w:ascii="Arial" w:hAnsi="Arial"/>
          <w:sz w:val="28"/>
        </w:rPr>
        <w:t xml:space="preserve"> </w:t>
      </w:r>
    </w:p>
    <w:p w:rsidR="002E32FF" w:rsidRDefault="002E32FF">
      <w:pPr>
        <w:jc w:val="both"/>
        <w:rPr>
          <w:b/>
        </w:rPr>
      </w:pPr>
      <w:r>
        <w:rPr>
          <w:rFonts w:ascii="Arial" w:hAnsi="Arial"/>
          <w:sz w:val="28"/>
        </w:rPr>
        <w:t xml:space="preserve"> </w:t>
      </w:r>
      <w:r>
        <w:rPr>
          <w:b/>
        </w:rPr>
        <w:t>Elaborado por: Autora de la tesis</w:t>
      </w:r>
    </w:p>
    <w:p w:rsidR="002E32FF" w:rsidRDefault="002E32FF">
      <w:pPr>
        <w:jc w:val="both"/>
        <w:rPr>
          <w:rFonts w:ascii="Arial" w:hAnsi="Arial"/>
          <w:sz w:val="28"/>
        </w:rPr>
      </w:pPr>
    </w:p>
    <w:p w:rsidR="002E32FF" w:rsidRDefault="002E32FF">
      <w:pPr>
        <w:jc w:val="both"/>
        <w:rPr>
          <w:rFonts w:ascii="Arial" w:hAnsi="Arial"/>
          <w:sz w:val="28"/>
        </w:rPr>
      </w:pPr>
    </w:p>
    <w:p w:rsidR="002E32FF" w:rsidRDefault="005D7CF4">
      <w:pPr>
        <w:jc w:val="center"/>
        <w:rPr>
          <w:rFonts w:ascii="Arial" w:hAnsi="Arial"/>
          <w:b/>
          <w:i/>
          <w:sz w:val="28"/>
        </w:rPr>
      </w:pPr>
      <w:r>
        <w:rPr>
          <w:noProof/>
          <w:lang w:eastAsia="es-ES"/>
        </w:rPr>
        <w:drawing>
          <wp:anchor distT="0" distB="0" distL="114300" distR="114300" simplePos="0" relativeHeight="251651584" behindDoc="0" locked="0" layoutInCell="0" allowOverlap="1">
            <wp:simplePos x="0" y="0"/>
            <wp:positionH relativeFrom="column">
              <wp:posOffset>0</wp:posOffset>
            </wp:positionH>
            <wp:positionV relativeFrom="paragraph">
              <wp:posOffset>325120</wp:posOffset>
            </wp:positionV>
            <wp:extent cx="5320665" cy="2931160"/>
            <wp:effectExtent l="0" t="0" r="0" b="0"/>
            <wp:wrapTopAndBottom/>
            <wp:docPr id="21"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2E32FF">
        <w:rPr>
          <w:rFonts w:ascii="Arial" w:hAnsi="Arial"/>
          <w:b/>
          <w:i/>
          <w:sz w:val="28"/>
        </w:rPr>
        <w:t xml:space="preserve">Gráfico n. 5.6  Longitud Variable de </w:t>
      </w:r>
      <w:smartTag w:uri="urn:schemas-microsoft-com:office:smarttags" w:element="PersonName">
        <w:smartTagPr>
          <w:attr w:name="ProductID" w:val="la Media M￳vil"/>
        </w:smartTagPr>
        <w:r w:rsidR="002E32FF">
          <w:rPr>
            <w:rFonts w:ascii="Arial" w:hAnsi="Arial"/>
            <w:b/>
            <w:i/>
            <w:sz w:val="28"/>
          </w:rPr>
          <w:t>la Media Móvil</w:t>
        </w:r>
      </w:smartTag>
      <w:r w:rsidR="002E32FF">
        <w:rPr>
          <w:rFonts w:ascii="Arial" w:hAnsi="Arial"/>
          <w:b/>
          <w:i/>
          <w:sz w:val="28"/>
        </w:rPr>
        <w:t xml:space="preserve"> IRECU</w:t>
      </w:r>
    </w:p>
    <w:p w:rsidR="002E32FF" w:rsidRDefault="002E32FF">
      <w:pPr>
        <w:jc w:val="both"/>
        <w:rPr>
          <w:b/>
        </w:rPr>
      </w:pPr>
      <w:r>
        <w:rPr>
          <w:rFonts w:ascii="Arial" w:hAnsi="Arial"/>
          <w:sz w:val="28"/>
        </w:rPr>
        <w:t xml:space="preserve">  </w:t>
      </w:r>
      <w:r>
        <w:rPr>
          <w:b/>
        </w:rPr>
        <w:t>Elaborado por: Autora de la tesis</w:t>
      </w:r>
    </w:p>
    <w:p w:rsidR="002E32FF" w:rsidRDefault="002E32FF">
      <w:pPr>
        <w:jc w:val="both"/>
        <w:rPr>
          <w:rFonts w:ascii="Arial" w:hAnsi="Arial"/>
          <w:sz w:val="28"/>
        </w:rPr>
      </w:pPr>
    </w:p>
    <w:p w:rsidR="002E32FF" w:rsidRDefault="002E32FF">
      <w:pPr>
        <w:jc w:val="center"/>
        <w:rPr>
          <w:rFonts w:ascii="Arial" w:hAnsi="Arial"/>
          <w:b/>
          <w:i/>
          <w:sz w:val="28"/>
        </w:rPr>
      </w:pPr>
    </w:p>
    <w:p w:rsidR="002E32FF" w:rsidRDefault="002E32FF">
      <w:pPr>
        <w:jc w:val="center"/>
        <w:rPr>
          <w:rFonts w:ascii="Arial" w:hAnsi="Arial"/>
          <w:sz w:val="28"/>
        </w:rPr>
      </w:pPr>
    </w:p>
    <w:p w:rsidR="002E32FF" w:rsidRDefault="002E32FF">
      <w:pPr>
        <w:spacing w:line="480" w:lineRule="auto"/>
        <w:jc w:val="both"/>
        <w:rPr>
          <w:rFonts w:ascii="Arial" w:hAnsi="Arial"/>
          <w:sz w:val="24"/>
        </w:rPr>
      </w:pPr>
      <w:r>
        <w:rPr>
          <w:rFonts w:ascii="Arial" w:hAnsi="Arial"/>
          <w:sz w:val="28"/>
        </w:rPr>
        <w:t xml:space="preserve">    </w:t>
      </w:r>
      <w:r>
        <w:rPr>
          <w:rFonts w:ascii="Arial" w:hAnsi="Arial"/>
          <w:sz w:val="24"/>
        </w:rPr>
        <w:t>Para el análisis, debemos conocer que una señal de compra se da cuando la media móvil de corto plazo está sobre la banda superior, en cambio señales de venta ocurren cuando la media móvil de corto plazo está por debajo de la banda inferior. Cabe acotar que no se genera ninguna señal si la media móvil de corto plazo está adentro de las bandas.</w:t>
      </w:r>
    </w:p>
    <w:p w:rsidR="002E32FF" w:rsidRDefault="002E32FF">
      <w:pPr>
        <w:spacing w:line="480" w:lineRule="auto"/>
        <w:jc w:val="both"/>
        <w:rPr>
          <w:rFonts w:ascii="Arial" w:hAnsi="Arial"/>
          <w:sz w:val="24"/>
        </w:rPr>
      </w:pPr>
    </w:p>
    <w:p w:rsidR="002E32FF" w:rsidRDefault="002E32FF">
      <w:pPr>
        <w:pStyle w:val="Textoindependiente2"/>
        <w:tabs>
          <w:tab w:val="clear" w:pos="1060"/>
        </w:tabs>
        <w:rPr>
          <w:rFonts w:eastAsia="Times New Roman"/>
          <w:sz w:val="24"/>
          <w:lang w:val="es-ES"/>
        </w:rPr>
      </w:pPr>
      <w:r>
        <w:rPr>
          <w:rFonts w:eastAsia="Times New Roman"/>
          <w:sz w:val="24"/>
          <w:lang w:val="es-ES"/>
        </w:rPr>
        <w:t xml:space="preserve">    En el gráfico número 5.4, 5.5 y 5.6 correspondiente a ECUINDEX IPECU e IRECU vemos que se muestra una clara señal de compra a lo largo de la senda en los tres gráficos.</w:t>
      </w:r>
    </w:p>
    <w:p w:rsidR="002E32FF" w:rsidRDefault="002E32FF">
      <w:pPr>
        <w:jc w:val="center"/>
        <w:rPr>
          <w:rFonts w:ascii="Arial" w:hAnsi="Arial"/>
          <w:sz w:val="24"/>
        </w:rPr>
      </w:pPr>
    </w:p>
    <w:p w:rsidR="002E32FF" w:rsidRDefault="002E32FF">
      <w:pPr>
        <w:tabs>
          <w:tab w:val="left" w:pos="1240"/>
        </w:tabs>
        <w:spacing w:line="480" w:lineRule="auto"/>
        <w:jc w:val="center"/>
        <w:rPr>
          <w:rFonts w:ascii="Arial" w:hAnsi="Arial"/>
          <w:sz w:val="24"/>
        </w:rPr>
      </w:pPr>
    </w:p>
    <w:p w:rsidR="002E32FF" w:rsidRDefault="002E32FF">
      <w:pPr>
        <w:tabs>
          <w:tab w:val="left" w:pos="1240"/>
        </w:tabs>
        <w:spacing w:line="480" w:lineRule="auto"/>
        <w:jc w:val="center"/>
        <w:rPr>
          <w:rFonts w:ascii="Arial" w:hAnsi="Arial"/>
          <w:sz w:val="24"/>
        </w:rPr>
      </w:pPr>
    </w:p>
    <w:p w:rsidR="002E32FF" w:rsidRDefault="002E32FF">
      <w:pPr>
        <w:ind w:left="540" w:hanging="540"/>
        <w:jc w:val="both"/>
        <w:rPr>
          <w:rFonts w:ascii="Arial" w:eastAsia="Arial Unicode MS" w:hAnsi="Arial"/>
          <w:b/>
          <w:sz w:val="28"/>
          <w:lang w:val="es-EC"/>
        </w:rPr>
      </w:pPr>
      <w:r>
        <w:rPr>
          <w:rFonts w:ascii="Arial" w:eastAsia="Arial Unicode MS" w:hAnsi="Arial"/>
          <w:b/>
          <w:sz w:val="28"/>
          <w:lang w:val="es-EC"/>
        </w:rPr>
        <w:t>5.3.3 Aplicación y análisis (trading range break out)</w:t>
      </w:r>
    </w:p>
    <w:p w:rsidR="002E32FF" w:rsidRDefault="002E32FF">
      <w:pPr>
        <w:ind w:left="540" w:hanging="540"/>
        <w:jc w:val="both"/>
        <w:rPr>
          <w:rFonts w:ascii="Arial" w:eastAsia="Arial Unicode MS" w:hAnsi="Arial"/>
          <w:b/>
          <w:sz w:val="28"/>
          <w:lang w:val="es-EC"/>
        </w:rPr>
      </w:pPr>
    </w:p>
    <w:p w:rsidR="002E32FF" w:rsidRDefault="002E32FF">
      <w:pPr>
        <w:ind w:firstLine="720"/>
        <w:jc w:val="both"/>
        <w:rPr>
          <w:rFonts w:ascii="Arial" w:hAnsi="Arial"/>
          <w:sz w:val="28"/>
        </w:rPr>
      </w:pPr>
    </w:p>
    <w:p w:rsidR="002E32FF" w:rsidRDefault="002E32FF">
      <w:pPr>
        <w:ind w:firstLine="720"/>
        <w:jc w:val="both"/>
        <w:rPr>
          <w:rFonts w:ascii="Arial" w:hAnsi="Arial"/>
          <w:sz w:val="28"/>
        </w:rPr>
      </w:pPr>
    </w:p>
    <w:p w:rsidR="002E32FF" w:rsidRDefault="002E32FF">
      <w:pPr>
        <w:tabs>
          <w:tab w:val="left" w:pos="1060"/>
        </w:tabs>
        <w:spacing w:line="480" w:lineRule="auto"/>
        <w:jc w:val="both"/>
        <w:rPr>
          <w:rFonts w:ascii="Arial" w:hAnsi="Arial"/>
          <w:sz w:val="24"/>
        </w:rPr>
      </w:pPr>
      <w:r>
        <w:rPr>
          <w:rFonts w:ascii="Arial" w:hAnsi="Arial"/>
          <w:sz w:val="28"/>
        </w:rPr>
        <w:t xml:space="preserve">    </w:t>
      </w:r>
      <w:r>
        <w:rPr>
          <w:rFonts w:ascii="Arial" w:hAnsi="Arial"/>
          <w:sz w:val="24"/>
        </w:rPr>
        <w:t>Para explicar esta técnica conviene primero entender lo que significan y representan las líneas de resistencia y de soporte, ya que la aplicación y análisis del trading range break out se basa en ello.</w:t>
      </w:r>
    </w:p>
    <w:p w:rsidR="002E32FF" w:rsidRDefault="002E32FF">
      <w:pPr>
        <w:pStyle w:val="NormalWeb"/>
        <w:jc w:val="both"/>
        <w:rPr>
          <w:rFonts w:ascii="Arial" w:hAnsi="Arial"/>
        </w:rPr>
      </w:pPr>
    </w:p>
    <w:p w:rsidR="002E32FF" w:rsidRDefault="002E32FF">
      <w:pPr>
        <w:pStyle w:val="NormalWeb"/>
        <w:spacing w:line="480" w:lineRule="auto"/>
        <w:jc w:val="both"/>
        <w:rPr>
          <w:rFonts w:ascii="Arial" w:hAnsi="Arial"/>
        </w:rPr>
      </w:pPr>
      <w:r>
        <w:rPr>
          <w:rFonts w:ascii="Arial" w:hAnsi="Arial"/>
          <w:sz w:val="28"/>
        </w:rPr>
        <w:t xml:space="preserve">    </w:t>
      </w:r>
      <w:r>
        <w:rPr>
          <w:rFonts w:ascii="Arial" w:hAnsi="Arial"/>
        </w:rPr>
        <w:t>Una resistencia es un nivel de precios en el que se detiene la subida de la cotización y ésta rebota hacia abajo. El mercado considera que es un nivel de precios muy alto, por lo que cuando la cotización alcanza ese valor, las ventas se disparan.</w:t>
      </w:r>
    </w:p>
    <w:p w:rsidR="002E32FF" w:rsidRDefault="002E32FF">
      <w:pPr>
        <w:pStyle w:val="NormalWeb"/>
        <w:jc w:val="both"/>
        <w:rPr>
          <w:rFonts w:ascii="Arial" w:hAnsi="Arial"/>
        </w:rPr>
      </w:pPr>
    </w:p>
    <w:p w:rsidR="002E32FF" w:rsidRDefault="002E32FF">
      <w:pPr>
        <w:pStyle w:val="NormalWeb"/>
        <w:spacing w:line="480" w:lineRule="auto"/>
        <w:jc w:val="both"/>
        <w:rPr>
          <w:rFonts w:ascii="Arial" w:hAnsi="Arial"/>
        </w:rPr>
      </w:pPr>
      <w:r>
        <w:rPr>
          <w:rFonts w:ascii="Arial" w:hAnsi="Arial"/>
        </w:rPr>
        <w:t xml:space="preserve">    Un soporte es un nivel de precios en el que se detiene la caída de la cotización y ésta rebota nuevamente al alza. El mercado, entendido como la voluntad de millones de inversores, considera que es un nivel de precios muy bajo, por lo que cuando la cotización alcanza ese valor, las compras se disparan.</w:t>
      </w: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rPr>
      </w:pPr>
      <w:r>
        <w:rPr>
          <w:rFonts w:ascii="Arial" w:hAnsi="Arial"/>
        </w:rPr>
        <w:t xml:space="preserve">    Una vez explicado esto, debemos de indicar que el trading range break-out expresa que una señal de compra es generada cuando se excede la línea de resistencia, definida como el máximo local, y que una señal de venta ocurre cuando el precio cae por debajo de la línea de soporte, definida como el mínimo local. El propio mercado; no es que los inversores se pongan de acuerdo, simplemente que coinciden en la valoración que realizan, al entender que un precio es muy elevado (resistencia), o que un precio es muy bajo (soporte), cabe acotar que los soportes y resistencias tienen una duración determinada, ya que llega un momento donde la cotización termina superándolos.</w:t>
      </w:r>
    </w:p>
    <w:p w:rsidR="002E32FF" w:rsidRDefault="002E32FF">
      <w:pPr>
        <w:pStyle w:val="NormalWeb"/>
        <w:jc w:val="both"/>
        <w:rPr>
          <w:rFonts w:ascii="Arial" w:hAnsi="Arial"/>
        </w:rPr>
      </w:pPr>
    </w:p>
    <w:p w:rsidR="002E32FF" w:rsidRDefault="002E32FF">
      <w:pPr>
        <w:pStyle w:val="NormalWeb"/>
        <w:spacing w:line="480" w:lineRule="auto"/>
        <w:jc w:val="both"/>
        <w:rPr>
          <w:rFonts w:ascii="Arial" w:hAnsi="Arial"/>
        </w:rPr>
      </w:pPr>
      <w:r>
        <w:rPr>
          <w:rFonts w:ascii="Arial" w:hAnsi="Arial"/>
        </w:rPr>
        <w:t xml:space="preserve">    A continuación mostramos las gráficas pertenecientes a ECUINDEX, IPECU e IRECU, para proceder a su interpretación y análisis.</w:t>
      </w:r>
    </w:p>
    <w:p w:rsidR="002E32FF" w:rsidRDefault="002E32FF">
      <w:pPr>
        <w:pStyle w:val="NormalWeb"/>
        <w:spacing w:line="480" w:lineRule="auto"/>
        <w:jc w:val="center"/>
        <w:rPr>
          <w:rFonts w:ascii="Arial" w:hAnsi="Arial"/>
          <w:b/>
          <w:i/>
          <w:sz w:val="28"/>
          <w:lang w:val="es-ES_tradnl"/>
        </w:rPr>
      </w:pPr>
    </w:p>
    <w:p w:rsidR="002E32FF" w:rsidRDefault="005D7CF4">
      <w:pPr>
        <w:pStyle w:val="NormalWeb"/>
        <w:spacing w:line="480" w:lineRule="auto"/>
        <w:jc w:val="center"/>
        <w:rPr>
          <w:rFonts w:ascii="Arial" w:hAnsi="Arial"/>
          <w:b/>
          <w:i/>
          <w:sz w:val="28"/>
          <w:lang w:val="en-US"/>
        </w:rPr>
      </w:pPr>
      <w:r>
        <w:rPr>
          <w:noProof/>
          <w:lang w:eastAsia="es-ES"/>
        </w:rPr>
        <w:drawing>
          <wp:anchor distT="0" distB="0" distL="114300" distR="114300" simplePos="0" relativeHeight="251662848" behindDoc="0" locked="0" layoutInCell="0" allowOverlap="1">
            <wp:simplePos x="0" y="0"/>
            <wp:positionH relativeFrom="column">
              <wp:posOffset>97155</wp:posOffset>
            </wp:positionH>
            <wp:positionV relativeFrom="paragraph">
              <wp:posOffset>680720</wp:posOffset>
            </wp:positionV>
            <wp:extent cx="5143500" cy="2757170"/>
            <wp:effectExtent l="0" t="0" r="0" b="0"/>
            <wp:wrapTopAndBottom/>
            <wp:docPr id="49" name="Objeto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2E32FF">
        <w:rPr>
          <w:rFonts w:ascii="Arial" w:hAnsi="Arial"/>
          <w:b/>
          <w:i/>
          <w:sz w:val="28"/>
          <w:lang w:val="en-US"/>
        </w:rPr>
        <w:t>Gráfico n 5.7  Trading Range Break-Out ECUINDEX</w:t>
      </w:r>
    </w:p>
    <w:p w:rsidR="002E32FF" w:rsidRDefault="002E32FF">
      <w:pPr>
        <w:pStyle w:val="NormalWeb"/>
        <w:spacing w:line="480" w:lineRule="auto"/>
        <w:jc w:val="both"/>
        <w:rPr>
          <w:b/>
          <w:sz w:val="20"/>
          <w:lang w:val="es-ES_tradnl"/>
        </w:rPr>
      </w:pPr>
      <w:r>
        <w:rPr>
          <w:rFonts w:ascii="Arial" w:hAnsi="Arial"/>
          <w:sz w:val="28"/>
          <w:lang w:val="en-US"/>
        </w:rPr>
        <w:t xml:space="preserve">        </w:t>
      </w:r>
      <w:r>
        <w:rPr>
          <w:b/>
          <w:sz w:val="20"/>
          <w:lang w:val="es-ES_tradnl"/>
        </w:rPr>
        <w:t>Elaborado por: Autora de la tesis</w:t>
      </w:r>
    </w:p>
    <w:p w:rsidR="002E32FF" w:rsidRDefault="002E32FF">
      <w:pPr>
        <w:pStyle w:val="Epgrafe"/>
        <w:spacing w:before="0" w:after="0"/>
      </w:pPr>
    </w:p>
    <w:p w:rsidR="002E32FF" w:rsidRDefault="002E32FF">
      <w:pPr>
        <w:rPr>
          <w:lang w:val="es-ES_tradnl"/>
        </w:rPr>
      </w:pPr>
    </w:p>
    <w:p w:rsidR="002E32FF" w:rsidRDefault="002E32FF">
      <w:pPr>
        <w:pStyle w:val="Epgrafe"/>
        <w:spacing w:before="0" w:after="0"/>
      </w:pPr>
    </w:p>
    <w:p w:rsidR="002E32FF" w:rsidRDefault="002E32FF">
      <w:pPr>
        <w:rPr>
          <w:lang w:val="es-ES_tradnl"/>
        </w:rPr>
      </w:pPr>
    </w:p>
    <w:p w:rsidR="002E32FF" w:rsidRDefault="005D7CF4">
      <w:pPr>
        <w:pStyle w:val="Epgrafe"/>
        <w:spacing w:before="0" w:after="0"/>
        <w:rPr>
          <w:lang w:val="en-US"/>
        </w:rPr>
      </w:pPr>
      <w:r>
        <w:rPr>
          <w:noProof/>
          <w:lang w:val="es-ES" w:eastAsia="es-ES"/>
        </w:rPr>
        <w:drawing>
          <wp:anchor distT="0" distB="0" distL="114300" distR="114300" simplePos="0" relativeHeight="251652608" behindDoc="0" locked="0" layoutInCell="0" allowOverlap="1">
            <wp:simplePos x="0" y="0"/>
            <wp:positionH relativeFrom="column">
              <wp:posOffset>114300</wp:posOffset>
            </wp:positionH>
            <wp:positionV relativeFrom="paragraph">
              <wp:posOffset>457200</wp:posOffset>
            </wp:positionV>
            <wp:extent cx="5240655" cy="3020060"/>
            <wp:effectExtent l="0" t="0" r="0" b="0"/>
            <wp:wrapTopAndBottom/>
            <wp:docPr id="20"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2E32FF">
        <w:rPr>
          <w:lang w:val="en-US"/>
        </w:rPr>
        <w:t>Gráfico n 5.8 Trading Range Break-Out IPECU</w:t>
      </w:r>
    </w:p>
    <w:p w:rsidR="002E32FF" w:rsidRDefault="002E32FF">
      <w:pPr>
        <w:pStyle w:val="NormalWeb"/>
        <w:spacing w:line="480" w:lineRule="auto"/>
        <w:jc w:val="both"/>
        <w:rPr>
          <w:b/>
          <w:sz w:val="20"/>
          <w:lang w:val="es-ES_tradnl"/>
        </w:rPr>
      </w:pPr>
      <w:r>
        <w:rPr>
          <w:rFonts w:ascii="Arial" w:hAnsi="Arial"/>
          <w:sz w:val="28"/>
          <w:lang w:val="en-US"/>
        </w:rPr>
        <w:t xml:space="preserve">   </w:t>
      </w:r>
      <w:r>
        <w:rPr>
          <w:b/>
          <w:sz w:val="20"/>
          <w:lang w:val="es-ES_tradnl"/>
        </w:rPr>
        <w:t>Elaborado por: Autora de la tesis</w:t>
      </w:r>
    </w:p>
    <w:p w:rsidR="002E32FF" w:rsidRDefault="002E32FF">
      <w:pPr>
        <w:pStyle w:val="NormalWeb"/>
        <w:spacing w:line="480" w:lineRule="auto"/>
        <w:jc w:val="both"/>
        <w:rPr>
          <w:b/>
          <w:sz w:val="20"/>
          <w:lang w:val="es-ES_tradnl"/>
        </w:rPr>
      </w:pPr>
    </w:p>
    <w:p w:rsidR="002E32FF" w:rsidRDefault="002E32FF">
      <w:pPr>
        <w:pStyle w:val="NormalWeb"/>
        <w:spacing w:line="480" w:lineRule="auto"/>
        <w:jc w:val="center"/>
        <w:rPr>
          <w:rFonts w:ascii="Arial" w:hAnsi="Arial"/>
          <w:b/>
          <w:i/>
          <w:sz w:val="28"/>
          <w:lang w:val="en-US"/>
        </w:rPr>
      </w:pPr>
      <w:r>
        <w:rPr>
          <w:rFonts w:ascii="Arial" w:hAnsi="Arial"/>
          <w:b/>
          <w:i/>
          <w:sz w:val="28"/>
          <w:lang w:val="en-US"/>
        </w:rPr>
        <w:t>Gráfico n 5.9 Trading Range Break-Out IRECU</w:t>
      </w:r>
    </w:p>
    <w:p w:rsidR="002E32FF" w:rsidRDefault="005D7CF4">
      <w:pPr>
        <w:pStyle w:val="NormalWeb"/>
        <w:spacing w:line="480" w:lineRule="auto"/>
        <w:rPr>
          <w:b/>
          <w:sz w:val="20"/>
          <w:lang w:val="es-ES_tradnl"/>
        </w:rPr>
      </w:pPr>
      <w:r>
        <w:rPr>
          <w:noProof/>
          <w:lang w:eastAsia="es-ES"/>
        </w:rPr>
        <w:drawing>
          <wp:anchor distT="0" distB="0" distL="114300" distR="114300" simplePos="0" relativeHeight="251653632" behindDoc="0" locked="0" layoutInCell="0" allowOverlap="1">
            <wp:simplePos x="0" y="0"/>
            <wp:positionH relativeFrom="column">
              <wp:posOffset>228600</wp:posOffset>
            </wp:positionH>
            <wp:positionV relativeFrom="paragraph">
              <wp:posOffset>60960</wp:posOffset>
            </wp:positionV>
            <wp:extent cx="5120640" cy="2834640"/>
            <wp:effectExtent l="0" t="0" r="0" b="0"/>
            <wp:wrapTopAndBottom/>
            <wp:docPr id="10"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2E32FF" w:rsidRPr="002E32FF">
        <w:rPr>
          <w:rFonts w:ascii="Arial" w:hAnsi="Arial"/>
          <w:b/>
          <w:i/>
          <w:sz w:val="28"/>
        </w:rPr>
        <w:t xml:space="preserve">   </w:t>
      </w:r>
      <w:r w:rsidR="002E32FF" w:rsidRPr="002E32FF">
        <w:rPr>
          <w:b/>
          <w:sz w:val="16"/>
        </w:rPr>
        <w:t xml:space="preserve">      </w:t>
      </w:r>
      <w:r w:rsidR="002E32FF">
        <w:rPr>
          <w:b/>
          <w:sz w:val="20"/>
          <w:lang w:val="es-ES_tradnl"/>
        </w:rPr>
        <w:t>Elaborado por: Autora de la tesis</w:t>
      </w:r>
    </w:p>
    <w:p w:rsidR="002E32FF" w:rsidRDefault="002E32FF">
      <w:pPr>
        <w:pStyle w:val="NormalWeb"/>
        <w:spacing w:line="480" w:lineRule="auto"/>
        <w:jc w:val="both"/>
        <w:rPr>
          <w:rFonts w:ascii="Arial" w:hAnsi="Arial"/>
        </w:rPr>
      </w:pPr>
      <w:r>
        <w:rPr>
          <w:rFonts w:ascii="Arial" w:hAnsi="Arial"/>
          <w:sz w:val="28"/>
          <w:lang w:val="es-ES_tradnl"/>
        </w:rPr>
        <w:t xml:space="preserve">    </w:t>
      </w:r>
      <w:r>
        <w:rPr>
          <w:rFonts w:ascii="Arial" w:hAnsi="Arial"/>
        </w:rPr>
        <w:t>El análisis es muy sencillo en esta regla, una señal de compra es generada cuando el precio excede la línea de resistencia (máximo local), por el contrario una señal de venta ocurre cuando el precio cae por debajo de la línea de soporte (mínimo local). Con esto procederemos a analizar cada una de las gráficas.</w:t>
      </w:r>
    </w:p>
    <w:p w:rsidR="002E32FF" w:rsidRDefault="002E32FF">
      <w:pPr>
        <w:pStyle w:val="NormalWeb"/>
        <w:spacing w:line="480" w:lineRule="auto"/>
        <w:jc w:val="both"/>
        <w:rPr>
          <w:rFonts w:ascii="Arial" w:hAnsi="Arial"/>
        </w:rPr>
      </w:pPr>
      <w:r>
        <w:rPr>
          <w:rFonts w:ascii="Arial" w:hAnsi="Arial"/>
        </w:rPr>
        <w:t xml:space="preserve">    Como se puede notar en el ECUINDEX, IPECU e IRECU, existe más una clara señal de venta que de compra a pesar de que existen puntos donde roza la línea de resistencia, pero a lo largo de la senda los precios de estos tres índices se establecen más cerca de la línea de soporte hasta llegar a toparla en muchas ocasiones.</w:t>
      </w:r>
    </w:p>
    <w:p w:rsidR="002E32FF" w:rsidRDefault="002E32FF">
      <w:pPr>
        <w:pStyle w:val="NormalWeb"/>
        <w:spacing w:line="480" w:lineRule="auto"/>
        <w:jc w:val="both"/>
        <w:rPr>
          <w:rFonts w:ascii="Arial" w:hAnsi="Arial"/>
        </w:rPr>
      </w:pPr>
      <w:r>
        <w:rPr>
          <w:rFonts w:ascii="Arial" w:hAnsi="Arial"/>
        </w:rPr>
        <w:t xml:space="preserve">    No es de sorprenderse que arroje este resultado si vemos con las reglas anteriores siempre se mantiene más la señal de venta que de compra en los tres índices bursátiles.</w:t>
      </w: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b/>
          <w:sz w:val="28"/>
        </w:rPr>
      </w:pPr>
      <w:r>
        <w:rPr>
          <w:rFonts w:ascii="Arial" w:hAnsi="Arial"/>
          <w:b/>
          <w:sz w:val="28"/>
        </w:rPr>
        <w:t>5.3.4 Oscilador ROC</w:t>
      </w:r>
    </w:p>
    <w:p w:rsidR="002E32FF" w:rsidRDefault="002E32FF">
      <w:pPr>
        <w:pStyle w:val="NormalWeb"/>
        <w:jc w:val="both"/>
        <w:rPr>
          <w:rFonts w:ascii="Arial" w:hAnsi="Arial"/>
          <w:b/>
          <w:sz w:val="28"/>
        </w:rPr>
      </w:pPr>
      <w:r>
        <w:rPr>
          <w:rFonts w:ascii="Arial" w:hAnsi="Arial"/>
          <w:b/>
          <w:sz w:val="28"/>
        </w:rPr>
        <w:t xml:space="preserve"> </w:t>
      </w:r>
    </w:p>
    <w:p w:rsidR="002E32FF" w:rsidRDefault="002E32FF">
      <w:pPr>
        <w:pStyle w:val="NormalWeb"/>
        <w:spacing w:line="480" w:lineRule="auto"/>
        <w:jc w:val="both"/>
        <w:rPr>
          <w:rFonts w:ascii="Arial" w:hAnsi="Arial"/>
        </w:rPr>
      </w:pPr>
      <w:r>
        <w:rPr>
          <w:rFonts w:ascii="Arial" w:hAnsi="Arial"/>
          <w:b/>
          <w:sz w:val="28"/>
        </w:rPr>
        <w:t xml:space="preserve">    </w:t>
      </w:r>
      <w:r>
        <w:rPr>
          <w:rFonts w:ascii="Arial" w:hAnsi="Arial"/>
        </w:rPr>
        <w:t>El análisis de este oscilador es muy sencillo, si la gráfica del oscilador corta de abajo hacia arriba la línea de referencia que es 100 es una señal de compra y si la corta de arriba hacia abajo es señal de venta, a continuación mostraremos las gráficas de los osciladores correspondientes a los índices ECUINDEX, IPECU e IRECU posteriormente se analizarán los resultados.</w:t>
      </w:r>
    </w:p>
    <w:p w:rsidR="002E32FF" w:rsidRDefault="005D7CF4">
      <w:pPr>
        <w:pStyle w:val="NormalWeb"/>
        <w:spacing w:line="480" w:lineRule="auto"/>
        <w:jc w:val="center"/>
        <w:rPr>
          <w:rFonts w:ascii="Arial" w:hAnsi="Arial"/>
          <w:b/>
          <w:i/>
          <w:sz w:val="28"/>
        </w:rPr>
      </w:pPr>
      <w:r>
        <w:rPr>
          <w:noProof/>
          <w:lang w:eastAsia="es-ES"/>
        </w:rPr>
        <w:drawing>
          <wp:anchor distT="0" distB="0" distL="114300" distR="114300" simplePos="0" relativeHeight="251655680" behindDoc="0" locked="0" layoutInCell="0" allowOverlap="1">
            <wp:simplePos x="0" y="0"/>
            <wp:positionH relativeFrom="column">
              <wp:posOffset>-17145</wp:posOffset>
            </wp:positionH>
            <wp:positionV relativeFrom="paragraph">
              <wp:posOffset>505460</wp:posOffset>
            </wp:positionV>
            <wp:extent cx="5412105" cy="2743200"/>
            <wp:effectExtent l="0" t="0" r="0" b="0"/>
            <wp:wrapTopAndBottom/>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2E32FF">
        <w:rPr>
          <w:rFonts w:ascii="Arial" w:hAnsi="Arial"/>
          <w:b/>
          <w:i/>
          <w:sz w:val="28"/>
        </w:rPr>
        <w:t>Gráfico n 5.10 ROC – ECUINDEX</w:t>
      </w:r>
    </w:p>
    <w:p w:rsidR="002E32FF" w:rsidRDefault="002E32FF">
      <w:pPr>
        <w:pStyle w:val="NormalWeb"/>
        <w:spacing w:line="480" w:lineRule="auto"/>
        <w:rPr>
          <w:rFonts w:ascii="Arial" w:hAnsi="Arial"/>
          <w:b/>
          <w:i/>
          <w:sz w:val="28"/>
        </w:rPr>
      </w:pPr>
      <w:r>
        <w:rPr>
          <w:b/>
          <w:sz w:val="20"/>
          <w:lang w:val="es-ES_tradnl"/>
        </w:rPr>
        <w:t xml:space="preserve">  Elaborado por: Autora de la tesis</w:t>
      </w:r>
    </w:p>
    <w:p w:rsidR="002E32FF" w:rsidRDefault="002E32FF">
      <w:pPr>
        <w:pStyle w:val="NormalWeb"/>
        <w:jc w:val="center"/>
        <w:rPr>
          <w:rFonts w:ascii="Arial" w:hAnsi="Arial"/>
          <w:b/>
          <w:i/>
          <w:sz w:val="28"/>
        </w:rPr>
      </w:pPr>
    </w:p>
    <w:p w:rsidR="002E32FF" w:rsidRDefault="005D7CF4">
      <w:pPr>
        <w:pStyle w:val="NormalWeb"/>
        <w:spacing w:line="480" w:lineRule="auto"/>
        <w:jc w:val="center"/>
        <w:rPr>
          <w:rFonts w:ascii="Arial" w:hAnsi="Arial"/>
          <w:b/>
          <w:i/>
          <w:sz w:val="28"/>
        </w:rPr>
      </w:pPr>
      <w:r>
        <w:rPr>
          <w:noProof/>
          <w:lang w:eastAsia="es-ES"/>
        </w:rPr>
        <w:drawing>
          <wp:anchor distT="0" distB="0" distL="114300" distR="114300" simplePos="0" relativeHeight="251656704" behindDoc="0" locked="0" layoutInCell="0" allowOverlap="1">
            <wp:simplePos x="0" y="0"/>
            <wp:positionH relativeFrom="column">
              <wp:posOffset>97155</wp:posOffset>
            </wp:positionH>
            <wp:positionV relativeFrom="paragraph">
              <wp:posOffset>538480</wp:posOffset>
            </wp:positionV>
            <wp:extent cx="5320665" cy="2971800"/>
            <wp:effectExtent l="0" t="0" r="0" b="0"/>
            <wp:wrapTopAndBottom/>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2E32FF">
        <w:rPr>
          <w:rFonts w:ascii="Arial" w:hAnsi="Arial"/>
          <w:b/>
          <w:i/>
          <w:sz w:val="28"/>
        </w:rPr>
        <w:t>Gráfico n 5.11 ROC – IPECU</w:t>
      </w:r>
      <w:r w:rsidR="002E32FF">
        <w:rPr>
          <w:b/>
          <w:sz w:val="20"/>
          <w:lang w:val="es-ES_tradnl"/>
        </w:rPr>
        <w:t xml:space="preserve">     </w:t>
      </w:r>
    </w:p>
    <w:p w:rsidR="002E32FF" w:rsidRDefault="002E32FF">
      <w:r>
        <w:rPr>
          <w:b/>
          <w:lang w:val="es-ES_tradnl"/>
        </w:rPr>
        <w:t xml:space="preserve">     Elaborado por: Autora de la tesis</w:t>
      </w:r>
    </w:p>
    <w:p w:rsidR="002E32FF" w:rsidRDefault="002E32FF"/>
    <w:p w:rsidR="002E32FF" w:rsidRDefault="002E32FF"/>
    <w:p w:rsidR="002E32FF" w:rsidRDefault="002E32FF"/>
    <w:p w:rsidR="002E32FF" w:rsidRDefault="005D7CF4">
      <w:pPr>
        <w:pStyle w:val="NormalWeb"/>
        <w:spacing w:line="480" w:lineRule="auto"/>
        <w:jc w:val="center"/>
        <w:rPr>
          <w:rFonts w:ascii="Arial" w:hAnsi="Arial"/>
          <w:b/>
          <w:i/>
          <w:sz w:val="28"/>
        </w:rPr>
      </w:pPr>
      <w:r>
        <w:rPr>
          <w:rFonts w:ascii="Arial" w:hAnsi="Arial"/>
          <w:b/>
          <w:noProof/>
          <w:sz w:val="28"/>
          <w:lang w:eastAsia="es-ES"/>
        </w:rPr>
        <w:drawing>
          <wp:anchor distT="0" distB="0" distL="114300" distR="114300" simplePos="0" relativeHeight="251668992" behindDoc="0" locked="0" layoutInCell="0" allowOverlap="1">
            <wp:simplePos x="0" y="0"/>
            <wp:positionH relativeFrom="column">
              <wp:posOffset>-17145</wp:posOffset>
            </wp:positionH>
            <wp:positionV relativeFrom="paragraph">
              <wp:posOffset>619760</wp:posOffset>
            </wp:positionV>
            <wp:extent cx="5229225" cy="2833370"/>
            <wp:effectExtent l="0" t="0" r="0" b="0"/>
            <wp:wrapTopAndBottom/>
            <wp:docPr id="60" name="Objeto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2E32FF">
        <w:rPr>
          <w:rFonts w:ascii="Arial" w:hAnsi="Arial"/>
          <w:b/>
          <w:i/>
          <w:sz w:val="28"/>
        </w:rPr>
        <w:t>Gráfico n 5.12 ROC – IRECU</w:t>
      </w:r>
    </w:p>
    <w:p w:rsidR="002E32FF" w:rsidRDefault="002E32FF">
      <w:pPr>
        <w:pStyle w:val="NormalWeb"/>
        <w:spacing w:line="480" w:lineRule="auto"/>
        <w:rPr>
          <w:rFonts w:ascii="Arial" w:hAnsi="Arial"/>
          <w:b/>
          <w:i/>
          <w:sz w:val="28"/>
        </w:rPr>
      </w:pPr>
      <w:r>
        <w:rPr>
          <w:b/>
          <w:sz w:val="20"/>
          <w:lang w:val="es-ES_tradnl"/>
        </w:rPr>
        <w:t xml:space="preserve">  Elaborado por: Autora de la tesis</w:t>
      </w:r>
    </w:p>
    <w:p w:rsidR="002E32FF" w:rsidRDefault="002E32FF">
      <w:pPr>
        <w:pStyle w:val="NormalWeb"/>
        <w:spacing w:line="480" w:lineRule="auto"/>
        <w:jc w:val="both"/>
        <w:rPr>
          <w:rFonts w:ascii="Arial" w:hAnsi="Arial"/>
          <w:b/>
          <w:sz w:val="28"/>
        </w:rPr>
      </w:pPr>
    </w:p>
    <w:p w:rsidR="002E32FF" w:rsidRDefault="002E32FF">
      <w:pPr>
        <w:pStyle w:val="NormalWeb"/>
        <w:spacing w:line="480" w:lineRule="auto"/>
        <w:jc w:val="both"/>
        <w:rPr>
          <w:rFonts w:ascii="Arial" w:hAnsi="Arial"/>
        </w:rPr>
      </w:pPr>
      <w:r>
        <w:rPr>
          <w:rFonts w:ascii="Arial" w:hAnsi="Arial"/>
          <w:b/>
          <w:sz w:val="28"/>
        </w:rPr>
        <w:t xml:space="preserve">   </w:t>
      </w:r>
      <w:r>
        <w:rPr>
          <w:rFonts w:ascii="Arial" w:hAnsi="Arial"/>
        </w:rPr>
        <w:t xml:space="preserve"> Como podemos ver las tres gráficas siguen la misma tendencia, existen más señales de compra que de venta exceptuando la gráfica de ECUINDEX en donde se presenta lo contrario, es decir mayor señales de venta. En términos de rentabilidad de la riqueza, los tres índices bursátiles presentan la misma situación, la rentabilidad de la riqueza naive es mayor a la rentabilidad de la riqueza sin aplicar la estrategia del ingenuo por lo tanto se demuestra con esto que en nuestro mercado la utilización de estas herramientas de análisis técnico no son muy útiles en términos de ganancia para el inversionista.</w:t>
      </w: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b/>
          <w:sz w:val="28"/>
        </w:rPr>
      </w:pPr>
      <w:r>
        <w:rPr>
          <w:rFonts w:ascii="Arial" w:hAnsi="Arial"/>
          <w:b/>
          <w:sz w:val="28"/>
        </w:rPr>
        <w:t>5.3.5 Oscilador RSI</w:t>
      </w:r>
    </w:p>
    <w:p w:rsidR="002E32FF" w:rsidRDefault="002E32FF">
      <w:pPr>
        <w:pStyle w:val="NormalWeb"/>
        <w:spacing w:line="480" w:lineRule="auto"/>
        <w:jc w:val="both"/>
        <w:rPr>
          <w:rFonts w:ascii="Arial" w:hAnsi="Arial"/>
          <w:b/>
          <w:sz w:val="28"/>
        </w:rPr>
      </w:pPr>
    </w:p>
    <w:p w:rsidR="002E32FF" w:rsidRDefault="002E32FF">
      <w:pPr>
        <w:pStyle w:val="NormalWeb"/>
        <w:spacing w:line="480" w:lineRule="auto"/>
        <w:jc w:val="both"/>
        <w:rPr>
          <w:rFonts w:ascii="Arial" w:hAnsi="Arial"/>
        </w:rPr>
      </w:pPr>
      <w:r>
        <w:rPr>
          <w:rFonts w:ascii="Arial" w:hAnsi="Arial"/>
          <w:b/>
          <w:sz w:val="28"/>
        </w:rPr>
        <w:t xml:space="preserve">    </w:t>
      </w:r>
      <w:r>
        <w:rPr>
          <w:rFonts w:ascii="Arial" w:hAnsi="Arial"/>
        </w:rPr>
        <w:t xml:space="preserve">Para analizar las señales de compra o venta el gráfico se divide en tres zonas o bandas horizontales, siendo la banda central el número </w:t>
      </w:r>
      <w:smartTag w:uri="urn:schemas-microsoft-com:office:smarttags" w:element="metricconverter">
        <w:smartTagPr>
          <w:attr w:name="ProductID" w:val="50 a"/>
        </w:smartTagPr>
        <w:r>
          <w:rPr>
            <w:rFonts w:ascii="Arial" w:hAnsi="Arial"/>
          </w:rPr>
          <w:t>50 a</w:t>
        </w:r>
      </w:smartTag>
      <w:r>
        <w:rPr>
          <w:rFonts w:ascii="Arial" w:hAnsi="Arial"/>
        </w:rPr>
        <w:t xml:space="preserve"> esta se la denomina zona neutra en donde la gráfica del RSI está próxima a un cambio de tendencia, también se debe de tomar en cuenta que cuando su valor está por encima de 70 el título-valor está sobrecomprado esto es una clara señal de venta y cuando está por debajo de 30 está sobrevendido lo cual es una señal de compra, a continuación se mostraran las gráficas de los índices bursátiles para su posterior análisis.</w:t>
      </w:r>
    </w:p>
    <w:p w:rsidR="002E32FF" w:rsidRDefault="002E32FF">
      <w:pPr>
        <w:pStyle w:val="NormalWeb"/>
        <w:spacing w:line="480" w:lineRule="auto"/>
        <w:jc w:val="center"/>
        <w:rPr>
          <w:rFonts w:ascii="Arial" w:hAnsi="Arial"/>
        </w:rPr>
      </w:pPr>
      <w:r>
        <w:rPr>
          <w:rFonts w:ascii="Arial" w:hAnsi="Arial"/>
          <w:b/>
          <w:i/>
          <w:sz w:val="28"/>
        </w:rPr>
        <w:t>Gráfico n 5.13 RSI – ECUINDEX</w:t>
      </w:r>
    </w:p>
    <w:p w:rsidR="002E32FF" w:rsidRDefault="002E32FF">
      <w:pPr>
        <w:pStyle w:val="NormalWeb"/>
        <w:spacing w:line="480" w:lineRule="auto"/>
        <w:ind w:left="142" w:hanging="142"/>
        <w:jc w:val="both"/>
        <w:rPr>
          <w:b/>
          <w:sz w:val="20"/>
          <w:lang w:val="es-ES_tradnl"/>
        </w:rPr>
      </w:pPr>
      <w:r>
        <w:rPr>
          <w:b/>
          <w:sz w:val="20"/>
          <w:lang w:val="es-ES_tradnl"/>
        </w:rPr>
        <w:t xml:space="preserve">  </w:t>
      </w:r>
      <w:r w:rsidR="005D7CF4">
        <w:rPr>
          <w:noProof/>
          <w:lang w:eastAsia="es-ES"/>
        </w:rPr>
        <w:drawing>
          <wp:inline distT="0" distB="0" distL="0" distR="0">
            <wp:extent cx="5143500" cy="2743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5143500" cy="2743200"/>
                    </a:xfrm>
                    <a:prstGeom prst="rect">
                      <a:avLst/>
                    </a:prstGeom>
                    <a:noFill/>
                    <a:ln w="9525">
                      <a:noFill/>
                      <a:miter lim="800000"/>
                      <a:headEnd/>
                      <a:tailEnd/>
                    </a:ln>
                  </pic:spPr>
                </pic:pic>
              </a:graphicData>
            </a:graphic>
          </wp:inline>
        </w:drawing>
      </w:r>
      <w:r>
        <w:rPr>
          <w:b/>
          <w:sz w:val="20"/>
          <w:lang w:val="es-ES_tradnl"/>
        </w:rPr>
        <w:t xml:space="preserve">               Elaborado por: Autora de la tesis</w:t>
      </w:r>
    </w:p>
    <w:p w:rsidR="002E32FF" w:rsidRDefault="002E32FF">
      <w:pPr>
        <w:pStyle w:val="NormalWeb"/>
        <w:spacing w:line="480" w:lineRule="auto"/>
        <w:ind w:left="142" w:hanging="142"/>
        <w:jc w:val="both"/>
        <w:rPr>
          <w:b/>
          <w:sz w:val="20"/>
          <w:lang w:val="es-ES_tradnl"/>
        </w:rPr>
      </w:pPr>
    </w:p>
    <w:p w:rsidR="002E32FF" w:rsidRDefault="002E32FF">
      <w:pPr>
        <w:pStyle w:val="NormalWeb"/>
        <w:spacing w:line="480" w:lineRule="auto"/>
        <w:jc w:val="center"/>
        <w:rPr>
          <w:rFonts w:ascii="Arial" w:hAnsi="Arial"/>
          <w:b/>
          <w:sz w:val="28"/>
        </w:rPr>
      </w:pPr>
      <w:r>
        <w:rPr>
          <w:rFonts w:ascii="Arial" w:hAnsi="Arial"/>
          <w:b/>
          <w:i/>
          <w:sz w:val="28"/>
        </w:rPr>
        <w:t>Gráfico n 5.14  RSI – IPECU</w:t>
      </w:r>
      <w:r>
        <w:t xml:space="preserve"> </w:t>
      </w:r>
    </w:p>
    <w:p w:rsidR="002E32FF" w:rsidRDefault="002E32FF">
      <w:pPr>
        <w:pStyle w:val="NormalWeb"/>
        <w:spacing w:line="480" w:lineRule="auto"/>
        <w:jc w:val="both"/>
        <w:rPr>
          <w:b/>
          <w:sz w:val="20"/>
          <w:lang w:val="es-ES_tradnl"/>
        </w:rPr>
      </w:pPr>
      <w:r>
        <w:rPr>
          <w:b/>
          <w:sz w:val="20"/>
          <w:lang w:val="es-ES_tradnl"/>
        </w:rPr>
        <w:t xml:space="preserve">  </w:t>
      </w:r>
      <w:r w:rsidR="005D7CF4">
        <w:rPr>
          <w:noProof/>
          <w:lang w:eastAsia="es-ES"/>
        </w:rPr>
        <w:drawing>
          <wp:inline distT="0" distB="0" distL="0" distR="0">
            <wp:extent cx="5067300" cy="2705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5067300" cy="2705100"/>
                    </a:xfrm>
                    <a:prstGeom prst="rect">
                      <a:avLst/>
                    </a:prstGeom>
                    <a:noFill/>
                    <a:ln w="9525">
                      <a:noFill/>
                      <a:miter lim="800000"/>
                      <a:headEnd/>
                      <a:tailEnd/>
                    </a:ln>
                  </pic:spPr>
                </pic:pic>
              </a:graphicData>
            </a:graphic>
          </wp:inline>
        </w:drawing>
      </w:r>
    </w:p>
    <w:p w:rsidR="002E32FF" w:rsidRDefault="002E32FF">
      <w:pPr>
        <w:pStyle w:val="NormalWeb"/>
        <w:jc w:val="both"/>
        <w:rPr>
          <w:b/>
          <w:sz w:val="20"/>
          <w:lang w:val="es-ES_tradnl"/>
        </w:rPr>
      </w:pPr>
      <w:r>
        <w:rPr>
          <w:b/>
          <w:sz w:val="20"/>
          <w:lang w:val="es-ES_tradnl"/>
        </w:rPr>
        <w:t xml:space="preserve">    Elaborado por: Autora de la tesis</w:t>
      </w:r>
    </w:p>
    <w:p w:rsidR="002E32FF" w:rsidRDefault="002E32FF">
      <w:pPr>
        <w:pStyle w:val="NormalWeb"/>
        <w:spacing w:line="480" w:lineRule="auto"/>
        <w:jc w:val="center"/>
        <w:rPr>
          <w:rFonts w:ascii="Arial" w:hAnsi="Arial"/>
          <w:b/>
          <w:i/>
          <w:sz w:val="28"/>
        </w:rPr>
      </w:pPr>
    </w:p>
    <w:p w:rsidR="002E32FF" w:rsidRDefault="002E32FF">
      <w:pPr>
        <w:pStyle w:val="NormalWeb"/>
        <w:spacing w:line="480" w:lineRule="auto"/>
        <w:jc w:val="center"/>
        <w:rPr>
          <w:rFonts w:ascii="Arial" w:hAnsi="Arial"/>
          <w:b/>
          <w:i/>
          <w:sz w:val="28"/>
        </w:rPr>
      </w:pPr>
      <w:r>
        <w:rPr>
          <w:rFonts w:ascii="Arial" w:hAnsi="Arial"/>
          <w:b/>
          <w:i/>
          <w:sz w:val="28"/>
        </w:rPr>
        <w:t>Gráfico n 5.15  RSI – IRECU</w:t>
      </w:r>
    </w:p>
    <w:p w:rsidR="002E32FF" w:rsidRDefault="005D7CF4">
      <w:pPr>
        <w:pStyle w:val="NormalWeb"/>
        <w:spacing w:line="480" w:lineRule="auto"/>
        <w:jc w:val="center"/>
        <w:rPr>
          <w:rFonts w:ascii="Arial" w:hAnsi="Arial"/>
          <w:b/>
          <w:sz w:val="28"/>
        </w:rPr>
      </w:pPr>
      <w:r>
        <w:rPr>
          <w:noProof/>
          <w:lang w:eastAsia="es-ES"/>
        </w:rPr>
        <w:drawing>
          <wp:inline distT="0" distB="0" distL="0" distR="0">
            <wp:extent cx="4940300" cy="2603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4940300" cy="2603500"/>
                    </a:xfrm>
                    <a:prstGeom prst="rect">
                      <a:avLst/>
                    </a:prstGeom>
                    <a:noFill/>
                    <a:ln w="9525">
                      <a:noFill/>
                      <a:miter lim="800000"/>
                      <a:headEnd/>
                      <a:tailEnd/>
                    </a:ln>
                  </pic:spPr>
                </pic:pic>
              </a:graphicData>
            </a:graphic>
          </wp:inline>
        </w:drawing>
      </w:r>
    </w:p>
    <w:p w:rsidR="002E32FF" w:rsidRDefault="002E32FF">
      <w:pPr>
        <w:pStyle w:val="NormalWeb"/>
        <w:spacing w:line="480" w:lineRule="auto"/>
        <w:jc w:val="both"/>
        <w:rPr>
          <w:b/>
          <w:sz w:val="20"/>
          <w:lang w:val="es-ES_tradnl"/>
        </w:rPr>
      </w:pPr>
      <w:r>
        <w:rPr>
          <w:b/>
          <w:sz w:val="20"/>
          <w:lang w:val="es-ES_tradnl"/>
        </w:rPr>
        <w:t xml:space="preserve">      Elaborado por: Autora de la tesis</w:t>
      </w:r>
    </w:p>
    <w:p w:rsidR="002E32FF" w:rsidRDefault="002E32FF">
      <w:pPr>
        <w:pStyle w:val="NormalWeb"/>
        <w:spacing w:line="480" w:lineRule="auto"/>
        <w:jc w:val="both"/>
        <w:rPr>
          <w:rFonts w:ascii="Arial" w:hAnsi="Arial"/>
        </w:rPr>
      </w:pPr>
      <w:r>
        <w:rPr>
          <w:rFonts w:ascii="Arial" w:hAnsi="Arial"/>
          <w:b/>
          <w:sz w:val="28"/>
        </w:rPr>
        <w:t xml:space="preserve">    </w:t>
      </w:r>
      <w:r>
        <w:rPr>
          <w:rFonts w:ascii="Arial" w:hAnsi="Arial"/>
        </w:rPr>
        <w:t>Los gráficos muestran una alta tendencia a un próximo cambio de la misma a lo largo del periodo, sin embargo en la mayoría de veces se presentan más señales de compra que de venta esto quiere decir que el título – valor se encuentra sobrevendido, en términos de rentabilidad de riqueza sucede el mismo caso que el del oscilador ROC la riqueza naive es mucho mayor que la riqueza sin esta estrategia en términos de rentabilidad.</w:t>
      </w:r>
    </w:p>
    <w:p w:rsidR="002E32FF" w:rsidRDefault="002E32FF">
      <w:pPr>
        <w:pStyle w:val="NormalWeb"/>
        <w:spacing w:line="480" w:lineRule="auto"/>
        <w:jc w:val="both"/>
        <w:rPr>
          <w:rFonts w:ascii="Arial" w:hAnsi="Arial"/>
          <w:b/>
          <w:sz w:val="28"/>
        </w:rPr>
      </w:pPr>
    </w:p>
    <w:p w:rsidR="002E32FF" w:rsidRDefault="002E32FF">
      <w:pPr>
        <w:pStyle w:val="NormalWeb"/>
        <w:spacing w:line="480" w:lineRule="auto"/>
        <w:jc w:val="both"/>
        <w:rPr>
          <w:rFonts w:ascii="Arial" w:hAnsi="Arial"/>
          <w:b/>
          <w:sz w:val="28"/>
        </w:rPr>
      </w:pPr>
      <w:r>
        <w:rPr>
          <w:rFonts w:ascii="Arial" w:hAnsi="Arial"/>
          <w:b/>
          <w:sz w:val="28"/>
        </w:rPr>
        <w:t>5.3.6 Oscilador % K</w:t>
      </w:r>
    </w:p>
    <w:p w:rsidR="002E32FF" w:rsidRDefault="002E32FF">
      <w:pPr>
        <w:pStyle w:val="NormalWeb"/>
        <w:spacing w:line="480" w:lineRule="auto"/>
        <w:jc w:val="both"/>
        <w:rPr>
          <w:rFonts w:ascii="Arial" w:hAnsi="Arial"/>
        </w:rPr>
      </w:pPr>
      <w:r>
        <w:rPr>
          <w:rFonts w:ascii="Arial" w:hAnsi="Arial"/>
        </w:rPr>
        <w:t xml:space="preserve">    El análisis de este oscilador parte de las siguientes normas generales:</w:t>
      </w:r>
    </w:p>
    <w:p w:rsidR="002E32FF" w:rsidRDefault="002E32FF">
      <w:pPr>
        <w:pStyle w:val="NormalWeb"/>
        <w:numPr>
          <w:ilvl w:val="0"/>
          <w:numId w:val="15"/>
        </w:numPr>
        <w:tabs>
          <w:tab w:val="clear" w:pos="360"/>
          <w:tab w:val="num" w:pos="1134"/>
        </w:tabs>
        <w:spacing w:line="480" w:lineRule="auto"/>
        <w:ind w:left="1134" w:hanging="283"/>
        <w:jc w:val="both"/>
        <w:rPr>
          <w:rFonts w:ascii="Arial" w:hAnsi="Arial"/>
        </w:rPr>
      </w:pPr>
      <w:r>
        <w:rPr>
          <w:rFonts w:ascii="Arial" w:hAnsi="Arial"/>
        </w:rPr>
        <w:t>Se debe comprar cuando la curva del %K esté subiendo y cruzando el valor de sobreventa que es el 20%.</w:t>
      </w:r>
    </w:p>
    <w:p w:rsidR="002E32FF" w:rsidRDefault="002E32FF">
      <w:pPr>
        <w:pStyle w:val="NormalWeb"/>
        <w:numPr>
          <w:ilvl w:val="0"/>
          <w:numId w:val="15"/>
        </w:numPr>
        <w:tabs>
          <w:tab w:val="clear" w:pos="360"/>
          <w:tab w:val="num" w:pos="1134"/>
        </w:tabs>
        <w:spacing w:line="480" w:lineRule="auto"/>
        <w:ind w:left="1134" w:hanging="283"/>
        <w:jc w:val="both"/>
        <w:rPr>
          <w:rFonts w:ascii="Arial" w:hAnsi="Arial"/>
        </w:rPr>
      </w:pPr>
      <w:r>
        <w:rPr>
          <w:rFonts w:ascii="Arial" w:hAnsi="Arial"/>
        </w:rPr>
        <w:t>Se debe comprar cuando la curva del %K esté disminuyendo y cruzando el valor de sobrecompra que es el 80%.</w:t>
      </w:r>
    </w:p>
    <w:p w:rsidR="002E32FF" w:rsidRDefault="002E32FF">
      <w:pPr>
        <w:pStyle w:val="NormalWeb"/>
        <w:spacing w:line="480" w:lineRule="auto"/>
        <w:ind w:left="851"/>
        <w:jc w:val="both"/>
        <w:rPr>
          <w:rFonts w:ascii="Arial" w:hAnsi="Arial"/>
        </w:rPr>
      </w:pPr>
    </w:p>
    <w:p w:rsidR="002E32FF" w:rsidRDefault="002E32FF">
      <w:pPr>
        <w:pStyle w:val="NormalWeb"/>
        <w:spacing w:line="480" w:lineRule="auto"/>
        <w:jc w:val="both"/>
        <w:rPr>
          <w:rFonts w:ascii="Arial" w:hAnsi="Arial"/>
        </w:rPr>
      </w:pPr>
      <w:r>
        <w:rPr>
          <w:rFonts w:ascii="Arial" w:hAnsi="Arial"/>
        </w:rPr>
        <w:t xml:space="preserve">    Cuando el valor se sitúa entre 20% y 80% no hay señal ni de compra ni de venta y la recomendación sería esperar. A continuación se presentan las gráficas de los índices bursátiles para su respectivo análisis.</w:t>
      </w:r>
    </w:p>
    <w:p w:rsidR="002E32FF" w:rsidRDefault="002E32FF">
      <w:pPr>
        <w:pStyle w:val="NormalWeb"/>
        <w:spacing w:line="480" w:lineRule="auto"/>
        <w:jc w:val="both"/>
        <w:rPr>
          <w:rFonts w:ascii="Arial" w:hAnsi="Arial"/>
        </w:rPr>
      </w:pPr>
    </w:p>
    <w:p w:rsidR="002E32FF" w:rsidRDefault="002E32FF">
      <w:pPr>
        <w:pStyle w:val="NormalWeb"/>
        <w:spacing w:line="480" w:lineRule="auto"/>
        <w:ind w:left="340"/>
        <w:rPr>
          <w:b/>
          <w:sz w:val="20"/>
          <w:lang w:val="es-ES_tradnl"/>
        </w:rPr>
      </w:pPr>
      <w:r>
        <w:rPr>
          <w:rFonts w:ascii="Arial" w:hAnsi="Arial"/>
          <w:b/>
          <w:i/>
        </w:rPr>
        <w:t xml:space="preserve">                                Gráfico n 5.16  %K – ECUINDEX</w:t>
      </w:r>
      <w:r>
        <w:t xml:space="preserve"> </w:t>
      </w:r>
      <w:r w:rsidR="005D7CF4">
        <w:rPr>
          <w:noProof/>
          <w:lang w:eastAsia="es-ES"/>
        </w:rPr>
        <w:drawing>
          <wp:inline distT="0" distB="0" distL="0" distR="0">
            <wp:extent cx="5118100" cy="3263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5118100" cy="3263900"/>
                    </a:xfrm>
                    <a:prstGeom prst="rect">
                      <a:avLst/>
                    </a:prstGeom>
                    <a:noFill/>
                    <a:ln w="9525">
                      <a:noFill/>
                      <a:miter lim="800000"/>
                      <a:headEnd/>
                      <a:tailEnd/>
                    </a:ln>
                  </pic:spPr>
                </pic:pic>
              </a:graphicData>
            </a:graphic>
          </wp:inline>
        </w:drawing>
      </w:r>
      <w:r>
        <w:rPr>
          <w:b/>
          <w:sz w:val="20"/>
          <w:lang w:val="es-ES_tradnl"/>
        </w:rPr>
        <w:t>Elaborado por: Autora de la tesis</w:t>
      </w:r>
    </w:p>
    <w:p w:rsidR="002E32FF" w:rsidRDefault="002E32FF">
      <w:pPr>
        <w:pStyle w:val="NormalWeb"/>
        <w:spacing w:line="480" w:lineRule="auto"/>
        <w:ind w:left="340"/>
        <w:jc w:val="center"/>
        <w:rPr>
          <w:rFonts w:ascii="Arial" w:hAnsi="Arial"/>
          <w:b/>
          <w:i/>
          <w:sz w:val="28"/>
        </w:rPr>
      </w:pPr>
      <w:r>
        <w:rPr>
          <w:rFonts w:ascii="Arial" w:hAnsi="Arial"/>
          <w:b/>
          <w:i/>
          <w:sz w:val="28"/>
        </w:rPr>
        <w:t>Gráfico n 5.17  %K – IPECU</w:t>
      </w:r>
    </w:p>
    <w:p w:rsidR="002E32FF" w:rsidRDefault="005D7CF4">
      <w:pPr>
        <w:pStyle w:val="NormalWeb"/>
        <w:spacing w:line="480" w:lineRule="auto"/>
      </w:pPr>
      <w:r>
        <w:rPr>
          <w:rFonts w:ascii="Arial" w:hAnsi="Arial"/>
          <w:b/>
          <w:i/>
          <w:noProof/>
          <w:sz w:val="28"/>
          <w:lang w:eastAsia="es-ES"/>
        </w:rPr>
        <w:drawing>
          <wp:anchor distT="0" distB="0" distL="114300" distR="114300" simplePos="0" relativeHeight="251663872" behindDoc="0" locked="0" layoutInCell="0" allowOverlap="1">
            <wp:simplePos x="0" y="0"/>
            <wp:positionH relativeFrom="column">
              <wp:posOffset>-17145</wp:posOffset>
            </wp:positionH>
            <wp:positionV relativeFrom="paragraph">
              <wp:posOffset>113030</wp:posOffset>
            </wp:positionV>
            <wp:extent cx="5503545" cy="2889250"/>
            <wp:effectExtent l="0" t="0" r="0" b="0"/>
            <wp:wrapTopAndBottom/>
            <wp:docPr id="53" name="Objeto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2E32FF">
        <w:rPr>
          <w:b/>
          <w:sz w:val="20"/>
          <w:lang w:val="es-ES_tradnl"/>
        </w:rPr>
        <w:t xml:space="preserve">  Elaborado por: Autora de la tesis</w:t>
      </w:r>
    </w:p>
    <w:p w:rsidR="002E32FF" w:rsidRDefault="005D7CF4">
      <w:pPr>
        <w:pStyle w:val="NormalWeb"/>
        <w:spacing w:line="480" w:lineRule="auto"/>
        <w:jc w:val="center"/>
        <w:rPr>
          <w:rFonts w:ascii="Arial" w:hAnsi="Arial"/>
          <w:b/>
          <w:i/>
          <w:sz w:val="28"/>
        </w:rPr>
      </w:pPr>
      <w:r>
        <w:rPr>
          <w:noProof/>
          <w:lang w:eastAsia="es-ES"/>
        </w:rPr>
        <w:drawing>
          <wp:anchor distT="0" distB="0" distL="114300" distR="114300" simplePos="0" relativeHeight="251654656" behindDoc="0" locked="0" layoutInCell="0" allowOverlap="1">
            <wp:simplePos x="0" y="0"/>
            <wp:positionH relativeFrom="column">
              <wp:posOffset>114300</wp:posOffset>
            </wp:positionH>
            <wp:positionV relativeFrom="paragraph">
              <wp:posOffset>582930</wp:posOffset>
            </wp:positionV>
            <wp:extent cx="5434965" cy="2891790"/>
            <wp:effectExtent l="0" t="0" r="0" b="0"/>
            <wp:wrapTopAndBottom/>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2E32FF">
        <w:rPr>
          <w:rFonts w:ascii="Arial" w:hAnsi="Arial"/>
          <w:b/>
          <w:i/>
          <w:sz w:val="28"/>
        </w:rPr>
        <w:t>Gráfico n 5.18  %K – IRECU</w:t>
      </w:r>
    </w:p>
    <w:p w:rsidR="002E32FF" w:rsidRDefault="002E32FF">
      <w:pPr>
        <w:pStyle w:val="NormalWeb"/>
        <w:spacing w:line="480" w:lineRule="auto"/>
        <w:rPr>
          <w:rFonts w:ascii="Arial" w:hAnsi="Arial"/>
          <w:b/>
          <w:i/>
          <w:sz w:val="28"/>
        </w:rPr>
      </w:pPr>
      <w:r>
        <w:rPr>
          <w:b/>
          <w:sz w:val="20"/>
          <w:lang w:val="es-ES_tradnl"/>
        </w:rPr>
        <w:t xml:space="preserve">        Elaborado por: Autora de la tesis</w:t>
      </w:r>
    </w:p>
    <w:p w:rsidR="002E32FF" w:rsidRDefault="002E32FF">
      <w:pPr>
        <w:pStyle w:val="NormalWeb"/>
        <w:spacing w:line="480" w:lineRule="auto"/>
        <w:jc w:val="center"/>
        <w:rPr>
          <w:rFonts w:ascii="Arial" w:hAnsi="Arial"/>
          <w:b/>
          <w:i/>
          <w:sz w:val="28"/>
        </w:rPr>
      </w:pPr>
    </w:p>
    <w:p w:rsidR="002E32FF" w:rsidRDefault="002E32FF">
      <w:pPr>
        <w:pStyle w:val="NormalWeb"/>
        <w:spacing w:line="480" w:lineRule="auto"/>
        <w:jc w:val="both"/>
        <w:rPr>
          <w:rFonts w:ascii="Arial" w:hAnsi="Arial"/>
        </w:rPr>
      </w:pPr>
      <w:r>
        <w:rPr>
          <w:rFonts w:ascii="Arial" w:hAnsi="Arial"/>
          <w:sz w:val="28"/>
        </w:rPr>
        <w:t xml:space="preserve">    </w:t>
      </w:r>
      <w:r>
        <w:rPr>
          <w:rFonts w:ascii="Arial" w:hAnsi="Arial"/>
        </w:rPr>
        <w:t>A diferencia de los otros dos osciladores empleados por este estudio la tendencia que muestran las gráficas es una clara señal de venta que de compra  a lo largo del periodo de análisis, esto quiere decir que los títulos – valores están sobrecomprados. De igual manera la rentabilidad de la riqueza naive es mucho mayor que la rentabilidad de la riqueza sin esta estrategia.</w:t>
      </w:r>
    </w:p>
    <w:p w:rsidR="002E32FF" w:rsidRDefault="002E32FF">
      <w:pPr>
        <w:pStyle w:val="NormalWeb"/>
        <w:spacing w:line="480" w:lineRule="auto"/>
        <w:jc w:val="both"/>
        <w:rPr>
          <w:rFonts w:ascii="Arial" w:hAnsi="Arial"/>
        </w:rPr>
      </w:pPr>
      <w:r>
        <w:rPr>
          <w:rFonts w:ascii="Arial" w:hAnsi="Arial"/>
        </w:rPr>
        <w:t xml:space="preserve"> </w:t>
      </w: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b/>
          <w:sz w:val="28"/>
        </w:rPr>
      </w:pPr>
      <w:r>
        <w:rPr>
          <w:rFonts w:ascii="Arial" w:hAnsi="Arial"/>
          <w:b/>
          <w:sz w:val="28"/>
        </w:rPr>
        <w:t>5.3.7 Oscilador MACD</w:t>
      </w:r>
    </w:p>
    <w:p w:rsidR="002E32FF" w:rsidRDefault="002E32FF">
      <w:pPr>
        <w:pStyle w:val="NormalWeb"/>
        <w:spacing w:line="480" w:lineRule="auto"/>
        <w:jc w:val="both"/>
        <w:rPr>
          <w:rFonts w:ascii="Arial" w:hAnsi="Arial"/>
          <w:b/>
          <w:sz w:val="28"/>
        </w:rPr>
      </w:pPr>
    </w:p>
    <w:p w:rsidR="002E32FF" w:rsidRDefault="002E32FF">
      <w:pPr>
        <w:pStyle w:val="NormalWeb"/>
        <w:spacing w:line="480" w:lineRule="auto"/>
        <w:jc w:val="both"/>
        <w:rPr>
          <w:rFonts w:ascii="Arial" w:hAnsi="Arial"/>
        </w:rPr>
      </w:pPr>
      <w:r>
        <w:rPr>
          <w:rFonts w:ascii="Arial" w:hAnsi="Arial"/>
          <w:b/>
          <w:sz w:val="28"/>
        </w:rPr>
        <w:t xml:space="preserve">    </w:t>
      </w:r>
      <w:r>
        <w:rPr>
          <w:rFonts w:ascii="Arial" w:hAnsi="Arial"/>
        </w:rPr>
        <w:t>El análisis de este oscilador es sencillo las señales de compra y de venta se generan por el cruce de las dos líneas MACD-Hi y MACD-Mo de la siguiente manera:</w:t>
      </w:r>
    </w:p>
    <w:p w:rsidR="002E32FF" w:rsidRDefault="002E32FF">
      <w:pPr>
        <w:pStyle w:val="NormalWeb"/>
        <w:numPr>
          <w:ilvl w:val="0"/>
          <w:numId w:val="21"/>
        </w:numPr>
        <w:spacing w:line="480" w:lineRule="auto"/>
        <w:jc w:val="both"/>
        <w:rPr>
          <w:rFonts w:ascii="Arial" w:hAnsi="Arial"/>
        </w:rPr>
      </w:pPr>
      <w:r>
        <w:rPr>
          <w:rFonts w:ascii="Arial" w:hAnsi="Arial"/>
        </w:rPr>
        <w:t>Cuando la curva MACD-Hi corta de manera ascendente a la línea MACD-Mo es una señal de compra, en la medida de que MACD-Hi siga manteniéndose por encima de MACD-Mo la posición seguirá siendo compradora.</w:t>
      </w:r>
    </w:p>
    <w:p w:rsidR="002E32FF" w:rsidRDefault="002E32FF">
      <w:pPr>
        <w:pStyle w:val="NormalWeb"/>
        <w:numPr>
          <w:ilvl w:val="0"/>
          <w:numId w:val="21"/>
        </w:numPr>
        <w:spacing w:line="480" w:lineRule="auto"/>
        <w:jc w:val="both"/>
        <w:rPr>
          <w:rFonts w:ascii="Arial" w:hAnsi="Arial"/>
        </w:rPr>
      </w:pPr>
      <w:r>
        <w:rPr>
          <w:rFonts w:ascii="Arial" w:hAnsi="Arial"/>
        </w:rPr>
        <w:t>Cuando la curva MACD-Hi corta de manera descendente a la línea MACD-Mo es una señal de venta, en la medida de que MACD-Hi siga manteniéndose por debajo de MACD-Mo la posición seguirá siendo vendedora.</w:t>
      </w: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rPr>
      </w:pPr>
      <w:r>
        <w:rPr>
          <w:rFonts w:ascii="Arial" w:hAnsi="Arial"/>
        </w:rPr>
        <w:t xml:space="preserve">     Con esto indicado procedemos a analizar las gráficas que se presentan a continuación.</w:t>
      </w: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rPr>
      </w:pPr>
    </w:p>
    <w:p w:rsidR="002E32FF" w:rsidRDefault="002E32FF">
      <w:pPr>
        <w:pStyle w:val="NormalWeb"/>
        <w:spacing w:line="480" w:lineRule="auto"/>
        <w:jc w:val="both"/>
        <w:rPr>
          <w:rFonts w:ascii="Arial" w:hAnsi="Arial"/>
        </w:rPr>
      </w:pPr>
    </w:p>
    <w:p w:rsidR="002E32FF" w:rsidRDefault="002E32FF">
      <w:pPr>
        <w:pStyle w:val="NormalWeb"/>
        <w:spacing w:line="480" w:lineRule="auto"/>
        <w:jc w:val="center"/>
        <w:rPr>
          <w:rFonts w:ascii="Arial" w:hAnsi="Arial"/>
          <w:b/>
          <w:i/>
          <w:sz w:val="28"/>
        </w:rPr>
      </w:pPr>
      <w:r>
        <w:rPr>
          <w:rFonts w:ascii="Arial" w:hAnsi="Arial"/>
          <w:b/>
          <w:i/>
          <w:sz w:val="28"/>
        </w:rPr>
        <w:t>Gráfico n 5.19  MACD – ECUINDEX</w:t>
      </w:r>
    </w:p>
    <w:p w:rsidR="002E32FF" w:rsidRDefault="005D7CF4">
      <w:pPr>
        <w:pStyle w:val="NormalWeb"/>
        <w:spacing w:line="480" w:lineRule="auto"/>
        <w:rPr>
          <w:b/>
          <w:sz w:val="20"/>
          <w:lang w:val="es-ES_tradnl"/>
        </w:rPr>
      </w:pPr>
      <w:r>
        <w:rPr>
          <w:noProof/>
          <w:lang w:eastAsia="es-ES"/>
        </w:rPr>
        <w:drawing>
          <wp:anchor distT="0" distB="0" distL="114300" distR="114300" simplePos="0" relativeHeight="251667968" behindDoc="0" locked="0" layoutInCell="0" allowOverlap="1">
            <wp:simplePos x="0" y="0"/>
            <wp:positionH relativeFrom="column">
              <wp:posOffset>114300</wp:posOffset>
            </wp:positionH>
            <wp:positionV relativeFrom="paragraph">
              <wp:posOffset>2540</wp:posOffset>
            </wp:positionV>
            <wp:extent cx="4991100" cy="3454400"/>
            <wp:effectExtent l="0" t="0" r="0" b="0"/>
            <wp:wrapSquare wrapText="lef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srcRect/>
                    <a:stretch>
                      <a:fillRect/>
                    </a:stretch>
                  </pic:blipFill>
                  <pic:spPr bwMode="auto">
                    <a:xfrm>
                      <a:off x="0" y="0"/>
                      <a:ext cx="4991100" cy="3454400"/>
                    </a:xfrm>
                    <a:prstGeom prst="rect">
                      <a:avLst/>
                    </a:prstGeom>
                    <a:noFill/>
                    <a:ln w="9525">
                      <a:noFill/>
                      <a:miter lim="800000"/>
                      <a:headEnd/>
                      <a:tailEnd/>
                    </a:ln>
                  </pic:spPr>
                </pic:pic>
              </a:graphicData>
            </a:graphic>
          </wp:anchor>
        </w:drawing>
      </w:r>
      <w:r w:rsidR="002E32FF">
        <w:rPr>
          <w:b/>
          <w:sz w:val="20"/>
          <w:lang w:val="es-ES_tradnl"/>
        </w:rPr>
        <w:t xml:space="preserve">      Elaborado por: Autora de la tesis</w:t>
      </w:r>
    </w:p>
    <w:p w:rsidR="002E32FF" w:rsidRDefault="002E32FF">
      <w:pPr>
        <w:pStyle w:val="NormalWeb"/>
        <w:spacing w:line="480" w:lineRule="auto"/>
        <w:jc w:val="center"/>
        <w:rPr>
          <w:rFonts w:ascii="Arial" w:hAnsi="Arial"/>
          <w:b/>
          <w:i/>
          <w:sz w:val="28"/>
        </w:rPr>
      </w:pPr>
      <w:r>
        <w:rPr>
          <w:rFonts w:ascii="Arial" w:hAnsi="Arial"/>
          <w:b/>
          <w:i/>
          <w:sz w:val="28"/>
        </w:rPr>
        <w:t>Gráfico n 5.20  MACD – IPECU</w:t>
      </w:r>
    </w:p>
    <w:p w:rsidR="002E32FF" w:rsidRDefault="005D7CF4">
      <w:pPr>
        <w:pStyle w:val="NormalWeb"/>
        <w:jc w:val="center"/>
        <w:rPr>
          <w:b/>
          <w:sz w:val="20"/>
          <w:lang w:val="es-ES_tradnl"/>
        </w:rPr>
      </w:pPr>
      <w:r>
        <w:rPr>
          <w:noProof/>
          <w:lang w:eastAsia="es-ES"/>
        </w:rPr>
        <w:drawing>
          <wp:inline distT="0" distB="0" distL="0" distR="0">
            <wp:extent cx="4902200" cy="2819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4902200" cy="2819400"/>
                    </a:xfrm>
                    <a:prstGeom prst="rect">
                      <a:avLst/>
                    </a:prstGeom>
                    <a:noFill/>
                    <a:ln w="9525">
                      <a:noFill/>
                      <a:miter lim="800000"/>
                      <a:headEnd/>
                      <a:tailEnd/>
                    </a:ln>
                  </pic:spPr>
                </pic:pic>
              </a:graphicData>
            </a:graphic>
          </wp:inline>
        </w:drawing>
      </w:r>
    </w:p>
    <w:p w:rsidR="002E32FF" w:rsidRDefault="002E32FF">
      <w:pPr>
        <w:pStyle w:val="NormalWeb"/>
        <w:spacing w:line="480" w:lineRule="auto"/>
        <w:rPr>
          <w:b/>
          <w:sz w:val="20"/>
          <w:lang w:val="es-ES_tradnl"/>
        </w:rPr>
      </w:pPr>
      <w:r>
        <w:rPr>
          <w:b/>
          <w:sz w:val="20"/>
          <w:lang w:val="es-ES_tradnl"/>
        </w:rPr>
        <w:t xml:space="preserve">       Elaborado por: Autora de la tesis</w:t>
      </w:r>
    </w:p>
    <w:p w:rsidR="002E32FF" w:rsidRDefault="002E32FF">
      <w:pPr>
        <w:pStyle w:val="NormalWeb"/>
        <w:spacing w:line="480" w:lineRule="auto"/>
        <w:jc w:val="center"/>
        <w:rPr>
          <w:rFonts w:ascii="Arial" w:hAnsi="Arial"/>
          <w:b/>
          <w:i/>
          <w:sz w:val="28"/>
        </w:rPr>
      </w:pPr>
      <w:r>
        <w:rPr>
          <w:rFonts w:ascii="Arial" w:hAnsi="Arial"/>
          <w:b/>
          <w:i/>
          <w:sz w:val="28"/>
        </w:rPr>
        <w:t>Gráfico n 5.21  MACD – IRECU</w:t>
      </w:r>
    </w:p>
    <w:p w:rsidR="002E32FF" w:rsidRDefault="005D7CF4">
      <w:pPr>
        <w:pStyle w:val="NormalWeb"/>
        <w:ind w:left="357"/>
        <w:jc w:val="both"/>
        <w:rPr>
          <w:rFonts w:ascii="Arial" w:hAnsi="Arial"/>
          <w:lang w:val="es-ES_tradnl"/>
        </w:rPr>
      </w:pPr>
      <w:r>
        <w:rPr>
          <w:noProof/>
          <w:lang w:eastAsia="es-ES"/>
        </w:rPr>
        <w:drawing>
          <wp:inline distT="0" distB="0" distL="0" distR="0">
            <wp:extent cx="4902200" cy="2819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4902200" cy="2819400"/>
                    </a:xfrm>
                    <a:prstGeom prst="rect">
                      <a:avLst/>
                    </a:prstGeom>
                    <a:noFill/>
                    <a:ln w="9525">
                      <a:noFill/>
                      <a:miter lim="800000"/>
                      <a:headEnd/>
                      <a:tailEnd/>
                    </a:ln>
                  </pic:spPr>
                </pic:pic>
              </a:graphicData>
            </a:graphic>
          </wp:inline>
        </w:drawing>
      </w:r>
    </w:p>
    <w:p w:rsidR="002E32FF" w:rsidRDefault="002E32FF">
      <w:pPr>
        <w:pStyle w:val="NormalWeb"/>
        <w:spacing w:line="480" w:lineRule="auto"/>
        <w:ind w:left="360"/>
        <w:jc w:val="both"/>
        <w:rPr>
          <w:b/>
          <w:sz w:val="20"/>
          <w:lang w:val="es-ES_tradnl"/>
        </w:rPr>
      </w:pPr>
      <w:r>
        <w:rPr>
          <w:b/>
          <w:sz w:val="20"/>
          <w:lang w:val="es-ES_tradnl"/>
        </w:rPr>
        <w:t xml:space="preserve">  Elaborado por: Autora de la tesis</w:t>
      </w:r>
    </w:p>
    <w:p w:rsidR="002E32FF" w:rsidRDefault="002E32FF">
      <w:pPr>
        <w:pStyle w:val="NormalWeb"/>
        <w:spacing w:line="480" w:lineRule="auto"/>
        <w:jc w:val="both"/>
        <w:rPr>
          <w:rFonts w:ascii="Arial" w:hAnsi="Arial"/>
          <w:lang w:val="es-ES_tradnl"/>
        </w:rPr>
      </w:pPr>
      <w:r>
        <w:rPr>
          <w:rFonts w:ascii="Arial" w:hAnsi="Arial"/>
          <w:lang w:val="es-ES_tradnl"/>
        </w:rPr>
        <w:t xml:space="preserve">    </w:t>
      </w:r>
    </w:p>
    <w:p w:rsidR="002E32FF" w:rsidRDefault="002E32FF">
      <w:pPr>
        <w:pStyle w:val="NormalWeb"/>
        <w:spacing w:line="480" w:lineRule="auto"/>
        <w:jc w:val="both"/>
        <w:rPr>
          <w:rFonts w:ascii="Arial" w:hAnsi="Arial"/>
          <w:lang w:val="es-ES_tradnl"/>
        </w:rPr>
      </w:pPr>
      <w:r>
        <w:rPr>
          <w:rFonts w:ascii="Arial" w:hAnsi="Arial"/>
          <w:lang w:val="es-ES_tradnl"/>
        </w:rPr>
        <w:t xml:space="preserve">    En la primera gráfica vemos como en las primeras semanas del periodo de estudio la línea de MACD-Hi corta de manera de manera descendente a la línea MACD-Mo lo cual indica una señal de venta inclusive la línea MACD-Mo se mantiene sobre </w:t>
      </w:r>
      <w:smartTag w:uri="urn:schemas-microsoft-com:office:smarttags" w:element="PersonName">
        <w:smartTagPr>
          <w:attr w:name="ProductID" w:val="la MACD-Hi"/>
        </w:smartTagPr>
        <w:r>
          <w:rPr>
            <w:rFonts w:ascii="Arial" w:hAnsi="Arial"/>
            <w:lang w:val="es-ES_tradnl"/>
          </w:rPr>
          <w:t>la MACD-Hi</w:t>
        </w:r>
      </w:smartTag>
      <w:r>
        <w:rPr>
          <w:rFonts w:ascii="Arial" w:hAnsi="Arial"/>
          <w:lang w:val="es-ES_tradnl"/>
        </w:rPr>
        <w:t xml:space="preserve">, posteriormente a mitad del periodo la posición se vuelve compradora ya que la línea MACD-Hi está sobre </w:t>
      </w:r>
      <w:smartTag w:uri="urn:schemas-microsoft-com:office:smarttags" w:element="PersonName">
        <w:smartTagPr>
          <w:attr w:name="ProductID" w:val="la MACD-Mo"/>
        </w:smartTagPr>
        <w:r>
          <w:rPr>
            <w:rFonts w:ascii="Arial" w:hAnsi="Arial"/>
            <w:lang w:val="es-ES_tradnl"/>
          </w:rPr>
          <w:t>la MACD-Mo</w:t>
        </w:r>
      </w:smartTag>
      <w:r>
        <w:rPr>
          <w:rFonts w:ascii="Arial" w:hAnsi="Arial"/>
          <w:lang w:val="es-ES_tradnl"/>
        </w:rPr>
        <w:t>, para así mantenerse hasta el término del periodo. Las gráficas correspondientes a IPECU e IRECU  son muy similares en ambas la posición en su mayoría es compradora salvo en las semanas correspondientes a la mitad del periodo de estudio que se presentan señales de venta.</w:t>
      </w:r>
    </w:p>
    <w:p w:rsidR="002E32FF" w:rsidRDefault="002E32FF">
      <w:pPr>
        <w:pStyle w:val="NormalWeb"/>
        <w:numPr>
          <w:ilvl w:val="1"/>
          <w:numId w:val="16"/>
        </w:numPr>
        <w:spacing w:line="480" w:lineRule="auto"/>
        <w:jc w:val="both"/>
        <w:rPr>
          <w:rFonts w:ascii="Arial" w:hAnsi="Arial"/>
          <w:b/>
          <w:sz w:val="28"/>
        </w:rPr>
      </w:pPr>
      <w:r>
        <w:rPr>
          <w:rFonts w:ascii="Arial" w:hAnsi="Arial"/>
          <w:b/>
          <w:sz w:val="28"/>
        </w:rPr>
        <w:t>Resumen de los Resultados</w:t>
      </w:r>
    </w:p>
    <w:p w:rsidR="002E32FF" w:rsidRDefault="002E32FF">
      <w:pPr>
        <w:pStyle w:val="NormalWeb"/>
        <w:spacing w:line="480" w:lineRule="auto"/>
        <w:jc w:val="both"/>
        <w:rPr>
          <w:rFonts w:ascii="Arial" w:hAnsi="Arial"/>
          <w:b/>
          <w:sz w:val="12"/>
        </w:rPr>
      </w:pPr>
    </w:p>
    <w:p w:rsidR="002E32FF" w:rsidRDefault="002E32FF">
      <w:pPr>
        <w:pStyle w:val="NormalWeb"/>
        <w:spacing w:line="480" w:lineRule="auto"/>
        <w:jc w:val="both"/>
        <w:rPr>
          <w:rFonts w:ascii="Arial" w:hAnsi="Arial"/>
          <w:sz w:val="28"/>
        </w:rPr>
      </w:pPr>
      <w:r>
        <w:rPr>
          <w:rFonts w:ascii="Arial" w:hAnsi="Arial"/>
          <w:sz w:val="28"/>
        </w:rPr>
        <w:t xml:space="preserve">    </w:t>
      </w:r>
      <w:r>
        <w:rPr>
          <w:rFonts w:ascii="Arial" w:hAnsi="Arial"/>
        </w:rPr>
        <w:t xml:space="preserve">A continuación se presenta tres tablas correspondientes a los índices bursátiles: ECUINDEX, IPECU e IRECU, las cuales muestran las reglas de análisis técnico, aplicadas a estas las pruebas de filtros y la estrategia de comprar-mantener para así poder obtener los retornos acumulados, retornos semanales y anuales de los índices bursátiles. </w:t>
      </w:r>
    </w:p>
    <w:p w:rsidR="002E32FF" w:rsidRDefault="002E32FF">
      <w:pPr>
        <w:pStyle w:val="NormalWeb"/>
        <w:spacing w:line="480" w:lineRule="auto"/>
        <w:jc w:val="both"/>
        <w:rPr>
          <w:rFonts w:ascii="Arial" w:hAnsi="Arial"/>
          <w:sz w:val="12"/>
        </w:rPr>
      </w:pPr>
    </w:p>
    <w:p w:rsidR="002E32FF" w:rsidRDefault="002E32FF">
      <w:pPr>
        <w:pStyle w:val="NormalWeb"/>
        <w:spacing w:line="480" w:lineRule="auto"/>
        <w:jc w:val="both"/>
        <w:rPr>
          <w:rFonts w:ascii="Arial" w:hAnsi="Arial"/>
        </w:rPr>
      </w:pPr>
      <w:r>
        <w:rPr>
          <w:rFonts w:ascii="Arial" w:hAnsi="Arial"/>
        </w:rPr>
        <w:t xml:space="preserve">    Las tablas n. 5.10, 5.11 y 5.12  pertenecientes a ECUINDEX IPECU e IRECU respectivamente presentan un resumen comparativo de las reglas de análisis técnico: Media Móvil, Longitud Variable de </w:t>
      </w:r>
      <w:smartTag w:uri="urn:schemas-microsoft-com:office:smarttags" w:element="PersonName">
        <w:smartTagPr>
          <w:attr w:name="ProductID" w:val="la Media M￳vil"/>
        </w:smartTagPr>
        <w:r>
          <w:rPr>
            <w:rFonts w:ascii="Arial" w:hAnsi="Arial"/>
          </w:rPr>
          <w:t>la Media Móvil</w:t>
        </w:r>
      </w:smartTag>
      <w:r>
        <w:rPr>
          <w:rFonts w:ascii="Arial" w:hAnsi="Arial"/>
        </w:rPr>
        <w:t xml:space="preserve"> y Trading Range Break-Out, posteriormente se elaboró para cada una la respectiva columna de riqueza para así poder ser comparada con la estrategia de comprar-mantener o estrategia del ingenuo, con las respectivas columnas de riqueza se procedió a obtener los retornos acumulados, semanales  y anuales de las mismas al compararlos queda muy claro que los retornos  de la riqueza perteneciente a la estrategia del ingenuo siempre eran superiores en comparación a la otra por lo tanto se demuestra con esto que el mercado es eficiente en forma débil y no se pueden obtener riquezas adicionales a las del promedio del mercado si algún inversionista lo logra es por un factor suerte.  También se muestra en la última fila los resultados de la aplicación de un filtro (1%) a estas reglas, también se probó con 5%, 10%, 15% mostrando los mismos resultados al probar con porcentajes mayores o iguales al 20% la diferencia de los retornos de ambas riquezas se hacía cada vez mayor, siendo los retornos de la riqueza de la estrategia del ingenuo superiores a los de la riqueza sin esta estrategia. Cabe acotar que la diferencia de periodos de cálculo entre las reglas de análisis técnico y la prueba de filtros se debe a que en la primera se descuenta el número de semanas correspondientes a la media móvil de largo plazo. Se aplicaron también los osciladores ROC, RSI, %K y MACD a los índices bursátiles dando por resultado una tendencia a la compra muy marcada y en términos de rentabilidad la riqueza que tiene la estrategia del ingenuo es mucho mayor que la riqueza que no la posee.</w:t>
      </w:r>
    </w:p>
    <w:p w:rsidR="002E32FF" w:rsidRDefault="002E32FF">
      <w:pPr>
        <w:pStyle w:val="NormalWeb"/>
        <w:spacing w:line="480" w:lineRule="auto"/>
        <w:jc w:val="center"/>
        <w:rPr>
          <w:rFonts w:ascii="Arial" w:hAnsi="Arial"/>
          <w:b/>
          <w:i/>
          <w:sz w:val="28"/>
        </w:rPr>
      </w:pPr>
    </w:p>
    <w:p w:rsidR="002E32FF" w:rsidRDefault="002E32FF">
      <w:pPr>
        <w:pStyle w:val="NormalWeb"/>
        <w:spacing w:line="480" w:lineRule="auto"/>
        <w:jc w:val="center"/>
        <w:rPr>
          <w:rFonts w:ascii="Arial" w:hAnsi="Arial"/>
          <w:sz w:val="28"/>
        </w:rPr>
      </w:pPr>
      <w:r>
        <w:rPr>
          <w:rFonts w:ascii="Arial" w:hAnsi="Arial"/>
          <w:b/>
          <w:i/>
          <w:sz w:val="28"/>
        </w:rPr>
        <w:t xml:space="preserve">Tabla n. 5.4 Resumen de Retornos ECUINDEX   </w:t>
      </w:r>
    </w:p>
    <w:p w:rsidR="002E32FF" w:rsidRDefault="005D7CF4">
      <w:pPr>
        <w:jc w:val="center"/>
      </w:pPr>
      <w:r>
        <w:rPr>
          <w:noProof/>
          <w:lang w:eastAsia="es-ES"/>
        </w:rPr>
        <w:drawing>
          <wp:inline distT="0" distB="0" distL="0" distR="0">
            <wp:extent cx="4254500" cy="28448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4254500" cy="2844800"/>
                    </a:xfrm>
                    <a:prstGeom prst="rect">
                      <a:avLst/>
                    </a:prstGeom>
                    <a:noFill/>
                    <a:ln w="9525">
                      <a:noFill/>
                      <a:miter lim="800000"/>
                      <a:headEnd/>
                      <a:tailEnd/>
                    </a:ln>
                  </pic:spPr>
                </pic:pic>
              </a:graphicData>
            </a:graphic>
          </wp:inline>
        </w:drawing>
      </w:r>
    </w:p>
    <w:p w:rsidR="002E32FF" w:rsidRDefault="002E32FF">
      <w:pPr>
        <w:tabs>
          <w:tab w:val="left" w:pos="1020"/>
        </w:tabs>
      </w:pPr>
      <w:r>
        <w:t xml:space="preserve">                </w:t>
      </w:r>
      <w:r>
        <w:rPr>
          <w:b/>
          <w:lang w:val="es-ES_tradnl"/>
        </w:rPr>
        <w:t>Elaborado por: Autora de la tesis</w:t>
      </w:r>
    </w:p>
    <w:p w:rsidR="002E32FF" w:rsidRDefault="002E32FF"/>
    <w:p w:rsidR="002E32FF" w:rsidRDefault="002E32FF"/>
    <w:p w:rsidR="002E32FF" w:rsidRDefault="002E32FF"/>
    <w:p w:rsidR="002E32FF" w:rsidRDefault="002E32FF">
      <w:pPr>
        <w:pStyle w:val="NormalWeb"/>
        <w:spacing w:line="480" w:lineRule="auto"/>
        <w:jc w:val="center"/>
        <w:rPr>
          <w:rFonts w:ascii="Arial" w:hAnsi="Arial"/>
          <w:sz w:val="28"/>
        </w:rPr>
      </w:pPr>
      <w:r>
        <w:t xml:space="preserve"> </w:t>
      </w:r>
      <w:r>
        <w:rPr>
          <w:rFonts w:ascii="Arial" w:hAnsi="Arial"/>
          <w:b/>
          <w:i/>
          <w:sz w:val="28"/>
        </w:rPr>
        <w:t>Tabla n. 5.5 Resumen de Retornos IPECU</w:t>
      </w:r>
    </w:p>
    <w:p w:rsidR="002E32FF" w:rsidRDefault="005D7CF4">
      <w:pPr>
        <w:pStyle w:val="NormalWeb"/>
        <w:jc w:val="center"/>
        <w:rPr>
          <w:b/>
          <w:sz w:val="20"/>
          <w:lang w:val="es-ES_tradnl"/>
        </w:rPr>
      </w:pPr>
      <w:r>
        <w:rPr>
          <w:b/>
          <w:noProof/>
          <w:sz w:val="20"/>
          <w:lang w:eastAsia="es-ES"/>
        </w:rPr>
        <w:drawing>
          <wp:inline distT="0" distB="0" distL="0" distR="0">
            <wp:extent cx="4216400" cy="28194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a:stretch>
                      <a:fillRect/>
                    </a:stretch>
                  </pic:blipFill>
                  <pic:spPr bwMode="auto">
                    <a:xfrm>
                      <a:off x="0" y="0"/>
                      <a:ext cx="4216400" cy="2819400"/>
                    </a:xfrm>
                    <a:prstGeom prst="rect">
                      <a:avLst/>
                    </a:prstGeom>
                    <a:noFill/>
                    <a:ln w="9525">
                      <a:noFill/>
                      <a:miter lim="800000"/>
                      <a:headEnd/>
                      <a:tailEnd/>
                    </a:ln>
                  </pic:spPr>
                </pic:pic>
              </a:graphicData>
            </a:graphic>
          </wp:inline>
        </w:drawing>
      </w:r>
    </w:p>
    <w:p w:rsidR="002E32FF" w:rsidRDefault="002E32FF">
      <w:pPr>
        <w:pStyle w:val="NormalWeb"/>
        <w:rPr>
          <w:rFonts w:ascii="Arial" w:hAnsi="Arial"/>
          <w:b/>
          <w:i/>
          <w:sz w:val="28"/>
        </w:rPr>
      </w:pPr>
      <w:r>
        <w:rPr>
          <w:b/>
          <w:sz w:val="20"/>
          <w:lang w:val="es-ES_tradnl"/>
        </w:rPr>
        <w:t xml:space="preserve">               Elaborado por: Autora de la tesis</w:t>
      </w:r>
    </w:p>
    <w:p w:rsidR="002E32FF" w:rsidRDefault="002E32FF">
      <w:pPr>
        <w:pStyle w:val="NormalWeb"/>
        <w:spacing w:line="480" w:lineRule="auto"/>
        <w:jc w:val="center"/>
        <w:rPr>
          <w:rFonts w:ascii="Arial" w:hAnsi="Arial"/>
          <w:b/>
          <w:i/>
          <w:sz w:val="28"/>
        </w:rPr>
      </w:pPr>
    </w:p>
    <w:p w:rsidR="002E32FF" w:rsidRDefault="002E32FF">
      <w:pPr>
        <w:pStyle w:val="NormalWeb"/>
        <w:spacing w:line="480" w:lineRule="auto"/>
        <w:jc w:val="center"/>
        <w:rPr>
          <w:rFonts w:ascii="Arial" w:hAnsi="Arial"/>
          <w:sz w:val="28"/>
        </w:rPr>
      </w:pPr>
      <w:r>
        <w:rPr>
          <w:rFonts w:ascii="Arial" w:hAnsi="Arial"/>
          <w:b/>
          <w:i/>
          <w:sz w:val="28"/>
        </w:rPr>
        <w:t>Tabla n. 5.6 Resumen de Retornos IRECU</w:t>
      </w:r>
    </w:p>
    <w:p w:rsidR="002E32FF" w:rsidRDefault="005D7CF4">
      <w:pPr>
        <w:jc w:val="center"/>
      </w:pPr>
      <w:r>
        <w:rPr>
          <w:noProof/>
          <w:lang w:eastAsia="es-ES"/>
        </w:rPr>
        <w:drawing>
          <wp:inline distT="0" distB="0" distL="0" distR="0">
            <wp:extent cx="4203700" cy="2806700"/>
            <wp:effectExtent l="1905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4203700" cy="2806700"/>
                    </a:xfrm>
                    <a:prstGeom prst="rect">
                      <a:avLst/>
                    </a:prstGeom>
                    <a:noFill/>
                    <a:ln w="9525">
                      <a:noFill/>
                      <a:miter lim="800000"/>
                      <a:headEnd/>
                      <a:tailEnd/>
                    </a:ln>
                  </pic:spPr>
                </pic:pic>
              </a:graphicData>
            </a:graphic>
          </wp:inline>
        </w:drawing>
      </w:r>
      <w:r w:rsidR="002E32FF">
        <w:t xml:space="preserve">               </w:t>
      </w:r>
    </w:p>
    <w:p w:rsidR="002E32FF" w:rsidRDefault="002E32FF">
      <w:pPr>
        <w:jc w:val="center"/>
      </w:pPr>
    </w:p>
    <w:p w:rsidR="002E32FF" w:rsidRDefault="002E32FF">
      <w:pPr>
        <w:rPr>
          <w:b/>
        </w:rPr>
      </w:pPr>
      <w:r>
        <w:t xml:space="preserve">               </w:t>
      </w:r>
      <w:r>
        <w:rPr>
          <w:b/>
        </w:rPr>
        <w:t>Elaborado por: Autora de la tesis</w:t>
      </w:r>
    </w:p>
    <w:p w:rsidR="002E32FF" w:rsidRDefault="002E32FF">
      <w:pPr>
        <w:jc w:val="center"/>
      </w:pPr>
    </w:p>
    <w:p w:rsidR="002E32FF" w:rsidRDefault="002E32FF">
      <w:pPr>
        <w:tabs>
          <w:tab w:val="left" w:pos="1620"/>
        </w:tabs>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b/>
          <w:sz w:val="32"/>
        </w:rPr>
      </w:pPr>
      <w:r>
        <w:rPr>
          <w:rFonts w:ascii="Arial" w:hAnsi="Arial"/>
          <w:b/>
          <w:sz w:val="32"/>
        </w:rPr>
        <w:t>CONCLUSIONES Y RECOMENDACIONES</w:t>
      </w: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both"/>
        <w:rPr>
          <w:rFonts w:ascii="Arial" w:hAnsi="Arial"/>
        </w:rPr>
      </w:pPr>
      <w:r>
        <w:rPr>
          <w:rFonts w:ascii="Arial" w:hAnsi="Arial"/>
        </w:rPr>
        <w:t xml:space="preserve">    El presente estudio demuestra que el mercado bursátil ecuatoriano es eficiente en forma débil debido a que los inversores no pueden obtener ganancias en exceso analizando las series de los índices bursátiles ecuatorianos así estos apliquen reglas de análisis técnico cómo lo ha demostrado esta investigación. No obstante se ha querido probar de diversas formas el cumplimiento de esta hipótesis, utilizando herramientas estadísticas y estrategias que son muy conocidas en el área financiera entre ellas están: La prueba de filtros, el test de corridas con el test de Wald-Wolfowitz y el correlograma de las series que muestra el test Q, todos estos muestran el mismo resultados corroborando lo antes mencionado. Es importante recalcar que si bien  las pruebas de corridas y la correlación serial pueden mostrar predictibilidad en los cambios de precios, eso no necesariamente implicaría que se puedan obtener retornos extraordinarios tramando sobre la base de de dichas predicciones.</w:t>
      </w:r>
    </w:p>
    <w:p w:rsidR="002E32FF" w:rsidRDefault="002E32FF">
      <w:pPr>
        <w:pStyle w:val="NormalWeb"/>
        <w:spacing w:line="480" w:lineRule="auto"/>
        <w:jc w:val="both"/>
        <w:rPr>
          <w:rFonts w:ascii="Arial" w:hAnsi="Arial"/>
        </w:rPr>
      </w:pPr>
      <w:r>
        <w:rPr>
          <w:rFonts w:ascii="Arial" w:hAnsi="Arial"/>
        </w:rPr>
        <w:t xml:space="preserve">    Las reglas de análisis técnico que muestran de una mejor forma el cumplimiento de la eficiencia de forma débil del mercado bursátil ecuatoriano son: </w:t>
      </w:r>
      <w:smartTag w:uri="urn:schemas-microsoft-com:office:smarttags" w:element="PersonName">
        <w:smartTagPr>
          <w:attr w:name="ProductID" w:val="la Media M￳vil"/>
        </w:smartTagPr>
        <w:r>
          <w:rPr>
            <w:rFonts w:ascii="Arial" w:hAnsi="Arial"/>
          </w:rPr>
          <w:t>la Media Móvil</w:t>
        </w:r>
      </w:smartTag>
      <w:r>
        <w:rPr>
          <w:rFonts w:ascii="Arial" w:hAnsi="Arial"/>
        </w:rPr>
        <w:t xml:space="preserve"> y </w:t>
      </w:r>
      <w:smartTag w:uri="urn:schemas-microsoft-com:office:smarttags" w:element="PersonName">
        <w:smartTagPr>
          <w:attr w:name="ProductID" w:val="la Longitud Variable"/>
        </w:smartTagPr>
        <w:r>
          <w:rPr>
            <w:rFonts w:ascii="Arial" w:hAnsi="Arial"/>
          </w:rPr>
          <w:t>la Longitud Variable</w:t>
        </w:r>
      </w:smartTag>
      <w:r>
        <w:rPr>
          <w:rFonts w:ascii="Arial" w:hAnsi="Arial"/>
        </w:rPr>
        <w:t xml:space="preserve"> de </w:t>
      </w:r>
      <w:smartTag w:uri="urn:schemas-microsoft-com:office:smarttags" w:element="PersonName">
        <w:smartTagPr>
          <w:attr w:name="ProductID" w:val="la Media M￳vil"/>
        </w:smartTagPr>
        <w:r>
          <w:rPr>
            <w:rFonts w:ascii="Arial" w:hAnsi="Arial"/>
          </w:rPr>
          <w:t>la Media Móvil</w:t>
        </w:r>
      </w:smartTag>
      <w:r>
        <w:rPr>
          <w:rFonts w:ascii="Arial" w:hAnsi="Arial"/>
        </w:rPr>
        <w:t xml:space="preserve"> debido a que ambas reglas trabajan con un promedio móvil de largo plazo lo cual hace que se considere un mayor rango para predecir el cumplimiento de dichas técnicas, ya que al considerar un mayor número de datos el error de predicción es menor. En la aplicación de osciladores los resultados que arrojaron fueron similares a los de las reglas de análisis técnico la rentabilidad de la riqueza que posee la estrategia del ingenuo es mayor que la riqueza que no la tiene y la tendencia de los índices bursátiles es para la compra de títulos – valores.</w:t>
      </w:r>
    </w:p>
    <w:p w:rsidR="002E32FF" w:rsidRDefault="002E32FF">
      <w:pPr>
        <w:pStyle w:val="NormalWeb"/>
        <w:jc w:val="both"/>
        <w:rPr>
          <w:rFonts w:ascii="Arial" w:hAnsi="Arial"/>
        </w:rPr>
      </w:pPr>
    </w:p>
    <w:p w:rsidR="002E32FF" w:rsidRDefault="002E32FF">
      <w:pPr>
        <w:pStyle w:val="NormalWeb"/>
        <w:spacing w:line="480" w:lineRule="auto"/>
        <w:jc w:val="both"/>
        <w:rPr>
          <w:rFonts w:ascii="Arial" w:hAnsi="Arial"/>
        </w:rPr>
      </w:pPr>
      <w:r>
        <w:rPr>
          <w:rFonts w:ascii="Arial" w:hAnsi="Arial"/>
        </w:rPr>
        <w:t xml:space="preserve">    Es lógico pensar que este estudio arrojaría un resultado como este debido al poco desarrollo de nuestro mercado bursátil y a la escasez de datos, se recomienda que las bolsas de valores de nuestro país busquen maneras de desarrollar estos mercados ya sea mediante políticas estatales, políticas financieras o implementación de tecnología.</w:t>
      </w:r>
    </w:p>
    <w:p w:rsidR="002E32FF" w:rsidRDefault="002E32FF">
      <w:pPr>
        <w:pStyle w:val="NormalWeb"/>
        <w:jc w:val="both"/>
        <w:rPr>
          <w:rFonts w:ascii="Arial" w:hAnsi="Arial"/>
        </w:rPr>
      </w:pPr>
    </w:p>
    <w:p w:rsidR="002E32FF" w:rsidRDefault="002E32FF">
      <w:pPr>
        <w:pStyle w:val="NormalWeb"/>
        <w:spacing w:line="480" w:lineRule="auto"/>
        <w:jc w:val="both"/>
        <w:rPr>
          <w:rFonts w:ascii="Arial" w:hAnsi="Arial"/>
          <w:sz w:val="28"/>
        </w:rPr>
      </w:pPr>
      <w:r>
        <w:rPr>
          <w:rFonts w:ascii="Arial" w:hAnsi="Arial"/>
        </w:rPr>
        <w:t xml:space="preserve">    Existe muy poca inversión en el mercado bursátil ecuatoriano haciendo que su desarrollo no sea muy vertiginoso y que la aplicación de herramientas estadísticas y análisis técnico no sean muy utilizados pero sobretodo muy explicativos para predecir movimientos futuros de los índices o precios de cualquier título-valor.</w:t>
      </w:r>
    </w:p>
    <w:p w:rsidR="002E32FF" w:rsidRDefault="002E32FF">
      <w:pPr>
        <w:jc w:val="center"/>
        <w:rPr>
          <w:rFonts w:ascii="Arial" w:eastAsia="Arial Unicode MS" w:hAnsi="Arial"/>
          <w:b/>
          <w:sz w:val="32"/>
          <w:u w:val="single"/>
          <w:lang w:val="es-EC"/>
        </w:rPr>
      </w:pPr>
      <w:r>
        <w:rPr>
          <w:rFonts w:ascii="Arial" w:eastAsia="Arial Unicode MS" w:hAnsi="Arial"/>
          <w:b/>
          <w:sz w:val="32"/>
          <w:u w:val="single"/>
          <w:lang w:val="es-EC"/>
        </w:rPr>
        <w:t>BIBLIOGRAFÍA</w:t>
      </w:r>
    </w:p>
    <w:p w:rsidR="002E32FF" w:rsidRDefault="002E32FF">
      <w:pPr>
        <w:jc w:val="center"/>
        <w:rPr>
          <w:rFonts w:ascii="Arial" w:eastAsia="Arial Unicode MS" w:hAnsi="Arial"/>
          <w:b/>
          <w:sz w:val="32"/>
          <w:u w:val="single"/>
          <w:lang w:val="es-EC"/>
        </w:rPr>
      </w:pPr>
    </w:p>
    <w:p w:rsidR="002E32FF" w:rsidRDefault="002E32FF">
      <w:pPr>
        <w:jc w:val="center"/>
        <w:rPr>
          <w:rFonts w:ascii="Arial" w:eastAsia="Arial Unicode MS" w:hAnsi="Arial"/>
          <w:b/>
          <w:sz w:val="32"/>
          <w:u w:val="single"/>
          <w:lang w:val="es-EC"/>
        </w:rPr>
      </w:pPr>
    </w:p>
    <w:p w:rsidR="002E32FF" w:rsidRDefault="002E32FF">
      <w:pPr>
        <w:ind w:left="1440"/>
        <w:jc w:val="center"/>
        <w:rPr>
          <w:rFonts w:ascii="Arial" w:eastAsia="Arial Unicode MS" w:hAnsi="Arial"/>
          <w:sz w:val="28"/>
          <w:lang w:val="es-EC"/>
        </w:rPr>
      </w:pPr>
    </w:p>
    <w:p w:rsidR="002E32FF" w:rsidRDefault="002E32FF">
      <w:pPr>
        <w:numPr>
          <w:ilvl w:val="0"/>
          <w:numId w:val="10"/>
        </w:numPr>
        <w:spacing w:line="480" w:lineRule="auto"/>
        <w:jc w:val="both"/>
        <w:rPr>
          <w:rFonts w:ascii="Arial" w:eastAsia="Arial Unicode MS" w:hAnsi="Arial"/>
          <w:sz w:val="24"/>
          <w:lang w:val="es-EC"/>
        </w:rPr>
      </w:pPr>
      <w:r>
        <w:rPr>
          <w:rFonts w:ascii="Arial" w:eastAsia="Arial Unicode MS" w:hAnsi="Arial"/>
          <w:sz w:val="24"/>
          <w:lang w:val="es-EC"/>
        </w:rPr>
        <w:t>BOLSA DE VALORES DE GUAYAQUIL.</w:t>
      </w:r>
    </w:p>
    <w:p w:rsidR="002E32FF" w:rsidRDefault="002E32FF">
      <w:pPr>
        <w:numPr>
          <w:ilvl w:val="0"/>
          <w:numId w:val="10"/>
        </w:numPr>
        <w:spacing w:line="480" w:lineRule="auto"/>
        <w:jc w:val="both"/>
        <w:rPr>
          <w:rFonts w:ascii="Arial" w:eastAsia="Arial Unicode MS" w:hAnsi="Arial"/>
          <w:sz w:val="24"/>
          <w:lang w:val="es-EC"/>
        </w:rPr>
      </w:pPr>
      <w:r>
        <w:rPr>
          <w:rFonts w:ascii="Arial" w:eastAsia="Arial Unicode MS" w:hAnsi="Arial"/>
          <w:sz w:val="24"/>
          <w:lang w:val="es-EC"/>
        </w:rPr>
        <w:t>BOLSA DE VALORES DE QUITO.</w:t>
      </w:r>
    </w:p>
    <w:p w:rsidR="002E32FF" w:rsidRDefault="002E32FF">
      <w:pPr>
        <w:numPr>
          <w:ilvl w:val="0"/>
          <w:numId w:val="10"/>
        </w:numPr>
        <w:spacing w:line="480" w:lineRule="auto"/>
        <w:jc w:val="both"/>
        <w:rPr>
          <w:rFonts w:ascii="Arial" w:eastAsia="Arial Unicode MS" w:hAnsi="Arial"/>
          <w:sz w:val="24"/>
          <w:lang w:val="es-EC"/>
        </w:rPr>
      </w:pPr>
      <w:r>
        <w:rPr>
          <w:rFonts w:ascii="Arial" w:eastAsia="Arial Unicode MS" w:hAnsi="Arial"/>
          <w:sz w:val="24"/>
          <w:lang w:val="es-EC"/>
        </w:rPr>
        <w:t>BREALEY, Richard MYERS Stewart, PRINCIPIOS DE FINANZAS  CORPORATIVAS. 5TA EDICIÓN. Mc Graw Hill, 1998.</w:t>
      </w:r>
    </w:p>
    <w:p w:rsidR="002E32FF" w:rsidRDefault="002E32FF">
      <w:pPr>
        <w:numPr>
          <w:ilvl w:val="0"/>
          <w:numId w:val="10"/>
        </w:numPr>
        <w:spacing w:line="480" w:lineRule="auto"/>
        <w:jc w:val="both"/>
        <w:rPr>
          <w:rFonts w:ascii="Arial" w:eastAsia="Arial Unicode MS" w:hAnsi="Arial"/>
          <w:sz w:val="24"/>
          <w:lang w:val="es-EC"/>
        </w:rPr>
      </w:pPr>
      <w:r>
        <w:rPr>
          <w:rFonts w:ascii="Arial" w:eastAsia="Arial Unicode MS" w:hAnsi="Arial"/>
          <w:sz w:val="24"/>
          <w:lang w:val="es-EC"/>
        </w:rPr>
        <w:t xml:space="preserve">Entrevista con los principales </w:t>
      </w:r>
      <w:r>
        <w:rPr>
          <w:rFonts w:ascii="Arial" w:eastAsia="Arial Unicode MS" w:hAnsi="Arial"/>
          <w:sz w:val="24"/>
          <w:lang w:val="es-EC"/>
        </w:rPr>
        <w:tab/>
        <w:t>brokers de Guayaquil y Quito.</w:t>
      </w:r>
    </w:p>
    <w:p w:rsidR="002E32FF" w:rsidRDefault="002E32FF">
      <w:pPr>
        <w:numPr>
          <w:ilvl w:val="0"/>
          <w:numId w:val="10"/>
        </w:numPr>
        <w:spacing w:line="480" w:lineRule="auto"/>
        <w:jc w:val="both"/>
        <w:rPr>
          <w:rFonts w:ascii="Arial" w:eastAsia="Arial Unicode MS" w:hAnsi="Arial"/>
          <w:sz w:val="24"/>
          <w:lang w:val="es-EC"/>
        </w:rPr>
      </w:pPr>
      <w:r>
        <w:rPr>
          <w:rFonts w:ascii="Arial" w:eastAsia="Arial Unicode MS" w:hAnsi="Arial"/>
          <w:sz w:val="24"/>
          <w:lang w:val="es-EC"/>
        </w:rPr>
        <w:t>ELVIRA Oscar PUIG Xavier, ANÁLISIS TÉCNICO BURSÁTIL. OCTAVA EDICIÓN. EDICIONES GESTIÓN 2000 S.A., Marzo 2001.</w:t>
      </w:r>
    </w:p>
    <w:p w:rsidR="002E32FF" w:rsidRDefault="002E32FF">
      <w:pPr>
        <w:numPr>
          <w:ilvl w:val="0"/>
          <w:numId w:val="10"/>
        </w:numPr>
        <w:spacing w:line="480" w:lineRule="auto"/>
        <w:jc w:val="both"/>
        <w:rPr>
          <w:rFonts w:ascii="Arial" w:eastAsia="Arial Unicode MS" w:hAnsi="Arial"/>
          <w:sz w:val="24"/>
        </w:rPr>
      </w:pPr>
      <w:r>
        <w:rPr>
          <w:rFonts w:ascii="Arial" w:eastAsia="Arial Unicode MS" w:hAnsi="Arial"/>
          <w:sz w:val="24"/>
        </w:rPr>
        <w:t xml:space="preserve">SALAS Oriol Amat, </w:t>
      </w:r>
      <w:smartTag w:uri="urn:schemas-microsoft-com:office:smarttags" w:element="PersonName">
        <w:smartTagPr>
          <w:attr w:name="ProductID" w:val="LA BOLSA  FUNCIONAMIENTO"/>
        </w:smartTagPr>
        <w:r>
          <w:rPr>
            <w:rFonts w:ascii="Arial" w:eastAsia="Arial Unicode MS" w:hAnsi="Arial"/>
            <w:sz w:val="24"/>
          </w:rPr>
          <w:t>LA BOLSA  FUNCIONAMIENTO</w:t>
        </w:r>
      </w:smartTag>
      <w:r>
        <w:rPr>
          <w:rFonts w:ascii="Arial" w:eastAsia="Arial Unicode MS" w:hAnsi="Arial"/>
          <w:sz w:val="24"/>
        </w:rPr>
        <w:t xml:space="preserve"> Y TÉCNICAS PARA INVERTIR. QUINTA EDICIÓN. EDICIONES DEUSTO S.A.,  2000.</w:t>
      </w:r>
    </w:p>
    <w:p w:rsidR="002E32FF" w:rsidRDefault="002E32FF">
      <w:pPr>
        <w:numPr>
          <w:ilvl w:val="0"/>
          <w:numId w:val="10"/>
        </w:numPr>
        <w:spacing w:line="480" w:lineRule="auto"/>
        <w:jc w:val="both"/>
        <w:rPr>
          <w:rFonts w:ascii="Arial" w:eastAsia="Arial Unicode MS" w:hAnsi="Arial"/>
          <w:sz w:val="24"/>
        </w:rPr>
      </w:pPr>
      <w:r>
        <w:rPr>
          <w:rFonts w:ascii="Arial" w:eastAsia="Arial Unicode MS" w:hAnsi="Arial"/>
          <w:sz w:val="24"/>
        </w:rPr>
        <w:t>LEY DEL MERCADO DE VALORES.</w:t>
      </w:r>
    </w:p>
    <w:p w:rsidR="002E32FF" w:rsidRDefault="002E32FF">
      <w:pPr>
        <w:numPr>
          <w:ilvl w:val="0"/>
          <w:numId w:val="10"/>
        </w:numPr>
        <w:spacing w:line="480" w:lineRule="auto"/>
        <w:jc w:val="both"/>
        <w:rPr>
          <w:rFonts w:ascii="Arial" w:eastAsia="Arial Unicode MS" w:hAnsi="Arial"/>
          <w:sz w:val="24"/>
        </w:rPr>
      </w:pPr>
      <w:r>
        <w:rPr>
          <w:rFonts w:ascii="Arial" w:eastAsia="Arial Unicode MS" w:hAnsi="Arial"/>
          <w:sz w:val="24"/>
          <w:lang w:val="en-US"/>
        </w:rPr>
        <w:t xml:space="preserve">PARISI Y VASQUEZ, SIMPLE TECHNICAL TRADING RULES OF STOCK RETURNS: EVIDENCE FROM 1987 TO </w:t>
      </w:r>
      <w:smartTag w:uri="urn:schemas-microsoft-com:office:smarttags" w:element="metricconverter">
        <w:smartTagPr>
          <w:attr w:name="ProductID" w:val="1998 IN"/>
        </w:smartTagPr>
        <w:r>
          <w:rPr>
            <w:rFonts w:ascii="Arial" w:eastAsia="Arial Unicode MS" w:hAnsi="Arial"/>
            <w:sz w:val="24"/>
            <w:lang w:val="en-US"/>
          </w:rPr>
          <w:t>1998 IN</w:t>
        </w:r>
      </w:smartTag>
      <w:r>
        <w:rPr>
          <w:rFonts w:ascii="Arial" w:eastAsia="Arial Unicode MS" w:hAnsi="Arial"/>
          <w:sz w:val="24"/>
          <w:lang w:val="en-US"/>
        </w:rPr>
        <w:t xml:space="preserve"> </w:t>
      </w:r>
      <w:smartTag w:uri="urn:schemas-microsoft-com:office:smarttags" w:element="country-region">
        <w:smartTag w:uri="urn:schemas-microsoft-com:office:smarttags" w:element="place">
          <w:r>
            <w:rPr>
              <w:rFonts w:ascii="Arial" w:eastAsia="Arial Unicode MS" w:hAnsi="Arial"/>
              <w:sz w:val="24"/>
              <w:lang w:val="en-US"/>
            </w:rPr>
            <w:t>CHILE</w:t>
          </w:r>
        </w:smartTag>
      </w:smartTag>
      <w:r>
        <w:rPr>
          <w:rFonts w:ascii="Arial" w:eastAsia="Arial Unicode MS" w:hAnsi="Arial"/>
          <w:sz w:val="24"/>
          <w:lang w:val="en-US"/>
        </w:rPr>
        <w:t xml:space="preserve">. </w:t>
      </w:r>
      <w:r>
        <w:rPr>
          <w:rFonts w:ascii="Arial" w:eastAsia="Arial Unicode MS" w:hAnsi="Arial"/>
          <w:sz w:val="24"/>
        </w:rPr>
        <w:t>ELSEVIER SCIENCE, 2000.</w:t>
      </w:r>
    </w:p>
    <w:p w:rsidR="002E32FF" w:rsidRDefault="002E32FF">
      <w:pPr>
        <w:numPr>
          <w:ilvl w:val="0"/>
          <w:numId w:val="10"/>
        </w:numPr>
        <w:spacing w:line="480" w:lineRule="auto"/>
        <w:jc w:val="both"/>
        <w:rPr>
          <w:rFonts w:ascii="Arial" w:eastAsia="Arial Unicode MS" w:hAnsi="Arial"/>
          <w:sz w:val="24"/>
        </w:rPr>
      </w:pPr>
      <w:r>
        <w:rPr>
          <w:rFonts w:ascii="Arial" w:eastAsia="Arial Unicode MS" w:hAnsi="Arial"/>
          <w:sz w:val="24"/>
          <w:lang w:val="en-US"/>
        </w:rPr>
        <w:t>FAMA, E. (1970).</w:t>
      </w:r>
      <w:r>
        <w:rPr>
          <w:rFonts w:ascii="Arial" w:eastAsia="Arial Unicode MS" w:hAnsi="Arial"/>
          <w:b/>
          <w:sz w:val="24"/>
          <w:lang w:val="en-US"/>
        </w:rPr>
        <w:t xml:space="preserve"> </w:t>
      </w:r>
      <w:r>
        <w:rPr>
          <w:rFonts w:ascii="Arial" w:eastAsia="Arial Unicode MS" w:hAnsi="Arial"/>
          <w:sz w:val="24"/>
          <w:lang w:val="en-US"/>
        </w:rPr>
        <w:t>“Efficient capital markets: A review of theory and empirical work</w:t>
      </w:r>
      <w:r>
        <w:rPr>
          <w:rFonts w:ascii="Arial" w:eastAsia="Arial Unicode MS" w:hAnsi="Arial"/>
          <w:i/>
          <w:sz w:val="24"/>
          <w:lang w:val="en-US"/>
        </w:rPr>
        <w:t xml:space="preserve">”.  </w:t>
      </w:r>
      <w:r>
        <w:rPr>
          <w:rFonts w:ascii="Arial" w:eastAsia="Arial Unicode MS" w:hAnsi="Arial"/>
          <w:i/>
          <w:sz w:val="24"/>
        </w:rPr>
        <w:t>The Journal of Finance,</w:t>
      </w:r>
      <w:r>
        <w:rPr>
          <w:rFonts w:ascii="Arial" w:eastAsia="Arial Unicode MS" w:hAnsi="Arial"/>
          <w:sz w:val="24"/>
        </w:rPr>
        <w:t xml:space="preserve"> 25, p.p. 383-417.</w:t>
      </w:r>
    </w:p>
    <w:p w:rsidR="002E32FF" w:rsidRDefault="002E32FF">
      <w:pPr>
        <w:numPr>
          <w:ilvl w:val="0"/>
          <w:numId w:val="10"/>
        </w:numPr>
        <w:spacing w:line="480" w:lineRule="auto"/>
        <w:jc w:val="both"/>
        <w:rPr>
          <w:rFonts w:ascii="Arial" w:eastAsia="Arial Unicode MS" w:hAnsi="Arial"/>
          <w:sz w:val="24"/>
        </w:rPr>
      </w:pPr>
      <w:r>
        <w:rPr>
          <w:rFonts w:ascii="Arial" w:eastAsia="Arial Unicode MS" w:hAnsi="Arial"/>
          <w:sz w:val="24"/>
        </w:rPr>
        <w:t>MONTALVO Mariana, INTRODUCCIÓN AL MUNDO DEL MERCADO DE CAPITALES. PRIMERA EDICIÓN.</w:t>
      </w:r>
    </w:p>
    <w:p w:rsidR="002E32FF" w:rsidRDefault="002E32FF">
      <w:pPr>
        <w:numPr>
          <w:ilvl w:val="0"/>
          <w:numId w:val="10"/>
        </w:numPr>
        <w:spacing w:line="480" w:lineRule="auto"/>
        <w:jc w:val="both"/>
        <w:rPr>
          <w:rFonts w:ascii="Arial" w:eastAsia="Arial Unicode MS" w:hAnsi="Arial"/>
          <w:sz w:val="24"/>
          <w:lang w:val="en-US"/>
        </w:rPr>
      </w:pPr>
      <w:r>
        <w:rPr>
          <w:rFonts w:ascii="Arial" w:eastAsia="Arial Unicode MS" w:hAnsi="Arial"/>
          <w:sz w:val="24"/>
          <w:lang w:val="en-US"/>
        </w:rPr>
        <w:t xml:space="preserve">FAMA, E (1976). Foundation of Finance Basic Books, </w:t>
      </w:r>
      <w:smartTag w:uri="urn:schemas-microsoft-com:office:smarttags" w:element="State">
        <w:smartTag w:uri="urn:schemas-microsoft-com:office:smarttags" w:element="place">
          <w:r>
            <w:rPr>
              <w:rFonts w:ascii="Arial" w:eastAsia="Arial Unicode MS" w:hAnsi="Arial"/>
              <w:sz w:val="24"/>
              <w:lang w:val="en-US"/>
            </w:rPr>
            <w:t>New York</w:t>
          </w:r>
        </w:smartTag>
      </w:smartTag>
      <w:r>
        <w:rPr>
          <w:rFonts w:ascii="Arial" w:eastAsia="Arial Unicode MS" w:hAnsi="Arial"/>
          <w:sz w:val="24"/>
          <w:lang w:val="en-US"/>
        </w:rPr>
        <w:t>.</w:t>
      </w:r>
    </w:p>
    <w:p w:rsidR="002E32FF" w:rsidRDefault="002E32FF">
      <w:pPr>
        <w:numPr>
          <w:ilvl w:val="0"/>
          <w:numId w:val="10"/>
        </w:numPr>
        <w:spacing w:line="480" w:lineRule="auto"/>
        <w:jc w:val="both"/>
        <w:rPr>
          <w:rFonts w:ascii="Arial" w:eastAsia="Arial Unicode MS" w:hAnsi="Arial"/>
          <w:sz w:val="24"/>
          <w:lang w:val="en-US"/>
        </w:rPr>
      </w:pPr>
      <w:r>
        <w:rPr>
          <w:rFonts w:ascii="Arial" w:eastAsia="Arial Unicode MS" w:hAnsi="Arial"/>
          <w:sz w:val="24"/>
          <w:lang w:val="en-US"/>
        </w:rPr>
        <w:t>DAMODARAN Aswath, Security analysis for investment and corporate finance, 1994.</w:t>
      </w:r>
    </w:p>
    <w:p w:rsidR="002E32FF" w:rsidRDefault="002E32FF">
      <w:pPr>
        <w:numPr>
          <w:ilvl w:val="0"/>
          <w:numId w:val="20"/>
        </w:numPr>
        <w:autoSpaceDE w:val="0"/>
        <w:autoSpaceDN w:val="0"/>
        <w:adjustRightInd w:val="0"/>
        <w:spacing w:after="120" w:line="480" w:lineRule="auto"/>
        <w:jc w:val="both"/>
        <w:rPr>
          <w:rFonts w:ascii="Arial" w:hAnsi="Arial"/>
          <w:sz w:val="24"/>
          <w:lang w:val="en-US"/>
        </w:rPr>
      </w:pPr>
      <w:r>
        <w:rPr>
          <w:rFonts w:ascii="Arial" w:hAnsi="Arial"/>
          <w:sz w:val="24"/>
        </w:rPr>
        <w:t xml:space="preserve">LO, A. y MACKINLEY, A. (1988). </w:t>
      </w:r>
      <w:r>
        <w:rPr>
          <w:rFonts w:ascii="Arial" w:hAnsi="Arial"/>
          <w:sz w:val="24"/>
          <w:lang w:val="en-US"/>
        </w:rPr>
        <w:t xml:space="preserve">“Stock market price do not follow random walk: Evidence from a simple specification test”.  </w:t>
      </w:r>
      <w:r>
        <w:rPr>
          <w:rFonts w:ascii="Arial" w:hAnsi="Arial"/>
          <w:i/>
          <w:sz w:val="24"/>
          <w:lang w:val="en-US"/>
        </w:rPr>
        <w:t>Review of Financial Studies</w:t>
      </w:r>
      <w:r>
        <w:rPr>
          <w:rFonts w:ascii="Arial" w:hAnsi="Arial"/>
          <w:sz w:val="24"/>
          <w:lang w:val="en-US"/>
        </w:rPr>
        <w:t>, 1, p.p. 41-66.</w:t>
      </w:r>
    </w:p>
    <w:p w:rsidR="002E32FF" w:rsidRDefault="002E32FF">
      <w:pPr>
        <w:numPr>
          <w:ilvl w:val="0"/>
          <w:numId w:val="20"/>
        </w:numPr>
        <w:autoSpaceDE w:val="0"/>
        <w:autoSpaceDN w:val="0"/>
        <w:adjustRightInd w:val="0"/>
        <w:spacing w:after="120" w:line="480" w:lineRule="auto"/>
        <w:jc w:val="both"/>
        <w:rPr>
          <w:rFonts w:ascii="Arial" w:hAnsi="Arial"/>
          <w:sz w:val="24"/>
          <w:lang w:val="en-US"/>
        </w:rPr>
      </w:pPr>
      <w:r>
        <w:rPr>
          <w:rFonts w:ascii="Arial" w:hAnsi="Arial"/>
          <w:sz w:val="24"/>
          <w:lang w:val="en-US"/>
        </w:rPr>
        <w:t xml:space="preserve">LEUNG, Daouk y CHEN. “Forecasting stock indices: a comparison of classification and level estimation models”.  </w:t>
      </w:r>
      <w:r>
        <w:rPr>
          <w:rFonts w:ascii="Arial" w:hAnsi="Arial"/>
          <w:i/>
          <w:sz w:val="24"/>
          <w:lang w:val="en-US"/>
        </w:rPr>
        <w:t>International Journal of Forecasting</w:t>
      </w:r>
      <w:r>
        <w:rPr>
          <w:rFonts w:ascii="Arial" w:hAnsi="Arial"/>
          <w:sz w:val="24"/>
          <w:lang w:val="en-US"/>
        </w:rPr>
        <w:t xml:space="preserve"> (16)2, p.p. 173-190. Año 2000</w:t>
      </w:r>
    </w:p>
    <w:p w:rsidR="002E32FF" w:rsidRDefault="002E32FF">
      <w:pPr>
        <w:numPr>
          <w:ilvl w:val="0"/>
          <w:numId w:val="20"/>
        </w:numPr>
        <w:autoSpaceDE w:val="0"/>
        <w:autoSpaceDN w:val="0"/>
        <w:adjustRightInd w:val="0"/>
        <w:spacing w:after="120" w:line="480" w:lineRule="auto"/>
        <w:jc w:val="both"/>
        <w:rPr>
          <w:rFonts w:ascii="Arial" w:hAnsi="Arial"/>
          <w:sz w:val="24"/>
          <w:lang w:val="en-US"/>
        </w:rPr>
      </w:pPr>
      <w:r>
        <w:rPr>
          <w:rFonts w:ascii="Arial" w:hAnsi="Arial"/>
          <w:sz w:val="24"/>
          <w:lang w:val="es-ES_tradnl"/>
        </w:rPr>
        <w:t xml:space="preserve">FAMA, E. y FRENCH, K.  </w:t>
      </w:r>
      <w:r>
        <w:rPr>
          <w:rFonts w:ascii="Arial" w:hAnsi="Arial"/>
          <w:sz w:val="24"/>
          <w:lang w:val="en-US"/>
        </w:rPr>
        <w:t xml:space="preserve">“Permanent and temporary components of stock prices”.  </w:t>
      </w:r>
      <w:r>
        <w:rPr>
          <w:rFonts w:ascii="Arial" w:hAnsi="Arial"/>
          <w:i/>
          <w:sz w:val="24"/>
          <w:lang w:val="en-US"/>
        </w:rPr>
        <w:t>Journal of Political Economy</w:t>
      </w:r>
      <w:r>
        <w:rPr>
          <w:rFonts w:ascii="Arial" w:hAnsi="Arial"/>
          <w:sz w:val="24"/>
          <w:lang w:val="en-US"/>
        </w:rPr>
        <w:t>, 98, p.p. 247-273. Año 1988</w:t>
      </w:r>
    </w:p>
    <w:p w:rsidR="002E32FF" w:rsidRDefault="002E32FF">
      <w:pPr>
        <w:numPr>
          <w:ilvl w:val="0"/>
          <w:numId w:val="20"/>
        </w:numPr>
        <w:autoSpaceDE w:val="0"/>
        <w:autoSpaceDN w:val="0"/>
        <w:adjustRightInd w:val="0"/>
        <w:spacing w:after="120" w:line="480" w:lineRule="auto"/>
        <w:jc w:val="both"/>
        <w:rPr>
          <w:rFonts w:ascii="Arial" w:hAnsi="Arial"/>
          <w:sz w:val="24"/>
        </w:rPr>
      </w:pPr>
      <w:r>
        <w:rPr>
          <w:rFonts w:ascii="Arial" w:hAnsi="Arial"/>
          <w:sz w:val="24"/>
          <w:lang w:val="en-US"/>
        </w:rPr>
        <w:t>JEGADEESH, Narasimhan. “Evidence of predictable behavior of security returns</w:t>
      </w:r>
      <w:r>
        <w:rPr>
          <w:rFonts w:ascii="Arial" w:hAnsi="Arial"/>
          <w:i/>
          <w:sz w:val="24"/>
          <w:lang w:val="en-US"/>
        </w:rPr>
        <w:t>”.  The Journal of Finance</w:t>
      </w:r>
      <w:r>
        <w:rPr>
          <w:rFonts w:ascii="Arial" w:hAnsi="Arial"/>
          <w:sz w:val="24"/>
          <w:lang w:val="en-US"/>
        </w:rPr>
        <w:t xml:space="preserve">, Vol . 45(3), </w:t>
      </w:r>
      <w:r>
        <w:rPr>
          <w:rFonts w:ascii="Arial" w:hAnsi="Arial"/>
          <w:sz w:val="24"/>
        </w:rPr>
        <w:t>p.p. 881-898 (Julio). Año 1990</w:t>
      </w:r>
    </w:p>
    <w:p w:rsidR="002E32FF" w:rsidRDefault="002E32FF">
      <w:pPr>
        <w:pStyle w:val="Bibliografia"/>
        <w:numPr>
          <w:ilvl w:val="0"/>
          <w:numId w:val="20"/>
        </w:numPr>
        <w:spacing w:line="480" w:lineRule="auto"/>
        <w:rPr>
          <w:rFonts w:ascii="Arial" w:hAnsi="Arial"/>
          <w:sz w:val="24"/>
        </w:rPr>
      </w:pPr>
      <w:r>
        <w:rPr>
          <w:rFonts w:ascii="Arial" w:hAnsi="Arial"/>
          <w:smallCaps/>
          <w:sz w:val="24"/>
          <w:lang w:val="en-US"/>
        </w:rPr>
        <w:t>URRUTIA, J. L.</w:t>
      </w:r>
      <w:r>
        <w:rPr>
          <w:rFonts w:ascii="Arial" w:hAnsi="Arial"/>
          <w:sz w:val="24"/>
          <w:lang w:val="en-US"/>
        </w:rPr>
        <w:t xml:space="preserve"> (1994). “Time Series Properties of Four Latin American Equity Markets: </w:t>
      </w:r>
      <w:smartTag w:uri="urn:schemas-microsoft-com:office:smarttags" w:element="country-region">
        <w:r>
          <w:rPr>
            <w:rFonts w:ascii="Arial" w:hAnsi="Arial"/>
            <w:sz w:val="24"/>
            <w:lang w:val="en-US"/>
          </w:rPr>
          <w:t>Argentina</w:t>
        </w:r>
      </w:smartTag>
      <w:r>
        <w:rPr>
          <w:rFonts w:ascii="Arial" w:hAnsi="Arial"/>
          <w:sz w:val="24"/>
          <w:lang w:val="en-US"/>
        </w:rPr>
        <w:t xml:space="preserve">, </w:t>
      </w:r>
      <w:smartTag w:uri="urn:schemas-microsoft-com:office:smarttags" w:element="country-region">
        <w:r>
          <w:rPr>
            <w:rFonts w:ascii="Arial" w:hAnsi="Arial"/>
            <w:sz w:val="24"/>
            <w:lang w:val="en-US"/>
          </w:rPr>
          <w:t>Brazil</w:t>
        </w:r>
      </w:smartTag>
      <w:r>
        <w:rPr>
          <w:rFonts w:ascii="Arial" w:hAnsi="Arial"/>
          <w:sz w:val="24"/>
          <w:lang w:val="en-US"/>
        </w:rPr>
        <w:t xml:space="preserve">, </w:t>
      </w:r>
      <w:smartTag w:uri="urn:schemas-microsoft-com:office:smarttags" w:element="country-region">
        <w:r>
          <w:rPr>
            <w:rFonts w:ascii="Arial" w:hAnsi="Arial"/>
            <w:sz w:val="24"/>
            <w:lang w:val="en-US"/>
          </w:rPr>
          <w:t>Chile</w:t>
        </w:r>
      </w:smartTag>
      <w:r>
        <w:rPr>
          <w:rFonts w:ascii="Arial" w:hAnsi="Arial"/>
          <w:sz w:val="24"/>
          <w:lang w:val="en-US"/>
        </w:rPr>
        <w:t xml:space="preserve"> and </w:t>
      </w:r>
      <w:smartTag w:uri="urn:schemas-microsoft-com:office:smarttags" w:element="country-region">
        <w:smartTag w:uri="urn:schemas-microsoft-com:office:smarttags" w:element="place">
          <w:r>
            <w:rPr>
              <w:rFonts w:ascii="Arial" w:hAnsi="Arial"/>
              <w:sz w:val="24"/>
              <w:lang w:val="en-US"/>
            </w:rPr>
            <w:t>Mexico</w:t>
          </w:r>
        </w:smartTag>
      </w:smartTag>
      <w:r>
        <w:rPr>
          <w:rFonts w:ascii="Arial" w:hAnsi="Arial"/>
          <w:sz w:val="24"/>
          <w:lang w:val="en-US"/>
        </w:rPr>
        <w:t xml:space="preserve">”. </w:t>
      </w:r>
      <w:r>
        <w:rPr>
          <w:rFonts w:ascii="Arial" w:hAnsi="Arial"/>
          <w:i/>
          <w:sz w:val="24"/>
        </w:rPr>
        <w:t>Estudios de Administración,</w:t>
      </w:r>
      <w:r>
        <w:rPr>
          <w:rFonts w:ascii="Arial" w:hAnsi="Arial"/>
          <w:sz w:val="24"/>
        </w:rPr>
        <w:t xml:space="preserve"> vol. 1, no.2, Universidad de Chile, Santiago.</w:t>
      </w:r>
    </w:p>
    <w:p w:rsidR="002E32FF" w:rsidRDefault="002E32FF">
      <w:pPr>
        <w:rPr>
          <w:lang w:eastAsia="es-ES"/>
        </w:rPr>
      </w:pPr>
    </w:p>
    <w:p w:rsidR="002E32FF" w:rsidRDefault="002E32FF">
      <w:pPr>
        <w:pStyle w:val="Bibliografia"/>
        <w:numPr>
          <w:ilvl w:val="0"/>
          <w:numId w:val="20"/>
        </w:numPr>
        <w:spacing w:line="480" w:lineRule="auto"/>
        <w:rPr>
          <w:rFonts w:ascii="Arial" w:hAnsi="Arial"/>
          <w:sz w:val="24"/>
        </w:rPr>
      </w:pPr>
      <w:r>
        <w:rPr>
          <w:rFonts w:ascii="Arial" w:hAnsi="Arial"/>
          <w:caps/>
          <w:sz w:val="24"/>
        </w:rPr>
        <w:t>Gregoire, J.</w:t>
      </w:r>
      <w:r>
        <w:rPr>
          <w:rFonts w:ascii="Arial" w:hAnsi="Arial"/>
          <w:sz w:val="24"/>
        </w:rPr>
        <w:t xml:space="preserve"> (1984). “Distribuciones Pareto Lêvy para retornos de acciones en Chile”. </w:t>
      </w:r>
      <w:r>
        <w:rPr>
          <w:rFonts w:ascii="Arial" w:hAnsi="Arial"/>
          <w:i/>
          <w:sz w:val="24"/>
        </w:rPr>
        <w:t>Estudios de Economía</w:t>
      </w:r>
      <w:r>
        <w:rPr>
          <w:rFonts w:ascii="Arial" w:hAnsi="Arial"/>
          <w:sz w:val="24"/>
        </w:rPr>
        <w:t xml:space="preserve"> (Chile), no.22, primer semestre, Santiago.</w:t>
      </w:r>
    </w:p>
    <w:p w:rsidR="002E32FF" w:rsidRDefault="002E32FF">
      <w:pPr>
        <w:jc w:val="both"/>
        <w:rPr>
          <w:rFonts w:ascii="Arial" w:hAnsi="Arial"/>
          <w:sz w:val="24"/>
        </w:rPr>
      </w:pPr>
    </w:p>
    <w:p w:rsidR="002E32FF" w:rsidRDefault="002E32FF">
      <w:pPr>
        <w:jc w:val="both"/>
        <w:rPr>
          <w:rFonts w:ascii="Arial" w:eastAsia="Arial Unicode MS" w:hAnsi="Arial"/>
          <w:b/>
          <w:sz w:val="24"/>
          <w:lang w:val="es-ES_tradnl"/>
        </w:rPr>
      </w:pPr>
    </w:p>
    <w:p w:rsidR="002E32FF" w:rsidRDefault="002E32FF">
      <w:pPr>
        <w:jc w:val="both"/>
        <w:rPr>
          <w:rFonts w:ascii="Arial" w:eastAsia="Arial Unicode MS" w:hAnsi="Arial"/>
          <w:b/>
          <w:sz w:val="24"/>
          <w:lang w:val="es-ES_tradnl"/>
        </w:rPr>
      </w:pPr>
    </w:p>
    <w:p w:rsidR="002E32FF" w:rsidRDefault="002E32FF">
      <w:pPr>
        <w:spacing w:line="480" w:lineRule="auto"/>
        <w:jc w:val="both"/>
        <w:rPr>
          <w:rFonts w:ascii="Arial" w:hAnsi="Arial"/>
          <w:sz w:val="24"/>
          <w:lang w:val="es-ES_tradnl"/>
        </w:rPr>
      </w:pPr>
      <w:r>
        <w:rPr>
          <w:rFonts w:ascii="Arial" w:eastAsia="Arial Unicode MS" w:hAnsi="Arial"/>
          <w:b/>
          <w:sz w:val="24"/>
          <w:lang w:val="es-ES_tradnl"/>
        </w:rPr>
        <w:t xml:space="preserve">    </w:t>
      </w:r>
      <w:r>
        <w:rPr>
          <w:rFonts w:ascii="Arial" w:hAnsi="Arial"/>
          <w:sz w:val="24"/>
          <w:lang w:val="es-ES_tradnl"/>
        </w:rPr>
        <w:t>La base de los datos de los índices bursátiles ecuatorianos se encuentran en el programa Reuters, también se utilizó el programa estadístico Eviews 4.1.</w:t>
      </w:r>
    </w:p>
    <w:p w:rsidR="002E32FF" w:rsidRDefault="002E32FF">
      <w:pPr>
        <w:spacing w:line="480" w:lineRule="auto"/>
        <w:jc w:val="both"/>
        <w:rPr>
          <w:rFonts w:ascii="Arial" w:hAnsi="Arial"/>
          <w:sz w:val="28"/>
          <w:lang w:val="es-ES_tradnl"/>
        </w:rPr>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jc w:val="both"/>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jc w:val="center"/>
        <w:rPr>
          <w:rFonts w:ascii="Arial" w:hAnsi="Arial"/>
          <w:b/>
          <w:sz w:val="96"/>
        </w:rPr>
      </w:pPr>
      <w:r>
        <w:rPr>
          <w:rFonts w:ascii="Arial" w:hAnsi="Arial"/>
          <w:b/>
          <w:sz w:val="96"/>
        </w:rPr>
        <w:t>ANEXOS</w:t>
      </w: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722A9C" w:rsidRDefault="00722A9C">
      <w:pPr>
        <w:pStyle w:val="NormalWeb"/>
        <w:spacing w:line="480" w:lineRule="auto"/>
        <w:jc w:val="center"/>
        <w:rPr>
          <w:rFonts w:ascii="Arial" w:hAnsi="Arial"/>
          <w:b/>
          <w:sz w:val="28"/>
          <w:u w:val="single"/>
        </w:rPr>
      </w:pPr>
    </w:p>
    <w:p w:rsidR="00722A9C" w:rsidRDefault="00722A9C">
      <w:pPr>
        <w:pStyle w:val="NormalWeb"/>
        <w:spacing w:line="480" w:lineRule="auto"/>
        <w:jc w:val="center"/>
        <w:rPr>
          <w:rFonts w:ascii="Arial" w:hAnsi="Arial"/>
          <w:b/>
          <w:sz w:val="28"/>
          <w:u w:val="single"/>
        </w:rPr>
      </w:pPr>
    </w:p>
    <w:p w:rsidR="00722A9C" w:rsidRDefault="00722A9C">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r>
        <w:rPr>
          <w:rFonts w:ascii="Arial" w:hAnsi="Arial"/>
          <w:b/>
          <w:sz w:val="28"/>
          <w:u w:val="single"/>
        </w:rPr>
        <w:t>ANEXO 1</w:t>
      </w:r>
    </w:p>
    <w:p w:rsidR="002E32FF" w:rsidRDefault="002E32FF">
      <w:pPr>
        <w:pStyle w:val="NormalWeb"/>
        <w:spacing w:line="480" w:lineRule="auto"/>
        <w:jc w:val="center"/>
        <w:rPr>
          <w:rFonts w:ascii="Arial" w:hAnsi="Arial"/>
          <w:b/>
          <w:sz w:val="28"/>
          <w:u w:val="single"/>
        </w:rPr>
      </w:pPr>
    </w:p>
    <w:p w:rsidR="002E32FF" w:rsidRDefault="002E32FF">
      <w:pPr>
        <w:pStyle w:val="NormalWeb"/>
        <w:jc w:val="both"/>
        <w:rPr>
          <w:rFonts w:ascii="Arial" w:hAnsi="Arial"/>
        </w:rPr>
      </w:pPr>
      <w:r>
        <w:rPr>
          <w:rFonts w:ascii="Arial" w:hAnsi="Arial"/>
          <w:b/>
        </w:rPr>
        <w:t xml:space="preserve">Tabla 1. </w:t>
      </w:r>
      <w:r>
        <w:rPr>
          <w:rFonts w:ascii="Arial" w:hAnsi="Arial"/>
        </w:rPr>
        <w:t xml:space="preserve">Resultado de los cálculos de las reglas de análisis técnico para el        </w:t>
      </w:r>
    </w:p>
    <w:p w:rsidR="002E32FF" w:rsidRDefault="002E32FF">
      <w:pPr>
        <w:pStyle w:val="NormalWeb"/>
        <w:jc w:val="both"/>
        <w:rPr>
          <w:rFonts w:ascii="Arial" w:hAnsi="Arial"/>
        </w:rPr>
      </w:pPr>
      <w:r>
        <w:rPr>
          <w:rFonts w:ascii="Arial" w:hAnsi="Arial"/>
        </w:rPr>
        <w:t xml:space="preserve">              índice ECUINDEX, datos semanales.</w:t>
      </w:r>
    </w:p>
    <w:p w:rsidR="002E32FF" w:rsidRDefault="002E32FF">
      <w:pPr>
        <w:pStyle w:val="NormalWeb"/>
        <w:spacing w:line="480" w:lineRule="auto"/>
        <w:rPr>
          <w:rFonts w:ascii="Arial" w:hAnsi="Arial"/>
          <w:sz w:val="28"/>
        </w:rPr>
      </w:pPr>
    </w:p>
    <w:tbl>
      <w:tblPr>
        <w:tblW w:w="0" w:type="auto"/>
        <w:tblLayout w:type="fixed"/>
        <w:tblCellMar>
          <w:left w:w="30" w:type="dxa"/>
          <w:right w:w="30" w:type="dxa"/>
        </w:tblCellMar>
        <w:tblLook w:val="0000"/>
      </w:tblPr>
      <w:tblGrid>
        <w:gridCol w:w="1200"/>
        <w:gridCol w:w="815"/>
        <w:gridCol w:w="850"/>
        <w:gridCol w:w="993"/>
        <w:gridCol w:w="1134"/>
        <w:gridCol w:w="992"/>
        <w:gridCol w:w="850"/>
        <w:gridCol w:w="851"/>
        <w:gridCol w:w="850"/>
      </w:tblGrid>
      <w:tr w:rsidR="002E32FF">
        <w:tblPrEx>
          <w:tblCellMar>
            <w:top w:w="0" w:type="dxa"/>
            <w:bottom w:w="0" w:type="dxa"/>
          </w:tblCellMar>
        </w:tblPrEx>
        <w:trPr>
          <w:trHeight w:val="264"/>
        </w:trPr>
        <w:tc>
          <w:tcPr>
            <w:tcW w:w="1200"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lang w:eastAsia="es-ES"/>
              </w:rPr>
            </w:pPr>
            <w:r>
              <w:rPr>
                <w:rFonts w:ascii="Arial" w:hAnsi="Arial"/>
                <w:b/>
                <w:snapToGrid w:val="0"/>
                <w:lang w:eastAsia="es-ES"/>
              </w:rPr>
              <w:t>FECHA</w:t>
            </w:r>
          </w:p>
        </w:tc>
        <w:tc>
          <w:tcPr>
            <w:tcW w:w="815"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sz w:val="16"/>
                <w:lang w:eastAsia="es-ES"/>
              </w:rPr>
            </w:pPr>
            <w:r>
              <w:rPr>
                <w:rFonts w:ascii="Arial" w:hAnsi="Arial"/>
                <w:b/>
                <w:snapToGrid w:val="0"/>
                <w:sz w:val="16"/>
                <w:lang w:eastAsia="es-ES"/>
              </w:rPr>
              <w:t>PRECIOS DE CIERRE</w:t>
            </w:r>
          </w:p>
        </w:tc>
        <w:tc>
          <w:tcPr>
            <w:tcW w:w="850"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MMCP</w:t>
            </w:r>
          </w:p>
        </w:tc>
        <w:tc>
          <w:tcPr>
            <w:tcW w:w="993"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MMLP</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1%</w:t>
            </w:r>
          </w:p>
        </w:tc>
        <w:tc>
          <w:tcPr>
            <w:tcW w:w="850"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sz w:val="16"/>
                <w:lang w:eastAsia="es-ES"/>
              </w:rPr>
            </w:pPr>
            <w:r>
              <w:rPr>
                <w:rFonts w:ascii="Arial" w:hAnsi="Arial"/>
                <w:b/>
                <w:snapToGrid w:val="0"/>
                <w:color w:val="000000"/>
                <w:sz w:val="16"/>
                <w:lang w:eastAsia="es-ES"/>
              </w:rPr>
              <w:t>RETOR         NOS</w:t>
            </w:r>
          </w:p>
        </w:tc>
        <w:tc>
          <w:tcPr>
            <w:tcW w:w="851"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min</w:t>
            </w:r>
          </w:p>
        </w:tc>
        <w:tc>
          <w:tcPr>
            <w:tcW w:w="850"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max</w:t>
            </w:r>
          </w:p>
        </w:tc>
      </w:tr>
      <w:tr w:rsidR="002E32FF">
        <w:tblPrEx>
          <w:tblCellMar>
            <w:top w:w="0" w:type="dxa"/>
            <w:bottom w:w="0" w:type="dxa"/>
          </w:tblCellMar>
        </w:tblPrEx>
        <w:trPr>
          <w:trHeight w:val="571"/>
        </w:trPr>
        <w:tc>
          <w:tcPr>
            <w:tcW w:w="1200"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15"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tc>
        <w:tc>
          <w:tcPr>
            <w:tcW w:w="993"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MMLP80-X%</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MMLP80+X%</w:t>
            </w:r>
          </w:p>
        </w:tc>
        <w:tc>
          <w:tcPr>
            <w:tcW w:w="850"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sz w:val="16"/>
                <w:lang w:eastAsia="es-ES"/>
              </w:rPr>
              <w:t>PRECIOS DE CIERRE</w:t>
            </w:r>
          </w:p>
        </w:tc>
        <w:tc>
          <w:tcPr>
            <w:tcW w:w="851"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tc>
        <w:tc>
          <w:tcPr>
            <w:tcW w:w="850"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09/09/2001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314.30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16/09/2001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23/09/2001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30/09/2001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07/10/2001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21/10/2001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28/10/2001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04/11/2001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11/11/2001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18/11/2001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25/11/2001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02/12/2001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09/12/2001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16/12/2001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23/12/2001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30/12/2001</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333.15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325.94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302.41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304.30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328.94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329.92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03/03/2002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10/03/2002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324.85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17/03/2002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327.29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24/03/2002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305.39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31/03/2002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305.39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321.24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333.15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07/04/2002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342.37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322.18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342.37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14/04/2002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342.37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322.63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342.37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21/04/2002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384.49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324.49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384.49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28/04/2002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472.09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329.26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472.09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05/05/2002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474.62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334.13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474.62</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12/05/2002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477.75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339.09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477.75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19/05/2002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344.14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26/05/2002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465.69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348.70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02/06/2002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466.43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353.29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09/06/2002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454.67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357.49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16/06/2002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439.77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361.18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23/06/2002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458.35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365.50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30/06/2002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453.24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369.65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07/07/2002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448.38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373.64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14/07/2002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440.90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377.37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21/07/2002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437.41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380.99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28/07/2002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384.58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04/08/2002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460.65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388.83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450.44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392.98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18/08/2002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449.32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398.35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25/08/2002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449.91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403.26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01/09/2002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452.23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408.19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480.01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08/09/2002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482.20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413.30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482.20</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15/09/2002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478.13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418.24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482.20</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22/09/2002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495.28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424.98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3.52%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495.28</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29/09/2002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432.06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305.39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06/10/2002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495.10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437.74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305.39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13/10/2002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494.04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443.30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305.39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20/10/2002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490.30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449.46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305.39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27/10/2002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488.99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455.58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342.37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484.04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460.30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342.37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478.43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464.84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384.49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481.05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24/11/2002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465.74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467.85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464.23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467.50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08/12/2002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468.84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486.93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469.07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469.55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29/12/2002</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468.83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05/01/2003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445.51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468.53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12/01/2003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445.57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468.72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19/01/2003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454.59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468.59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26/01/2003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461.29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468.86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467.80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469.51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462.78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470.24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473.73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471.45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497.80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473.49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02/03/2003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497.68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474.73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09/03/2003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506.71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476.60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16/03/2003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505.03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478.46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410.33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406.23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414.43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23/03/2003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503.23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480.24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412.69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408.57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416.82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30/03/2003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491.64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481.55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414.73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410.58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418.88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06/04/2003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491.09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481.85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416.76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412.59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420.92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13/04/2003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488.85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482.20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418.76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414.57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422.95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04/05/2003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481.61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420.61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416.41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424.82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517.91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15/06/2003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571.47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483.79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423.65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419.41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427.89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571.47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22/06/2003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520.95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484.66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426.05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421.79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430.31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571.47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29/06/2003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520.11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485.52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428.44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424.16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432.73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571.47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06/07/2003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486.38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430.78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426.48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435.09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571.47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518.20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487.35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433.15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428.82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437.48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571.47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20/07/2003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492.98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437.20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432.83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441.57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27/07/2003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602.17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497.10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440.62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436.21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445.02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03/08/2003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634.00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502.20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444.43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439.99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448.88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10/08/2003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577.89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505.94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447.55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443.07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452.02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17/08/2003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622.09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511.20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451.21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446.70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455.72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24/08/2003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624.63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514.76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454.91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450.36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459.46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31/08/2003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576.06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517.73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458.00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453.42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462.58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14/09/2003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575.55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520.91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461.03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456.42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465.64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444.76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21/09/2003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571.93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525.14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464.11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459.47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468.75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445.51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05/10/2003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586.00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529.83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467.83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463.15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472.50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445.57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16/11/2003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567.85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533.90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471.14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466.43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475.85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454.59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23/11/2003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586.05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538.29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474.66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469.92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479.41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461.29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30/11/2003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573.31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542.02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477.72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472.94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482.50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462.78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611.28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546.80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481.24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476.42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486.05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462.78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614.96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551.88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485.26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480.41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490.11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473.73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606.63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556.31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489.18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484.28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494.07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28/12/2003</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611.45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560.09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492.76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487.83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497.69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565.30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496.84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491.87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501.81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612.13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568.81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500.67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495.67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612.13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572.38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504.51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499.46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509.55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589.41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575.25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507.60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502.52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512.67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-3.78%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549.17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577.17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510.18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505.08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515.28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581.77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580.19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512.65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507.52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583.32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583.34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514.04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508.90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519.18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477.32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589.62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587.09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515.47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510.32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520.63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601.18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588.08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517.02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511.85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522.19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07/03/2004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605.57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590.90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518.59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513.40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523.77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14/03/2004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604.24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593.70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520.32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515.12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525.52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515.90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21/03/2004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598.87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596.47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521.97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516.75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527.19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518.20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28/03/2004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533.88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596.99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522.96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517.73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528.19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533.88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04/04/2004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468.53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590.85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523.32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518.09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528.56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468.53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11/04/2004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586.38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523.45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518.21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528.68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25/04/2004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536.48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583.13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524.49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519.24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529.73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02/05/2004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565.06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582.70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525.94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520.69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531.20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5.19%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09/05/2004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577.98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581.23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527.66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522.38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532.93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16/05/2004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578.79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579.70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529.43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524.13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534.72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23/05/2004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563.68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531.02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525.71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536.33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30/05/2004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565.13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578.94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532.32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527.00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537.64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06/06/2004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594.18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579.68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534.12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528.78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539.46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5.01%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13/06/2004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598.15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580.09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535.98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530.62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541.34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20/06/2004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580.82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537.73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532.35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543.11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27/06/2004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625.68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582.14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539.90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534.50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545.30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04/07/2004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638.84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584.33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541.85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536.44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547.27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11/07/2004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652.00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585.69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544.03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538.59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549.47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653.77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18/07/2004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656.49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587.07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546.04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540.58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551.50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656.49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25/07/2004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669.54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589.17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548.09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542.61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553.57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669.54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01/08/2004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591.21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550.31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544.81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555.81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672.63</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08/08/2004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666.55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591.63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552.46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546.94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557.99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672.63</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15/08/2004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672.25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593.64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554.74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549.19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560.29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672.63</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22/08/2004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676.92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595.80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557.09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551.52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562.66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676.92</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29/08/2004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720.80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600.18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560.05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554.45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565.65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720.80</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05/09/2004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783.38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607.98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563.86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558.22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569.50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783.38</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12/09/2004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818.45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615.87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568.08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562.40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573.76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818.45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19/09/2004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846.57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624.65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572.84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567.11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578.57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846.57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26/09/2004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892.52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634.74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578.19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572.41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583.97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5.29%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892.52</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03/10/2004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646.08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583.48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577.65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10/10/2004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926.13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656.76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588.97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583.08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594.86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17/10/2004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888.98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666.26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594.08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588.14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600.02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24/10/2004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871.24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675.34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599.41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593.42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605.41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31/10/2004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864.97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686.37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604.66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598.61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610.70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699.43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609.84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603.74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615.94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468.07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866.93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712.73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615.00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608.85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621.15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536.48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865.34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723.69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620.05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613.85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626.25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563.68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28/11/2004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885.93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734.39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625.27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619.02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631.53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563.68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884.11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744.59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630.54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624.23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636.85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563.68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894.69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755.12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635.80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629.44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642.16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563.68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889.19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765.97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640.69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634.29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647.10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565.13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26/12/2004</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893.99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776.93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645.65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639.19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652.11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784.96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649.75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643.25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656.25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883.10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794.46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654.48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647.93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661.02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5.60%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589.91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880.69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804.15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659.20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652.60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665.79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625.68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869.17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812.27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663.92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657.28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670.55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638.84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873.98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820.11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668.70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662.01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675.39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652.00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853.63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826.83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673.26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666.53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679.99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656.49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857.86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833.54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678.02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671.24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684.80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666.55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890.87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840.92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682.01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675.19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688.83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3.78%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666.55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894.17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848.30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686.68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679.81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693.54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666.55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06/03/2005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896.30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855.96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691.38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684.46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698.29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672.25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13/03/2005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696.45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689.48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703.41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676.92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20/03/2005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901.71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871.75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701.24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694.23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708.25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720.80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27/03/2005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901.26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877.77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704.35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697.30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711.39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783.38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03/04/2005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830.60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879.34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707.20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700.13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714.27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818.45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10/04/2005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820.96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879.43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709.54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702.44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716.63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820.96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17/04/2005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843.49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879.32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712.86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705.73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719.99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820.96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24/04/2005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876.64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715.23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708.08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722.38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01/05/2005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830.38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872.94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717.80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710.63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724.98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926.13</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08/05/2005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836.21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869.95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721.06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713.84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15/05/2005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836.21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868.19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724.31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717.07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731.56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22/05/2005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821.58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866.53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727.43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720.16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734.71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29/05/2005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833.18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865.47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730.52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723.22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737.83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05/06/2005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835.13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733.86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726.53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741.20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836.23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863.61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736.99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729.62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744.36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19/06/2005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862.55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740.25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732.84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747.65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26/06/2005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837.38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860.93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743.07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735.64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750.50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03/07/2005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843.95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859.60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745.94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738.48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753.39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10/07/2005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844.81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857.93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748.91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741.42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756.40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17/07/2005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751.90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744.38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759.42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24/07/2005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862.89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855.60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754.51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746.97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762.06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31/07/2005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861.24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856.47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757.63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750.05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765.20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07/08/2005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884.33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761.03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753.42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768.64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884.98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856.66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764.72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757.08</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772.37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21/08/2005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889.51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768.98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761.29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776.67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28/08/2005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893.21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772.87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765.14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780.60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04/09/2005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918.21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860.13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777.06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769.29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784.83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11/09/2005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899.10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861.50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780.92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773.11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788.73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18/09/2005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903.40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861.92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784.70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776.85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792.55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25/09/2005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860.08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787.62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779.74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02/10/2005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909.61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860.52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791.44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783.52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799.35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921.29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09/10/2005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860.02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795.28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787.32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803.23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918.21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16/10/2005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860.25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799.96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791.96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807.96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918.21</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23/10/2005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917.16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860.78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805.57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797.51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813.63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918.21</w:t>
            </w:r>
          </w:p>
        </w:tc>
      </w:tr>
      <w:tr w:rsidR="002E32FF">
        <w:tblPrEx>
          <w:tblCellMar>
            <w:top w:w="0" w:type="dxa"/>
            <w:bottom w:w="0" w:type="dxa"/>
          </w:tblCellMar>
        </w:tblPrEx>
        <w:trPr>
          <w:trHeight w:val="264"/>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30/10/2005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919.94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863.76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811.22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803.11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819.33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919.94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921.52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867.11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816.03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807.87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824.19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921.52</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870.49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820.78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812.57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828.99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874.92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825.36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817.11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833.62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821.58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27/11/2005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938.18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878.51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829.86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821.56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821.58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939.44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881.95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834.55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826.21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842.90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821.58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885.32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839.21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830.81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847.60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821.58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938.43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889.22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843.51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835.07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851.94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833.18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25/12/2005</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947.75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893.04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847.88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839.40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856.36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947.75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896.75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852.34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843.81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860.86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947.75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900.45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856.36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847.79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864.92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947.75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950.22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904.33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860.25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851.65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868.85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837.38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950.22</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953.17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908.19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864.01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855.37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872.65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953.17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972.70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912.48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867.96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859.29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876.64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972.70</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05/02/2006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917.33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871.97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863.25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880.69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990.27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12/02/2006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922.01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875.95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867.19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884.71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990.50</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19/02/2006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926.26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880.00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871.20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888.80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26/02/2006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991.25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930.60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883.98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875.15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892.82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991.25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05/03/2006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993.58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934.24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887.94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879.06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896.82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993.58</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12/03/2006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998.85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938.03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891.42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882.50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900.33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998.85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19/03/2006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997.55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894.10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885.15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903.04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998.85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26/03/2006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999.09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945.16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896.35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887.39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905.32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999.09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02/04/2006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946.50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897.75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888.77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999.09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09/04/2006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982.90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949.29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898.88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889.89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907.87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999.09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16/04/2006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1009.78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952.84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899.74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890.74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1009.78</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23/04/2006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1024.48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959.02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900.97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891.96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909.98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1024.48</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30/04/2006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963.44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902.88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893.85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1042.24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07/05/2006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1065.83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968.77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905.31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896.26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914.37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1065.83</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14/05/2006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1070.38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974.16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907.88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898.80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916.96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917.16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1070.38</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21/05/2006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1072.62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979.34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910.53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901.43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919.64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919.94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1072.62</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28/05/2006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1078.65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984.63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913.18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904.05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922.31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921.52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1078.65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04/06/2006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1076.01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989.78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915.81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906.66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924.97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1078.65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11/06/2006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1073.23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994.06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918.16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908.97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927.34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1078.65</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18/06/2006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1081.90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998.63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920.63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911.42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929.83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1081.90</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25/06/2006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1004.14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923.24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914.01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932.47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02/07/2006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1093.73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1009.28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925.79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916.54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935.05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937.37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09/07/2006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1071.52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1013.75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928.01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918.73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937.29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938.43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16/07/2006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1066.16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1018.01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930.90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921.59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940.21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23/07/2006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1063.72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1021.88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933.16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923.83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942.49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946.47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30/07/2006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1074.12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1026.13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935.58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926.22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944.93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0.97%</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06/08/2006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1073.63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1030.35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938.13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928.75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947.52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950.22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13/08/2006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1083.91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1034.80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940.76</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931.35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950.17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953.17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20/08/2006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1072.12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1038.77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943.49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934.06</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952.92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27/08/2006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1075.62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1042.20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946.21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936.75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955.67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0.33%</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03/09/2006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1071.84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1044.92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948.47</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938.99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957.96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1074.51</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1047.72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950.73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941.22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960.24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0.25%</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17/09/2006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1072.80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1050.46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952.93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943.41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962.46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24/09/2006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1077.19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1053.32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954.88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945.33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964.43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01/10/2006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1072.43</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1055.95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957.02</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947.45</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966.59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-0.44%</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08/10/2006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1067.02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1058.22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959.09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949.50</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968.68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15/10/2006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1066.10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1060.51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962.03</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952.41</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971.65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22/10/2006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1097.39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1063.79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965.49</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955.83</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975.14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2.89%</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958.27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1103.46</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29/10/2006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1109.27</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1068.82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968.81</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959.12</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978.50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982.90</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1109.27</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1115.04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1073.22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972.60</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962.87</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982.32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1009.78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1115.04</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1130.79</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1077.26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976.35</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966.59</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986.12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1024.48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1130.79</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1147.38</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1081.35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980.24</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970.44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990.05</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1042.24</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1147.38</w:t>
            </w:r>
          </w:p>
        </w:tc>
      </w:tr>
      <w:tr w:rsidR="002E32FF">
        <w:tblPrEx>
          <w:tblCellMar>
            <w:top w:w="0" w:type="dxa"/>
            <w:bottom w:w="0" w:type="dxa"/>
          </w:tblCellMar>
        </w:tblPrEx>
        <w:trPr>
          <w:trHeight w:val="250"/>
        </w:trPr>
        <w:tc>
          <w:tcPr>
            <w:tcW w:w="120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26/11/2006</w:t>
            </w:r>
          </w:p>
        </w:tc>
        <w:tc>
          <w:tcPr>
            <w:tcW w:w="81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1159.16</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1085.25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984.28</w:t>
            </w:r>
          </w:p>
        </w:tc>
        <w:tc>
          <w:tcPr>
            <w:tcW w:w="1134"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974.44</w:t>
            </w:r>
          </w:p>
        </w:tc>
        <w:tc>
          <w:tcPr>
            <w:tcW w:w="992"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994.12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w:t>
            </w:r>
          </w:p>
        </w:tc>
        <w:tc>
          <w:tcPr>
            <w:tcW w:w="851"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1063.72</w:t>
            </w:r>
          </w:p>
        </w:tc>
        <w:tc>
          <w:tcPr>
            <w:tcW w:w="85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1159.16</w:t>
            </w:r>
          </w:p>
        </w:tc>
      </w:tr>
    </w:tbl>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r>
        <w:rPr>
          <w:rFonts w:ascii="Arial" w:hAnsi="Arial"/>
          <w:b/>
          <w:sz w:val="28"/>
          <w:u w:val="single"/>
        </w:rPr>
        <w:t xml:space="preserve">ANEXO 2 </w:t>
      </w:r>
    </w:p>
    <w:p w:rsidR="002E32FF" w:rsidRDefault="002E32FF">
      <w:pPr>
        <w:pStyle w:val="NormalWeb"/>
        <w:spacing w:line="480" w:lineRule="auto"/>
        <w:jc w:val="center"/>
        <w:rPr>
          <w:rFonts w:ascii="Arial" w:hAnsi="Arial"/>
          <w:b/>
          <w:sz w:val="28"/>
          <w:u w:val="single"/>
        </w:rPr>
      </w:pPr>
    </w:p>
    <w:p w:rsidR="002E32FF" w:rsidRDefault="002E32FF">
      <w:pPr>
        <w:pStyle w:val="NormalWeb"/>
        <w:jc w:val="both"/>
        <w:rPr>
          <w:rFonts w:ascii="Arial" w:hAnsi="Arial"/>
        </w:rPr>
      </w:pPr>
      <w:r>
        <w:rPr>
          <w:rFonts w:ascii="Arial" w:hAnsi="Arial"/>
          <w:b/>
        </w:rPr>
        <w:t xml:space="preserve">Tabla 2. </w:t>
      </w:r>
      <w:r>
        <w:rPr>
          <w:rFonts w:ascii="Arial" w:hAnsi="Arial"/>
        </w:rPr>
        <w:t xml:space="preserve">Resultado de los cálculos de las reglas de análisis técnico para el        </w:t>
      </w:r>
    </w:p>
    <w:p w:rsidR="002E32FF" w:rsidRDefault="002E32FF">
      <w:pPr>
        <w:pStyle w:val="NormalWeb"/>
        <w:jc w:val="both"/>
        <w:rPr>
          <w:rFonts w:ascii="Arial" w:hAnsi="Arial"/>
        </w:rPr>
      </w:pPr>
      <w:r>
        <w:rPr>
          <w:rFonts w:ascii="Arial" w:hAnsi="Arial"/>
        </w:rPr>
        <w:t xml:space="preserve">              índice IPECU, datos semanales.</w:t>
      </w:r>
    </w:p>
    <w:p w:rsidR="002E32FF" w:rsidRDefault="002E32FF">
      <w:pPr>
        <w:pStyle w:val="NormalWeb"/>
        <w:spacing w:line="480" w:lineRule="auto"/>
        <w:jc w:val="center"/>
        <w:rPr>
          <w:rFonts w:ascii="Arial" w:hAnsi="Arial"/>
          <w:sz w:val="28"/>
        </w:rPr>
      </w:pPr>
    </w:p>
    <w:tbl>
      <w:tblPr>
        <w:tblW w:w="0" w:type="auto"/>
        <w:tblLayout w:type="fixed"/>
        <w:tblCellMar>
          <w:left w:w="30" w:type="dxa"/>
          <w:right w:w="30" w:type="dxa"/>
        </w:tblCellMar>
        <w:tblLook w:val="0000"/>
      </w:tblPr>
      <w:tblGrid>
        <w:gridCol w:w="1166"/>
        <w:gridCol w:w="980"/>
        <w:gridCol w:w="979"/>
        <w:gridCol w:w="1008"/>
        <w:gridCol w:w="758"/>
        <w:gridCol w:w="787"/>
        <w:gridCol w:w="917"/>
        <w:gridCol w:w="787"/>
        <w:gridCol w:w="1028"/>
      </w:tblGrid>
      <w:tr w:rsidR="002E32FF">
        <w:tblPrEx>
          <w:tblCellMar>
            <w:top w:w="0" w:type="dxa"/>
            <w:bottom w:w="0" w:type="dxa"/>
          </w:tblCellMar>
        </w:tblPrEx>
        <w:trPr>
          <w:trHeight w:val="264"/>
        </w:trPr>
        <w:tc>
          <w:tcPr>
            <w:tcW w:w="1166"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FECHA</w:t>
            </w:r>
          </w:p>
        </w:tc>
        <w:tc>
          <w:tcPr>
            <w:tcW w:w="980"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Precios de cierre</w:t>
            </w:r>
          </w:p>
        </w:tc>
        <w:tc>
          <w:tcPr>
            <w:tcW w:w="979"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MMCP30</w:t>
            </w:r>
          </w:p>
        </w:tc>
        <w:tc>
          <w:tcPr>
            <w:tcW w:w="1008"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MMLP80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p w:rsidR="002E32FF" w:rsidRDefault="002E32FF">
            <w:pPr>
              <w:jc w:val="center"/>
              <w:rPr>
                <w:rFonts w:ascii="Arial" w:hAnsi="Arial"/>
                <w:snapToGrid w:val="0"/>
                <w:color w:val="000000"/>
                <w:lang w:eastAsia="es-ES"/>
              </w:rPr>
            </w:pPr>
            <w:r>
              <w:rPr>
                <w:rFonts w:ascii="Arial" w:hAnsi="Arial"/>
                <w:snapToGrid w:val="0"/>
                <w:color w:val="000000"/>
                <w:lang w:eastAsia="es-ES"/>
              </w:rPr>
              <w:t>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p w:rsidR="002E32FF" w:rsidRDefault="002E32FF">
            <w:pPr>
              <w:jc w:val="center"/>
              <w:rPr>
                <w:rFonts w:ascii="Arial" w:hAnsi="Arial"/>
                <w:snapToGrid w:val="0"/>
                <w:color w:val="000000"/>
                <w:lang w:eastAsia="es-ES"/>
              </w:rPr>
            </w:pPr>
            <w:r>
              <w:rPr>
                <w:rFonts w:ascii="Arial" w:hAnsi="Arial"/>
                <w:snapToGrid w:val="0"/>
                <w:color w:val="000000"/>
                <w:lang w:eastAsia="es-ES"/>
              </w:rPr>
              <w:t>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p w:rsidR="002E32FF" w:rsidRDefault="002E32FF">
            <w:pPr>
              <w:jc w:val="center"/>
              <w:rPr>
                <w:rFonts w:ascii="Arial" w:hAnsi="Arial"/>
                <w:snapToGrid w:val="0"/>
                <w:color w:val="000000"/>
                <w:lang w:eastAsia="es-ES"/>
              </w:rPr>
            </w:pPr>
            <w:r>
              <w:rPr>
                <w:rFonts w:ascii="Arial" w:hAnsi="Arial"/>
                <w:snapToGrid w:val="0"/>
                <w:color w:val="000000"/>
                <w:lang w:eastAsia="es-ES"/>
              </w:rPr>
              <w:t>Precios</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p w:rsidR="002E32FF" w:rsidRDefault="002E32FF">
            <w:pPr>
              <w:jc w:val="center"/>
              <w:rPr>
                <w:rFonts w:ascii="Arial" w:hAnsi="Arial"/>
                <w:snapToGrid w:val="0"/>
                <w:color w:val="000000"/>
                <w:lang w:eastAsia="es-ES"/>
              </w:rPr>
            </w:pPr>
            <w:r>
              <w:rPr>
                <w:rFonts w:ascii="Arial" w:hAnsi="Arial"/>
                <w:snapToGrid w:val="0"/>
                <w:color w:val="000000"/>
                <w:lang w:eastAsia="es-ES"/>
              </w:rPr>
              <w:t>Precios</w:t>
            </w:r>
          </w:p>
        </w:tc>
        <w:tc>
          <w:tcPr>
            <w:tcW w:w="1028"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sz w:val="16"/>
                <w:lang w:eastAsia="es-ES"/>
              </w:rPr>
            </w:pPr>
            <w:r>
              <w:rPr>
                <w:rFonts w:ascii="Arial" w:hAnsi="Arial"/>
                <w:b/>
                <w:snapToGrid w:val="0"/>
                <w:color w:val="000000"/>
                <w:sz w:val="16"/>
                <w:lang w:eastAsia="es-ES"/>
              </w:rPr>
              <w:t>RETORNOS PRECIOS DE CIERRE</w:t>
            </w:r>
          </w:p>
        </w:tc>
      </w:tr>
      <w:tr w:rsidR="002E32FF">
        <w:tblPrEx>
          <w:tblCellMar>
            <w:top w:w="0" w:type="dxa"/>
            <w:bottom w:w="0" w:type="dxa"/>
          </w:tblCellMar>
        </w:tblPrEx>
        <w:trPr>
          <w:trHeight w:val="528"/>
        </w:trPr>
        <w:tc>
          <w:tcPr>
            <w:tcW w:w="1166"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80"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79"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MMLP80-X%</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MMLP80+X%</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min</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max</w:t>
            </w:r>
          </w:p>
        </w:tc>
        <w:tc>
          <w:tcPr>
            <w:tcW w:w="1028"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sz w:val="16"/>
                <w:lang w:eastAsia="es-ES"/>
              </w:rPr>
            </w:pP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09/09/2001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57.27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16/09/2001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57.27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23/09/2001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57.53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30/09/2001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07/10/2001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21/10/2001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28/10/2001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04/11/2001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11/11/2001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18/11/2001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60.66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25/11/2001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60.66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02/12/2001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60.66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09/12/2001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60.66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16/12/2001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60.34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23/12/2001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60.56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30/12/2001</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58.38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58.51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60.14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60.35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03/03/2002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10/03/2002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59.94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17/03/2002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60.10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24/03/2002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62.62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31/03/2002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59.71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07/04/2002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60.12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69.54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3.77%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14/04/2002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60.53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69.54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21/04/2002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72.48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61.03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72.48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28/04/2002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79.34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61.64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79.34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05/05/2002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62.26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12/05/2002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19/05/2002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81.39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57.05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26/05/2002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80.52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64.60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02/06/2002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80.57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65.36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09/06/2002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16/06/2002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79.11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66.62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23/06/2002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79.31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30/06/2002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07/07/2002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78.63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68.45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14/07/2002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78.15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21/07/2002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77.86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69.62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28/07/2002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70.21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04/08/2002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70.83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78.35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71.44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18/08/2002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72.14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25/08/2002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78.76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01/09/2002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73.49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08/09/2002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74.19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15/09/2002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74.87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22/09/2002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29/09/2002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76.51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59.94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06/10/2002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77.25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60.10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13/10/2002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77.98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62.62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20/10/2002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78.63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27/10/2002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79.12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69.54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81.43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69.54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72.48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81.22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80.19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24/11/2002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80.14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08/12/2002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80.24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81.63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80.25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29/12/2002</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79.79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79.69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76.38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76.88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02/03/2003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09/03/2003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80.31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79.60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16/03/2003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80.48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79.67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71.79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72.50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23/03/2003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78.69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79.67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72.05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71.33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72.77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30/03/2003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79.71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72.34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71.61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73.06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06/04/2003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79.65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72.61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71.88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73.34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13/04/2003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72.83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72.10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73.55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20/04/2003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80.17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73.07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72.34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73.80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27/04/2003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73.30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72.57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74.04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04/05/2003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79.34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73.59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72.86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74.33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11/05/2003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79.27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73.88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73.14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74.62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18/05/2003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79.21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74.16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73.41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74.90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25/05/2003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79.30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74.45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73.71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75.20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01/06/2003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74.76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74.01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75.50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84.80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08/06/2003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75.05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74.30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75.80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84.80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15/06/2003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79.73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75.39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74.63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76.14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22/06/2003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74.90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76.41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29/06/2003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75.95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75.19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76.71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06/07/2003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76.25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84.71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76.56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20/07/2003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77.01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77.78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27/07/2003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91.98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81.28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76.64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03/08/2003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77.84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77.06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78.62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76.01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10/08/2003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82.36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77.48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76.38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17/08/2003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82.94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78.71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76.88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24/08/2003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79.13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78.33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77.02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31/08/2003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89.55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78.70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80.29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77.02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07/09/2003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84.27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79.89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79.09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80.68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77.84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14/09/2003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88.96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80.27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79.47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81.08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21/09/2003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80.64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79.84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81.45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28/09/2003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89.78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85.36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81.01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80.20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05/10/2003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81.36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80.55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12/10/2003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91.62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81.67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80.86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82.49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19/10/2003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81.93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26/10/2003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91.45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81.39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88.38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87.15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82.41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81.58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83.23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78.27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87.50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82.52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81.70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87.78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82.64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81.81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83.46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90.36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88.13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82.72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30/11/2003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89.24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88.43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82.82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81.99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91.45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82.96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82.13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83.79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91.69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89.21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83.10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83.93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89.42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83.23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82.40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28/12/2003</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91.42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82.55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84.22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82.75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84.42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90.14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83.75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82.91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82.24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90.47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83.91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91.32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84.08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84.92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84.20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84.71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91.03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84.37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85.21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85.36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84.67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85.52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92.40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84.85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84.00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07/03/2004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84.17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85.87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14/03/2004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92.67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85.20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84.34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21/03/2004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85.34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84.48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28/03/2004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90.92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85.51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86.36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04/04/2004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91.04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84.79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86.50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11/04/2004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92.95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84.91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86.63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18/04/2004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85.88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86.74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25/04/2004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92.97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91.33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86.02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86.88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02/05/2004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91.43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86.17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85.31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09/05/2004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91.54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86.33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85.47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16/05/2004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91.61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85.61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87.34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23/05/2004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91.72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86.64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85.78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87.51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30/05/2004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95.74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91.97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86.82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85.96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95.74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06/06/2004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96.60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92.24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87.03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96.60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13/06/2004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97.70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92.53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87.25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86.38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88.12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97.70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20/06/2004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98.09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87.43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86.55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88.30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98.09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27/06/2004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93.18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86.79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88.55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04/07/2004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93.50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87.99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88.87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101.04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11/07/2004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102.71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93.87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88.33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89.21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102.71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18/07/2004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103.27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94.29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88.67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87.78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89.56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103.27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25/07/2004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89.02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88.13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89.91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104.23</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01/08/2004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89.38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90.27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105.03</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08/08/2004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104.65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95.47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89.73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88.83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105.03</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15/08/2004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95.91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90.06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90.96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105.44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22/08/2004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106.12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96.41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90.42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89.52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91.33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106.12</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29/08/2004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109.55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97.14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89.91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91.73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90.62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109.55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05/09/2004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97.91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91.27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90.35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92.18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113.84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12/09/2004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98.79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91.74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90.82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90.77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19/09/2004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120.16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92.23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91.31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93.16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120.16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26/09/2004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100.85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91.86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93.72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124.81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03/10/2004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102.15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93.45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92.52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94.39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10/10/2004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129.39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103.37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94.07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93.13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17/10/2004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124.23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104.44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94.63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93.68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95.58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24/10/2004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122.20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105.36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95.18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94.23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96.13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31/10/2004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121.23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106.30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95.69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120.59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96.20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95.24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97.16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121.31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96.72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95.75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97.68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109.18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97.24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96.26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98.21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28/11/2004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123.22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110.16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97.78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96.80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111.13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98.27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97.28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99.25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125.37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98.77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97.79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99.76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94.71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124.93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99.29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98.29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100.28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26/12/2004</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114.20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99.75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98.75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96.60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114.96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100.22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99.21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101.22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97.70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123.88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115.83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100.72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99.71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101.72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98.09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3.65%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123.63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116.69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101.21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100.19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102.22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117.40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101.68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100.66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102.70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101.04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123.24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118.14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102.01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102.71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122.56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102.40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101.37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103.42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103.27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102.77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103.80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125.26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120.13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103.19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102.15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125.56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120.81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103.58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102.55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104.62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06/03/2005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126.43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121.54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103.99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102.95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13/03/2005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129.48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122.34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104.49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103.45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105.54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106.12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20/03/2005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123.07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104.97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106.02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109.55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27/03/2005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127.98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123.68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105.46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104.41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106.52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113.84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03/04/2005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128.66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124.18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105.95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104.89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10/04/2005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124.54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106.43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105.36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107.49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17/04/2005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131.69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124.93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106.94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105.87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24/04/2005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107.39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106.31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108.46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-3.53%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01/05/2005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131.37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124.99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107.90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106.82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108.98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131.69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08/05/2005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125.06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108.40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107.31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109.48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131.69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15/05/2005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125.31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108.94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107.85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131.69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22/05/2005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125.59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109.47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108.37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110.56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131.69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29/05/2005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131.87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125.95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110.00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131.87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05/06/2005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131.90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126.32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110.52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109.42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111.63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131.90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126.69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111.06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109.95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112.17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132.19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19/06/2005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132.39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111.57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132.39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26/06/2005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132.40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127.35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112.08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110.96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113.20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132.40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03/07/2005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133.25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127.67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111.48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113.74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133.25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10/07/2005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133.10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127.93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113.13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112.00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114.26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133.25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w:t>
            </w:r>
          </w:p>
        </w:tc>
      </w:tr>
      <w:tr w:rsidR="002E32FF">
        <w:tblPrEx>
          <w:tblCellMar>
            <w:top w:w="0" w:type="dxa"/>
            <w:bottom w:w="0" w:type="dxa"/>
          </w:tblCellMar>
        </w:tblPrEx>
        <w:trPr>
          <w:trHeight w:val="264"/>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17/07/2005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128.24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113.62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114.76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24/07/2005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136.55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128.62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113.04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136.55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31/07/2005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129.16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114.72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113.57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115.87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136.55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07/08/2005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138.88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115.32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116.47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138.88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139.26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114.80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139.26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21/08/2005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140.28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116.58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115.42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140.28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28/08/2005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131.35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116.03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118.38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140.72</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04/09/2005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132.03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117.86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116.68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119.04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11/09/2005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132.66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118.46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125.26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18/09/2005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133.12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119.04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117.85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120.23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125.56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25/09/2005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141.31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133.65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119.65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118.45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120.85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126.43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02/10/2005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141.99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134.17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120.27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09/10/2005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141.48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134.57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120.86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16/10/2005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120.25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122.68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142.95</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23/10/2005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143.10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135.51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122.09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120.87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123.31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143.10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30/10/2005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121.52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123.97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136.54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123.38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122.15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124.62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124.05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122.81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125.29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137.73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124.71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123.46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125.95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27/11/2005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148.52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138.30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125.40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124.15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126.66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148.52</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148.69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138.87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126.08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124.82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127.34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148.69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148.40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139.43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126.74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125.47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148.69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148.59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140.02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127.39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128.66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131.87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148.69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25/12/2005</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149.94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140.63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128.04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126.76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149.76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128.68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127.40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129.97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132.19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149.78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141.81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129.29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128.00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130.59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132.39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150.21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142.40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129.91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128.61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131.21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132.40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150.21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130.51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129.20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131.81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133.10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150.72</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153.50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143.69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131.14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129.83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132.45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133.10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153.50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05/02/2006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155.98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144.45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130.47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155.98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12/02/2006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145.17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132.42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131.10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156.02</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19/02/2006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133.08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134.41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26/02/2006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156.11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146.55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133.71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132.37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138.88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05/03/2006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133.00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135.68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12/03/2006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147.73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134.93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133.59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136.28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19/03/2006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157.78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148.31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135.48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134.13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136.84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157.78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26/03/2006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148.92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136.01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134.65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137.37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159.02</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02/04/2006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159.47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149.47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136.50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135.13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137.86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159.47</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09/04/2006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163.96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150.25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136.99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135.62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138.36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16/04/2006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168.21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137.44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136.07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168.21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23/04/2006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171.30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137.97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136.59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139.35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171.30</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30/04/2006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153.29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138.59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137.21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139.98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174.19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07/05/2006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177.94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154.50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139.29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137.90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140.68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177.94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14/05/2006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179.16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140.01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138.61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141.41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143.10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179.16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21/05/2006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156.99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140.75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139.34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142.16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28/05/2006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158.23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141.49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140.08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04/06/2006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180.38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159.44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142.23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11/06/2006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179.56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160.51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144.36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18/06/2006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180.96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143.65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142.21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145.08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148.40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180.96</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25/06/2006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162.84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144.39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145.83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148.40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02/07/2006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183.48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145.12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143.67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146.57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148.40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09/07/2006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165.07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145.81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144.35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148.59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16/07/2006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179.73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166.11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146.57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145.10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149.76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23/07/2006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179.47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167.09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145.79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148.73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149.76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30/07/2006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168.12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147.97</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149.45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149.78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06/08/2006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180.52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169.14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148.70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147.21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150.18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150.21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13/08/2006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180.86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170.16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149.42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150.91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150.72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20/08/2006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171.13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150.13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148.63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151.63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153.50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27/08/2006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180.12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172.02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150.86</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149.35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152.37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155.98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03/09/2006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179.45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172.80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151.54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150.02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156.02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179.90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173.60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152.22</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150.69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153.74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17/09/2006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179.60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174.35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152.88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151.35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154.41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156.11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-0.17%</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24/09/2006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179.20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175.12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153.50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151.97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155.04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156.44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01/10/2006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179.26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175.88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154.14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152.60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155.68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0.03%</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08/10/2006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178.68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176.59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154.78</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153.23</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157.78</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15/10/2006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178.77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177.29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155.40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153.85</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156.96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159.02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22/10/2006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180.11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178.00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156.05</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154.49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157.61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159.47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184.64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29/10/2006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186.41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178.90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156.74</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155.17</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158.30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163.96</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186.41</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3.44%</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187.49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179.68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157.49</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155.92</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168.21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187.49</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0.58%</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180.41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158.23</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156.64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159.81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171.30</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190.04</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193.53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181.15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159.00</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157.41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160.59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174.19</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193.53</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r>
      <w:tr w:rsidR="002E32FF">
        <w:tblPrEx>
          <w:tblCellMar>
            <w:top w:w="0" w:type="dxa"/>
            <w:bottom w:w="0" w:type="dxa"/>
          </w:tblCellMar>
        </w:tblPrEx>
        <w:trPr>
          <w:trHeight w:val="250"/>
        </w:trPr>
        <w:tc>
          <w:tcPr>
            <w:tcW w:w="1166"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26/11/2006</w:t>
            </w:r>
          </w:p>
        </w:tc>
        <w:tc>
          <w:tcPr>
            <w:tcW w:w="980"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196.38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181.89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159.81</w:t>
            </w:r>
          </w:p>
        </w:tc>
        <w:tc>
          <w:tcPr>
            <w:tcW w:w="75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158.21</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161.41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177.94</w:t>
            </w:r>
          </w:p>
        </w:tc>
        <w:tc>
          <w:tcPr>
            <w:tcW w:w="78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196.38</w:t>
            </w:r>
          </w:p>
        </w:tc>
        <w:tc>
          <w:tcPr>
            <w:tcW w:w="102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w:t>
            </w:r>
          </w:p>
        </w:tc>
      </w:tr>
    </w:tbl>
    <w:p w:rsidR="002E32FF" w:rsidRDefault="002E32FF">
      <w:pPr>
        <w:pStyle w:val="NormalWeb"/>
        <w:spacing w:line="480" w:lineRule="auto"/>
        <w:jc w:val="center"/>
        <w:rPr>
          <w:rFonts w:ascii="Arial" w:hAnsi="Arial"/>
          <w:sz w:val="28"/>
        </w:rPr>
        <w:sectPr w:rsidR="002E32FF">
          <w:type w:val="continuous"/>
          <w:pgSz w:w="11907" w:h="16840" w:code="9"/>
          <w:pgMar w:top="2268" w:right="1418" w:bottom="1701" w:left="2268" w:header="720" w:footer="720" w:gutter="0"/>
          <w:cols w:space="720"/>
        </w:sect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jc w:val="center"/>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rPr>
          <w:rFonts w:ascii="Arial" w:hAnsi="Arial"/>
          <w:b/>
          <w:sz w:val="28"/>
          <w:u w:val="single"/>
        </w:rPr>
      </w:pPr>
    </w:p>
    <w:p w:rsidR="002E32FF" w:rsidRDefault="002E32FF">
      <w:pPr>
        <w:pStyle w:val="NormalWeb"/>
        <w:spacing w:line="480" w:lineRule="auto"/>
        <w:jc w:val="center"/>
        <w:rPr>
          <w:rFonts w:ascii="Arial" w:hAnsi="Arial"/>
          <w:b/>
          <w:sz w:val="28"/>
          <w:u w:val="single"/>
        </w:rPr>
      </w:pPr>
      <w:r>
        <w:rPr>
          <w:rFonts w:ascii="Arial" w:hAnsi="Arial"/>
          <w:b/>
          <w:sz w:val="28"/>
          <w:u w:val="single"/>
        </w:rPr>
        <w:t xml:space="preserve">ANEXO 3 </w:t>
      </w:r>
    </w:p>
    <w:p w:rsidR="002E32FF" w:rsidRDefault="002E32FF">
      <w:pPr>
        <w:pStyle w:val="NormalWeb"/>
        <w:spacing w:line="480" w:lineRule="auto"/>
        <w:jc w:val="center"/>
        <w:rPr>
          <w:rFonts w:ascii="Arial" w:hAnsi="Arial"/>
          <w:b/>
          <w:sz w:val="28"/>
          <w:u w:val="single"/>
        </w:rPr>
      </w:pPr>
    </w:p>
    <w:p w:rsidR="002E32FF" w:rsidRDefault="002E32FF">
      <w:pPr>
        <w:pStyle w:val="NormalWeb"/>
        <w:jc w:val="both"/>
        <w:rPr>
          <w:rFonts w:ascii="Arial" w:hAnsi="Arial"/>
        </w:rPr>
      </w:pPr>
      <w:r>
        <w:rPr>
          <w:rFonts w:ascii="Arial" w:hAnsi="Arial"/>
          <w:b/>
        </w:rPr>
        <w:t xml:space="preserve">Tabla 3. </w:t>
      </w:r>
      <w:r>
        <w:rPr>
          <w:rFonts w:ascii="Arial" w:hAnsi="Arial"/>
        </w:rPr>
        <w:t xml:space="preserve">Resultado de los cálculos de las reglas de análisis técnico para el        </w:t>
      </w:r>
    </w:p>
    <w:p w:rsidR="002E32FF" w:rsidRDefault="002E32FF">
      <w:pPr>
        <w:pStyle w:val="NormalWeb"/>
        <w:jc w:val="both"/>
        <w:rPr>
          <w:rFonts w:ascii="Arial" w:hAnsi="Arial"/>
        </w:rPr>
      </w:pPr>
      <w:r>
        <w:rPr>
          <w:rFonts w:ascii="Arial" w:hAnsi="Arial"/>
        </w:rPr>
        <w:t xml:space="preserve">              índice IRECU, datos semanales.</w:t>
      </w:r>
    </w:p>
    <w:p w:rsidR="002E32FF" w:rsidRDefault="002E32FF">
      <w:pPr>
        <w:pStyle w:val="NormalWeb"/>
        <w:spacing w:line="480" w:lineRule="auto"/>
        <w:jc w:val="center"/>
        <w:rPr>
          <w:rFonts w:ascii="Arial" w:hAnsi="Arial"/>
          <w:b/>
          <w:sz w:val="28"/>
          <w:u w:val="single"/>
        </w:rPr>
      </w:pPr>
    </w:p>
    <w:tbl>
      <w:tblPr>
        <w:tblW w:w="0" w:type="auto"/>
        <w:tblLayout w:type="fixed"/>
        <w:tblCellMar>
          <w:left w:w="30" w:type="dxa"/>
          <w:right w:w="30" w:type="dxa"/>
        </w:tblCellMar>
        <w:tblLook w:val="0000"/>
      </w:tblPr>
      <w:tblGrid>
        <w:gridCol w:w="1325"/>
        <w:gridCol w:w="979"/>
        <w:gridCol w:w="979"/>
        <w:gridCol w:w="1008"/>
        <w:gridCol w:w="739"/>
        <w:gridCol w:w="788"/>
        <w:gridCol w:w="993"/>
        <w:gridCol w:w="917"/>
        <w:gridCol w:w="883"/>
      </w:tblGrid>
      <w:tr w:rsidR="002E32FF">
        <w:tblPrEx>
          <w:tblCellMar>
            <w:top w:w="0" w:type="dxa"/>
            <w:bottom w:w="0" w:type="dxa"/>
          </w:tblCellMar>
        </w:tblPrEx>
        <w:trPr>
          <w:trHeight w:val="264"/>
        </w:trPr>
        <w:tc>
          <w:tcPr>
            <w:tcW w:w="1325"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sz w:val="18"/>
                <w:lang w:eastAsia="es-ES"/>
              </w:rPr>
            </w:pPr>
          </w:p>
          <w:p w:rsidR="002E32FF" w:rsidRDefault="002E32FF">
            <w:pPr>
              <w:jc w:val="center"/>
              <w:rPr>
                <w:rFonts w:ascii="Arial" w:hAnsi="Arial"/>
                <w:b/>
                <w:snapToGrid w:val="0"/>
                <w:color w:val="000000"/>
                <w:sz w:val="18"/>
                <w:lang w:eastAsia="es-ES"/>
              </w:rPr>
            </w:pPr>
          </w:p>
          <w:p w:rsidR="002E32FF" w:rsidRDefault="002E32FF">
            <w:pPr>
              <w:jc w:val="center"/>
              <w:rPr>
                <w:rFonts w:ascii="Arial" w:hAnsi="Arial"/>
                <w:b/>
                <w:snapToGrid w:val="0"/>
                <w:color w:val="000000"/>
                <w:sz w:val="18"/>
                <w:lang w:eastAsia="es-ES"/>
              </w:rPr>
            </w:pPr>
            <w:r>
              <w:rPr>
                <w:rFonts w:ascii="Arial" w:hAnsi="Arial"/>
                <w:b/>
                <w:snapToGrid w:val="0"/>
                <w:color w:val="000000"/>
                <w:sz w:val="18"/>
                <w:lang w:eastAsia="es-ES"/>
              </w:rPr>
              <w:t>FECHA</w:t>
            </w:r>
          </w:p>
        </w:tc>
        <w:tc>
          <w:tcPr>
            <w:tcW w:w="979"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sz w:val="18"/>
                <w:lang w:eastAsia="es-ES"/>
              </w:rPr>
            </w:pPr>
            <w:r>
              <w:rPr>
                <w:rFonts w:ascii="Arial" w:hAnsi="Arial"/>
                <w:b/>
                <w:snapToGrid w:val="0"/>
                <w:color w:val="000000"/>
                <w:sz w:val="18"/>
                <w:lang w:eastAsia="es-ES"/>
              </w:rPr>
              <w:t>PRECIOS DE CIERRE</w:t>
            </w:r>
          </w:p>
        </w:tc>
        <w:tc>
          <w:tcPr>
            <w:tcW w:w="979"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MMCP</w:t>
            </w:r>
          </w:p>
        </w:tc>
        <w:tc>
          <w:tcPr>
            <w:tcW w:w="1008"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MMLP</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1%</w:t>
            </w:r>
          </w:p>
        </w:tc>
        <w:tc>
          <w:tcPr>
            <w:tcW w:w="993"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sz w:val="16"/>
                <w:lang w:eastAsia="es-ES"/>
              </w:rPr>
            </w:pPr>
            <w:r>
              <w:rPr>
                <w:rFonts w:ascii="Arial" w:hAnsi="Arial"/>
                <w:b/>
                <w:snapToGrid w:val="0"/>
                <w:color w:val="000000"/>
                <w:sz w:val="16"/>
                <w:lang w:eastAsia="es-ES"/>
              </w:rPr>
              <w:t>RETORNOS PRECIOS DE CIERRE</w:t>
            </w:r>
          </w:p>
        </w:tc>
        <w:tc>
          <w:tcPr>
            <w:tcW w:w="917"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min</w:t>
            </w:r>
          </w:p>
        </w:tc>
        <w:tc>
          <w:tcPr>
            <w:tcW w:w="883" w:type="dxa"/>
            <w:tcBorders>
              <w:top w:val="single" w:sz="6" w:space="0" w:color="auto"/>
              <w:left w:val="single" w:sz="6" w:space="0" w:color="auto"/>
              <w:right w:val="single" w:sz="6" w:space="0" w:color="auto"/>
            </w:tcBorders>
          </w:tcPr>
          <w:p w:rsidR="002E32FF" w:rsidRDefault="002E32FF">
            <w:pPr>
              <w:jc w:val="center"/>
              <w:rPr>
                <w:rFonts w:ascii="Arial" w:hAnsi="Arial"/>
                <w:b/>
                <w:snapToGrid w:val="0"/>
                <w:color w:val="000000"/>
                <w:lang w:eastAsia="es-ES"/>
              </w:rPr>
            </w:pPr>
          </w:p>
          <w:p w:rsidR="002E32FF" w:rsidRDefault="002E32FF">
            <w:pPr>
              <w:jc w:val="center"/>
              <w:rPr>
                <w:rFonts w:ascii="Arial" w:hAnsi="Arial"/>
                <w:b/>
                <w:snapToGrid w:val="0"/>
                <w:color w:val="000000"/>
                <w:lang w:eastAsia="es-ES"/>
              </w:rPr>
            </w:pPr>
            <w:r>
              <w:rPr>
                <w:rFonts w:ascii="Arial" w:hAnsi="Arial"/>
                <w:b/>
                <w:snapToGrid w:val="0"/>
                <w:color w:val="000000"/>
                <w:lang w:eastAsia="es-ES"/>
              </w:rPr>
              <w:t>max</w:t>
            </w:r>
          </w:p>
        </w:tc>
      </w:tr>
      <w:tr w:rsidR="002E32FF">
        <w:tblPrEx>
          <w:tblCellMar>
            <w:top w:w="0" w:type="dxa"/>
            <w:bottom w:w="0" w:type="dxa"/>
          </w:tblCellMar>
        </w:tblPrEx>
        <w:trPr>
          <w:trHeight w:val="734"/>
        </w:trPr>
        <w:tc>
          <w:tcPr>
            <w:tcW w:w="1325"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79"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79"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MMLP80-X%</w:t>
            </w:r>
          </w:p>
        </w:tc>
        <w:tc>
          <w:tcPr>
            <w:tcW w:w="1781" w:type="dxa"/>
            <w:gridSpan w:val="2"/>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r>
              <w:rPr>
                <w:rFonts w:ascii="Arial" w:hAnsi="Arial"/>
                <w:b/>
                <w:snapToGrid w:val="0"/>
                <w:color w:val="000000"/>
                <w:lang w:eastAsia="es-ES"/>
              </w:rPr>
              <w:t>MMLP80+X%</w:t>
            </w:r>
          </w:p>
        </w:tc>
        <w:tc>
          <w:tcPr>
            <w:tcW w:w="917"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tc>
        <w:tc>
          <w:tcPr>
            <w:tcW w:w="883" w:type="dxa"/>
            <w:tcBorders>
              <w:left w:val="single" w:sz="6" w:space="0" w:color="auto"/>
              <w:bottom w:val="single" w:sz="6" w:space="0" w:color="auto"/>
              <w:right w:val="single" w:sz="6" w:space="0" w:color="auto"/>
            </w:tcBorders>
          </w:tcPr>
          <w:p w:rsidR="002E32FF" w:rsidRDefault="002E32FF">
            <w:pPr>
              <w:jc w:val="center"/>
              <w:rPr>
                <w:rFonts w:ascii="Arial" w:hAnsi="Arial"/>
                <w:b/>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09/09/2001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16/09/2001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23/09/2001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80.17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30/09/2001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5.90%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07/10/2001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21/10/2001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-6.72%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28/10/2001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04/11/2001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11/11/2001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4.93%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18/11/2001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25/11/2001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02/12/2001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09/12/2001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16/12/2001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84.09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23/12/2001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84.39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30/12/2001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81.36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81.53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84.10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03/03/2002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10/03/2002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17/03/2002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83.75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24/03/2002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88.34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5.33%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31/03/2002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95.38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83.32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7.67%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95.38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07/04/2002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83.96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3.77%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14/04/2002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84.60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21/04/2002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85.45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6.30%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28/04/2002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115.48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86.46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115.48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05/05/2002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115.82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87.49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115.82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12/05/2002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88.70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19/05/2002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90.00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79.51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26/05/2002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91.26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02/06/2002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92.49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09/06/2002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116.30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93.54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16/06/2002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115.14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94.56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23/06/2002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95.59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30/06/2002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115.08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96.61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07/07/2002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97.61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14/07/2002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113.74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98.60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21/07/2002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113.33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99.56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28/07/2002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100.53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04/08/2002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114.71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101.57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102.58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18/08/2002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113.92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103.71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25/08/2002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01/09/2002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105.92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08/09/2002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117.92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107.06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15/09/2002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117.50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108.17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22/09/2002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119.66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109.47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80.72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29/09/2002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120.56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83.53</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06/10/2002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119.62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83.75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13/10/2002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113.20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88.34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20/10/2002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119.13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95.38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27/10/2002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115.66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99.05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117.94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116.29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118.21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116.71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24/11/2002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117.34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116.78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121.49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08/12/2002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119.52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116.90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112.68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116.68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-7.57%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29/12/2002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116.47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116.29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111.31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116.16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111.85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116.04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112.59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115.35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113.98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114.57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116.04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02/03/2003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116.42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116.10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09/03/2003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117.60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16/03/2003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117.85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116.35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103.23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102.20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23/03/2003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116.34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103.66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102.62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104.69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30/03/2003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116.38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104.11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103.07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105.15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06/04/2003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116.13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116.32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104.56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103.51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105.61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13/04/2003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114.82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104.93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103.88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20/04/2003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117.60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116.16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105.34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104.29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106.39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27/04/2003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117.43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116.06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105.74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104.69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106.80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04/05/2003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117.42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106.22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105.16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107.28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11/05/2003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106.69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105.62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107.76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18/05/2003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117.40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115.85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107.15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106.08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25/05/2003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116.02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107.65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106.57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108.72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5.49%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124.02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01/06/2003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124.39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116.21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108.14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107.06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124.39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08/06/2003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116.38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108.62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107.54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109.71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124.39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15/06/2003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128.99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116.74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109.18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108.09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110.27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128.99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22/06/2003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116.85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109.63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108.54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110.73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-6.69%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128.99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29/06/2003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117.04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110.12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109.01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128.99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06/07/2003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123.97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117.08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110.61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109.50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111.72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128.99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124.27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111.12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110.01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112.23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128.99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20/07/2003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118.26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111.84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110.72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112.96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27/07/2003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134.92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119.06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112.48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111.36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113.61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-4.78%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110.88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03/08/2003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134.67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113.17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112.03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114.30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111.31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10/08/2003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139.58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113.89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112.75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115.03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3.58%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111.85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17/08/2003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137.58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121.66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114.59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113.45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115.74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112.59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24/08/2003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137.58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122.49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115.27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116.42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112.79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31/08/2003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131.36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123.02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115.86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114.70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117.02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-4.62%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112.79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07/09/2003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131.20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116.49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115.32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117.65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113.98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14/09/2003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124.19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115.94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118.28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21/09/2003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131.30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124.75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117.71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116.53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118.88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28/09/2003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131.70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125.26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118.31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117.12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05/10/2003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118.87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117.68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120.05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12/10/2003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134.40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126.32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119.35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118.16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120.55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114.19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19/10/2003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139.69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127.17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119.86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118.66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121.06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114.82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26/10/2003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134.15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127.78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120.30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119.10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121.50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114.82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119.40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121.81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114.82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128.73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120.78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119.57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121.99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130.24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129.15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120.96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119.75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122.17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134.17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129.71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121.12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119.91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30/11/2003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132.52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130.21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121.30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120.08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117.21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130.83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121.53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120.31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117.40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136.16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131.45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121.76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120.55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134.89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131.82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122.00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120.78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28/12/2003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135.76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132.20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122.26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121.03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123.48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122.57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121.35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123.80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122.85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121.62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124.07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133.59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123.12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124.35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122.77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135.60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134.02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123.40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122.16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123.97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134.22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123.61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122.37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124.84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124.27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134.57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134.57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123.88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122.64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125.12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3.33%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141.54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134.78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124.13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122.89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125.37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124.39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123.15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125.64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137.20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134.42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124.68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123.44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125.93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07/03/2004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124.97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123.72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14/03/2004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137.62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125.26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124.01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21/03/2004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136.89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134.34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125.50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124.24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126.75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28/03/2004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125.78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124.53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127.04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04/04/2004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134.97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126.05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124.79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127.31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11/04/2004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135.32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126.31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125.04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127.57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18/04/2004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126.57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125.31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127.84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141.09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25/04/2004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143.91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126.88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125.61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128.15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143.91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02/05/2004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136.48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127.21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125.94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128.48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145.79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09/05/2004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136.90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127.56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126.29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128.84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16/05/2004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127.88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126.60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129.16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23/05/2004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137.48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128.25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126.96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129.53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30/05/2004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148.75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138.12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128.63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127.34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129.91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129.84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148.75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06/06/2004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138.79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129.04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127.75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150.07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13/06/2004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139.51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129.47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128.18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151.79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20/06/2004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152.39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140.12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129.84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128.54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131.14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152.39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27/06/2004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156.88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140.93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130.31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129.01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131.61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156.88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04/07/2004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156.98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130.89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129.58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132.19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156.98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11/07/2004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159.57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142.42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131.49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132.81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159.57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18/07/2004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143.27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132.11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130.79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133.43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160.44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25/07/2004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161.94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144.14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132.75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131.42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134.07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161.94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01/08/2004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163.17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144.88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133.39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132.05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134.72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163.17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08/08/2004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162.59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145.74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134.01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132.67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135.35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163.17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15/08/2004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146.64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134.62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133.27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135.96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163.81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22/08/2004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164.86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147.62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135.27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133.92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136.62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130.16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164.86</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29/08/2004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170.20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148.95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135.97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134.61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134.57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170.20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05/09/2004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176.87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150.36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136.75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135.38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138.12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134.78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176.87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12/09/2004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182.01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151.94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137.57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136.20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138.95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134.79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182.01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19/09/2004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186.68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153.67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138.43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137.05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139.82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136.89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186.68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26/09/2004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194.72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155.59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139.40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138.00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140.79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4.22%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136.89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194.72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03/10/2004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157.85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140.54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139.13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141.95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5.52%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136.89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10/10/2004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160.00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141.62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140.20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143.03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136.89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17/10/2004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194.00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161.90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142.59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24/10/2004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190.83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163.58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143.54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142.10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144.97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31/10/2004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189.31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165.19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144.44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142.99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145.88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07/11/2004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188.32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166.77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145.32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143.87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146.77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14/11/2004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189.45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168.39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146.22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144.76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147.68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143.91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189.81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169.92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145.66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148.60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28/11/2004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192.43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171.47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148.07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146.59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149.55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193.34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173.01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148.93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147.44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150.42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144.09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195.78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174.73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149.83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148.33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151.32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147.13</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195.10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176.33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150.73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149.22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152.23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148.75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26/12/2004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195.23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177.88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151.56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150.04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153.07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150.07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179.09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152.38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150.85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153.90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-4.56%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151.79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180.48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153.26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151.73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154.79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152.39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193.07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181.84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154.13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152.58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155.67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156.88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191.24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182.98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154.96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153.41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156.98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192.46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184.17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155.60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154.04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157.16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159.57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191.40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185.23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156.31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154.74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157.87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160.44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157.00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155.43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158.57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161.94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187.35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157.70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156.13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159.28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162.59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196.08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188.45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158.43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156.85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160.02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162.59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06/03/2005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189.61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159.18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157.59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160.78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163.81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13/03/2005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202.19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190.89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160.07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158.47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161.67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164.86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20/03/2005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200.03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192.06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160.93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159.32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162.54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170.20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27/03/2005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199.94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161.80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160.18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163.42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176.87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03/04/2005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202.23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193.90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162.68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161.06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164.31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182.01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205.77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10/04/2005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206.13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194.70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163.61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161.98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165.25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206.13</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17/04/2005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212.47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195.56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164.61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162.96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166.25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212.47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24/04/2005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205.09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195.91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165.49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163.84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167.15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-3.53%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212.47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01/05/2005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213.16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196.16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166.41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164.75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168.07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3.86%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213.16</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08/05/2005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214.17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196.56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167.41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165.74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169.08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214.17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15/05/2005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168.46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166.78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170.15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214.17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22/05/2005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212.76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197.96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169.50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167.81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171.20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214.17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29/05/2005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198.80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170.56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168.85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172.26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214.61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05/06/2005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214.65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199.68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171.56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169.85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173.28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214.65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12/06/2005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215.12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200.53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172.59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170.87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174.32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215.12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19/06/2005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201.39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173.59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171.85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175.33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215.44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26/06/2005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215.46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202.16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174.58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172.83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215.46</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03/07/2005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202.94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175.60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173.85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177.36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216.84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10/07/2005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216.61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203.63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176.62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174.85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178.38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216.84</w:t>
            </w:r>
          </w:p>
        </w:tc>
      </w:tr>
      <w:tr w:rsidR="002E32FF">
        <w:tblPrEx>
          <w:tblCellMar>
            <w:top w:w="0" w:type="dxa"/>
            <w:bottom w:w="0" w:type="dxa"/>
          </w:tblCellMar>
        </w:tblPrEx>
        <w:trPr>
          <w:trHeight w:val="264"/>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17/07/2005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218.57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204.42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177.59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175.81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179.36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218.57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24/07/2005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222.22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205.32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178.65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176.87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180.44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186.52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222.22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31/07/2005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206.45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179.70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177.90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181.50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222.22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07/08/2005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207.53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180.83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179.02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182.64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226.00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14/08/2005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226.63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208.65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182.04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180.22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183.86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226.63</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21/08/2005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228.28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209.89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183.21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181.38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185.04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228.28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28/08/2005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211.10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184.39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182.54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186.23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229.00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04/09/2005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212.48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185.61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183.75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187.47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11/09/2005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229.18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186.76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184.89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188.63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195.61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18/09/2005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214.79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187.87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185.99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189.74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196.08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25/09/2005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229.96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215.92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189.02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187.13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190.91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197.44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02/10/2005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217.01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190.19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188.28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192.09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199.94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09/10/2005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217.95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191.31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189.39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193.22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199.94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16/10/2005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231.34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218.99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192.44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190.51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194.36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199.94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23/10/2005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232.88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220.09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193.58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191.65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195.52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202.23</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232.88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30/10/2005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233.50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221.13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194.74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192.80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196.69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205.09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233.50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06/11/2005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234.44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222.08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195.87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193.92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197.83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205.09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234.44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13/11/2005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239.65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222.98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197.05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195.08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199.02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205.09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239.65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239.65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224.13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198.20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196.22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200.19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212.76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239.65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27/11/2005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241.69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225.08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199.42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197.43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201.42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212.76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241.69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04/12/2005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241.97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200.61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198.60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202.61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212.76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241.97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11/12/2005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226.93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201.77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199.75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203.79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212.76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241.97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18/12/2005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227.90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202.91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204.94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214.61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241.97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25/12/2005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244.00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228.88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204.07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202.03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206.11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244.00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01/01/2006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243.72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229.84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205.21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203.16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207.26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215.12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244.00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08/01/2006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243.74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230.80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206.29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204.23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208.36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215.44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244.00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15/01/2006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244.45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207.39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205.31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209.46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215.46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244.45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245.28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232.76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208.46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206.37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210.54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216.61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245.28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29/01/2006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249.79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233.86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209.58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207.48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211.67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216.61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249.79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05/02/2006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253.84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235.10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210.73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208.62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212.83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218.57</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253.84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12/02/2006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253.89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236.28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211.86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209.74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213.98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253.89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19/02/2006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255.67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237.39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213.02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215.15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220.49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255.67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26/02/2006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254.05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238.51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214.15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212.01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216.29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226.00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255.67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05/03/2006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254.59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239.46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215.27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213.12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217.42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255.67</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12/03/2006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240.44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216.34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214.18</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19/03/2006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256.76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241.39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217.34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215.17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219.51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256.76</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26/03/2006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258.79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242.38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218.30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216.12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220.48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258.79</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02/04/2006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263.10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243.39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219.26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217.06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221.45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263.10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09/04/2006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220.20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218.00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222.41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270.51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16/04/2006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277.51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246.48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221.10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218.89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223.31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229.96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277.51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23/04/2006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282.62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248.23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222.11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219.89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224.33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282.62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30/04/2006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287.38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250.14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223.27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221.04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225.51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287.38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07/05/2006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293.58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252.25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224.56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222.31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226.80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231.34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293.58</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14/05/2006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295.76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254.40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225.89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223.63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228.15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232.88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295.76</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21/05/2006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296.55</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256.52</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227.24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224.97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233.50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296.55</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28/05/2006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298.21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258.68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228.60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226.32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230.89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234.44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298.21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04/06/2006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297.77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260.79</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229.95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227.65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232.25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298.21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11/06/2006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296.43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262.68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231.25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228.94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233.56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239.65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298.21</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18/06/2006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298.74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264.65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232.57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230.24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234.89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298.74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25/06/2006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266.75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233.93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231.59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236.27</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2.01%</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02/07/2006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302.89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268.78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235.28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232.93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237.63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09/07/2006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297.99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270.67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236.56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234.20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238.93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16/07/2006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296.71</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272.50</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237.94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235.56</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240.32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-0.43%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23/07/2006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296.27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274.24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239.23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236.83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241.62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243.72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30/07/2006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297.92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276.05</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240.54</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238.13</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242.94</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243.74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06/08/2006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298.02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277.86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241.87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239.45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244.29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0.03%</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244.45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13/08/2006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298.58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279.66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243.20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240.77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245.28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20/08/2006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296.78</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281.38</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244.51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242.07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246.96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-0.60%</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249.79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27/08/2006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297.36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282.96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245.85</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243.39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248.31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0.19%</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253.84</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03/09/2006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296.24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284.37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247.11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244.64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249.58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253.89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10/09/2006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296.99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285.81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248.37</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245.89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250.85</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254.05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17/09/2006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296.49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287.17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249.61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247.11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252.10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-0.17%</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254.05</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24/09/2006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295.83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288.56</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250.78</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248.27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253.29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-0.22%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254.59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01/10/2006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296.79</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289.97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251.99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249.47</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254.51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255.80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08/10/2006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295.83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291.31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253.19</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250.65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255.72</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-0.32%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256.76</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15/10/2006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295.97</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292.61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254.36</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251.81</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256.90</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0.05%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258.79</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22/10/2006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298.20</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293.93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255.51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252.95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258.06</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0.75%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263.10</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304.80</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29/10/2006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308.64</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295.44</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256.71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254.14</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259.28</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3.44%</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270.51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308.64</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05/11/2006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310.42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296.77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258.03</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255.45</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260.61</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0.58%</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277.51</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310.42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12/11/2006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314.63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298.01</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259.30</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256.70</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261.89</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1.35%</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282.62</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314.63</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19/11/2006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320.42</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299.27</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260.62</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258.02</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263.23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1.82%</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287.38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320.42</w:t>
            </w:r>
          </w:p>
        </w:tc>
      </w:tr>
      <w:tr w:rsidR="002E32FF">
        <w:tblPrEx>
          <w:tblCellMar>
            <w:top w:w="0" w:type="dxa"/>
            <w:bottom w:w="0" w:type="dxa"/>
          </w:tblCellMar>
        </w:tblPrEx>
        <w:trPr>
          <w:trHeight w:val="250"/>
        </w:trPr>
        <w:tc>
          <w:tcPr>
            <w:tcW w:w="1325"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26/11/2006</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325.13</w:t>
            </w:r>
          </w:p>
        </w:tc>
        <w:tc>
          <w:tcPr>
            <w:tcW w:w="97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300.53</w:t>
            </w:r>
          </w:p>
        </w:tc>
        <w:tc>
          <w:tcPr>
            <w:tcW w:w="100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262.01</w:t>
            </w:r>
          </w:p>
        </w:tc>
        <w:tc>
          <w:tcPr>
            <w:tcW w:w="739"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259.39</w:t>
            </w:r>
          </w:p>
        </w:tc>
        <w:tc>
          <w:tcPr>
            <w:tcW w:w="788"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264.63</w:t>
            </w:r>
          </w:p>
        </w:tc>
        <w:tc>
          <w:tcPr>
            <w:tcW w:w="99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1.46%</w:t>
            </w:r>
          </w:p>
        </w:tc>
        <w:tc>
          <w:tcPr>
            <w:tcW w:w="917"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293.58</w:t>
            </w:r>
          </w:p>
        </w:tc>
        <w:tc>
          <w:tcPr>
            <w:tcW w:w="883" w:type="dxa"/>
            <w:tcBorders>
              <w:top w:val="single" w:sz="6" w:space="0" w:color="auto"/>
              <w:left w:val="single" w:sz="6" w:space="0" w:color="auto"/>
              <w:bottom w:val="single" w:sz="6" w:space="0" w:color="auto"/>
              <w:right w:val="single" w:sz="6" w:space="0" w:color="auto"/>
            </w:tcBorders>
          </w:tcPr>
          <w:p w:rsidR="002E32FF" w:rsidRDefault="002E32FF">
            <w:pPr>
              <w:jc w:val="center"/>
              <w:rPr>
                <w:rFonts w:ascii="Arial" w:hAnsi="Arial"/>
                <w:snapToGrid w:val="0"/>
                <w:color w:val="000000"/>
                <w:lang w:eastAsia="es-ES"/>
              </w:rPr>
            </w:pPr>
            <w:r>
              <w:rPr>
                <w:rFonts w:ascii="Arial" w:hAnsi="Arial"/>
                <w:snapToGrid w:val="0"/>
                <w:color w:val="000000"/>
                <w:lang w:eastAsia="es-ES"/>
              </w:rPr>
              <w:t>325.13</w:t>
            </w:r>
          </w:p>
        </w:tc>
      </w:tr>
    </w:tbl>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jc w:val="center"/>
        <w:rPr>
          <w:rFonts w:ascii="Arial" w:hAnsi="Arial"/>
          <w:sz w:val="28"/>
        </w:rPr>
      </w:pPr>
    </w:p>
    <w:p w:rsidR="002E32FF" w:rsidRDefault="002E32FF">
      <w:pPr>
        <w:pStyle w:val="NormalWeb"/>
        <w:spacing w:line="480" w:lineRule="auto"/>
        <w:rPr>
          <w:rFonts w:ascii="Arial" w:hAnsi="Arial"/>
          <w:sz w:val="28"/>
        </w:rPr>
      </w:pPr>
    </w:p>
    <w:p w:rsidR="002E32FF" w:rsidRDefault="002E32FF">
      <w:pPr>
        <w:jc w:val="both"/>
      </w:pPr>
    </w:p>
    <w:sectPr w:rsidR="002E32FF">
      <w:type w:val="continuous"/>
      <w:pgSz w:w="11907" w:h="16840" w:code="9"/>
      <w:pgMar w:top="2268" w:right="1418" w:bottom="1701"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4D4" w:rsidRDefault="001234D4">
      <w:r>
        <w:separator/>
      </w:r>
    </w:p>
  </w:endnote>
  <w:endnote w:type="continuationSeparator" w:id="1">
    <w:p w:rsidR="001234D4" w:rsidRDefault="001234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32FF" w:rsidRDefault="002E32FF">
    <w:pPr>
      <w:pStyle w:val="Piedepgina"/>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722A9C">
      <w:rPr>
        <w:rStyle w:val="Nmerodepgina"/>
        <w:noProof/>
      </w:rPr>
      <w:t>51</w:t>
    </w:r>
    <w:r>
      <w:rPr>
        <w:rStyle w:val="Nmerodepgina"/>
      </w:rPr>
      <w:fldChar w:fldCharType="end"/>
    </w:r>
    <w:r>
      <w:rPr>
        <w:rStyle w:val="Nmerodepgina"/>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r>
      <w:rPr>
        <w:rStyle w:val="Nmerodepgina"/>
      </w:rPr>
      <w:t xml:space="preserve">                                                                                                                                                               </w:t>
    </w:r>
    <w:r>
      <w:rPr>
        <w:rStyle w:val="Nmerodepgina"/>
      </w:rPr>
      <w:fldChar w:fldCharType="begin"/>
    </w:r>
    <w:r>
      <w:rPr>
        <w:rStyle w:val="Nmerodepgina"/>
      </w:rPr>
      <w:instrText xml:space="preserve">PAGE  </w:instrText>
    </w:r>
    <w:r>
      <w:rPr>
        <w:rStyle w:val="Nmerodepgina"/>
      </w:rPr>
      <w:fldChar w:fldCharType="separate"/>
    </w:r>
    <w:r w:rsidR="00722A9C">
      <w:rPr>
        <w:rStyle w:val="Nmerodepgina"/>
        <w:noProof/>
      </w:rPr>
      <w:t>52</w:t>
    </w:r>
    <w:r>
      <w:rPr>
        <w:rStyle w:val="Nmerodepgina"/>
      </w:rPr>
      <w:fldChar w:fldCharType="end"/>
    </w:r>
  </w:p>
  <w:p w:rsidR="002E32FF" w:rsidRDefault="002E32FF">
    <w:pPr>
      <w:pStyle w:val="Piedepgina"/>
      <w:framePr w:wrap="around" w:vAnchor="text" w:hAnchor="margin" w:xAlign="right" w:y="1"/>
      <w:ind w:right="360"/>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r>
      <w:rPr>
        <w:rStyle w:val="Nmerodepgina"/>
      </w:rP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r>
      <w:rPr>
        <w:rStyle w:val="Nmerodepgina"/>
      </w:rPr>
      <w:t xml:space="preserve">                                                                                                                                                           </w:t>
    </w:r>
    <w:r>
      <w:rPr>
        <w:rStyle w:val="Nmerodepgina"/>
      </w:rPr>
      <w:fldChar w:fldCharType="begin"/>
    </w:r>
    <w:r>
      <w:rPr>
        <w:rStyle w:val="Nmerodepgina"/>
      </w:rPr>
      <w:instrText xml:space="preserve">PAGE  </w:instrText>
    </w:r>
    <w:r>
      <w:rPr>
        <w:rStyle w:val="Nmerodepgina"/>
      </w:rPr>
      <w:fldChar w:fldCharType="separate"/>
    </w:r>
    <w:r w:rsidR="00722A9C">
      <w:rPr>
        <w:rStyle w:val="Nmerodepgina"/>
        <w:noProof/>
      </w:rPr>
      <w:t>56</w:t>
    </w:r>
    <w:r>
      <w:rPr>
        <w:rStyle w:val="Nmerodepgina"/>
      </w:rPr>
      <w:fldChar w:fldCharType="end"/>
    </w:r>
  </w:p>
  <w:p w:rsidR="002E32FF" w:rsidRDefault="002E32FF">
    <w:pPr>
      <w:pStyle w:val="Piedepgina"/>
      <w:framePr w:wrap="around" w:vAnchor="text" w:hAnchor="margin" w:xAlign="right" w:y="1"/>
      <w:ind w:right="360"/>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722A9C">
      <w:rPr>
        <w:rStyle w:val="Nmerodepgina"/>
        <w:noProof/>
      </w:rPr>
      <w:t>104</w:t>
    </w:r>
    <w:r>
      <w:rPr>
        <w:rStyle w:val="Nmerodepgina"/>
      </w:rPr>
      <w:fldChar w:fldCharType="end"/>
    </w:r>
    <w:r>
      <w:rPr>
        <w:rStyle w:val="Nmerodepgina"/>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rPr>
        <w:lang w:val="es-ES_tradnl"/>
      </w:rPr>
    </w:pPr>
    <w:r>
      <w:rPr>
        <w:lang w:val="es-ES_tradnl"/>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722A9C">
      <w:rPr>
        <w:rStyle w:val="Nmerodepgina"/>
        <w:noProof/>
      </w:rPr>
      <w:t>12</w:t>
    </w:r>
    <w:r>
      <w:rPr>
        <w:rStyle w:val="Nmerodepgina"/>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rPr>
        <w:lang w:val="es-ES_tradnl"/>
      </w:rPr>
    </w:pPr>
    <w:r>
      <w:rPr>
        <w:lang w:val="es-ES_tradnl"/>
      </w:rPr>
      <w:t xml:space="preserve">                                                                                                                                                               </w:t>
    </w:r>
    <w:r>
      <w:rPr>
        <w:rStyle w:val="Nmerodepgina"/>
      </w:rPr>
      <w:fldChar w:fldCharType="begin"/>
    </w:r>
    <w:r>
      <w:rPr>
        <w:rStyle w:val="Nmerodepgina"/>
      </w:rPr>
      <w:instrText xml:space="preserve"> PAGE </w:instrText>
    </w:r>
    <w:r>
      <w:rPr>
        <w:rStyle w:val="Nmerodepgina"/>
      </w:rPr>
      <w:fldChar w:fldCharType="separate"/>
    </w:r>
    <w:r w:rsidR="00722A9C">
      <w:rPr>
        <w:rStyle w:val="Nmerodepgina"/>
        <w:noProof/>
      </w:rPr>
      <w:t>9</w:t>
    </w:r>
    <w:r>
      <w:rPr>
        <w:rStyle w:val="Nmerodepgina"/>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722A9C">
      <w:rPr>
        <w:rStyle w:val="Nmerodepgina"/>
        <w:noProof/>
      </w:rPr>
      <w:t>26</w:t>
    </w:r>
    <w:r>
      <w:rPr>
        <w:rStyle w:val="Nmerodepgina"/>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722A9C">
      <w:rPr>
        <w:rStyle w:val="Nmerodepgina"/>
        <w:noProof/>
      </w:rPr>
      <w:t>28</w:t>
    </w:r>
    <w:r>
      <w:rPr>
        <w:rStyle w:val="Nmerodepgina"/>
      </w:rPr>
      <w:fldChar w:fldCharType="end"/>
    </w:r>
    <w:r>
      <w:rPr>
        <w:rStyle w:val="Nmerodepgina"/>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FF" w:rsidRDefault="002E32FF">
    <w:pPr>
      <w:pStyle w:val="Piedepgina"/>
      <w:framePr w:wrap="around" w:vAnchor="text" w:hAnchor="margin" w:xAlign="right" w:y="1"/>
      <w:rPr>
        <w:rStyle w:val="Nmerodepgina"/>
      </w:rPr>
    </w:pPr>
  </w:p>
  <w:p w:rsidR="002E32FF" w:rsidRDefault="002E32FF">
    <w:pPr>
      <w:pStyle w:val="Piedepgina"/>
      <w:framePr w:wrap="around" w:vAnchor="text" w:hAnchor="margin" w:xAlign="center" w:y="1"/>
      <w:ind w:right="360"/>
      <w:rPr>
        <w:rStyle w:val="Nmerodepgina"/>
      </w:rPr>
    </w:pPr>
    <w:r>
      <w:rPr>
        <w:rStyle w:val="Nmerodepgina"/>
      </w:rPr>
      <w:t xml:space="preserve">                                                                                                                                                                </w:t>
    </w:r>
  </w:p>
  <w:p w:rsidR="002E32FF" w:rsidRDefault="002E32FF">
    <w:pPr>
      <w:pStyle w:val="Piedepgina"/>
      <w:ind w:right="360"/>
    </w:pPr>
    <w:r>
      <w:rPr>
        <w:rStyle w:val="Nmerodepgina"/>
      </w:rPr>
      <w:t xml:space="preserve">                                                                                                                                                         </w:t>
    </w:r>
    <w:r>
      <w:rPr>
        <w:rStyle w:val="Nmerodepgina"/>
      </w:rPr>
      <w:fldChar w:fldCharType="begin"/>
    </w:r>
    <w:r>
      <w:rPr>
        <w:rStyle w:val="Nmerodepgina"/>
      </w:rPr>
      <w:instrText xml:space="preserve"> PAGE </w:instrText>
    </w:r>
    <w:r>
      <w:rPr>
        <w:rStyle w:val="Nmerodepgina"/>
      </w:rPr>
      <w:fldChar w:fldCharType="separate"/>
    </w:r>
    <w:r w:rsidR="00722A9C">
      <w:rPr>
        <w:rStyle w:val="Nmerodepgina"/>
        <w:noProof/>
      </w:rPr>
      <w:t>40</w:t>
    </w:r>
    <w:r>
      <w:rPr>
        <w:rStyle w:val="Nmerodepgina"/>
      </w:rPr>
      <w:fldChar w:fldCharType="end"/>
    </w:r>
    <w:r>
      <w:rPr>
        <w:rStyle w:val="Nmerodepgin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4D4" w:rsidRDefault="001234D4">
      <w:r>
        <w:separator/>
      </w:r>
    </w:p>
  </w:footnote>
  <w:footnote w:type="continuationSeparator" w:id="1">
    <w:p w:rsidR="001234D4" w:rsidRDefault="001234D4">
      <w:r>
        <w:continuationSeparator/>
      </w:r>
    </w:p>
  </w:footnote>
  <w:footnote w:id="2">
    <w:p w:rsidR="002E32FF" w:rsidRDefault="002E32FF">
      <w:pPr>
        <w:pStyle w:val="Textonotapie"/>
        <w:rPr>
          <w:lang w:val="es-EC"/>
        </w:rPr>
      </w:pPr>
      <w:r>
        <w:rPr>
          <w:rStyle w:val="Refdenotaalpie"/>
        </w:rPr>
        <w:t xml:space="preserve">1 </w:t>
      </w:r>
      <w:r>
        <w:rPr>
          <w:rFonts w:ascii="Arial" w:hAnsi="Arial"/>
          <w:sz w:val="19"/>
        </w:rPr>
        <w:t xml:space="preserve">Análisis Técnico Bursátil. Ed. Gestión 2000, Autor: Oscar Elvira - Xavier Puig                           </w:t>
      </w:r>
    </w:p>
  </w:footnote>
  <w:footnote w:id="3">
    <w:p w:rsidR="002E32FF" w:rsidRDefault="002E32FF">
      <w:pPr>
        <w:pStyle w:val="Textonotapie"/>
      </w:pPr>
      <w:r>
        <w:rPr>
          <w:rStyle w:val="Refdenotaalpie"/>
        </w:rPr>
        <w:footnoteRef/>
      </w:r>
      <w:r>
        <w:t xml:space="preserve"> Es decir, no se incluye la posibilidad de endeudamiento.</w:t>
      </w:r>
    </w:p>
  </w:footnote>
  <w:footnote w:id="4">
    <w:p w:rsidR="002E32FF" w:rsidRDefault="002E32FF">
      <w:pPr>
        <w:pStyle w:val="Textonotapie"/>
      </w:pPr>
      <w:r>
        <w:rPr>
          <w:rStyle w:val="Refdenotaalpie"/>
        </w:rPr>
        <w:footnoteRef/>
      </w:r>
      <w:r>
        <w:t xml:space="preserve"> No se permite la venta corta.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A2391"/>
    <w:multiLevelType w:val="multilevel"/>
    <w:tmpl w:val="76D2ED14"/>
    <w:lvl w:ilvl="0">
      <w:start w:val="1"/>
      <w:numFmt w:val="decimal"/>
      <w:lvlText w:val="%1"/>
      <w:lvlJc w:val="left"/>
      <w:pPr>
        <w:tabs>
          <w:tab w:val="num" w:pos="645"/>
        </w:tabs>
        <w:ind w:left="645" w:hanging="645"/>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977599E"/>
    <w:multiLevelType w:val="multilevel"/>
    <w:tmpl w:val="8D94135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D011429"/>
    <w:multiLevelType w:val="hybridMultilevel"/>
    <w:tmpl w:val="4E1840E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
    <w:nsid w:val="113A2389"/>
    <w:multiLevelType w:val="multilevel"/>
    <w:tmpl w:val="121058DA"/>
    <w:lvl w:ilvl="0">
      <w:start w:val="1"/>
      <w:numFmt w:val="upperRoman"/>
      <w:lvlText w:val="%1."/>
      <w:lvlJc w:val="left"/>
      <w:pPr>
        <w:tabs>
          <w:tab w:val="num" w:pos="57"/>
        </w:tabs>
        <w:ind w:left="0" w:firstLine="0"/>
      </w:pPr>
      <w:rPr>
        <w:rFonts w:hint="default"/>
        <w:shadow/>
        <w:emboss w:val="0"/>
        <w:imprint w:val="0"/>
        <w:u w:val="none"/>
      </w:rPr>
    </w:lvl>
    <w:lvl w:ilvl="1">
      <w:start w:val="1"/>
      <w:numFmt w:val="decimal"/>
      <w:pStyle w:val="Ttulo2"/>
      <w:isLgl/>
      <w:lvlText w:val="%1.%2."/>
      <w:lvlJc w:val="left"/>
      <w:pPr>
        <w:tabs>
          <w:tab w:val="num" w:pos="720"/>
        </w:tabs>
        <w:ind w:left="576" w:hanging="576"/>
      </w:pPr>
      <w:rPr>
        <w:rFonts w:hint="default"/>
      </w:rPr>
    </w:lvl>
    <w:lvl w:ilvl="2">
      <w:start w:val="1"/>
      <w:numFmt w:val="decimal"/>
      <w:pStyle w:val="Ttulo3"/>
      <w:isLgl/>
      <w:lvlText w:val="%1.%2.%3."/>
      <w:lvlJc w:val="left"/>
      <w:pPr>
        <w:tabs>
          <w:tab w:val="num" w:pos="1080"/>
        </w:tabs>
        <w:ind w:left="720" w:hanging="720"/>
      </w:pPr>
      <w:rPr>
        <w:rFonts w:hint="default"/>
      </w:rPr>
    </w:lvl>
    <w:lvl w:ilvl="3">
      <w:start w:val="1"/>
      <w:numFmt w:val="decimal"/>
      <w:pStyle w:val="Ttulo4"/>
      <w:lvlText w:val="%11.%2.%3.%4"/>
      <w:lvlJc w:val="left"/>
      <w:pPr>
        <w:tabs>
          <w:tab w:val="num" w:pos="864"/>
        </w:tabs>
        <w:ind w:left="864" w:hanging="864"/>
      </w:pPr>
      <w:rPr>
        <w:rFonts w:hint="default"/>
      </w:rPr>
    </w:lvl>
    <w:lvl w:ilvl="4">
      <w:start w:val="1"/>
      <w:numFmt w:val="decimal"/>
      <w:pStyle w:val="Ttulo5"/>
      <w:lvlText w:val="%1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
    <w:nsid w:val="12A87BE7"/>
    <w:multiLevelType w:val="hybridMultilevel"/>
    <w:tmpl w:val="30E8BAF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14E41C4D"/>
    <w:multiLevelType w:val="singleLevel"/>
    <w:tmpl w:val="FF00599A"/>
    <w:lvl w:ilvl="0">
      <w:start w:val="1"/>
      <w:numFmt w:val="bullet"/>
      <w:lvlText w:val=""/>
      <w:lvlJc w:val="left"/>
      <w:pPr>
        <w:tabs>
          <w:tab w:val="num" w:pos="360"/>
        </w:tabs>
        <w:ind w:left="340" w:hanging="340"/>
      </w:pPr>
      <w:rPr>
        <w:rFonts w:ascii="Symbol" w:hAnsi="Symbol" w:hint="default"/>
      </w:rPr>
    </w:lvl>
  </w:abstractNum>
  <w:abstractNum w:abstractNumId="6">
    <w:nsid w:val="1F5B2C59"/>
    <w:multiLevelType w:val="multilevel"/>
    <w:tmpl w:val="3604821C"/>
    <w:lvl w:ilvl="0">
      <w:start w:val="5"/>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07A2C5C"/>
    <w:multiLevelType w:val="multilevel"/>
    <w:tmpl w:val="17461C1C"/>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Verdana"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Verdana"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Verdana"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
    <w:nsid w:val="28FF785F"/>
    <w:multiLevelType w:val="hybridMultilevel"/>
    <w:tmpl w:val="02561FCA"/>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
    <w:nsid w:val="2FBA31FD"/>
    <w:multiLevelType w:val="multilevel"/>
    <w:tmpl w:val="DFC04204"/>
    <w:lvl w:ilvl="0">
      <w:start w:val="5"/>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382179D1"/>
    <w:multiLevelType w:val="multilevel"/>
    <w:tmpl w:val="13C6D27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3B491C23"/>
    <w:multiLevelType w:val="multilevel"/>
    <w:tmpl w:val="4E1840E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3D3F5897"/>
    <w:multiLevelType w:val="multilevel"/>
    <w:tmpl w:val="BA00399E"/>
    <w:lvl w:ilvl="0">
      <w:start w:val="1"/>
      <w:numFmt w:val="bullet"/>
      <w:lvlText w:val=""/>
      <w:lvlJc w:val="left"/>
      <w:pPr>
        <w:tabs>
          <w:tab w:val="num" w:pos="1515"/>
        </w:tabs>
        <w:ind w:left="1515" w:hanging="360"/>
      </w:pPr>
      <w:rPr>
        <w:rFonts w:ascii="Symbol" w:hAnsi="Symbol" w:hint="default"/>
      </w:rPr>
    </w:lvl>
    <w:lvl w:ilvl="1" w:tentative="1">
      <w:start w:val="1"/>
      <w:numFmt w:val="bullet"/>
      <w:lvlText w:val="o"/>
      <w:lvlJc w:val="left"/>
      <w:pPr>
        <w:tabs>
          <w:tab w:val="num" w:pos="2235"/>
        </w:tabs>
        <w:ind w:left="2235" w:hanging="360"/>
      </w:pPr>
      <w:rPr>
        <w:rFonts w:ascii="Courier New" w:hAnsi="Courier New" w:cs="Verdana" w:hint="default"/>
      </w:rPr>
    </w:lvl>
    <w:lvl w:ilvl="2" w:tentative="1">
      <w:start w:val="1"/>
      <w:numFmt w:val="bullet"/>
      <w:lvlText w:val=""/>
      <w:lvlJc w:val="left"/>
      <w:pPr>
        <w:tabs>
          <w:tab w:val="num" w:pos="2955"/>
        </w:tabs>
        <w:ind w:left="2955" w:hanging="360"/>
      </w:pPr>
      <w:rPr>
        <w:rFonts w:ascii="Wingdings" w:hAnsi="Wingdings" w:hint="default"/>
      </w:rPr>
    </w:lvl>
    <w:lvl w:ilvl="3" w:tentative="1">
      <w:start w:val="1"/>
      <w:numFmt w:val="bullet"/>
      <w:lvlText w:val=""/>
      <w:lvlJc w:val="left"/>
      <w:pPr>
        <w:tabs>
          <w:tab w:val="num" w:pos="3675"/>
        </w:tabs>
        <w:ind w:left="3675" w:hanging="360"/>
      </w:pPr>
      <w:rPr>
        <w:rFonts w:ascii="Symbol" w:hAnsi="Symbol" w:hint="default"/>
      </w:rPr>
    </w:lvl>
    <w:lvl w:ilvl="4" w:tentative="1">
      <w:start w:val="1"/>
      <w:numFmt w:val="bullet"/>
      <w:lvlText w:val="o"/>
      <w:lvlJc w:val="left"/>
      <w:pPr>
        <w:tabs>
          <w:tab w:val="num" w:pos="4395"/>
        </w:tabs>
        <w:ind w:left="4395" w:hanging="360"/>
      </w:pPr>
      <w:rPr>
        <w:rFonts w:ascii="Courier New" w:hAnsi="Courier New" w:cs="Verdana" w:hint="default"/>
      </w:rPr>
    </w:lvl>
    <w:lvl w:ilvl="5" w:tentative="1">
      <w:start w:val="1"/>
      <w:numFmt w:val="bullet"/>
      <w:lvlText w:val=""/>
      <w:lvlJc w:val="left"/>
      <w:pPr>
        <w:tabs>
          <w:tab w:val="num" w:pos="5115"/>
        </w:tabs>
        <w:ind w:left="5115" w:hanging="360"/>
      </w:pPr>
      <w:rPr>
        <w:rFonts w:ascii="Wingdings" w:hAnsi="Wingdings" w:hint="default"/>
      </w:rPr>
    </w:lvl>
    <w:lvl w:ilvl="6" w:tentative="1">
      <w:start w:val="1"/>
      <w:numFmt w:val="bullet"/>
      <w:lvlText w:val=""/>
      <w:lvlJc w:val="left"/>
      <w:pPr>
        <w:tabs>
          <w:tab w:val="num" w:pos="5835"/>
        </w:tabs>
        <w:ind w:left="5835" w:hanging="360"/>
      </w:pPr>
      <w:rPr>
        <w:rFonts w:ascii="Symbol" w:hAnsi="Symbol" w:hint="default"/>
      </w:rPr>
    </w:lvl>
    <w:lvl w:ilvl="7" w:tentative="1">
      <w:start w:val="1"/>
      <w:numFmt w:val="bullet"/>
      <w:lvlText w:val="o"/>
      <w:lvlJc w:val="left"/>
      <w:pPr>
        <w:tabs>
          <w:tab w:val="num" w:pos="6555"/>
        </w:tabs>
        <w:ind w:left="6555" w:hanging="360"/>
      </w:pPr>
      <w:rPr>
        <w:rFonts w:ascii="Courier New" w:hAnsi="Courier New" w:cs="Verdana" w:hint="default"/>
      </w:rPr>
    </w:lvl>
    <w:lvl w:ilvl="8" w:tentative="1">
      <w:start w:val="1"/>
      <w:numFmt w:val="bullet"/>
      <w:lvlText w:val=""/>
      <w:lvlJc w:val="left"/>
      <w:pPr>
        <w:tabs>
          <w:tab w:val="num" w:pos="7275"/>
        </w:tabs>
        <w:ind w:left="7275" w:hanging="360"/>
      </w:pPr>
      <w:rPr>
        <w:rFonts w:ascii="Wingdings" w:hAnsi="Wingdings" w:hint="default"/>
      </w:rPr>
    </w:lvl>
  </w:abstractNum>
  <w:abstractNum w:abstractNumId="13">
    <w:nsid w:val="3E74244A"/>
    <w:multiLevelType w:val="multilevel"/>
    <w:tmpl w:val="EB022DB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41C740F5"/>
    <w:multiLevelType w:val="multilevel"/>
    <w:tmpl w:val="6832CE0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52E560E3"/>
    <w:multiLevelType w:val="singleLevel"/>
    <w:tmpl w:val="FF00599A"/>
    <w:lvl w:ilvl="0">
      <w:start w:val="1"/>
      <w:numFmt w:val="bullet"/>
      <w:lvlText w:val=""/>
      <w:lvlJc w:val="left"/>
      <w:pPr>
        <w:tabs>
          <w:tab w:val="num" w:pos="360"/>
        </w:tabs>
        <w:ind w:left="340" w:hanging="340"/>
      </w:pPr>
      <w:rPr>
        <w:rFonts w:ascii="Symbol" w:hAnsi="Symbol" w:hint="default"/>
      </w:rPr>
    </w:lvl>
  </w:abstractNum>
  <w:abstractNum w:abstractNumId="16">
    <w:nsid w:val="55FB546E"/>
    <w:multiLevelType w:val="multilevel"/>
    <w:tmpl w:val="5CA6CC20"/>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1080"/>
        </w:tabs>
        <w:ind w:left="1080" w:hanging="360"/>
      </w:pPr>
      <w:rPr>
        <w:rFonts w:ascii="Arial" w:eastAsia="Arial Unicode MS" w:hAnsi="Arial" w:cs="Aria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nsid w:val="620F30D2"/>
    <w:multiLevelType w:val="hybridMultilevel"/>
    <w:tmpl w:val="DC8221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627B5030"/>
    <w:multiLevelType w:val="multilevel"/>
    <w:tmpl w:val="2A8EDB00"/>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71D54BBB"/>
    <w:multiLevelType w:val="multilevel"/>
    <w:tmpl w:val="F54AC26C"/>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780E1539"/>
    <w:multiLevelType w:val="multilevel"/>
    <w:tmpl w:val="CC3C992C"/>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Verdana"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Verdana"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Verdana"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0"/>
  </w:num>
  <w:num w:numId="3">
    <w:abstractNumId w:val="12"/>
  </w:num>
  <w:num w:numId="4">
    <w:abstractNumId w:val="13"/>
  </w:num>
  <w:num w:numId="5">
    <w:abstractNumId w:val="7"/>
  </w:num>
  <w:num w:numId="6">
    <w:abstractNumId w:val="18"/>
  </w:num>
  <w:num w:numId="7">
    <w:abstractNumId w:val="20"/>
  </w:num>
  <w:num w:numId="8">
    <w:abstractNumId w:val="14"/>
  </w:num>
  <w:num w:numId="9">
    <w:abstractNumId w:val="10"/>
  </w:num>
  <w:num w:numId="10">
    <w:abstractNumId w:val="16"/>
  </w:num>
  <w:num w:numId="11">
    <w:abstractNumId w:val="5"/>
  </w:num>
  <w:num w:numId="12">
    <w:abstractNumId w:val="1"/>
  </w:num>
  <w:num w:numId="13">
    <w:abstractNumId w:val="19"/>
  </w:num>
  <w:num w:numId="14">
    <w:abstractNumId w:val="9"/>
  </w:num>
  <w:num w:numId="15">
    <w:abstractNumId w:val="15"/>
  </w:num>
  <w:num w:numId="16">
    <w:abstractNumId w:val="6"/>
  </w:num>
  <w:num w:numId="17">
    <w:abstractNumId w:val="17"/>
  </w:num>
  <w:num w:numId="18">
    <w:abstractNumId w:val="2"/>
  </w:num>
  <w:num w:numId="19">
    <w:abstractNumId w:val="11"/>
  </w:num>
  <w:num w:numId="20">
    <w:abstractNumId w:val="8"/>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2E32FF"/>
    <w:rsid w:val="000A24C9"/>
    <w:rsid w:val="001234D4"/>
    <w:rsid w:val="00297692"/>
    <w:rsid w:val="002E32FF"/>
    <w:rsid w:val="005D7CF4"/>
    <w:rsid w:val="00722A9C"/>
    <w:rsid w:val="009449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Ttulo1">
    <w:name w:val="heading 1"/>
    <w:basedOn w:val="Normal"/>
    <w:next w:val="Normal"/>
    <w:qFormat/>
    <w:pPr>
      <w:keepNext/>
      <w:jc w:val="right"/>
      <w:outlineLvl w:val="0"/>
    </w:pPr>
    <w:rPr>
      <w:b/>
      <w:sz w:val="28"/>
    </w:rPr>
  </w:style>
  <w:style w:type="paragraph" w:styleId="Ttulo2">
    <w:name w:val="heading 2"/>
    <w:basedOn w:val="Normal"/>
    <w:next w:val="Normal"/>
    <w:qFormat/>
    <w:pPr>
      <w:keepNext/>
      <w:keepLines/>
      <w:numPr>
        <w:ilvl w:val="1"/>
        <w:numId w:val="1"/>
      </w:numPr>
      <w:spacing w:after="720" w:line="480" w:lineRule="auto"/>
      <w:jc w:val="both"/>
      <w:outlineLvl w:val="1"/>
    </w:pPr>
    <w:rPr>
      <w:b/>
      <w:caps/>
      <w:shadow/>
      <w:sz w:val="24"/>
      <w:u w:val="single"/>
      <w:lang w:val="es-EC"/>
    </w:rPr>
  </w:style>
  <w:style w:type="paragraph" w:styleId="Ttulo3">
    <w:name w:val="heading 3"/>
    <w:basedOn w:val="Normal"/>
    <w:next w:val="Normal"/>
    <w:qFormat/>
    <w:pPr>
      <w:keepNext/>
      <w:numPr>
        <w:ilvl w:val="2"/>
        <w:numId w:val="1"/>
      </w:numPr>
      <w:spacing w:after="720" w:line="480" w:lineRule="auto"/>
      <w:jc w:val="both"/>
      <w:outlineLvl w:val="2"/>
    </w:pPr>
    <w:rPr>
      <w:b/>
      <w:sz w:val="24"/>
    </w:rPr>
  </w:style>
  <w:style w:type="paragraph" w:styleId="Ttulo4">
    <w:name w:val="heading 4"/>
    <w:basedOn w:val="Normal"/>
    <w:next w:val="Normal"/>
    <w:qFormat/>
    <w:pPr>
      <w:keepNext/>
      <w:numPr>
        <w:ilvl w:val="3"/>
        <w:numId w:val="1"/>
      </w:numPr>
      <w:spacing w:after="720" w:line="480" w:lineRule="auto"/>
      <w:jc w:val="center"/>
      <w:outlineLvl w:val="3"/>
    </w:pPr>
    <w:rPr>
      <w:b/>
      <w:sz w:val="24"/>
    </w:rPr>
  </w:style>
  <w:style w:type="paragraph" w:styleId="Ttulo5">
    <w:name w:val="heading 5"/>
    <w:basedOn w:val="Normal"/>
    <w:next w:val="Normal"/>
    <w:qFormat/>
    <w:pPr>
      <w:keepNext/>
      <w:numPr>
        <w:ilvl w:val="4"/>
        <w:numId w:val="1"/>
      </w:numPr>
      <w:spacing w:after="720" w:line="480" w:lineRule="auto"/>
      <w:jc w:val="both"/>
      <w:outlineLvl w:val="4"/>
    </w:pPr>
    <w:rPr>
      <w:sz w:val="24"/>
    </w:rPr>
  </w:style>
  <w:style w:type="paragraph" w:styleId="Ttulo6">
    <w:name w:val="heading 6"/>
    <w:basedOn w:val="Normal"/>
    <w:next w:val="Normal"/>
    <w:qFormat/>
    <w:pPr>
      <w:keepNext/>
      <w:numPr>
        <w:ilvl w:val="5"/>
        <w:numId w:val="1"/>
      </w:numPr>
      <w:spacing w:after="720" w:line="480" w:lineRule="auto"/>
      <w:jc w:val="both"/>
      <w:outlineLvl w:val="5"/>
    </w:pPr>
    <w:rPr>
      <w:b/>
      <w:sz w:val="24"/>
    </w:rPr>
  </w:style>
  <w:style w:type="paragraph" w:styleId="Ttulo7">
    <w:name w:val="heading 7"/>
    <w:basedOn w:val="Normal"/>
    <w:next w:val="Normal"/>
    <w:qFormat/>
    <w:pPr>
      <w:numPr>
        <w:ilvl w:val="6"/>
        <w:numId w:val="1"/>
      </w:numPr>
      <w:spacing w:before="240" w:after="60" w:line="480" w:lineRule="auto"/>
      <w:jc w:val="both"/>
      <w:outlineLvl w:val="6"/>
    </w:pPr>
    <w:rPr>
      <w:rFonts w:ascii="Arial" w:hAnsi="Arial"/>
      <w:sz w:val="24"/>
    </w:rPr>
  </w:style>
  <w:style w:type="paragraph" w:styleId="Ttulo8">
    <w:name w:val="heading 8"/>
    <w:basedOn w:val="Normal"/>
    <w:next w:val="Normal"/>
    <w:qFormat/>
    <w:pPr>
      <w:numPr>
        <w:ilvl w:val="7"/>
        <w:numId w:val="1"/>
      </w:numPr>
      <w:spacing w:before="240" w:after="60" w:line="480" w:lineRule="auto"/>
      <w:jc w:val="both"/>
      <w:outlineLvl w:val="7"/>
    </w:pPr>
    <w:rPr>
      <w:rFonts w:ascii="Arial" w:hAnsi="Arial"/>
      <w:i/>
      <w:sz w:val="24"/>
    </w:rPr>
  </w:style>
  <w:style w:type="paragraph" w:styleId="Ttulo9">
    <w:name w:val="heading 9"/>
    <w:basedOn w:val="Normal"/>
    <w:next w:val="Normal"/>
    <w:qFormat/>
    <w:pPr>
      <w:numPr>
        <w:ilvl w:val="8"/>
        <w:numId w:val="1"/>
      </w:numPr>
      <w:spacing w:before="240" w:after="60" w:line="480" w:lineRule="auto"/>
      <w:jc w:val="both"/>
      <w:outlineLvl w:val="8"/>
    </w:pPr>
    <w:rPr>
      <w:rFonts w:ascii="Arial" w:hAnsi="Arial"/>
      <w:b/>
      <w:i/>
      <w:sz w:val="1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Pr>
      <w:color w:val="0000FF"/>
      <w:u w:val="single"/>
    </w:rPr>
  </w:style>
  <w:style w:type="paragraph" w:styleId="TDC1">
    <w:name w:val="toc 1"/>
    <w:basedOn w:val="Normal"/>
    <w:next w:val="Normal"/>
    <w:autoRedefine/>
    <w:semiHidden/>
    <w:pPr>
      <w:tabs>
        <w:tab w:val="left" w:pos="480"/>
        <w:tab w:val="right" w:leader="dot" w:pos="8505"/>
      </w:tabs>
      <w:spacing w:before="360"/>
      <w:jc w:val="both"/>
    </w:pPr>
    <w:rPr>
      <w:rFonts w:ascii="Arial" w:hAnsi="Arial"/>
      <w:b/>
      <w:noProof/>
      <w:color w:val="000000"/>
      <w:sz w:val="24"/>
    </w:rPr>
  </w:style>
  <w:style w:type="paragraph" w:styleId="TDC2">
    <w:name w:val="toc 2"/>
    <w:basedOn w:val="Normal"/>
    <w:next w:val="Normal"/>
    <w:autoRedefine/>
    <w:semiHidden/>
    <w:pPr>
      <w:tabs>
        <w:tab w:val="left" w:pos="720"/>
        <w:tab w:val="right" w:leader="dot" w:pos="8268"/>
      </w:tabs>
      <w:spacing w:before="240" w:line="480" w:lineRule="auto"/>
      <w:jc w:val="both"/>
    </w:pPr>
    <w:rPr>
      <w:rFonts w:ascii="Arial" w:hAnsi="Arial"/>
      <w:noProof/>
      <w:color w:val="000000"/>
      <w:sz w:val="24"/>
    </w:rPr>
  </w:style>
  <w:style w:type="paragraph" w:styleId="Ttulo">
    <w:name w:val="Title"/>
    <w:basedOn w:val="Normal"/>
    <w:qFormat/>
    <w:pPr>
      <w:keepNext/>
      <w:spacing w:after="720" w:line="480" w:lineRule="auto"/>
      <w:jc w:val="center"/>
    </w:pPr>
    <w:rPr>
      <w:b/>
      <w:smallCaps/>
      <w:shadow/>
      <w:spacing w:val="10"/>
      <w:sz w:val="32"/>
      <w:u w:val="single"/>
    </w:rPr>
  </w:style>
  <w:style w:type="paragraph" w:styleId="Subttulo">
    <w:name w:val="Subtitle"/>
    <w:basedOn w:val="Normal"/>
    <w:qFormat/>
    <w:rPr>
      <w:rFonts w:ascii="Arial" w:hAnsi="Arial"/>
      <w:sz w:val="28"/>
    </w:rPr>
  </w:style>
  <w:style w:type="character" w:styleId="Hipervnculovisitado">
    <w:name w:val="FollowedHyperlink"/>
    <w:basedOn w:val="Fuentedeprrafopredeter"/>
    <w:rPr>
      <w:color w:val="800080"/>
      <w:u w:val="single"/>
    </w:rPr>
  </w:style>
  <w:style w:type="paragraph" w:styleId="Textoindependiente">
    <w:name w:val="Body Text"/>
    <w:basedOn w:val="Normal"/>
    <w:rPr>
      <w:color w:val="000000"/>
      <w:sz w:val="24"/>
    </w:rPr>
  </w:style>
  <w:style w:type="paragraph" w:styleId="NormalWeb">
    <w:name w:val="Normal (Web)"/>
    <w:basedOn w:val="Normal"/>
    <w:pPr>
      <w:spacing w:before="100" w:after="100"/>
    </w:pPr>
    <w:rPr>
      <w:sz w:val="24"/>
    </w:rPr>
  </w:style>
  <w:style w:type="paragraph" w:styleId="Sangradetextonormal">
    <w:name w:val="Body Text Indent"/>
    <w:basedOn w:val="Normal"/>
    <w:pPr>
      <w:tabs>
        <w:tab w:val="left" w:pos="900"/>
      </w:tabs>
      <w:spacing w:line="480" w:lineRule="auto"/>
      <w:ind w:left="900" w:hanging="900"/>
      <w:jc w:val="both"/>
    </w:pPr>
    <w:rPr>
      <w:rFonts w:ascii="Arial" w:hAnsi="Arial"/>
      <w:b/>
      <w:sz w:val="28"/>
      <w:lang w:val="es-ES_tradnl"/>
    </w:rPr>
  </w:style>
  <w:style w:type="paragraph" w:styleId="Sangra2detindependiente">
    <w:name w:val="Body Text Indent 2"/>
    <w:basedOn w:val="Normal"/>
    <w:pPr>
      <w:spacing w:line="480" w:lineRule="auto"/>
      <w:ind w:left="1560" w:hanging="1560"/>
      <w:jc w:val="both"/>
    </w:pPr>
    <w:rPr>
      <w:rFonts w:ascii="Arial" w:eastAsia="Arial Unicode MS" w:hAnsi="Arial"/>
      <w:b/>
      <w:sz w:val="28"/>
      <w:lang w:val="es-EC"/>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customStyle="1" w:styleId="hilite51">
    <w:name w:val="hilite51"/>
    <w:basedOn w:val="Fuentedeprrafopredeter"/>
    <w:rPr>
      <w:shd w:val="clear" w:color="auto" w:fill="FFCCFF"/>
    </w:rPr>
  </w:style>
  <w:style w:type="character" w:customStyle="1" w:styleId="hilite41">
    <w:name w:val="hilite41"/>
    <w:basedOn w:val="Fuentedeprrafopredeter"/>
    <w:rPr>
      <w:shd w:val="clear" w:color="auto" w:fill="CCFFFF"/>
    </w:rPr>
  </w:style>
  <w:style w:type="paragraph" w:styleId="Epgrafe">
    <w:name w:val="caption"/>
    <w:basedOn w:val="Normal"/>
    <w:next w:val="Normal"/>
    <w:qFormat/>
    <w:pPr>
      <w:spacing w:before="100" w:after="100"/>
      <w:jc w:val="center"/>
    </w:pPr>
    <w:rPr>
      <w:rFonts w:ascii="Arial" w:hAnsi="Arial"/>
      <w:b/>
      <w:i/>
      <w:sz w:val="28"/>
      <w:lang w:val="es-ES_tradnl"/>
    </w:rPr>
  </w:style>
  <w:style w:type="paragraph" w:styleId="Textoindependiente2">
    <w:name w:val="Body Text 2"/>
    <w:basedOn w:val="Normal"/>
    <w:pPr>
      <w:tabs>
        <w:tab w:val="left" w:pos="1060"/>
      </w:tabs>
      <w:spacing w:line="480" w:lineRule="auto"/>
      <w:jc w:val="both"/>
    </w:pPr>
    <w:rPr>
      <w:rFonts w:ascii="Arial" w:eastAsia="Arial Unicode MS" w:hAnsi="Arial"/>
      <w:sz w:val="28"/>
      <w:lang w:val="es-ES_tradnl"/>
    </w:rPr>
  </w:style>
  <w:style w:type="character" w:styleId="Nmerodepgina">
    <w:name w:val="page number"/>
    <w:basedOn w:val="Fuentedeprrafopredeter"/>
  </w:style>
  <w:style w:type="paragraph" w:styleId="Textonotapie">
    <w:name w:val="footnote text"/>
    <w:basedOn w:val="Normal"/>
    <w:semiHidden/>
  </w:style>
  <w:style w:type="character" w:styleId="Refdenotaalpie">
    <w:name w:val="footnote reference"/>
    <w:basedOn w:val="Fuentedeprrafopredeter"/>
    <w:semiHidden/>
    <w:rPr>
      <w:vertAlign w:val="superscript"/>
    </w:rPr>
  </w:style>
  <w:style w:type="character" w:styleId="Refdecomentario">
    <w:name w:val="annotation reference"/>
    <w:basedOn w:val="Fuentedeprrafopredeter"/>
    <w:semiHidden/>
    <w:rPr>
      <w:sz w:val="16"/>
      <w:szCs w:val="16"/>
    </w:rPr>
  </w:style>
  <w:style w:type="paragraph" w:styleId="Textocomentario">
    <w:name w:val="annotation text"/>
    <w:basedOn w:val="Normal"/>
    <w:semiHidden/>
  </w:style>
  <w:style w:type="paragraph" w:styleId="Sangra3detindependiente">
    <w:name w:val="Body Text Indent 3"/>
    <w:basedOn w:val="Normal"/>
    <w:pPr>
      <w:ind w:left="1418"/>
      <w:jc w:val="both"/>
    </w:pPr>
    <w:rPr>
      <w:rFonts w:ascii="Arial" w:hAnsi="Arial"/>
      <w:sz w:val="28"/>
      <w:lang w:val="es-ES_tradnl"/>
    </w:rPr>
  </w:style>
  <w:style w:type="paragraph" w:styleId="Textoindependiente3">
    <w:name w:val="Body Text 3"/>
    <w:basedOn w:val="Normal"/>
    <w:pPr>
      <w:tabs>
        <w:tab w:val="left" w:pos="360"/>
      </w:tabs>
      <w:spacing w:line="480" w:lineRule="auto"/>
      <w:jc w:val="both"/>
    </w:pPr>
    <w:rPr>
      <w:rFonts w:ascii="Arial" w:hAnsi="Arial"/>
      <w:sz w:val="24"/>
      <w:lang w:val="es-ES_tradnl"/>
    </w:rPr>
  </w:style>
  <w:style w:type="paragraph" w:styleId="Textodeglobo">
    <w:name w:val="Balloon Text"/>
    <w:basedOn w:val="Normal"/>
    <w:semiHidden/>
    <w:rPr>
      <w:rFonts w:ascii="Tahoma" w:hAnsi="Tahoma" w:cs="Tahoma"/>
      <w:sz w:val="16"/>
      <w:szCs w:val="16"/>
    </w:rPr>
  </w:style>
  <w:style w:type="paragraph" w:styleId="Asuntodelcomentario">
    <w:name w:val="annotation subject"/>
    <w:basedOn w:val="Textocomentario"/>
    <w:next w:val="Textocomentario"/>
    <w:semiHidden/>
    <w:rPr>
      <w:b/>
      <w:bCs/>
    </w:rPr>
  </w:style>
  <w:style w:type="paragraph" w:customStyle="1" w:styleId="Bibliografia">
    <w:name w:val="Bibliografia"/>
    <w:basedOn w:val="Normal"/>
    <w:next w:val="Normal"/>
    <w:pPr>
      <w:tabs>
        <w:tab w:val="left" w:leader="underscore" w:pos="567"/>
      </w:tabs>
      <w:autoSpaceDE w:val="0"/>
      <w:autoSpaceDN w:val="0"/>
      <w:adjustRightInd w:val="0"/>
      <w:spacing w:line="240" w:lineRule="atLeast"/>
      <w:ind w:left="567" w:hanging="567"/>
      <w:jc w:val="both"/>
    </w:pPr>
    <w:rPr>
      <w:sz w:val="22"/>
      <w:szCs w:val="22"/>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footer" Target="footer9.xml"/><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image" Target="media/image11.png"/><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image" Target="media/image14.emf"/><Relationship Id="rId55" Type="http://schemas.openxmlformats.org/officeDocument/2006/relationships/chart" Target="charts/chart14.xm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6.png"/><Relationship Id="rId29" Type="http://schemas.openxmlformats.org/officeDocument/2006/relationships/footer" Target="footer12.xml"/><Relationship Id="rId41" Type="http://schemas.openxmlformats.org/officeDocument/2006/relationships/chart" Target="charts/chart4.xml"/><Relationship Id="rId54" Type="http://schemas.openxmlformats.org/officeDocument/2006/relationships/chart" Target="charts/chart13.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footer" Target="footer15.xml"/><Relationship Id="rId37" Type="http://schemas.openxmlformats.org/officeDocument/2006/relationships/chart" Target="charts/chart2.xml"/><Relationship Id="rId40" Type="http://schemas.openxmlformats.org/officeDocument/2006/relationships/oleObject" Target="embeddings/oleObject3.bin"/><Relationship Id="rId45" Type="http://schemas.openxmlformats.org/officeDocument/2006/relationships/chart" Target="charts/chart8.xml"/><Relationship Id="rId53" Type="http://schemas.openxmlformats.org/officeDocument/2006/relationships/image" Target="media/image17.emf"/><Relationship Id="rId58"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footer" Target="footer11.xml"/><Relationship Id="rId36" Type="http://schemas.openxmlformats.org/officeDocument/2006/relationships/chart" Target="charts/chart1.xml"/><Relationship Id="rId49" Type="http://schemas.openxmlformats.org/officeDocument/2006/relationships/chart" Target="charts/chart12.xml"/><Relationship Id="rId57" Type="http://schemas.openxmlformats.org/officeDocument/2006/relationships/image" Target="media/image19.emf"/><Relationship Id="rId61"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14.xml"/><Relationship Id="rId44" Type="http://schemas.openxmlformats.org/officeDocument/2006/relationships/chart" Target="charts/chart7.xml"/><Relationship Id="rId52" Type="http://schemas.openxmlformats.org/officeDocument/2006/relationships/image" Target="media/image16.emf"/><Relationship Id="rId60"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oleObject" Target="embeddings/oleObject1.bin"/><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image" Target="media/image12.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image" Target="media/image18.emf"/><Relationship Id="rId8" Type="http://schemas.openxmlformats.org/officeDocument/2006/relationships/image" Target="media/image2.png"/><Relationship Id="rId51" Type="http://schemas.openxmlformats.org/officeDocument/2006/relationships/image" Target="media/image15.emf"/><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chart" Target="charts/chart3.xml"/><Relationship Id="rId46" Type="http://schemas.openxmlformats.org/officeDocument/2006/relationships/chart" Target="charts/chart9.xml"/><Relationship Id="rId59"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7.tm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5" b="1" i="0" u="none" strike="noStrike" baseline="0">
                <a:solidFill>
                  <a:srgbClr val="000000"/>
                </a:solidFill>
                <a:latin typeface="Arial"/>
                <a:ea typeface="Arial"/>
                <a:cs typeface="Arial"/>
              </a:defRPr>
            </a:pPr>
            <a:r>
              <a:t>MEDIA MÓVIL ECUINDEX</a:t>
            </a:r>
          </a:p>
        </c:rich>
      </c:tx>
      <c:layout>
        <c:manualLayout>
          <c:xMode val="edge"/>
          <c:yMode val="edge"/>
          <c:x val="0.36842105263157893"/>
          <c:y val="1.9047619047619056E-2"/>
        </c:manualLayout>
      </c:layout>
      <c:spPr>
        <a:noFill/>
        <a:ln w="30356">
          <a:noFill/>
        </a:ln>
      </c:spPr>
    </c:title>
    <c:plotArea>
      <c:layout>
        <c:manualLayout>
          <c:layoutTarget val="inner"/>
          <c:xMode val="edge"/>
          <c:yMode val="edge"/>
          <c:x val="0.14114832535885166"/>
          <c:y val="0.38095238095238115"/>
          <c:w val="0.81578947368421084"/>
          <c:h val="0.31428571428571439"/>
        </c:manualLayout>
      </c:layout>
      <c:lineChart>
        <c:grouping val="standard"/>
        <c:ser>
          <c:idx val="0"/>
          <c:order val="0"/>
          <c:tx>
            <c:strRef>
              <c:f>'EcuindexMM5-50'!$F$11</c:f>
              <c:strCache>
                <c:ptCount val="1"/>
                <c:pt idx="0">
                  <c:v>MM5</c:v>
                </c:pt>
              </c:strCache>
            </c:strRef>
          </c:tx>
          <c:spPr>
            <a:ln w="15178">
              <a:solidFill>
                <a:srgbClr val="000080"/>
              </a:solidFill>
              <a:prstDash val="solid"/>
            </a:ln>
          </c:spPr>
          <c:marker>
            <c:symbol val="none"/>
          </c:marker>
          <c:cat>
            <c:numRef>
              <c:f>'EcuindexMM5-50'!$D$12:$D$269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'EcuindexMM5-50'!$F$61:$F$269</c:f>
              <c:numCache>
                <c:formatCode>##0.00</c:formatCode>
                <c:ptCount val="209"/>
                <c:pt idx="0">
                  <c:v>446.85800000000006</c:v>
                </c:pt>
                <c:pt idx="1">
                  <c:v>449.358</c:v>
                </c:pt>
                <c:pt idx="2">
                  <c:v>452.51000000000005</c:v>
                </c:pt>
                <c:pt idx="3">
                  <c:v>456.82</c:v>
                </c:pt>
                <c:pt idx="4">
                  <c:v>462.358</c:v>
                </c:pt>
                <c:pt idx="5">
                  <c:v>471.55</c:v>
                </c:pt>
                <c:pt idx="6">
                  <c:v>482.73799999999989</c:v>
                </c:pt>
                <c:pt idx="7">
                  <c:v>491.31200000000001</c:v>
                </c:pt>
                <c:pt idx="8">
                  <c:v>493.68</c:v>
                </c:pt>
                <c:pt idx="9">
                  <c:v>496.11400000000015</c:v>
                </c:pt>
                <c:pt idx="10">
                  <c:v>494.85599999999994</c:v>
                </c:pt>
                <c:pt idx="11">
                  <c:v>490.49400000000003</c:v>
                </c:pt>
                <c:pt idx="12">
                  <c:v>487.15999999999997</c:v>
                </c:pt>
                <c:pt idx="13">
                  <c:v>484.56200000000001</c:v>
                </c:pt>
                <c:pt idx="14">
                  <c:v>479.65000000000009</c:v>
                </c:pt>
                <c:pt idx="15">
                  <c:v>474.69799999999987</c:v>
                </c:pt>
                <c:pt idx="16">
                  <c:v>481.47200000000004</c:v>
                </c:pt>
                <c:pt idx="17">
                  <c:v>483.1719999999998</c:v>
                </c:pt>
                <c:pt idx="18">
                  <c:v>483</c:v>
                </c:pt>
                <c:pt idx="19">
                  <c:v>478.80399999999986</c:v>
                </c:pt>
                <c:pt idx="20">
                  <c:v>475.06000000000006</c:v>
                </c:pt>
                <c:pt idx="21">
                  <c:v>460.59199999999976</c:v>
                </c:pt>
                <c:pt idx="22">
                  <c:v>454.12399999999985</c:v>
                </c:pt>
                <c:pt idx="23">
                  <c:v>450.34399999999994</c:v>
                </c:pt>
                <c:pt idx="24">
                  <c:v>454.95199999999977</c:v>
                </c:pt>
                <c:pt idx="25">
                  <c:v>458.40599999999984</c:v>
                </c:pt>
                <c:pt idx="26">
                  <c:v>464.0379999999999</c:v>
                </c:pt>
                <c:pt idx="27">
                  <c:v>472.68</c:v>
                </c:pt>
                <c:pt idx="28">
                  <c:v>479.95799999999986</c:v>
                </c:pt>
                <c:pt idx="29">
                  <c:v>487.73999999999984</c:v>
                </c:pt>
                <c:pt idx="30">
                  <c:v>496.18999999999994</c:v>
                </c:pt>
                <c:pt idx="31">
                  <c:v>502.09</c:v>
                </c:pt>
                <c:pt idx="32">
                  <c:v>500.858</c:v>
                </c:pt>
                <c:pt idx="33">
                  <c:v>499.54000000000008</c:v>
                </c:pt>
                <c:pt idx="34">
                  <c:v>495.9679999999999</c:v>
                </c:pt>
                <c:pt idx="35">
                  <c:v>490.42599999999993</c:v>
                </c:pt>
                <c:pt idx="36">
                  <c:v>504.07399999999984</c:v>
                </c:pt>
                <c:pt idx="37">
                  <c:v>509.93599999999986</c:v>
                </c:pt>
                <c:pt idx="38">
                  <c:v>515.74</c:v>
                </c:pt>
                <c:pt idx="39">
                  <c:v>521.15</c:v>
                </c:pt>
                <c:pt idx="40">
                  <c:v>529.32599999999979</c:v>
                </c:pt>
                <c:pt idx="41">
                  <c:v>545.58600000000001</c:v>
                </c:pt>
                <c:pt idx="42">
                  <c:v>561.82999999999981</c:v>
                </c:pt>
                <c:pt idx="43">
                  <c:v>584.60799999999972</c:v>
                </c:pt>
                <c:pt idx="44">
                  <c:v>597.00599999999997</c:v>
                </c:pt>
                <c:pt idx="45">
                  <c:v>617.78400000000022</c:v>
                </c:pt>
                <c:pt idx="46">
                  <c:v>612.15600000000006</c:v>
                </c:pt>
                <c:pt idx="47">
                  <c:v>606.93399999999997</c:v>
                </c:pt>
                <c:pt idx="48">
                  <c:v>595.24400000000003</c:v>
                </c:pt>
                <c:pt idx="49">
                  <c:v>594.05199999999968</c:v>
                </c:pt>
                <c:pt idx="50">
                  <c:v>586.83400000000006</c:v>
                </c:pt>
                <c:pt idx="51">
                  <c:v>575.47799999999972</c:v>
                </c:pt>
                <c:pt idx="52">
                  <c:v>577.476</c:v>
                </c:pt>
                <c:pt idx="53">
                  <c:v>577.02800000000002</c:v>
                </c:pt>
                <c:pt idx="54">
                  <c:v>584.89799999999968</c:v>
                </c:pt>
                <c:pt idx="55">
                  <c:v>590.68999999999994</c:v>
                </c:pt>
                <c:pt idx="56">
                  <c:v>598.4459999999998</c:v>
                </c:pt>
                <c:pt idx="57">
                  <c:v>603.52600000000007</c:v>
                </c:pt>
                <c:pt idx="58">
                  <c:v>619.61799999999971</c:v>
                </c:pt>
                <c:pt idx="59">
                  <c:v>619.78800000000035</c:v>
                </c:pt>
                <c:pt idx="60">
                  <c:v>619.22199999999998</c:v>
                </c:pt>
                <c:pt idx="61">
                  <c:v>615.77800000000025</c:v>
                </c:pt>
                <c:pt idx="62">
                  <c:v>603.32199999999978</c:v>
                </c:pt>
                <c:pt idx="63">
                  <c:v>588.9219999999998</c:v>
                </c:pt>
                <c:pt idx="64">
                  <c:v>583.16000000000008</c:v>
                </c:pt>
                <c:pt idx="65">
                  <c:v>578.65800000000002</c:v>
                </c:pt>
                <c:pt idx="66">
                  <c:v>581.01199999999972</c:v>
                </c:pt>
                <c:pt idx="67">
                  <c:v>592.29200000000003</c:v>
                </c:pt>
                <c:pt idx="68">
                  <c:v>596.78600000000029</c:v>
                </c:pt>
                <c:pt idx="69">
                  <c:v>599.89599999999996</c:v>
                </c:pt>
                <c:pt idx="70">
                  <c:v>588.74800000000005</c:v>
                </c:pt>
                <c:pt idx="71">
                  <c:v>562.2180000000003</c:v>
                </c:pt>
                <c:pt idx="72">
                  <c:v>534.7180000000003</c:v>
                </c:pt>
                <c:pt idx="73">
                  <c:v>521.16599999999971</c:v>
                </c:pt>
                <c:pt idx="74">
                  <c:v>514.404</c:v>
                </c:pt>
                <c:pt idx="75">
                  <c:v>523.22399999999993</c:v>
                </c:pt>
                <c:pt idx="76">
                  <c:v>545.27600000000029</c:v>
                </c:pt>
                <c:pt idx="77">
                  <c:v>564.39799999999968</c:v>
                </c:pt>
                <c:pt idx="78">
                  <c:v>570.1279999999997</c:v>
                </c:pt>
                <c:pt idx="79">
                  <c:v>575.95199999999977</c:v>
                </c:pt>
                <c:pt idx="80">
                  <c:v>579.98599999999999</c:v>
                </c:pt>
                <c:pt idx="81">
                  <c:v>582.20999999999992</c:v>
                </c:pt>
                <c:pt idx="82">
                  <c:v>594.6099999999999</c:v>
                </c:pt>
                <c:pt idx="83">
                  <c:v>609.35199999999975</c:v>
                </c:pt>
                <c:pt idx="84">
                  <c:v>620.91599999999971</c:v>
                </c:pt>
                <c:pt idx="85">
                  <c:v>632.58400000000029</c:v>
                </c:pt>
                <c:pt idx="86">
                  <c:v>648.51</c:v>
                </c:pt>
                <c:pt idx="87">
                  <c:v>657.9</c:v>
                </c:pt>
                <c:pt idx="88">
                  <c:v>663.44199999999978</c:v>
                </c:pt>
                <c:pt idx="89">
                  <c:v>667.49199999999996</c:v>
                </c:pt>
                <c:pt idx="90">
                  <c:v>671.57800000000032</c:v>
                </c:pt>
                <c:pt idx="91">
                  <c:v>681.8299999999997</c:v>
                </c:pt>
                <c:pt idx="92">
                  <c:v>703.9799999999999</c:v>
                </c:pt>
                <c:pt idx="93">
                  <c:v>734.35999999999979</c:v>
                </c:pt>
                <c:pt idx="94">
                  <c:v>769.22400000000005</c:v>
                </c:pt>
                <c:pt idx="95">
                  <c:v>812.34399999999982</c:v>
                </c:pt>
                <c:pt idx="96">
                  <c:v>856.43199999999979</c:v>
                </c:pt>
                <c:pt idx="97">
                  <c:v>884.98199999999997</c:v>
                </c:pt>
                <c:pt idx="98">
                  <c:v>899.08800000000031</c:v>
                </c:pt>
                <c:pt idx="99">
                  <c:v>904.02199999999971</c:v>
                </c:pt>
                <c:pt idx="100">
                  <c:v>898.51200000000006</c:v>
                </c:pt>
                <c:pt idx="101">
                  <c:v>882.34199999999998</c:v>
                </c:pt>
                <c:pt idx="102">
                  <c:v>870.50200000000007</c:v>
                </c:pt>
                <c:pt idx="103">
                  <c:v>865.77400000000023</c:v>
                </c:pt>
                <c:pt idx="104">
                  <c:v>868.7120000000001</c:v>
                </c:pt>
                <c:pt idx="105">
                  <c:v>872.54</c:v>
                </c:pt>
                <c:pt idx="106">
                  <c:v>879.4</c:v>
                </c:pt>
                <c:pt idx="107">
                  <c:v>883.85199999999986</c:v>
                </c:pt>
                <c:pt idx="108">
                  <c:v>889.58199999999999</c:v>
                </c:pt>
                <c:pt idx="109">
                  <c:v>879.39200000000017</c:v>
                </c:pt>
                <c:pt idx="110">
                  <c:v>879.18999999999994</c:v>
                </c:pt>
                <c:pt idx="111">
                  <c:v>876.39</c:v>
                </c:pt>
                <c:pt idx="112">
                  <c:v>872.38600000000008</c:v>
                </c:pt>
                <c:pt idx="113">
                  <c:v>868.38400000000001</c:v>
                </c:pt>
                <c:pt idx="114">
                  <c:v>872.11399999999992</c:v>
                </c:pt>
                <c:pt idx="115">
                  <c:v>867.0659999999998</c:v>
                </c:pt>
                <c:pt idx="116">
                  <c:v>869.10200000000009</c:v>
                </c:pt>
                <c:pt idx="117">
                  <c:v>874.10200000000009</c:v>
                </c:pt>
                <c:pt idx="118">
                  <c:v>878.5659999999998</c:v>
                </c:pt>
                <c:pt idx="119">
                  <c:v>892.09799999999996</c:v>
                </c:pt>
                <c:pt idx="120">
                  <c:v>900.86799999999971</c:v>
                </c:pt>
                <c:pt idx="121">
                  <c:v>902.94599999999969</c:v>
                </c:pt>
                <c:pt idx="122">
                  <c:v>890.2320000000002</c:v>
                </c:pt>
                <c:pt idx="123">
                  <c:v>875.16399999999999</c:v>
                </c:pt>
                <c:pt idx="124">
                  <c:v>859.60400000000004</c:v>
                </c:pt>
                <c:pt idx="125">
                  <c:v>841.65800000000013</c:v>
                </c:pt>
                <c:pt idx="126">
                  <c:v>827.48199999999997</c:v>
                </c:pt>
                <c:pt idx="127">
                  <c:v>828.60400000000004</c:v>
                </c:pt>
                <c:pt idx="128">
                  <c:v>831.65400000000011</c:v>
                </c:pt>
                <c:pt idx="129">
                  <c:v>827.27200000000039</c:v>
                </c:pt>
                <c:pt idx="130">
                  <c:v>831.51200000000006</c:v>
                </c:pt>
                <c:pt idx="131">
                  <c:v>832.46199999999965</c:v>
                </c:pt>
                <c:pt idx="132">
                  <c:v>832.46599999999978</c:v>
                </c:pt>
                <c:pt idx="133">
                  <c:v>831.96199999999965</c:v>
                </c:pt>
                <c:pt idx="134">
                  <c:v>835.12199999999996</c:v>
                </c:pt>
                <c:pt idx="135">
                  <c:v>837.27600000000029</c:v>
                </c:pt>
                <c:pt idx="136">
                  <c:v>839.21199999999988</c:v>
                </c:pt>
                <c:pt idx="137">
                  <c:v>842.01</c:v>
                </c:pt>
                <c:pt idx="138">
                  <c:v>847.8499999999998</c:v>
                </c:pt>
                <c:pt idx="139">
                  <c:v>852.62199999999996</c:v>
                </c:pt>
                <c:pt idx="140">
                  <c:v>860.69799999999998</c:v>
                </c:pt>
                <c:pt idx="141">
                  <c:v>868.73199999999997</c:v>
                </c:pt>
                <c:pt idx="142">
                  <c:v>876.58999999999992</c:v>
                </c:pt>
                <c:pt idx="143">
                  <c:v>882.65400000000011</c:v>
                </c:pt>
                <c:pt idx="144">
                  <c:v>894.048</c:v>
                </c:pt>
                <c:pt idx="145">
                  <c:v>897.00200000000007</c:v>
                </c:pt>
                <c:pt idx="146">
                  <c:v>900.68600000000004</c:v>
                </c:pt>
                <c:pt idx="147">
                  <c:v>890.57</c:v>
                </c:pt>
                <c:pt idx="148">
                  <c:v>893.8499999999998</c:v>
                </c:pt>
                <c:pt idx="149">
                  <c:v>891.43999999999971</c:v>
                </c:pt>
                <c:pt idx="150">
                  <c:v>893.34599999999966</c:v>
                </c:pt>
                <c:pt idx="151">
                  <c:v>896.09799999999996</c:v>
                </c:pt>
                <c:pt idx="152">
                  <c:v>912.3</c:v>
                </c:pt>
                <c:pt idx="153">
                  <c:v>914.68200000000002</c:v>
                </c:pt>
                <c:pt idx="154">
                  <c:v>922.42000000000007</c:v>
                </c:pt>
                <c:pt idx="155">
                  <c:v>929.66399999999999</c:v>
                </c:pt>
                <c:pt idx="156">
                  <c:v>933.86799999999971</c:v>
                </c:pt>
                <c:pt idx="157">
                  <c:v>937.76800000000003</c:v>
                </c:pt>
                <c:pt idx="158">
                  <c:v>940.9380000000001</c:v>
                </c:pt>
                <c:pt idx="159">
                  <c:v>939.65400000000011</c:v>
                </c:pt>
                <c:pt idx="160">
                  <c:v>940.23400000000004</c:v>
                </c:pt>
                <c:pt idx="161">
                  <c:v>941.89199999999983</c:v>
                </c:pt>
                <c:pt idx="162">
                  <c:v>943.44200000000001</c:v>
                </c:pt>
                <c:pt idx="163">
                  <c:v>946.01199999999972</c:v>
                </c:pt>
                <c:pt idx="164">
                  <c:v>948.95999999999981</c:v>
                </c:pt>
                <c:pt idx="165">
                  <c:v>953.94999999999982</c:v>
                </c:pt>
                <c:pt idx="166">
                  <c:v>962.70999999999981</c:v>
                </c:pt>
                <c:pt idx="167">
                  <c:v>971.37200000000007</c:v>
                </c:pt>
                <c:pt idx="168">
                  <c:v>979.43799999999965</c:v>
                </c:pt>
                <c:pt idx="169">
                  <c:v>987.05400000000009</c:v>
                </c:pt>
                <c:pt idx="170">
                  <c:v>991.2299999999999</c:v>
                </c:pt>
                <c:pt idx="171">
                  <c:v>992.94599999999991</c:v>
                </c:pt>
                <c:pt idx="172">
                  <c:v>994.35599999999977</c:v>
                </c:pt>
                <c:pt idx="173">
                  <c:v>996.06399999999996</c:v>
                </c:pt>
                <c:pt idx="174">
                  <c:v>989.46800000000007</c:v>
                </c:pt>
                <c:pt idx="175">
                  <c:v>987.33199999999977</c:v>
                </c:pt>
                <c:pt idx="176">
                  <c:v>989.51800000000003</c:v>
                </c:pt>
                <c:pt idx="177">
                  <c:v>994.90400000000011</c:v>
                </c:pt>
                <c:pt idx="178">
                  <c:v>1003.534</c:v>
                </c:pt>
                <c:pt idx="179">
                  <c:v>1025.046</c:v>
                </c:pt>
                <c:pt idx="180">
                  <c:v>1042.5419999999999</c:v>
                </c:pt>
                <c:pt idx="181">
                  <c:v>1055.1099999999999</c:v>
                </c:pt>
                <c:pt idx="182">
                  <c:v>1065.944</c:v>
                </c:pt>
                <c:pt idx="183">
                  <c:v>1072.6979999999999</c:v>
                </c:pt>
                <c:pt idx="184">
                  <c:v>1074.1779999999999</c:v>
                </c:pt>
                <c:pt idx="185">
                  <c:v>1076.482</c:v>
                </c:pt>
                <c:pt idx="186">
                  <c:v>1082.6499999999999</c:v>
                </c:pt>
                <c:pt idx="187">
                  <c:v>1085.6659999999999</c:v>
                </c:pt>
                <c:pt idx="188">
                  <c:v>1084.768</c:v>
                </c:pt>
                <c:pt idx="189">
                  <c:v>1083.3539999999998</c:v>
                </c:pt>
                <c:pt idx="190">
                  <c:v>1079.7180000000001</c:v>
                </c:pt>
                <c:pt idx="191">
                  <c:v>1073.8499999999999</c:v>
                </c:pt>
                <c:pt idx="192">
                  <c:v>1069.8300000000002</c:v>
                </c:pt>
                <c:pt idx="193">
                  <c:v>1072.308</c:v>
                </c:pt>
                <c:pt idx="194">
                  <c:v>1073.5</c:v>
                </c:pt>
                <c:pt idx="195">
                  <c:v>1075.8799999999999</c:v>
                </c:pt>
                <c:pt idx="196">
                  <c:v>1075.424</c:v>
                </c:pt>
                <c:pt idx="197">
                  <c:v>1075.5999999999999</c:v>
                </c:pt>
                <c:pt idx="198">
                  <c:v>1073.3780000000002</c:v>
                </c:pt>
                <c:pt idx="199">
                  <c:v>1074.3919999999998</c:v>
                </c:pt>
                <c:pt idx="200">
                  <c:v>1073.7539999999999</c:v>
                </c:pt>
                <c:pt idx="201">
                  <c:v>1072.7900000000002</c:v>
                </c:pt>
                <c:pt idx="202">
                  <c:v>1071.1080000000002</c:v>
                </c:pt>
                <c:pt idx="203">
                  <c:v>1076.0260000000001</c:v>
                </c:pt>
                <c:pt idx="204">
                  <c:v>1082.442</c:v>
                </c:pt>
                <c:pt idx="205">
                  <c:v>1090.9640000000002</c:v>
                </c:pt>
                <c:pt idx="206">
                  <c:v>1103.7180000000001</c:v>
                </c:pt>
                <c:pt idx="207">
                  <c:v>1119.9739999999999</c:v>
                </c:pt>
                <c:pt idx="208">
                  <c:v>1132.328</c:v>
                </c:pt>
              </c:numCache>
            </c:numRef>
          </c:val>
        </c:ser>
        <c:ser>
          <c:idx val="1"/>
          <c:order val="1"/>
          <c:tx>
            <c:strRef>
              <c:f>'EcuindexMM5-50'!$G$11</c:f>
              <c:strCache>
                <c:ptCount val="1"/>
                <c:pt idx="0">
                  <c:v>MM50</c:v>
                </c:pt>
              </c:strCache>
            </c:strRef>
          </c:tx>
          <c:spPr>
            <a:ln w="15178">
              <a:solidFill>
                <a:srgbClr val="FF00FF"/>
              </a:solidFill>
              <a:prstDash val="solid"/>
            </a:ln>
          </c:spPr>
          <c:marker>
            <c:symbol val="square"/>
            <c:size val="2"/>
            <c:spPr>
              <a:noFill/>
              <a:ln>
                <a:solidFill>
                  <a:srgbClr val="FFFFFF"/>
                </a:solidFill>
                <a:prstDash val="solid"/>
              </a:ln>
            </c:spPr>
          </c:marker>
          <c:cat>
            <c:numRef>
              <c:f>'EcuindexMM5-50'!$D$12:$D$269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'EcuindexMM5-50'!$G$61:$G$269</c:f>
              <c:numCache>
                <c:formatCode>##0.00</c:formatCode>
                <c:ptCount val="209"/>
                <c:pt idx="0">
                  <c:v>367.94408695652174</c:v>
                </c:pt>
                <c:pt idx="1">
                  <c:v>369.6762978723404</c:v>
                </c:pt>
                <c:pt idx="2">
                  <c:v>371.40199999999987</c:v>
                </c:pt>
                <c:pt idx="3">
                  <c:v>373.14522448979602</c:v>
                </c:pt>
                <c:pt idx="4">
                  <c:v>374.92947999999984</c:v>
                </c:pt>
                <c:pt idx="5">
                  <c:v>377.84275999999983</c:v>
                </c:pt>
                <c:pt idx="6">
                  <c:v>380.9220399999997</c:v>
                </c:pt>
                <c:pt idx="7">
                  <c:v>384.17292000000015</c:v>
                </c:pt>
                <c:pt idx="8">
                  <c:v>387.47144000000003</c:v>
                </c:pt>
                <c:pt idx="9">
                  <c:v>390.81888000000015</c:v>
                </c:pt>
                <c:pt idx="10">
                  <c:v>394.14092000000016</c:v>
                </c:pt>
                <c:pt idx="11">
                  <c:v>397.37547999999981</c:v>
                </c:pt>
                <c:pt idx="12">
                  <c:v>400.54312000000004</c:v>
                </c:pt>
                <c:pt idx="13">
                  <c:v>403.65856000000008</c:v>
                </c:pt>
                <c:pt idx="14">
                  <c:v>406.67560000000026</c:v>
                </c:pt>
                <c:pt idx="15">
                  <c:v>409.59360000000015</c:v>
                </c:pt>
                <c:pt idx="16">
                  <c:v>412.64708000000024</c:v>
                </c:pt>
                <c:pt idx="17">
                  <c:v>415.73468000000008</c:v>
                </c:pt>
                <c:pt idx="18">
                  <c:v>418.80144000000007</c:v>
                </c:pt>
                <c:pt idx="19">
                  <c:v>421.79568</c:v>
                </c:pt>
                <c:pt idx="20">
                  <c:v>424.87628000000007</c:v>
                </c:pt>
                <c:pt idx="21">
                  <c:v>427.77308000000005</c:v>
                </c:pt>
                <c:pt idx="22">
                  <c:v>430.63840000000016</c:v>
                </c:pt>
                <c:pt idx="23">
                  <c:v>433.44496000000026</c:v>
                </c:pt>
                <c:pt idx="24">
                  <c:v>436.32776000000018</c:v>
                </c:pt>
                <c:pt idx="25">
                  <c:v>439.26072000000005</c:v>
                </c:pt>
                <c:pt idx="26">
                  <c:v>442.34308000000021</c:v>
                </c:pt>
                <c:pt idx="27">
                  <c:v>445.51607999999987</c:v>
                </c:pt>
                <c:pt idx="28">
                  <c:v>448.84123999999986</c:v>
                </c:pt>
                <c:pt idx="29">
                  <c:v>452.42015999999984</c:v>
                </c:pt>
                <c:pt idx="30">
                  <c:v>410.33112499999987</c:v>
                </c:pt>
                <c:pt idx="31">
                  <c:v>412.69274999999999</c:v>
                </c:pt>
                <c:pt idx="32">
                  <c:v>414.72862499999979</c:v>
                </c:pt>
                <c:pt idx="33">
                  <c:v>416.7571249999998</c:v>
                </c:pt>
                <c:pt idx="34">
                  <c:v>418.75762499999985</c:v>
                </c:pt>
                <c:pt idx="35">
                  <c:v>420.61487499999998</c:v>
                </c:pt>
                <c:pt idx="36">
                  <c:v>423.64900000000011</c:v>
                </c:pt>
                <c:pt idx="37">
                  <c:v>426.05162499999989</c:v>
                </c:pt>
                <c:pt idx="38">
                  <c:v>428.44374999999968</c:v>
                </c:pt>
                <c:pt idx="39">
                  <c:v>430.78312499999959</c:v>
                </c:pt>
                <c:pt idx="40">
                  <c:v>433.15062499999988</c:v>
                </c:pt>
                <c:pt idx="41">
                  <c:v>437.20024999999964</c:v>
                </c:pt>
                <c:pt idx="42">
                  <c:v>440.6173749999997</c:v>
                </c:pt>
                <c:pt idx="43">
                  <c:v>444.43237499999958</c:v>
                </c:pt>
                <c:pt idx="44">
                  <c:v>447.54612499999973</c:v>
                </c:pt>
                <c:pt idx="45">
                  <c:v>451.21224999999964</c:v>
                </c:pt>
                <c:pt idx="46">
                  <c:v>454.9101249999996</c:v>
                </c:pt>
                <c:pt idx="47">
                  <c:v>458.00124999999969</c:v>
                </c:pt>
                <c:pt idx="48">
                  <c:v>461.03124999999977</c:v>
                </c:pt>
                <c:pt idx="49">
                  <c:v>464.10612499999979</c:v>
                </c:pt>
                <c:pt idx="50">
                  <c:v>467.8249999999997</c:v>
                </c:pt>
                <c:pt idx="51">
                  <c:v>471.14299999999986</c:v>
                </c:pt>
                <c:pt idx="52">
                  <c:v>474.66487499999982</c:v>
                </c:pt>
                <c:pt idx="53">
                  <c:v>477.7194999999997</c:v>
                </c:pt>
                <c:pt idx="54">
                  <c:v>481.23649999999964</c:v>
                </c:pt>
                <c:pt idx="55">
                  <c:v>485.25824999999975</c:v>
                </c:pt>
                <c:pt idx="56">
                  <c:v>489.17587499999979</c:v>
                </c:pt>
                <c:pt idx="57">
                  <c:v>492.7583749999996</c:v>
                </c:pt>
                <c:pt idx="58">
                  <c:v>496.83937499999973</c:v>
                </c:pt>
                <c:pt idx="59">
                  <c:v>500.67362499999979</c:v>
                </c:pt>
                <c:pt idx="60">
                  <c:v>504.50787499999979</c:v>
                </c:pt>
                <c:pt idx="61">
                  <c:v>507.59587499999969</c:v>
                </c:pt>
                <c:pt idx="62">
                  <c:v>510.18087499999973</c:v>
                </c:pt>
                <c:pt idx="63">
                  <c:v>512.64687499999968</c:v>
                </c:pt>
                <c:pt idx="64">
                  <c:v>514.03724999999929</c:v>
                </c:pt>
                <c:pt idx="65">
                  <c:v>515.47474999999974</c:v>
                </c:pt>
                <c:pt idx="66">
                  <c:v>517.01762499999927</c:v>
                </c:pt>
                <c:pt idx="67">
                  <c:v>518.58712499999956</c:v>
                </c:pt>
                <c:pt idx="68">
                  <c:v>520.31899999999951</c:v>
                </c:pt>
                <c:pt idx="69">
                  <c:v>521.97449999999981</c:v>
                </c:pt>
                <c:pt idx="70">
                  <c:v>522.96462499999939</c:v>
                </c:pt>
                <c:pt idx="71">
                  <c:v>523.32412499999953</c:v>
                </c:pt>
                <c:pt idx="72">
                  <c:v>523.44562499999938</c:v>
                </c:pt>
                <c:pt idx="73">
                  <c:v>524.48612499999967</c:v>
                </c:pt>
                <c:pt idx="74">
                  <c:v>525.94462499999952</c:v>
                </c:pt>
                <c:pt idx="75">
                  <c:v>527.65812499999981</c:v>
                </c:pt>
                <c:pt idx="76">
                  <c:v>529.42537500000003</c:v>
                </c:pt>
                <c:pt idx="77">
                  <c:v>531.01550000000009</c:v>
                </c:pt>
                <c:pt idx="78">
                  <c:v>532.32149999999979</c:v>
                </c:pt>
                <c:pt idx="79">
                  <c:v>534.1182500000001</c:v>
                </c:pt>
                <c:pt idx="80">
                  <c:v>535.97862500000008</c:v>
                </c:pt>
                <c:pt idx="81">
                  <c:v>537.72862500000008</c:v>
                </c:pt>
                <c:pt idx="82">
                  <c:v>539.89675000000011</c:v>
                </c:pt>
                <c:pt idx="83">
                  <c:v>541.85475000000008</c:v>
                </c:pt>
                <c:pt idx="84">
                  <c:v>544.02812499999982</c:v>
                </c:pt>
                <c:pt idx="85">
                  <c:v>546.04324999999972</c:v>
                </c:pt>
                <c:pt idx="86">
                  <c:v>548.08937500000025</c:v>
                </c:pt>
                <c:pt idx="87">
                  <c:v>550.30849999999998</c:v>
                </c:pt>
                <c:pt idx="88">
                  <c:v>552.46487500000001</c:v>
                </c:pt>
                <c:pt idx="89">
                  <c:v>554.73924999999997</c:v>
                </c:pt>
                <c:pt idx="90">
                  <c:v>557.08837500000038</c:v>
                </c:pt>
                <c:pt idx="91">
                  <c:v>560.04787500000009</c:v>
                </c:pt>
                <c:pt idx="92">
                  <c:v>563.85974999999996</c:v>
                </c:pt>
                <c:pt idx="93">
                  <c:v>568.07724999999982</c:v>
                </c:pt>
                <c:pt idx="94">
                  <c:v>572.83762499999955</c:v>
                </c:pt>
                <c:pt idx="95">
                  <c:v>578.19124999999997</c:v>
                </c:pt>
                <c:pt idx="96">
                  <c:v>583.48287499999992</c:v>
                </c:pt>
                <c:pt idx="97">
                  <c:v>588.97287499999982</c:v>
                </c:pt>
                <c:pt idx="98">
                  <c:v>594.08274999999981</c:v>
                </c:pt>
                <c:pt idx="99">
                  <c:v>599.41374999999994</c:v>
                </c:pt>
                <c:pt idx="100">
                  <c:v>604.6569999999997</c:v>
                </c:pt>
                <c:pt idx="101">
                  <c:v>609.84224999999947</c:v>
                </c:pt>
                <c:pt idx="102">
                  <c:v>614.99649999999986</c:v>
                </c:pt>
                <c:pt idx="103">
                  <c:v>620.04712499999937</c:v>
                </c:pt>
                <c:pt idx="104">
                  <c:v>625.27375000000006</c:v>
                </c:pt>
                <c:pt idx="105">
                  <c:v>630.54037499999981</c:v>
                </c:pt>
                <c:pt idx="106">
                  <c:v>635.80237499999987</c:v>
                </c:pt>
                <c:pt idx="107">
                  <c:v>640.69475000000011</c:v>
                </c:pt>
                <c:pt idx="108">
                  <c:v>645.6486249999997</c:v>
                </c:pt>
                <c:pt idx="109">
                  <c:v>649.75199999999973</c:v>
                </c:pt>
                <c:pt idx="110">
                  <c:v>654.47787499999993</c:v>
                </c:pt>
                <c:pt idx="111">
                  <c:v>659.19612499999982</c:v>
                </c:pt>
                <c:pt idx="112">
                  <c:v>663.91524999999979</c:v>
                </c:pt>
                <c:pt idx="113">
                  <c:v>668.70137500000021</c:v>
                </c:pt>
                <c:pt idx="114">
                  <c:v>673.26112499999977</c:v>
                </c:pt>
                <c:pt idx="115">
                  <c:v>678.017875</c:v>
                </c:pt>
                <c:pt idx="116">
                  <c:v>682.01037500000029</c:v>
                </c:pt>
                <c:pt idx="117">
                  <c:v>686.67562499999997</c:v>
                </c:pt>
                <c:pt idx="118">
                  <c:v>691.37800000000004</c:v>
                </c:pt>
                <c:pt idx="119">
                  <c:v>696.44537500000013</c:v>
                </c:pt>
                <c:pt idx="120">
                  <c:v>701.23925000000008</c:v>
                </c:pt>
                <c:pt idx="121">
                  <c:v>704.3453750000001</c:v>
                </c:pt>
                <c:pt idx="122">
                  <c:v>707.20075000000043</c:v>
                </c:pt>
                <c:pt idx="123">
                  <c:v>709.53775000000019</c:v>
                </c:pt>
                <c:pt idx="124">
                  <c:v>712.85775000000001</c:v>
                </c:pt>
                <c:pt idx="125">
                  <c:v>715.23137500000041</c:v>
                </c:pt>
                <c:pt idx="126">
                  <c:v>717.80325000000016</c:v>
                </c:pt>
                <c:pt idx="127">
                  <c:v>721.05512499999986</c:v>
                </c:pt>
                <c:pt idx="128">
                  <c:v>724.31337500000041</c:v>
                </c:pt>
                <c:pt idx="129">
                  <c:v>727.4340000000002</c:v>
                </c:pt>
                <c:pt idx="130">
                  <c:v>730.5237500000004</c:v>
                </c:pt>
                <c:pt idx="131">
                  <c:v>733.86475000000019</c:v>
                </c:pt>
                <c:pt idx="132">
                  <c:v>736.99200000000008</c:v>
                </c:pt>
                <c:pt idx="133">
                  <c:v>740.24675000000013</c:v>
                </c:pt>
                <c:pt idx="134">
                  <c:v>743.07300000000032</c:v>
                </c:pt>
                <c:pt idx="135">
                  <c:v>745.93537500000014</c:v>
                </c:pt>
                <c:pt idx="136">
                  <c:v>748.91262499999982</c:v>
                </c:pt>
                <c:pt idx="137">
                  <c:v>751.89724999999987</c:v>
                </c:pt>
                <c:pt idx="138">
                  <c:v>754.51124999999979</c:v>
                </c:pt>
                <c:pt idx="139">
                  <c:v>757.6251249999998</c:v>
                </c:pt>
                <c:pt idx="140">
                  <c:v>761.02762499999949</c:v>
                </c:pt>
                <c:pt idx="141">
                  <c:v>764.7222499999998</c:v>
                </c:pt>
                <c:pt idx="142">
                  <c:v>768.97649999999999</c:v>
                </c:pt>
                <c:pt idx="143">
                  <c:v>772.86949999999979</c:v>
                </c:pt>
                <c:pt idx="144">
                  <c:v>777.05562499999985</c:v>
                </c:pt>
                <c:pt idx="145">
                  <c:v>780.92412499999978</c:v>
                </c:pt>
                <c:pt idx="146">
                  <c:v>784.7018750000002</c:v>
                </c:pt>
                <c:pt idx="147">
                  <c:v>787.61887500000023</c:v>
                </c:pt>
                <c:pt idx="148">
                  <c:v>791.43599999999969</c:v>
                </c:pt>
                <c:pt idx="149">
                  <c:v>795.27712499999996</c:v>
                </c:pt>
                <c:pt idx="150">
                  <c:v>799.96149999999977</c:v>
                </c:pt>
                <c:pt idx="151">
                  <c:v>805.56937500000004</c:v>
                </c:pt>
                <c:pt idx="152">
                  <c:v>811.21775000000002</c:v>
                </c:pt>
                <c:pt idx="153">
                  <c:v>816.03075000000001</c:v>
                </c:pt>
                <c:pt idx="154">
                  <c:v>820.77812500000005</c:v>
                </c:pt>
                <c:pt idx="155">
                  <c:v>825.36399999999969</c:v>
                </c:pt>
                <c:pt idx="156">
                  <c:v>829.85637499999996</c:v>
                </c:pt>
                <c:pt idx="157">
                  <c:v>834.55337499999985</c:v>
                </c:pt>
                <c:pt idx="158">
                  <c:v>839.20637499999975</c:v>
                </c:pt>
                <c:pt idx="159">
                  <c:v>843.50949999999978</c:v>
                </c:pt>
                <c:pt idx="160">
                  <c:v>847.87949999999978</c:v>
                </c:pt>
                <c:pt idx="161">
                  <c:v>852.33649999999955</c:v>
                </c:pt>
                <c:pt idx="162">
                  <c:v>856.35537499999987</c:v>
                </c:pt>
                <c:pt idx="163">
                  <c:v>860.24762499999974</c:v>
                </c:pt>
                <c:pt idx="164">
                  <c:v>864.01224999999977</c:v>
                </c:pt>
                <c:pt idx="165">
                  <c:v>867.96487499999989</c:v>
                </c:pt>
                <c:pt idx="166">
                  <c:v>871.97399999999993</c:v>
                </c:pt>
                <c:pt idx="167">
                  <c:v>875.94737499999997</c:v>
                </c:pt>
                <c:pt idx="168">
                  <c:v>879.99737500000015</c:v>
                </c:pt>
                <c:pt idx="169">
                  <c:v>883.98487500000033</c:v>
                </c:pt>
                <c:pt idx="170">
                  <c:v>887.9431249999999</c:v>
                </c:pt>
                <c:pt idx="171">
                  <c:v>891.41875000000039</c:v>
                </c:pt>
                <c:pt idx="172">
                  <c:v>894.09587500000043</c:v>
                </c:pt>
                <c:pt idx="173">
                  <c:v>896.35387500000013</c:v>
                </c:pt>
                <c:pt idx="174">
                  <c:v>897.75012499999991</c:v>
                </c:pt>
                <c:pt idx="175">
                  <c:v>898.8798750000002</c:v>
                </c:pt>
                <c:pt idx="176">
                  <c:v>899.73662499999966</c:v>
                </c:pt>
                <c:pt idx="177">
                  <c:v>900.96599999999978</c:v>
                </c:pt>
                <c:pt idx="178">
                  <c:v>902.88175000000012</c:v>
                </c:pt>
                <c:pt idx="179">
                  <c:v>905.31412499999999</c:v>
                </c:pt>
                <c:pt idx="180">
                  <c:v>907.88175000000012</c:v>
                </c:pt>
                <c:pt idx="181">
                  <c:v>910.53462499999978</c:v>
                </c:pt>
                <c:pt idx="182">
                  <c:v>913.18112500000007</c:v>
                </c:pt>
                <c:pt idx="183">
                  <c:v>915.81450000000007</c:v>
                </c:pt>
                <c:pt idx="184">
                  <c:v>918.15575000000013</c:v>
                </c:pt>
                <c:pt idx="185">
                  <c:v>920.62812499999973</c:v>
                </c:pt>
                <c:pt idx="186">
                  <c:v>923.23774999999989</c:v>
                </c:pt>
                <c:pt idx="187">
                  <c:v>925.79449999999974</c:v>
                </c:pt>
                <c:pt idx="188">
                  <c:v>928.01362499999959</c:v>
                </c:pt>
                <c:pt idx="189">
                  <c:v>930.9033750000001</c:v>
                </c:pt>
                <c:pt idx="190">
                  <c:v>933.16112499999974</c:v>
                </c:pt>
                <c:pt idx="191">
                  <c:v>935.57899999999995</c:v>
                </c:pt>
                <c:pt idx="192">
                  <c:v>938.13475000000039</c:v>
                </c:pt>
                <c:pt idx="193">
                  <c:v>940.75887500000044</c:v>
                </c:pt>
                <c:pt idx="194">
                  <c:v>943.49000000000012</c:v>
                </c:pt>
                <c:pt idx="195">
                  <c:v>946.2120000000001</c:v>
                </c:pt>
                <c:pt idx="196">
                  <c:v>948.47412500000007</c:v>
                </c:pt>
                <c:pt idx="197">
                  <c:v>950.72837500000026</c:v>
                </c:pt>
                <c:pt idx="198">
                  <c:v>952.93462499999964</c:v>
                </c:pt>
                <c:pt idx="199">
                  <c:v>954.88337500000023</c:v>
                </c:pt>
                <c:pt idx="200">
                  <c:v>957.01737499999979</c:v>
                </c:pt>
                <c:pt idx="201">
                  <c:v>959.08937500000013</c:v>
                </c:pt>
                <c:pt idx="202">
                  <c:v>962.03312499999993</c:v>
                </c:pt>
                <c:pt idx="203">
                  <c:v>965.48849999999982</c:v>
                </c:pt>
                <c:pt idx="204">
                  <c:v>968.81074999999998</c:v>
                </c:pt>
                <c:pt idx="205">
                  <c:v>972.59899999999993</c:v>
                </c:pt>
                <c:pt idx="206">
                  <c:v>976.35412499999939</c:v>
                </c:pt>
                <c:pt idx="207">
                  <c:v>980.24375000000043</c:v>
                </c:pt>
                <c:pt idx="208">
                  <c:v>984.2806250000001</c:v>
                </c:pt>
              </c:numCache>
            </c:numRef>
          </c:val>
        </c:ser>
        <c:marker val="1"/>
        <c:axId val="242535424"/>
        <c:axId val="242545792"/>
      </c:lineChart>
      <c:dateAx>
        <c:axId val="242535424"/>
        <c:scaling>
          <c:orientation val="minMax"/>
        </c:scaling>
        <c:axPos val="b"/>
        <c:numFmt formatCode="dd/mm/yyyy" sourceLinked="0"/>
        <c:tickLblPos val="nextTo"/>
        <c:spPr>
          <a:ln w="3794">
            <a:solidFill>
              <a:srgbClr val="000000"/>
            </a:solidFill>
            <a:prstDash val="solid"/>
          </a:ln>
        </c:spPr>
        <c:txPr>
          <a:bodyPr rot="-5400000" vert="horz"/>
          <a:lstStyle/>
          <a:p>
            <a:pPr>
              <a:defRPr sz="956" b="0" i="0" u="none" strike="noStrike" baseline="0">
                <a:solidFill>
                  <a:srgbClr val="000000"/>
                </a:solidFill>
                <a:latin typeface="Arial"/>
                <a:ea typeface="Arial"/>
                <a:cs typeface="Arial"/>
              </a:defRPr>
            </a:pPr>
            <a:endParaRPr lang="es-ES"/>
          </a:p>
        </c:txPr>
        <c:crossAx val="242545792"/>
        <c:crosses val="autoZero"/>
        <c:auto val="1"/>
        <c:lblOffset val="100"/>
        <c:baseTimeUnit val="days"/>
        <c:majorUnit val="3"/>
        <c:majorTimeUnit val="months"/>
        <c:minorUnit val="1"/>
        <c:minorTimeUnit val="months"/>
      </c:dateAx>
      <c:valAx>
        <c:axId val="242545792"/>
        <c:scaling>
          <c:orientation val="minMax"/>
        </c:scaling>
        <c:axPos val="l"/>
        <c:numFmt formatCode="##0.00" sourceLinked="1"/>
        <c:tickLblPos val="nextTo"/>
        <c:spPr>
          <a:ln w="3794">
            <a:solidFill>
              <a:srgbClr val="000000"/>
            </a:solidFill>
            <a:prstDash val="solid"/>
          </a:ln>
        </c:spPr>
        <c:txPr>
          <a:bodyPr rot="0" vert="horz"/>
          <a:lstStyle/>
          <a:p>
            <a:pPr>
              <a:defRPr sz="956" b="0" i="0" u="none" strike="noStrike" baseline="0">
                <a:solidFill>
                  <a:srgbClr val="000000"/>
                </a:solidFill>
                <a:latin typeface="Arial"/>
                <a:ea typeface="Arial"/>
                <a:cs typeface="Arial"/>
              </a:defRPr>
            </a:pPr>
            <a:endParaRPr lang="es-ES"/>
          </a:p>
        </c:txPr>
        <c:crossAx val="242535424"/>
        <c:crosses val="autoZero"/>
        <c:crossBetween val="between"/>
      </c:valAx>
      <c:spPr>
        <a:solidFill>
          <a:srgbClr val="C0C0C0"/>
        </a:solidFill>
        <a:ln w="15178">
          <a:solidFill>
            <a:srgbClr val="808080"/>
          </a:solidFill>
          <a:prstDash val="solid"/>
        </a:ln>
      </c:spPr>
    </c:plotArea>
    <c:legend>
      <c:legendPos val="t"/>
      <c:layout>
        <c:manualLayout>
          <c:xMode val="edge"/>
          <c:yMode val="edge"/>
          <c:x val="2.3923444976076554E-3"/>
          <c:y val="4.7619047619047623E-3"/>
          <c:w val="0.15071770334928236"/>
          <c:h val="0.12380952380952381"/>
        </c:manualLayout>
      </c:layout>
      <c:spPr>
        <a:solidFill>
          <a:srgbClr val="C0C0C0"/>
        </a:solidFill>
        <a:ln w="3794">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794">
      <a:solidFill>
        <a:srgbClr val="000000"/>
      </a:solidFill>
      <a:prstDash val="solid"/>
    </a:ln>
  </c:spPr>
  <c:txPr>
    <a:bodyPr/>
    <a:lstStyle/>
    <a:p>
      <a:pPr>
        <a:defRPr sz="1076"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42" b="1" i="0" u="none" strike="noStrike" baseline="0">
                <a:solidFill>
                  <a:srgbClr val="000000"/>
                </a:solidFill>
                <a:latin typeface="Arial"/>
                <a:ea typeface="Arial"/>
                <a:cs typeface="Arial"/>
              </a:defRPr>
            </a:pPr>
            <a:r>
              <a:t>GRÁFICO ROC -  ECUINDEX</a:t>
            </a:r>
          </a:p>
        </c:rich>
      </c:tx>
      <c:layout>
        <c:manualLayout>
          <c:xMode val="edge"/>
          <c:yMode val="edge"/>
          <c:x val="0.3550420168067227"/>
          <c:y val="1.7857142857142856E-2"/>
        </c:manualLayout>
      </c:layout>
      <c:spPr>
        <a:noFill/>
        <a:ln w="28687">
          <a:noFill/>
        </a:ln>
      </c:spPr>
    </c:title>
    <c:plotArea>
      <c:layout>
        <c:manualLayout>
          <c:layoutTarget val="inner"/>
          <c:xMode val="edge"/>
          <c:yMode val="edge"/>
          <c:x val="7.9831932773109238E-2"/>
          <c:y val="0.40625"/>
          <c:w val="0.89915966386554624"/>
          <c:h val="0.5"/>
        </c:manualLayout>
      </c:layout>
      <c:lineChart>
        <c:grouping val="standard"/>
        <c:ser>
          <c:idx val="0"/>
          <c:order val="0"/>
          <c:tx>
            <c:strRef>
              <c:f>ROC!$F$11</c:f>
              <c:strCache>
                <c:ptCount val="1"/>
                <c:pt idx="0">
                  <c:v>ROC(5)</c:v>
                </c:pt>
              </c:strCache>
            </c:strRef>
          </c:tx>
          <c:spPr>
            <a:ln w="14343">
              <a:solidFill>
                <a:srgbClr val="000080"/>
              </a:solidFill>
              <a:prstDash val="solid"/>
            </a:ln>
          </c:spPr>
          <c:marker>
            <c:symbol val="square"/>
            <c:size val="2"/>
            <c:spPr>
              <a:solidFill>
                <a:srgbClr val="000000"/>
              </a:solidFill>
              <a:ln>
                <a:solidFill>
                  <a:srgbClr val="000000"/>
                </a:solidFill>
                <a:prstDash val="solid"/>
              </a:ln>
            </c:spPr>
          </c:marker>
          <c:cat>
            <c:numRef>
              <c:f>ROC!$D$12:$D$269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ROC!$F$16:$F$269</c:f>
              <c:numCache>
                <c:formatCode>0.00%</c:formatCode>
                <c:ptCount val="254"/>
                <c:pt idx="0">
                  <c:v>4.5943366210626793E-2</c:v>
                </c:pt>
                <c:pt idx="1">
                  <c:v>-9.1249201569403292E-5</c:v>
                </c:pt>
                <c:pt idx="2">
                  <c:v>-2.1288890240562394E-4</c:v>
                </c:pt>
                <c:pt idx="3">
                  <c:v>-2.1288890240562394E-4</c:v>
                </c:pt>
                <c:pt idx="4">
                  <c:v>3.0419176248679545E-5</c:v>
                </c:pt>
                <c:pt idx="5">
                  <c:v>1.8251505749225015E-4</c:v>
                </c:pt>
                <c:pt idx="6">
                  <c:v>1.8251505749225015E-4</c:v>
                </c:pt>
                <c:pt idx="7">
                  <c:v>1.8251505749225015E-4</c:v>
                </c:pt>
                <c:pt idx="8">
                  <c:v>1.5209125475288641E-4</c:v>
                </c:pt>
                <c:pt idx="9">
                  <c:v>-3.0413625304108601E-5</c:v>
                </c:pt>
                <c:pt idx="10">
                  <c:v>0</c:v>
                </c:pt>
                <c:pt idx="11">
                  <c:v>0</c:v>
                </c:pt>
                <c:pt idx="12">
                  <c:v>-9.1240875912498729E-5</c:v>
                </c:pt>
                <c:pt idx="13">
                  <c:v>1.326074393990072E-2</c:v>
                </c:pt>
                <c:pt idx="14">
                  <c:v>-8.6982968369830171E-3</c:v>
                </c:pt>
                <c:pt idx="15">
                  <c:v>-0.12259732360097324</c:v>
                </c:pt>
                <c:pt idx="16">
                  <c:v>-8.0177631779055153E-2</c:v>
                </c:pt>
                <c:pt idx="17">
                  <c:v>-8.659762869578265E-2</c:v>
                </c:pt>
                <c:pt idx="18">
                  <c:v>9.2041480026998808E-3</c:v>
                </c:pt>
                <c:pt idx="19">
                  <c:v>0.14360983049672443</c:v>
                </c:pt>
                <c:pt idx="20">
                  <c:v>-3.0389206706127443E-2</c:v>
                </c:pt>
                <c:pt idx="21">
                  <c:v>-3.6411436082812977E-2</c:v>
                </c:pt>
                <c:pt idx="22">
                  <c:v>-1.2433878518878751E-2</c:v>
                </c:pt>
                <c:pt idx="23">
                  <c:v>-7.9716294859359764E-3</c:v>
                </c:pt>
                <c:pt idx="24">
                  <c:v>4.1504672259736586E-2</c:v>
                </c:pt>
                <c:pt idx="25">
                  <c:v>4.1504672259736586E-2</c:v>
                </c:pt>
                <c:pt idx="26">
                  <c:v>5.3932584269662874E-2</c:v>
                </c:pt>
                <c:pt idx="27">
                  <c:v>4.6075346023404254E-2</c:v>
                </c:pt>
                <c:pt idx="28">
                  <c:v>0.25901306526081436</c:v>
                </c:pt>
                <c:pt idx="29">
                  <c:v>0.5458593929074298</c:v>
                </c:pt>
                <c:pt idx="30">
                  <c:v>0.38627800332973122</c:v>
                </c:pt>
                <c:pt idx="31">
                  <c:v>0.39542015947658976</c:v>
                </c:pt>
                <c:pt idx="32">
                  <c:v>0.24843298915446446</c:v>
                </c:pt>
                <c:pt idx="33">
                  <c:v>-1.3556737062848141E-2</c:v>
                </c:pt>
                <c:pt idx="34">
                  <c:v>-1.7255909991150811E-2</c:v>
                </c:pt>
                <c:pt idx="35">
                  <c:v>-4.8309785452642563E-2</c:v>
                </c:pt>
                <c:pt idx="36">
                  <c:v>-8.3831586841940781E-2</c:v>
                </c:pt>
                <c:pt idx="37">
                  <c:v>-1.5761558118061327E-2</c:v>
                </c:pt>
                <c:pt idx="38">
                  <c:v>-2.8278627017987688E-2</c:v>
                </c:pt>
                <c:pt idx="39">
                  <c:v>-1.3834209426617157E-2</c:v>
                </c:pt>
                <c:pt idx="40">
                  <c:v>2.5695249789662693E-3</c:v>
                </c:pt>
                <c:pt idx="41">
                  <c:v>-4.5685611432311569E-2</c:v>
                </c:pt>
                <c:pt idx="42">
                  <c:v>-3.700026476039181E-2</c:v>
                </c:pt>
                <c:pt idx="43">
                  <c:v>2.7365181319416537E-2</c:v>
                </c:pt>
                <c:pt idx="44">
                  <c:v>2.1637559537310096E-2</c:v>
                </c:pt>
                <c:pt idx="45">
                  <c:v>2.722845842573323E-2</c:v>
                </c:pt>
                <c:pt idx="46">
                  <c:v>3.0792494329507168E-2</c:v>
                </c:pt>
                <c:pt idx="47">
                  <c:v>-1.8278519483338678E-2</c:v>
                </c:pt>
                <c:pt idx="48">
                  <c:v>7.0508835804990677E-2</c:v>
                </c:pt>
                <c:pt idx="49">
                  <c:v>6.411911332680495E-2</c:v>
                </c:pt>
                <c:pt idx="50">
                  <c:v>0.10084239070036213</c:v>
                </c:pt>
                <c:pt idx="51">
                  <c:v>0.11856798531720586</c:v>
                </c:pt>
                <c:pt idx="52">
                  <c:v>2.6752384902530138E-2</c:v>
                </c:pt>
                <c:pt idx="53">
                  <c:v>3.3275469014703178E-2</c:v>
                </c:pt>
                <c:pt idx="54">
                  <c:v>-1.0054918429978917E-2</c:v>
                </c:pt>
                <c:pt idx="55">
                  <c:v>-3.3330038548976995E-2</c:v>
                </c:pt>
                <c:pt idx="56">
                  <c:v>-2.2338921430014154E-2</c:v>
                </c:pt>
                <c:pt idx="57">
                  <c:v>-3.1596631851671955E-2</c:v>
                </c:pt>
                <c:pt idx="58">
                  <c:v>-1.886600040791353E-2</c:v>
                </c:pt>
                <c:pt idx="59">
                  <c:v>-4.7546984600912084E-2</c:v>
                </c:pt>
                <c:pt idx="60">
                  <c:v>-4.0926369721510619E-2</c:v>
                </c:pt>
                <c:pt idx="61">
                  <c:v>8.2519908868590966E-2</c:v>
                </c:pt>
                <c:pt idx="62">
                  <c:v>1.2223261615216707E-2</c:v>
                </c:pt>
                <c:pt idx="63">
                  <c:v>3.1025894275776178E-2</c:v>
                </c:pt>
                <c:pt idx="64">
                  <c:v>-4.1940417465480509E-2</c:v>
                </c:pt>
                <c:pt idx="65">
                  <c:v>-0.13979262806279086</c:v>
                </c:pt>
                <c:pt idx="66">
                  <c:v>-8.494034050068805E-2</c:v>
                </c:pt>
                <c:pt idx="67">
                  <c:v>-5.3312230575397322E-2</c:v>
                </c:pt>
                <c:pt idx="68">
                  <c:v>3.7166112060437156E-2</c:v>
                </c:pt>
                <c:pt idx="69">
                  <c:v>5.0032546968642733E-2</c:v>
                </c:pt>
                <c:pt idx="70">
                  <c:v>3.8624682990326953E-2</c:v>
                </c:pt>
                <c:pt idx="71">
                  <c:v>4.2103873820365713E-2</c:v>
                </c:pt>
                <c:pt idx="72">
                  <c:v>7.9147607795529901E-2</c:v>
                </c:pt>
                <c:pt idx="73">
                  <c:v>6.3873450192389894E-2</c:v>
                </c:pt>
                <c:pt idx="74">
                  <c:v>9.4926314879640525E-2</c:v>
                </c:pt>
                <c:pt idx="75">
                  <c:v>6.60713908766596E-2</c:v>
                </c:pt>
                <c:pt idx="76">
                  <c:v>1.0907995178786675E-2</c:v>
                </c:pt>
                <c:pt idx="77">
                  <c:v>-1.2136312489953418E-2</c:v>
                </c:pt>
                <c:pt idx="78">
                  <c:v>-3.0826310907619774E-2</c:v>
                </c:pt>
                <c:pt idx="79">
                  <c:v>-3.2037700730649592E-2</c:v>
                </c:pt>
                <c:pt idx="80">
                  <c:v>-5.1487391451225134E-2</c:v>
                </c:pt>
                <c:pt idx="81">
                  <c:v>0.16237490846961194</c:v>
                </c:pt>
                <c:pt idx="82">
                  <c:v>6.0803518703292807E-2</c:v>
                </c:pt>
                <c:pt idx="83">
                  <c:v>6.3945995704203729E-2</c:v>
                </c:pt>
                <c:pt idx="84">
                  <c:v>8.0826280063688929E-2</c:v>
                </c:pt>
                <c:pt idx="85">
                  <c:v>-9.3215741858715187E-2</c:v>
                </c:pt>
                <c:pt idx="86">
                  <c:v>0.25303771955082049</c:v>
                </c:pt>
                <c:pt idx="87">
                  <c:v>0.15777431697140984</c:v>
                </c:pt>
                <c:pt idx="88">
                  <c:v>0.22892033339794546</c:v>
                </c:pt>
                <c:pt idx="89">
                  <c:v>0.11518718641451164</c:v>
                </c:pt>
                <c:pt idx="90">
                  <c:v>-4.6999708932702097E-2</c:v>
                </c:pt>
                <c:pt idx="91">
                  <c:v>3.7298437318365324E-2</c:v>
                </c:pt>
                <c:pt idx="92">
                  <c:v>-9.1388012618296627E-2</c:v>
                </c:pt>
                <c:pt idx="93">
                  <c:v>-4.0492135181436498E-3</c:v>
                </c:pt>
                <c:pt idx="94">
                  <c:v>-8.0631419891012704E-2</c:v>
                </c:pt>
                <c:pt idx="95">
                  <c:v>-6.18446120103101E-2</c:v>
                </c:pt>
                <c:pt idx="96">
                  <c:v>-1.4251987640176237E-2</c:v>
                </c:pt>
                <c:pt idx="97">
                  <c:v>1.8243419338024501E-2</c:v>
                </c:pt>
                <c:pt idx="98">
                  <c:v>2.4128826954347474E-3</c:v>
                </c:pt>
                <c:pt idx="99">
                  <c:v>4.3139931740614305E-2</c:v>
                </c:pt>
                <c:pt idx="100">
                  <c:v>8.2962049837104881E-2</c:v>
                </c:pt>
                <c:pt idx="101">
                  <c:v>3.5116457640133165E-2</c:v>
                </c:pt>
                <c:pt idx="102">
                  <c:v>6.652596326594705E-2</c:v>
                </c:pt>
                <c:pt idx="103">
                  <c:v>6.9509880905640684E-2</c:v>
                </c:pt>
                <c:pt idx="104">
                  <c:v>-4.6019253284767135E-3</c:v>
                </c:pt>
                <c:pt idx="105">
                  <c:v>9.0664820401233134E-3</c:v>
                </c:pt>
                <c:pt idx="106">
                  <c:v>-3.6045465696295811E-2</c:v>
                </c:pt>
                <c:pt idx="107">
                  <c:v>-0.15999510531226596</c:v>
                </c:pt>
                <c:pt idx="108">
                  <c:v>-4.9597307761423286E-2</c:v>
                </c:pt>
                <c:pt idx="109">
                  <c:v>-4.7065165896133083E-2</c:v>
                </c:pt>
                <c:pt idx="110">
                  <c:v>3.5628849188177415E-4</c:v>
                </c:pt>
                <c:pt idx="111">
                  <c:v>9.470655716809008E-2</c:v>
                </c:pt>
                <c:pt idx="112">
                  <c:v>4.0909637829382894E-2</c:v>
                </c:pt>
                <c:pt idx="113">
                  <c:v>3.5863676884042996E-2</c:v>
                </c:pt>
                <c:pt idx="114">
                  <c:v>1.5688070282554874E-2</c:v>
                </c:pt>
                <c:pt idx="115">
                  <c:v>-0.11194650520642728</c:v>
                </c:pt>
                <c:pt idx="116">
                  <c:v>-0.22629918919365241</c:v>
                </c:pt>
                <c:pt idx="117">
                  <c:v>-0.22535747385144983</c:v>
                </c:pt>
                <c:pt idx="118">
                  <c:v>-0.10417953813014508</c:v>
                </c:pt>
                <c:pt idx="119">
                  <c:v>5.840263729677074E-2</c:v>
                </c:pt>
                <c:pt idx="120">
                  <c:v>0.23360297099438682</c:v>
                </c:pt>
                <c:pt idx="121">
                  <c:v>0.23654581579678249</c:v>
                </c:pt>
                <c:pt idx="122">
                  <c:v>5.070086489710697E-2</c:v>
                </c:pt>
                <c:pt idx="123">
                  <c:v>1.2388064984258313E-4</c:v>
                </c:pt>
                <c:pt idx="124">
                  <c:v>2.8028651510432767E-2</c:v>
                </c:pt>
                <c:pt idx="125">
                  <c:v>3.3449092071390352E-2</c:v>
                </c:pt>
                <c:pt idx="126">
                  <c:v>4.6533494181095716E-2</c:v>
                </c:pt>
                <c:pt idx="127">
                  <c:v>0.10714348910870057</c:v>
                </c:pt>
                <c:pt idx="128">
                  <c:v>7.5162408697701202E-2</c:v>
                </c:pt>
                <c:pt idx="129">
                  <c:v>9.0027585053916295E-2</c:v>
                </c:pt>
                <c:pt idx="130">
                  <c:v>0.1128646742723467</c:v>
                </c:pt>
                <c:pt idx="131">
                  <c:v>7.0099731492136608E-2</c:v>
                </c:pt>
                <c:pt idx="132">
                  <c:v>5.2892743096863017E-2</c:v>
                </c:pt>
                <c:pt idx="133">
                  <c:v>2.2315950920245339E-2</c:v>
                </c:pt>
                <c:pt idx="134">
                  <c:v>2.4006458590382168E-2</c:v>
                </c:pt>
                <c:pt idx="135">
                  <c:v>1.1022493054933235E-2</c:v>
                </c:pt>
                <c:pt idx="136">
                  <c:v>7.1614409110506483E-2</c:v>
                </c:pt>
                <c:pt idx="137">
                  <c:v>0.17527567324281751</c:v>
                </c:pt>
                <c:pt idx="138">
                  <c:v>0.21747861658609166</c:v>
                </c:pt>
                <c:pt idx="139">
                  <c:v>0.25062045736571542</c:v>
                </c:pt>
                <c:pt idx="140">
                  <c:v>0.23823529411764721</c:v>
                </c:pt>
                <c:pt idx="141">
                  <c:v>0.20151139932089163</c:v>
                </c:pt>
                <c:pt idx="142">
                  <c:v>0.13156576455495136</c:v>
                </c:pt>
                <c:pt idx="143">
                  <c:v>5.0096270834071609E-2</c:v>
                </c:pt>
                <c:pt idx="144">
                  <c:v>-2.3842602966880271E-2</c:v>
                </c:pt>
                <c:pt idx="145">
                  <c:v>-8.1031405380136881E-2</c:v>
                </c:pt>
                <c:pt idx="146">
                  <c:v>-7.0983555224428563E-2</c:v>
                </c:pt>
                <c:pt idx="147">
                  <c:v>-2.4803707619969056E-2</c:v>
                </c:pt>
                <c:pt idx="148">
                  <c:v>-6.7719572104127206E-3</c:v>
                </c:pt>
                <c:pt idx="149">
                  <c:v>2.4232054290900168E-2</c:v>
                </c:pt>
                <c:pt idx="150">
                  <c:v>2.7568893176350293E-2</c:v>
                </c:pt>
                <c:pt idx="151">
                  <c:v>3.2021039760995837E-2</c:v>
                </c:pt>
                <c:pt idx="152">
                  <c:v>2.7561420944368708E-2</c:v>
                </c:pt>
                <c:pt idx="153">
                  <c:v>9.0977842493199998E-3</c:v>
                </c:pt>
                <c:pt idx="154">
                  <c:v>-5.5570008256891103E-2</c:v>
                </c:pt>
                <c:pt idx="155">
                  <c:v>-1.2954207602633348E-2</c:v>
                </c:pt>
                <c:pt idx="156">
                  <c:v>-9.5592618000652305E-3</c:v>
                </c:pt>
                <c:pt idx="157">
                  <c:v>-2.7763174084721377E-2</c:v>
                </c:pt>
                <c:pt idx="158">
                  <c:v>4.6707705573786187E-2</c:v>
                </c:pt>
                <c:pt idx="159">
                  <c:v>-3.3371079152983839E-2</c:v>
                </c:pt>
                <c:pt idx="160">
                  <c:v>-2.5922855942499677E-2</c:v>
                </c:pt>
                <c:pt idx="161">
                  <c:v>2.4966347204804642E-2</c:v>
                </c:pt>
                <c:pt idx="162">
                  <c:v>2.3101215130780964E-2</c:v>
                </c:pt>
                <c:pt idx="163">
                  <c:v>4.9986528121082868E-2</c:v>
                </c:pt>
                <c:pt idx="164">
                  <c:v>7.3939803697572956E-2</c:v>
                </c:pt>
                <c:pt idx="165">
                  <c:v>1.2167880835587725E-2</c:v>
                </c:pt>
                <c:pt idx="166">
                  <c:v>7.9291409910867434E-3</c:v>
                </c:pt>
                <c:pt idx="167">
                  <c:v>-7.3301349994421436E-2</c:v>
                </c:pt>
                <c:pt idx="168">
                  <c:v>-0.10890164877508708</c:v>
                </c:pt>
                <c:pt idx="169">
                  <c:v>-6.4566213084029322E-2</c:v>
                </c:pt>
                <c:pt idx="170">
                  <c:v>-9.9061314160175731E-2</c:v>
                </c:pt>
                <c:pt idx="171">
                  <c:v>-2.6486876956420351E-4</c:v>
                </c:pt>
                <c:pt idx="172">
                  <c:v>1.8575813681543561E-2</c:v>
                </c:pt>
                <c:pt idx="173">
                  <c:v>-8.6308077155626897E-3</c:v>
                </c:pt>
                <c:pt idx="174">
                  <c:v>1.1822951304219353E-2</c:v>
                </c:pt>
                <c:pt idx="175">
                  <c:v>3.3719501914785447E-3</c:v>
                </c:pt>
                <c:pt idx="176">
                  <c:v>-1.2915415984023639E-3</c:v>
                </c:pt>
                <c:pt idx="177">
                  <c:v>2.3917437007428547E-5</c:v>
                </c:pt>
                <c:pt idx="178">
                  <c:v>1.4739891428710549E-2</c:v>
                </c:pt>
                <c:pt idx="179">
                  <c:v>5.0409275306656978E-3</c:v>
                </c:pt>
                <c:pt idx="180">
                  <c:v>1.0561229988145621E-2</c:v>
                </c:pt>
                <c:pt idx="181">
                  <c:v>1.026033507527825E-2</c:v>
                </c:pt>
                <c:pt idx="182">
                  <c:v>1.9827513824083261E-2</c:v>
                </c:pt>
                <c:pt idx="183">
                  <c:v>3.0464066493109451E-2</c:v>
                </c:pt>
                <c:pt idx="184">
                  <c:v>2.048699567509921E-2</c:v>
                </c:pt>
                <c:pt idx="185">
                  <c:v>4.6779749292740473E-2</c:v>
                </c:pt>
                <c:pt idx="186">
                  <c:v>4.0883536025969759E-2</c:v>
                </c:pt>
                <c:pt idx="187">
                  <c:v>3.0849818632734203E-2</c:v>
                </c:pt>
                <c:pt idx="188">
                  <c:v>3.7120895453067702E-2</c:v>
                </c:pt>
                <c:pt idx="189">
                  <c:v>3.8311490054617613E-2</c:v>
                </c:pt>
                <c:pt idx="190">
                  <c:v>1.5955162828538504E-2</c:v>
                </c:pt>
                <c:pt idx="191">
                  <c:v>1.5615338782026044E-2</c:v>
                </c:pt>
                <c:pt idx="192">
                  <c:v>-6.0769583860458463E-2</c:v>
                </c:pt>
                <c:pt idx="193">
                  <c:v>-9.3660491608673711E-3</c:v>
                </c:pt>
                <c:pt idx="194">
                  <c:v>7.8522967411855694E-3</c:v>
                </c:pt>
                <c:pt idx="195">
                  <c:v>5.7892406464467791E-3</c:v>
                </c:pt>
                <c:pt idx="196">
                  <c:v>9.3249734781209445E-2</c:v>
                </c:pt>
                <c:pt idx="197">
                  <c:v>1.1356515429689696E-2</c:v>
                </c:pt>
                <c:pt idx="198">
                  <c:v>1.6950648892027919E-2</c:v>
                </c:pt>
                <c:pt idx="199">
                  <c:v>3.9862210140541282E-2</c:v>
                </c:pt>
                <c:pt idx="200">
                  <c:v>3.0191024466832448E-2</c:v>
                </c:pt>
                <c:pt idx="201">
                  <c:v>1.9827380046524668E-2</c:v>
                </c:pt>
                <c:pt idx="202">
                  <c:v>1.9446132476777581E-2</c:v>
                </c:pt>
                <c:pt idx="203">
                  <c:v>-7.9166005186008595E-3</c:v>
                </c:pt>
                <c:pt idx="204">
                  <c:v>-6.7947293221147015E-3</c:v>
                </c:pt>
                <c:pt idx="205">
                  <c:v>1.0200601163955804E-2</c:v>
                </c:pt>
                <c:pt idx="206">
                  <c:v>7.4831814698117748E-3</c:v>
                </c:pt>
                <c:pt idx="207">
                  <c:v>1.0476119355217315E-2</c:v>
                </c:pt>
                <c:pt idx="208">
                  <c:v>1.2563536971324526E-2</c:v>
                </c:pt>
                <c:pt idx="209">
                  <c:v>5.7188077024531402E-3</c:v>
                </c:pt>
                <c:pt idx="210">
                  <c:v>2.7713503861717781E-2</c:v>
                </c:pt>
                <c:pt idx="211">
                  <c:v>4.5481899090995391E-2</c:v>
                </c:pt>
                <c:pt idx="212">
                  <c:v>4.2390183325966606E-2</c:v>
                </c:pt>
                <c:pt idx="213">
                  <c:v>3.921650912219226E-2</c:v>
                </c:pt>
                <c:pt idx="214">
                  <c:v>1.9070628148452718E-2</c:v>
                </c:pt>
                <c:pt idx="215">
                  <c:v>3.3425227463217719E-3</c:v>
                </c:pt>
                <c:pt idx="216">
                  <c:v>8.4300858152448564E-3</c:v>
                </c:pt>
                <c:pt idx="217">
                  <c:v>7.0667810812175096E-3</c:v>
                </c:pt>
                <c:pt idx="218">
                  <c:v>7.9092055485498469E-3</c:v>
                </c:pt>
                <c:pt idx="219">
                  <c:v>-3.5538154954809935E-2</c:v>
                </c:pt>
                <c:pt idx="220">
                  <c:v>-1.5968363618160938E-2</c:v>
                </c:pt>
                <c:pt idx="221">
                  <c:v>1.2260037090872661E-2</c:v>
                </c:pt>
                <c:pt idx="222">
                  <c:v>2.5413125944609594E-2</c:v>
                </c:pt>
                <c:pt idx="223">
                  <c:v>8.7626660544523033E-2</c:v>
                </c:pt>
                <c:pt idx="224">
                  <c:v>8.4372774442974766E-2</c:v>
                </c:pt>
                <c:pt idx="225">
                  <c:v>6.0013072154330827E-2</c:v>
                </c:pt>
                <c:pt idx="226">
                  <c:v>4.6989692331719381E-2</c:v>
                </c:pt>
                <c:pt idx="227">
                  <c:v>3.4934372121584373E-2</c:v>
                </c:pt>
                <c:pt idx="228">
                  <c:v>9.5512417552518353E-3</c:v>
                </c:pt>
                <c:pt idx="229">
                  <c:v>2.6626058035463195E-3</c:v>
                </c:pt>
                <c:pt idx="230">
                  <c:v>8.6517126288901958E-3</c:v>
                </c:pt>
                <c:pt idx="231">
                  <c:v>2.3000973439020956E-2</c:v>
                </c:pt>
                <c:pt idx="232">
                  <c:v>1.6468248436352851E-2</c:v>
                </c:pt>
                <c:pt idx="233">
                  <c:v>-1.5933210961304068E-3</c:v>
                </c:pt>
                <c:pt idx="234">
                  <c:v>-1.4548479526758491E-2</c:v>
                </c:pt>
                <c:pt idx="235">
                  <c:v>-3.6013992351331271E-2</c:v>
                </c:pt>
                <c:pt idx="236">
                  <c:v>-1.7929470710321683E-2</c:v>
                </c:pt>
                <c:pt idx="237">
                  <c:v>1.9691652978946986E-3</c:v>
                </c:pt>
                <c:pt idx="238">
                  <c:v>1.6648533053200274E-2</c:v>
                </c:pt>
                <c:pt idx="239">
                  <c:v>7.8968149513028493E-3</c:v>
                </c:pt>
                <c:pt idx="240">
                  <c:v>1.3964920120656916E-3</c:v>
                </c:pt>
                <c:pt idx="241">
                  <c:v>-1.6672410420724001E-3</c:v>
                </c:pt>
                <c:pt idx="242">
                  <c:v>-8.6723067413347014E-3</c:v>
                </c:pt>
                <c:pt idx="243">
                  <c:v>6.3425735925088983E-4</c:v>
                </c:pt>
                <c:pt idx="244">
                  <c:v>1.4596232870346065E-3</c:v>
                </c:pt>
                <c:pt idx="245">
                  <c:v>5.5045529183473806E-4</c:v>
                </c:pt>
                <c:pt idx="246">
                  <c:v>-6.9706191659454197E-3</c:v>
                </c:pt>
                <c:pt idx="247">
                  <c:v>-6.2453392990306205E-3</c:v>
                </c:pt>
                <c:pt idx="248">
                  <c:v>1.8752494917331247E-2</c:v>
                </c:pt>
                <c:pt idx="249">
                  <c:v>3.4351892431207551E-2</c:v>
                </c:pt>
                <c:pt idx="250">
                  <c:v>4.5003842477179389E-2</c:v>
                </c:pt>
                <c:pt idx="251">
                  <c:v>6.0679110777600645E-2</c:v>
                </c:pt>
                <c:pt idx="252">
                  <c:v>4.55535406737805E-2</c:v>
                </c:pt>
                <c:pt idx="253">
                  <c:v>4.4975524444003816E-2</c:v>
                </c:pt>
              </c:numCache>
            </c:numRef>
          </c:val>
        </c:ser>
        <c:ser>
          <c:idx val="1"/>
          <c:order val="1"/>
          <c:tx>
            <c:strRef>
              <c:f>ROC!$L$11</c:f>
              <c:strCache>
                <c:ptCount val="1"/>
                <c:pt idx="0">
                  <c:v>valor de referencia</c:v>
                </c:pt>
              </c:strCache>
            </c:strRef>
          </c:tx>
          <c:spPr>
            <a:ln w="14343">
              <a:pattFill prst="pct50">
                <a:fgClr>
                  <a:srgbClr val="FF00FF"/>
                </a:fgClr>
                <a:bgClr>
                  <a:srgbClr val="FFFFFF"/>
                </a:bgClr>
              </a:pattFill>
              <a:prstDash val="solid"/>
            </a:ln>
          </c:spPr>
          <c:marker>
            <c:symbol val="square"/>
            <c:size val="2"/>
            <c:spPr>
              <a:noFill/>
              <a:ln>
                <a:solidFill>
                  <a:srgbClr val="FFFFFF"/>
                </a:solidFill>
                <a:prstDash val="solid"/>
              </a:ln>
            </c:spPr>
          </c:marker>
          <c:cat>
            <c:numRef>
              <c:f>ROC!$D$12:$D$269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ROC!$L$16:$L$269</c:f>
              <c:numCache>
                <c:formatCode>0%</c:formatCode>
                <c:ptCount val="25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numCache>
            </c:numRef>
          </c:val>
        </c:ser>
        <c:marker val="1"/>
        <c:axId val="208240000"/>
        <c:axId val="258872832"/>
      </c:lineChart>
      <c:dateAx>
        <c:axId val="208240000"/>
        <c:scaling>
          <c:orientation val="minMax"/>
        </c:scaling>
        <c:axPos val="b"/>
        <c:numFmt formatCode="mmm\-yy" sourceLinked="0"/>
        <c:tickLblPos val="nextTo"/>
        <c:spPr>
          <a:ln w="3586">
            <a:solidFill>
              <a:srgbClr val="000000"/>
            </a:solidFill>
            <a:prstDash val="solid"/>
          </a:ln>
        </c:spPr>
        <c:txPr>
          <a:bodyPr rot="-5400000" vert="horz"/>
          <a:lstStyle/>
          <a:p>
            <a:pPr>
              <a:defRPr sz="649" b="0" i="0" u="none" strike="noStrike" baseline="0">
                <a:solidFill>
                  <a:srgbClr val="000000"/>
                </a:solidFill>
                <a:latin typeface="Arial"/>
                <a:ea typeface="Arial"/>
                <a:cs typeface="Arial"/>
              </a:defRPr>
            </a:pPr>
            <a:endParaRPr lang="es-ES"/>
          </a:p>
        </c:txPr>
        <c:crossAx val="258872832"/>
        <c:crosses val="autoZero"/>
        <c:auto val="1"/>
        <c:lblOffset val="100"/>
        <c:baseTimeUnit val="days"/>
        <c:majorUnit val="3"/>
        <c:majorTimeUnit val="months"/>
        <c:minorUnit val="1"/>
        <c:minorTimeUnit val="months"/>
      </c:dateAx>
      <c:valAx>
        <c:axId val="258872832"/>
        <c:scaling>
          <c:orientation val="minMax"/>
        </c:scaling>
        <c:axPos val="l"/>
        <c:numFmt formatCode="0.00%" sourceLinked="1"/>
        <c:tickLblPos val="nextTo"/>
        <c:spPr>
          <a:ln w="3586">
            <a:solidFill>
              <a:srgbClr val="000000"/>
            </a:solidFill>
            <a:prstDash val="solid"/>
          </a:ln>
        </c:spPr>
        <c:txPr>
          <a:bodyPr rot="0" vert="horz"/>
          <a:lstStyle/>
          <a:p>
            <a:pPr>
              <a:defRPr sz="649" b="0" i="0" u="none" strike="noStrike" baseline="0">
                <a:solidFill>
                  <a:srgbClr val="000000"/>
                </a:solidFill>
                <a:latin typeface="Arial"/>
                <a:ea typeface="Arial"/>
                <a:cs typeface="Arial"/>
              </a:defRPr>
            </a:pPr>
            <a:endParaRPr lang="es-ES"/>
          </a:p>
        </c:txPr>
        <c:crossAx val="208240000"/>
        <c:crosses val="autoZero"/>
        <c:crossBetween val="midCat"/>
      </c:valAx>
      <c:spPr>
        <a:solidFill>
          <a:srgbClr val="C0C0C0"/>
        </a:solidFill>
        <a:ln w="28687">
          <a:noFill/>
        </a:ln>
      </c:spPr>
    </c:plotArea>
    <c:legend>
      <c:legendPos val="t"/>
      <c:layout>
        <c:manualLayout>
          <c:xMode val="edge"/>
          <c:yMode val="edge"/>
          <c:x val="0"/>
          <c:y val="0"/>
          <c:w val="0.26680672268907585"/>
          <c:h val="0.15178571428571427"/>
        </c:manualLayout>
      </c:layout>
      <c:spPr>
        <a:solidFill>
          <a:srgbClr val="C0C0C0"/>
        </a:solidFill>
        <a:ln w="3586">
          <a:solidFill>
            <a:srgbClr val="000000"/>
          </a:solidFill>
          <a:prstDash val="solid"/>
        </a:ln>
      </c:spPr>
      <c:txPr>
        <a:bodyPr/>
        <a:lstStyle/>
        <a:p>
          <a:pPr>
            <a:defRPr sz="723"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586">
      <a:solidFill>
        <a:srgbClr val="000000"/>
      </a:solidFill>
      <a:prstDash val="solid"/>
    </a:ln>
  </c:spPr>
  <c:txPr>
    <a:bodyPr/>
    <a:lstStyle/>
    <a:p>
      <a:pPr>
        <a:defRPr sz="1158"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10" b="1" i="0" u="none" strike="noStrike" baseline="0">
                <a:solidFill>
                  <a:srgbClr val="000000"/>
                </a:solidFill>
                <a:latin typeface="Arial"/>
                <a:ea typeface="Arial"/>
                <a:cs typeface="Arial"/>
              </a:defRPr>
            </a:pPr>
            <a:r>
              <a:t>GRÁFICO ROC - IPECU</a:t>
            </a:r>
          </a:p>
        </c:rich>
      </c:tx>
      <c:layout>
        <c:manualLayout>
          <c:xMode val="edge"/>
          <c:yMode val="edge"/>
          <c:x val="0.31294117647058822"/>
          <c:y val="2.2222222222222233E-2"/>
        </c:manualLayout>
      </c:layout>
      <c:spPr>
        <a:noFill/>
        <a:ln w="30958">
          <a:noFill/>
        </a:ln>
      </c:spPr>
    </c:title>
    <c:plotArea>
      <c:layout>
        <c:manualLayout>
          <c:layoutTarget val="inner"/>
          <c:xMode val="edge"/>
          <c:yMode val="edge"/>
          <c:x val="8.4705882352941228E-2"/>
          <c:y val="0.38666666666666688"/>
          <c:w val="0.89176470588235246"/>
          <c:h val="0.52"/>
        </c:manualLayout>
      </c:layout>
      <c:lineChart>
        <c:grouping val="standard"/>
        <c:ser>
          <c:idx val="0"/>
          <c:order val="0"/>
          <c:tx>
            <c:strRef>
              <c:f>ROC!$F$11</c:f>
              <c:strCache>
                <c:ptCount val="1"/>
                <c:pt idx="0">
                  <c:v>ROC(5)</c:v>
                </c:pt>
              </c:strCache>
            </c:strRef>
          </c:tx>
          <c:spPr>
            <a:ln w="15479">
              <a:solidFill>
                <a:srgbClr val="000080"/>
              </a:solidFill>
              <a:prstDash val="solid"/>
            </a:ln>
          </c:spPr>
          <c:marker>
            <c:symbol val="square"/>
            <c:size val="2"/>
            <c:spPr>
              <a:solidFill>
                <a:srgbClr val="000000"/>
              </a:solidFill>
              <a:ln>
                <a:solidFill>
                  <a:srgbClr val="000000"/>
                </a:solidFill>
                <a:prstDash val="solid"/>
              </a:ln>
            </c:spPr>
          </c:marker>
          <c:cat>
            <c:numRef>
              <c:f>ROC!$D$12:$D$284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ROC!$F$16:$F$284</c:f>
              <c:numCache>
                <c:formatCode>0.00%</c:formatCode>
                <c:ptCount val="269"/>
                <c:pt idx="0">
                  <c:v>6.5545631542645533E-2</c:v>
                </c:pt>
                <c:pt idx="1">
                  <c:v>6.5545631542645533E-2</c:v>
                </c:pt>
                <c:pt idx="2">
                  <c:v>-8.2049142569077145E-3</c:v>
                </c:pt>
                <c:pt idx="3">
                  <c:v>-6.5020599060669718E-2</c:v>
                </c:pt>
                <c:pt idx="4">
                  <c:v>-5.409670578904071E-2</c:v>
                </c:pt>
                <c:pt idx="5">
                  <c:v>-6.3026242908318462E-3</c:v>
                </c:pt>
                <c:pt idx="6">
                  <c:v>6.3251803100544263E-2</c:v>
                </c:pt>
                <c:pt idx="7">
                  <c:v>6.3251803100544263E-2</c:v>
                </c:pt>
                <c:pt idx="8">
                  <c:v>5.0972694560567973E-2</c:v>
                </c:pt>
                <c:pt idx="9">
                  <c:v>4.238294391598699E-4</c:v>
                </c:pt>
                <c:pt idx="10">
                  <c:v>-5.3046899855430912E-3</c:v>
                </c:pt>
                <c:pt idx="11">
                  <c:v>-1.7011933079802957E-3</c:v>
                </c:pt>
                <c:pt idx="12">
                  <c:v>-1.0986873447372624E-2</c:v>
                </c:pt>
                <c:pt idx="13">
                  <c:v>-1.0986873447372624E-2</c:v>
                </c:pt>
                <c:pt idx="14">
                  <c:v>-5.7124864313946987E-3</c:v>
                </c:pt>
                <c:pt idx="15">
                  <c:v>-5.1178911527556853E-2</c:v>
                </c:pt>
                <c:pt idx="16">
                  <c:v>-2.6924769321030467E-2</c:v>
                </c:pt>
                <c:pt idx="17">
                  <c:v>-2.4832991092858265E-2</c:v>
                </c:pt>
                <c:pt idx="18">
                  <c:v>2.3334577844151792E-3</c:v>
                </c:pt>
                <c:pt idx="19">
                  <c:v>5.0244775994723302E-2</c:v>
                </c:pt>
                <c:pt idx="20">
                  <c:v>-7.8946376756981254E-3</c:v>
                </c:pt>
                <c:pt idx="21">
                  <c:v>-1.0022749453483347E-2</c:v>
                </c:pt>
                <c:pt idx="22">
                  <c:v>-3.2775272378975785E-3</c:v>
                </c:pt>
                <c:pt idx="23">
                  <c:v>-4.0962553730210472E-3</c:v>
                </c:pt>
                <c:pt idx="24">
                  <c:v>8.1066289137697506E-2</c:v>
                </c:pt>
                <c:pt idx="25">
                  <c:v>0.15609671877832546</c:v>
                </c:pt>
                <c:pt idx="26">
                  <c:v>0.16011424815272693</c:v>
                </c:pt>
                <c:pt idx="27">
                  <c:v>0.15700841588935896</c:v>
                </c:pt>
                <c:pt idx="28">
                  <c:v>0.15749673804896203</c:v>
                </c:pt>
                <c:pt idx="29">
                  <c:v>0.18486836505046941</c:v>
                </c:pt>
                <c:pt idx="30">
                  <c:v>0.14439815407359258</c:v>
                </c:pt>
                <c:pt idx="31">
                  <c:v>0.20041301812419021</c:v>
                </c:pt>
                <c:pt idx="32">
                  <c:v>0.12299369323253913</c:v>
                </c:pt>
                <c:pt idx="33">
                  <c:v>1.4823394772928999E-2</c:v>
                </c:pt>
                <c:pt idx="34">
                  <c:v>1.2446923077889679E-2</c:v>
                </c:pt>
                <c:pt idx="35">
                  <c:v>-4.276592431085504E-2</c:v>
                </c:pt>
                <c:pt idx="36">
                  <c:v>-2.8049439748378237E-2</c:v>
                </c:pt>
                <c:pt idx="37">
                  <c:v>-1.493599480357544E-2</c:v>
                </c:pt>
                <c:pt idx="38">
                  <c:v>-1.8594138644927725E-2</c:v>
                </c:pt>
                <c:pt idx="39">
                  <c:v>-1.5960562280359261E-2</c:v>
                </c:pt>
                <c:pt idx="40">
                  <c:v>-1.2140211606770321E-2</c:v>
                </c:pt>
                <c:pt idx="41">
                  <c:v>-1.8289261835507702E-2</c:v>
                </c:pt>
                <c:pt idx="42">
                  <c:v>-2.0871300602122455E-2</c:v>
                </c:pt>
                <c:pt idx="43">
                  <c:v>2.3643007125969777E-3</c:v>
                </c:pt>
                <c:pt idx="44">
                  <c:v>2.5873784047315612E-3</c:v>
                </c:pt>
                <c:pt idx="45">
                  <c:v>5.2412099604822902E-3</c:v>
                </c:pt>
                <c:pt idx="46">
                  <c:v>1.734564711960734E-2</c:v>
                </c:pt>
                <c:pt idx="47">
                  <c:v>-5.7857887831835853E-4</c:v>
                </c:pt>
                <c:pt idx="48">
                  <c:v>3.401624488837382E-2</c:v>
                </c:pt>
                <c:pt idx="49">
                  <c:v>3.1399558972707957E-2</c:v>
                </c:pt>
                <c:pt idx="50">
                  <c:v>4.3836628666542164E-2</c:v>
                </c:pt>
                <c:pt idx="51">
                  <c:v>5.1642667980225619E-2</c:v>
                </c:pt>
                <c:pt idx="52">
                  <c:v>1.4471215562358E-2</c:v>
                </c:pt>
                <c:pt idx="53">
                  <c:v>1.714986467152655E-2</c:v>
                </c:pt>
                <c:pt idx="54">
                  <c:v>-4.4395467526843488E-3</c:v>
                </c:pt>
                <c:pt idx="55">
                  <c:v>-1.2489738760925177E-2</c:v>
                </c:pt>
                <c:pt idx="56">
                  <c:v>-9.2689479293915911E-3</c:v>
                </c:pt>
                <c:pt idx="57">
                  <c:v>-1.3181674257739331E-2</c:v>
                </c:pt>
                <c:pt idx="58">
                  <c:v>-7.7531502518003066E-3</c:v>
                </c:pt>
                <c:pt idx="59">
                  <c:v>-2.0324835516262532E-2</c:v>
                </c:pt>
                <c:pt idx="60">
                  <c:v>-1.7122168922686181E-2</c:v>
                </c:pt>
                <c:pt idx="61">
                  <c:v>3.4292794416005655E-2</c:v>
                </c:pt>
                <c:pt idx="62">
                  <c:v>5.0655043341213627E-3</c:v>
                </c:pt>
                <c:pt idx="63">
                  <c:v>-5.581815550020721E-2</c:v>
                </c:pt>
                <c:pt idx="64">
                  <c:v>-5.3933157071386115E-2</c:v>
                </c:pt>
                <c:pt idx="65">
                  <c:v>-9.6579899391961044E-2</c:v>
                </c:pt>
                <c:pt idx="66">
                  <c:v>-6.880165238633093E-2</c:v>
                </c:pt>
                <c:pt idx="67">
                  <c:v>9.4970501786810595E-3</c:v>
                </c:pt>
                <c:pt idx="68">
                  <c:v>1.541814147604206E-2</c:v>
                </c:pt>
                <c:pt idx="69">
                  <c:v>4.0323049289450047E-2</c:v>
                </c:pt>
                <c:pt idx="70">
                  <c:v>1.3294076012382285E-2</c:v>
                </c:pt>
                <c:pt idx="71">
                  <c:v>1.9039277756394506E-2</c:v>
                </c:pt>
                <c:pt idx="72">
                  <c:v>1.7578567024871448E-2</c:v>
                </c:pt>
                <c:pt idx="73">
                  <c:v>9.2688630440110019E-3</c:v>
                </c:pt>
                <c:pt idx="74">
                  <c:v>4.2655455987785217E-2</c:v>
                </c:pt>
                <c:pt idx="75">
                  <c:v>3.3902246317696345E-2</c:v>
                </c:pt>
                <c:pt idx="76">
                  <c:v>5.8222097810568044E-3</c:v>
                </c:pt>
                <c:pt idx="77">
                  <c:v>5.6679815645942879E-3</c:v>
                </c:pt>
                <c:pt idx="78">
                  <c:v>-1.0722575310806431E-2</c:v>
                </c:pt>
                <c:pt idx="79">
                  <c:v>-2.7394026148956082E-2</c:v>
                </c:pt>
                <c:pt idx="80">
                  <c:v>1.8757052956904517E-2</c:v>
                </c:pt>
                <c:pt idx="81">
                  <c:v>1.2820544891920466E-3</c:v>
                </c:pt>
                <c:pt idx="82">
                  <c:v>7.5837580447623287E-3</c:v>
                </c:pt>
                <c:pt idx="83">
                  <c:v>2.0829713514784139E-2</c:v>
                </c:pt>
                <c:pt idx="84">
                  <c:v>-1.6677810154876655E-3</c:v>
                </c:pt>
                <c:pt idx="85">
                  <c:v>5.6170778353651307E-2</c:v>
                </c:pt>
                <c:pt idx="86">
                  <c:v>5.9312717524104164E-2</c:v>
                </c:pt>
                <c:pt idx="87">
                  <c:v>4.9676358393656375E-2</c:v>
                </c:pt>
                <c:pt idx="88">
                  <c:v>9.8757133021877219E-2</c:v>
                </c:pt>
                <c:pt idx="89">
                  <c:v>-2.7251685119498967E-2</c:v>
                </c:pt>
                <c:pt idx="90">
                  <c:v>-1.3041811867234989E-2</c:v>
                </c:pt>
                <c:pt idx="91">
                  <c:v>7.6163223941101525E-3</c:v>
                </c:pt>
                <c:pt idx="92">
                  <c:v>-3.6661682009177098E-2</c:v>
                </c:pt>
                <c:pt idx="93">
                  <c:v>0.1731671789584267</c:v>
                </c:pt>
                <c:pt idx="94">
                  <c:v>9.9038601706762791E-2</c:v>
                </c:pt>
                <c:pt idx="95">
                  <c:v>8.6302068480783006E-2</c:v>
                </c:pt>
                <c:pt idx="96">
                  <c:v>8.7801578513704001E-2</c:v>
                </c:pt>
                <c:pt idx="97">
                  <c:v>-2.7975818478985344E-2</c:v>
                </c:pt>
                <c:pt idx="98">
                  <c:v>1.9660966827282605E-2</c:v>
                </c:pt>
                <c:pt idx="99">
                  <c:v>-2.4554271672069413E-2</c:v>
                </c:pt>
                <c:pt idx="100">
                  <c:v>-2.943879848725714E-2</c:v>
                </c:pt>
                <c:pt idx="101">
                  <c:v>-5.1517471392806734E-2</c:v>
                </c:pt>
                <c:pt idx="102">
                  <c:v>-4.5605175950765284E-2</c:v>
                </c:pt>
                <c:pt idx="103">
                  <c:v>2.5828972670198795E-3</c:v>
                </c:pt>
                <c:pt idx="104">
                  <c:v>1.3916950011013195E-2</c:v>
                </c:pt>
                <c:pt idx="105">
                  <c:v>2.994967169125369E-2</c:v>
                </c:pt>
                <c:pt idx="106">
                  <c:v>1.0587596525096494E-2</c:v>
                </c:pt>
                <c:pt idx="107">
                  <c:v>1.8590606792683161E-2</c:v>
                </c:pt>
                <c:pt idx="108">
                  <c:v>-2.533898529372839E-2</c:v>
                </c:pt>
                <c:pt idx="109">
                  <c:v>-3.3929236051914342E-2</c:v>
                </c:pt>
                <c:pt idx="110">
                  <c:v>-1.8493645124096108E-2</c:v>
                </c:pt>
                <c:pt idx="111">
                  <c:v>-1.1971438256552612E-2</c:v>
                </c:pt>
                <c:pt idx="112">
                  <c:v>9.6883393713383392E-3</c:v>
                </c:pt>
                <c:pt idx="113">
                  <c:v>3.3228450540325333E-2</c:v>
                </c:pt>
                <c:pt idx="114">
                  <c:v>3.2763343440122945E-2</c:v>
                </c:pt>
                <c:pt idx="115">
                  <c:v>5.3388699391961883E-3</c:v>
                </c:pt>
                <c:pt idx="116">
                  <c:v>2.4438346094671947E-2</c:v>
                </c:pt>
                <c:pt idx="117">
                  <c:v>3.8394753128943207E-2</c:v>
                </c:pt>
                <c:pt idx="118">
                  <c:v>4.1311273026290504E-3</c:v>
                </c:pt>
                <c:pt idx="119">
                  <c:v>1.3587836008040685E-2</c:v>
                </c:pt>
                <c:pt idx="120">
                  <c:v>-1.12773977322693E-3</c:v>
                </c:pt>
                <c:pt idx="121">
                  <c:v>-7.6977672568207409E-2</c:v>
                </c:pt>
                <c:pt idx="122">
                  <c:v>-1.5745132389660885E-2</c:v>
                </c:pt>
                <c:pt idx="123">
                  <c:v>-1.4211564966456029E-2</c:v>
                </c:pt>
                <c:pt idx="124">
                  <c:v>-6.0009614679140408E-3</c:v>
                </c:pt>
                <c:pt idx="125">
                  <c:v>5.409919478676329E-2</c:v>
                </c:pt>
                <c:pt idx="126">
                  <c:v>2.3977303825069077E-2</c:v>
                </c:pt>
                <c:pt idx="127">
                  <c:v>2.0995015666935585E-2</c:v>
                </c:pt>
                <c:pt idx="128">
                  <c:v>1.5636102839352267E-2</c:v>
                </c:pt>
                <c:pt idx="129">
                  <c:v>2.397403345173706E-2</c:v>
                </c:pt>
                <c:pt idx="130">
                  <c:v>2.3395379762727337E-3</c:v>
                </c:pt>
                <c:pt idx="131">
                  <c:v>3.0700334520340389E-3</c:v>
                </c:pt>
                <c:pt idx="132">
                  <c:v>-1.1660700726759983E-2</c:v>
                </c:pt>
                <c:pt idx="133">
                  <c:v>-1.7314072691412882E-2</c:v>
                </c:pt>
                <c:pt idx="134">
                  <c:v>8.8718590479630426E-3</c:v>
                </c:pt>
                <c:pt idx="135">
                  <c:v>1.9253505747435701E-2</c:v>
                </c:pt>
                <c:pt idx="136">
                  <c:v>1.7880700214015399E-2</c:v>
                </c:pt>
                <c:pt idx="137">
                  <c:v>1.863125559303358E-2</c:v>
                </c:pt>
                <c:pt idx="138">
                  <c:v>2.0308317277362049E-2</c:v>
                </c:pt>
                <c:pt idx="139">
                  <c:v>1.9565313760631149E-2</c:v>
                </c:pt>
                <c:pt idx="140">
                  <c:v>5.347180740143314E-2</c:v>
                </c:pt>
                <c:pt idx="141">
                  <c:v>3.5747848582440303E-2</c:v>
                </c:pt>
                <c:pt idx="142">
                  <c:v>5.4680131726132432E-2</c:v>
                </c:pt>
                <c:pt idx="143">
                  <c:v>4.5997894364163294E-2</c:v>
                </c:pt>
                <c:pt idx="144">
                  <c:v>5.1238749112108607E-2</c:v>
                </c:pt>
                <c:pt idx="145">
                  <c:v>5.2818570605716139E-2</c:v>
                </c:pt>
                <c:pt idx="146">
                  <c:v>3.222439428239824E-2</c:v>
                </c:pt>
                <c:pt idx="147">
                  <c:v>3.9442326496518201E-2</c:v>
                </c:pt>
                <c:pt idx="148">
                  <c:v>1.8917413756844657E-2</c:v>
                </c:pt>
                <c:pt idx="149">
                  <c:v>2.0968999191451593E-2</c:v>
                </c:pt>
                <c:pt idx="150">
                  <c:v>1.8066186078550629E-2</c:v>
                </c:pt>
                <c:pt idx="151">
                  <c:v>4.3071986593859683E-2</c:v>
                </c:pt>
                <c:pt idx="152">
                  <c:v>8.7831549335611228E-2</c:v>
                </c:pt>
                <c:pt idx="153">
                  <c:v>0.11115168299553288</c:v>
                </c:pt>
                <c:pt idx="154">
                  <c:v>0.13234699599025601</c:v>
                </c:pt>
                <c:pt idx="155">
                  <c:v>0.13928956770503378</c:v>
                </c:pt>
                <c:pt idx="156">
                  <c:v>0.15743242531033608</c:v>
                </c:pt>
                <c:pt idx="157">
                  <c:v>0.10440905967658652</c:v>
                </c:pt>
                <c:pt idx="158">
                  <c:v>3.3857991839261893E-2</c:v>
                </c:pt>
                <c:pt idx="159">
                  <c:v>-2.0890253458473455E-2</c:v>
                </c:pt>
                <c:pt idx="160">
                  <c:v>-8.000169996782211E-2</c:v>
                </c:pt>
                <c:pt idx="161">
                  <c:v>-6.800593869480101E-2</c:v>
                </c:pt>
                <c:pt idx="162">
                  <c:v>-2.3459076818555382E-2</c:v>
                </c:pt>
                <c:pt idx="163">
                  <c:v>-5.3845228518986273E-3</c:v>
                </c:pt>
                <c:pt idx="164">
                  <c:v>1.6473418155901063E-2</c:v>
                </c:pt>
                <c:pt idx="165">
                  <c:v>2.6690549343019045E-2</c:v>
                </c:pt>
                <c:pt idx="166">
                  <c:v>3.3404827770395655E-2</c:v>
                </c:pt>
                <c:pt idx="167">
                  <c:v>2.7883706407797672E-2</c:v>
                </c:pt>
                <c:pt idx="168">
                  <c:v>1.4579306068854206E-2</c:v>
                </c:pt>
                <c:pt idx="169">
                  <c:v>-3.527475181349201E-2</c:v>
                </c:pt>
                <c:pt idx="170">
                  <c:v>-1.1853968299548559E-2</c:v>
                </c:pt>
                <c:pt idx="171">
                  <c:v>-1.0411163725895168E-2</c:v>
                </c:pt>
                <c:pt idx="172">
                  <c:v>-2.0479270767426751E-2</c:v>
                </c:pt>
                <c:pt idx="173">
                  <c:v>3.1844227433171925E-2</c:v>
                </c:pt>
                <c:pt idx="174">
                  <c:v>-1.0627116947527189E-2</c:v>
                </c:pt>
                <c:pt idx="175">
                  <c:v>-1.3352476088407098E-2</c:v>
                </c:pt>
                <c:pt idx="176">
                  <c:v>2.2865649508242786E-2</c:v>
                </c:pt>
                <c:pt idx="177">
                  <c:v>1.8803303682198749E-2</c:v>
                </c:pt>
                <c:pt idx="178">
                  <c:v>3.1567816834700391E-2</c:v>
                </c:pt>
                <c:pt idx="179">
                  <c:v>6.143216564451881E-2</c:v>
                </c:pt>
                <c:pt idx="180">
                  <c:v>2.2202015186146406E-2</c:v>
                </c:pt>
                <c:pt idx="181">
                  <c:v>1.9298082138104255E-2</c:v>
                </c:pt>
                <c:pt idx="182">
                  <c:v>1.758232371407013E-2</c:v>
                </c:pt>
                <c:pt idx="183">
                  <c:v>-1.0883929212753317E-2</c:v>
                </c:pt>
                <c:pt idx="184">
                  <c:v>2.8479403685882334E-2</c:v>
                </c:pt>
                <c:pt idx="185">
                  <c:v>-6.8094023665311188E-3</c:v>
                </c:pt>
                <c:pt idx="186">
                  <c:v>2.1052909756810286E-2</c:v>
                </c:pt>
                <c:pt idx="187">
                  <c:v>2.766383922052754E-2</c:v>
                </c:pt>
                <c:pt idx="188">
                  <c:v>-1.3220803363140127E-3</c:v>
                </c:pt>
                <c:pt idx="189">
                  <c:v>2.8532812852785611E-2</c:v>
                </c:pt>
                <c:pt idx="190">
                  <c:v>3.8685985807527445E-3</c:v>
                </c:pt>
                <c:pt idx="191">
                  <c:v>2.21033683892194E-3</c:v>
                </c:pt>
                <c:pt idx="192">
                  <c:v>5.1341205347331734E-3</c:v>
                </c:pt>
                <c:pt idx="193">
                  <c:v>1.2604386409077101E-2</c:v>
                </c:pt>
                <c:pt idx="194">
                  <c:v>4.0008007667947064E-3</c:v>
                </c:pt>
                <c:pt idx="195">
                  <c:v>1.0214571970541198E-2</c:v>
                </c:pt>
                <c:pt idx="196">
                  <c:v>6.9257683215130719E-3</c:v>
                </c:pt>
                <c:pt idx="197">
                  <c:v>1.4511122978575835E-2</c:v>
                </c:pt>
                <c:pt idx="198">
                  <c:v>3.1337329268919065E-2</c:v>
                </c:pt>
                <c:pt idx="199">
                  <c:v>1.6828884080779278E-2</c:v>
                </c:pt>
                <c:pt idx="200">
                  <c:v>4.3367918078480623E-2</c:v>
                </c:pt>
                <c:pt idx="201">
                  <c:v>3.6858234581100949E-2</c:v>
                </c:pt>
                <c:pt idx="202">
                  <c:v>2.730935047378159E-2</c:v>
                </c:pt>
                <c:pt idx="203">
                  <c:v>3.8598562988275915E-2</c:v>
                </c:pt>
                <c:pt idx="204">
                  <c:v>2.9359411386033662E-2</c:v>
                </c:pt>
                <c:pt idx="205">
                  <c:v>1.1285397918707149E-2</c:v>
                </c:pt>
                <c:pt idx="206">
                  <c:v>-8.5921382612131423E-3</c:v>
                </c:pt>
                <c:pt idx="207">
                  <c:v>4.1977214196783283E-3</c:v>
                </c:pt>
                <c:pt idx="208">
                  <c:v>-6.7532827291823718E-3</c:v>
                </c:pt>
                <c:pt idx="209">
                  <c:v>4.5941524321314554E-3</c:v>
                </c:pt>
                <c:pt idx="210">
                  <c:v>1.49761889525082E-2</c:v>
                </c:pt>
                <c:pt idx="211">
                  <c:v>1.2701162480477373E-2</c:v>
                </c:pt>
                <c:pt idx="212">
                  <c:v>1.0556577947464263E-2</c:v>
                </c:pt>
                <c:pt idx="213">
                  <c:v>1.8256522913070873E-2</c:v>
                </c:pt>
                <c:pt idx="214">
                  <c:v>4.3242661180572718E-2</c:v>
                </c:pt>
                <c:pt idx="215">
                  <c:v>2.9043071261810296E-2</c:v>
                </c:pt>
                <c:pt idx="216">
                  <c:v>3.5047272838781646E-2</c:v>
                </c:pt>
                <c:pt idx="217">
                  <c:v>3.2138446811804118E-2</c:v>
                </c:pt>
                <c:pt idx="218">
                  <c:v>7.7590181779414371E-3</c:v>
                </c:pt>
                <c:pt idx="219">
                  <c:v>8.9935617669048423E-3</c:v>
                </c:pt>
                <c:pt idx="220">
                  <c:v>9.5754637578695841E-3</c:v>
                </c:pt>
                <c:pt idx="221">
                  <c:v>7.2082372167783931E-3</c:v>
                </c:pt>
                <c:pt idx="222">
                  <c:v>9.2437172977724857E-3</c:v>
                </c:pt>
                <c:pt idx="223">
                  <c:v>1.0961380432653904E-2</c:v>
                </c:pt>
                <c:pt idx="224">
                  <c:v>5.2368626577411733E-3</c:v>
                </c:pt>
                <c:pt idx="225">
                  <c:v>2.4926083112762343E-2</c:v>
                </c:pt>
                <c:pt idx="226">
                  <c:v>4.1450092238172816E-2</c:v>
                </c:pt>
                <c:pt idx="227">
                  <c:v>3.8626892300318232E-2</c:v>
                </c:pt>
                <c:pt idx="228">
                  <c:v>4.2360022372270108E-2</c:v>
                </c:pt>
                <c:pt idx="229">
                  <c:v>1.7043463078468525E-2</c:v>
                </c:pt>
                <c:pt idx="230">
                  <c:v>2.9439011177464936E-3</c:v>
                </c:pt>
                <c:pt idx="231">
                  <c:v>7.5120356014082958E-3</c:v>
                </c:pt>
                <c:pt idx="232">
                  <c:v>4.2716137865364042E-3</c:v>
                </c:pt>
                <c:pt idx="233">
                  <c:v>1.8643037462230685E-2</c:v>
                </c:pt>
                <c:pt idx="234">
                  <c:v>1.9351494189246289E-2</c:v>
                </c:pt>
                <c:pt idx="235">
                  <c:v>4.3080178359330881E-2</c:v>
                </c:pt>
                <c:pt idx="236">
                  <c:v>6.6088428044467559E-2</c:v>
                </c:pt>
                <c:pt idx="237">
                  <c:v>7.7206781690366766E-2</c:v>
                </c:pt>
                <c:pt idx="238">
                  <c:v>9.2284384345403925E-2</c:v>
                </c:pt>
                <c:pt idx="239">
                  <c:v>8.5286045376921166E-2</c:v>
                </c:pt>
                <c:pt idx="240">
                  <c:v>6.509842436593867E-2</c:v>
                </c:pt>
                <c:pt idx="241">
                  <c:v>4.8664943762372265E-2</c:v>
                </c:pt>
                <c:pt idx="242">
                  <c:v>3.7039567314840878E-2</c:v>
                </c:pt>
                <c:pt idx="243">
                  <c:v>1.3667259551486781E-2</c:v>
                </c:pt>
                <c:pt idx="244">
                  <c:v>2.2589352695316207E-3</c:v>
                </c:pt>
                <c:pt idx="245">
                  <c:v>7.3659986127516952E-3</c:v>
                </c:pt>
                <c:pt idx="246">
                  <c:v>2.2128173119241031E-2</c:v>
                </c:pt>
                <c:pt idx="247">
                  <c:v>1.7200783920211026E-2</c:v>
                </c:pt>
                <c:pt idx="248">
                  <c:v>5.2823598141901185E-3</c:v>
                </c:pt>
                <c:pt idx="249">
                  <c:v>-6.7932364939317655E-3</c:v>
                </c:pt>
                <c:pt idx="250">
                  <c:v>-2.7996752524024449E-2</c:v>
                </c:pt>
                <c:pt idx="251">
                  <c:v>-1.6429208717552799E-2</c:v>
                </c:pt>
                <c:pt idx="252">
                  <c:v>8.8638534273305597E-5</c:v>
                </c:pt>
                <c:pt idx="253">
                  <c:v>6.2994456688112432E-3</c:v>
                </c:pt>
                <c:pt idx="254">
                  <c:v>1.715640523440408E-3</c:v>
                </c:pt>
                <c:pt idx="255">
                  <c:v>-1.8873601727106063E-3</c:v>
                </c:pt>
                <c:pt idx="256">
                  <c:v>-5.9770313597497507E-3</c:v>
                </c:pt>
                <c:pt idx="257">
                  <c:v>-5.296847380576267E-3</c:v>
                </c:pt>
                <c:pt idx="258">
                  <c:v>-9.7344226986718549E-4</c:v>
                </c:pt>
                <c:pt idx="259">
                  <c:v>-5.1326009823281721E-3</c:v>
                </c:pt>
                <c:pt idx="260">
                  <c:v>-1.0365269881535393E-3</c:v>
                </c:pt>
                <c:pt idx="261">
                  <c:v>-6.8008380010928125E-3</c:v>
                </c:pt>
                <c:pt idx="262">
                  <c:v>-4.6431112798817785E-3</c:v>
                </c:pt>
                <c:pt idx="263">
                  <c:v>5.1127631577479035E-3</c:v>
                </c:pt>
                <c:pt idx="264">
                  <c:v>3.9915898413137675E-2</c:v>
                </c:pt>
                <c:pt idx="265">
                  <c:v>4.9304122211228041E-2</c:v>
                </c:pt>
                <c:pt idx="266">
                  <c:v>6.3044043733270563E-2</c:v>
                </c:pt>
                <c:pt idx="267">
                  <c:v>7.4501373568413062E-2</c:v>
                </c:pt>
                <c:pt idx="268">
                  <c:v>5.3433017889683639E-2</c:v>
                </c:pt>
              </c:numCache>
            </c:numRef>
          </c:val>
        </c:ser>
        <c:ser>
          <c:idx val="1"/>
          <c:order val="1"/>
          <c:tx>
            <c:strRef>
              <c:f>ROC!$L$11</c:f>
              <c:strCache>
                <c:ptCount val="1"/>
                <c:pt idx="0">
                  <c:v>valor de referencia</c:v>
                </c:pt>
              </c:strCache>
            </c:strRef>
          </c:tx>
          <c:spPr>
            <a:ln w="15479">
              <a:pattFill prst="pct50">
                <a:fgClr>
                  <a:srgbClr val="FF00FF"/>
                </a:fgClr>
                <a:bgClr>
                  <a:srgbClr val="FFFFFF"/>
                </a:bgClr>
              </a:pattFill>
              <a:prstDash val="solid"/>
            </a:ln>
          </c:spPr>
          <c:marker>
            <c:symbol val="square"/>
            <c:size val="2"/>
            <c:spPr>
              <a:noFill/>
              <a:ln>
                <a:solidFill>
                  <a:srgbClr val="FFFFFF"/>
                </a:solidFill>
                <a:prstDash val="solid"/>
              </a:ln>
            </c:spPr>
          </c:marker>
          <c:cat>
            <c:numRef>
              <c:f>ROC!$D$12:$D$284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ROC!$L$16:$L$284</c:f>
              <c:numCache>
                <c:formatCode>0%</c:formatCode>
                <c:ptCount val="26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numCache>
            </c:numRef>
          </c:val>
        </c:ser>
        <c:marker val="1"/>
        <c:axId val="260347392"/>
        <c:axId val="260349312"/>
      </c:lineChart>
      <c:dateAx>
        <c:axId val="260347392"/>
        <c:scaling>
          <c:orientation val="minMax"/>
        </c:scaling>
        <c:axPos val="b"/>
        <c:numFmt formatCode="mmm\-yy" sourceLinked="0"/>
        <c:tickLblPos val="nextTo"/>
        <c:spPr>
          <a:ln w="3870">
            <a:solidFill>
              <a:srgbClr val="000000"/>
            </a:solidFill>
            <a:prstDash val="solid"/>
          </a:ln>
        </c:spPr>
        <c:txPr>
          <a:bodyPr rot="-5400000" vert="horz"/>
          <a:lstStyle/>
          <a:p>
            <a:pPr>
              <a:defRPr sz="701" b="0" i="0" u="none" strike="noStrike" baseline="0">
                <a:solidFill>
                  <a:srgbClr val="000000"/>
                </a:solidFill>
                <a:latin typeface="Arial"/>
                <a:ea typeface="Arial"/>
                <a:cs typeface="Arial"/>
              </a:defRPr>
            </a:pPr>
            <a:endParaRPr lang="es-ES"/>
          </a:p>
        </c:txPr>
        <c:crossAx val="260349312"/>
        <c:crosses val="autoZero"/>
        <c:auto val="1"/>
        <c:lblOffset val="100"/>
        <c:baseTimeUnit val="days"/>
        <c:majorUnit val="3"/>
        <c:majorTimeUnit val="months"/>
        <c:minorUnit val="1"/>
        <c:minorTimeUnit val="months"/>
      </c:dateAx>
      <c:valAx>
        <c:axId val="260349312"/>
        <c:scaling>
          <c:orientation val="minMax"/>
        </c:scaling>
        <c:axPos val="l"/>
        <c:numFmt formatCode="0.00%" sourceLinked="1"/>
        <c:tickLblPos val="nextTo"/>
        <c:spPr>
          <a:ln w="3870">
            <a:solidFill>
              <a:srgbClr val="000000"/>
            </a:solidFill>
            <a:prstDash val="solid"/>
          </a:ln>
        </c:spPr>
        <c:txPr>
          <a:bodyPr rot="0" vert="horz"/>
          <a:lstStyle/>
          <a:p>
            <a:pPr>
              <a:defRPr sz="701" b="0" i="0" u="none" strike="noStrike" baseline="0">
                <a:solidFill>
                  <a:srgbClr val="000000"/>
                </a:solidFill>
                <a:latin typeface="Arial"/>
                <a:ea typeface="Arial"/>
                <a:cs typeface="Arial"/>
              </a:defRPr>
            </a:pPr>
            <a:endParaRPr lang="es-ES"/>
          </a:p>
        </c:txPr>
        <c:crossAx val="260347392"/>
        <c:crosses val="autoZero"/>
        <c:crossBetween val="midCat"/>
      </c:valAx>
      <c:spPr>
        <a:solidFill>
          <a:srgbClr val="C0C0C0"/>
        </a:solidFill>
        <a:ln w="30958">
          <a:noFill/>
        </a:ln>
      </c:spPr>
    </c:plotArea>
    <c:legend>
      <c:legendPos val="t"/>
      <c:layout>
        <c:manualLayout>
          <c:xMode val="edge"/>
          <c:yMode val="edge"/>
          <c:x val="0"/>
          <c:y val="0"/>
          <c:w val="0.29882352941176482"/>
          <c:h val="0.15111111111111117"/>
        </c:manualLayout>
      </c:layout>
      <c:spPr>
        <a:solidFill>
          <a:srgbClr val="C0C0C0"/>
        </a:solidFill>
        <a:ln w="3870">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870">
      <a:solidFill>
        <a:srgbClr val="000000"/>
      </a:solidFill>
      <a:prstDash val="solid"/>
    </a:ln>
  </c:spPr>
  <c:txPr>
    <a:bodyPr/>
    <a:lstStyle/>
    <a:p>
      <a:pPr>
        <a:defRPr sz="1127"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45" b="1" i="0" u="none" strike="noStrike" baseline="0">
                <a:solidFill>
                  <a:srgbClr val="000000"/>
                </a:solidFill>
                <a:latin typeface="Arial"/>
                <a:ea typeface="Arial"/>
                <a:cs typeface="Arial"/>
              </a:defRPr>
            </a:pPr>
            <a:r>
              <a:t>GRÁFICO ROC - IRECU</a:t>
            </a:r>
          </a:p>
        </c:rich>
      </c:tx>
      <c:layout>
        <c:manualLayout>
          <c:xMode val="edge"/>
          <c:yMode val="edge"/>
          <c:x val="0.34381551362683438"/>
          <c:y val="2.6666666666666672E-2"/>
        </c:manualLayout>
      </c:layout>
      <c:spPr>
        <a:noFill/>
        <a:ln w="28752">
          <a:noFill/>
        </a:ln>
      </c:spPr>
    </c:title>
    <c:plotArea>
      <c:layout>
        <c:manualLayout>
          <c:layoutTarget val="inner"/>
          <c:xMode val="edge"/>
          <c:yMode val="edge"/>
          <c:x val="7.5471698113207544E-2"/>
          <c:y val="0.40444444444444455"/>
          <c:w val="0.90356394129979012"/>
          <c:h val="0.50222222222222201"/>
        </c:manualLayout>
      </c:layout>
      <c:lineChart>
        <c:grouping val="standard"/>
        <c:ser>
          <c:idx val="0"/>
          <c:order val="0"/>
          <c:tx>
            <c:strRef>
              <c:f>ROC!$F$11</c:f>
              <c:strCache>
                <c:ptCount val="1"/>
                <c:pt idx="0">
                  <c:v>ROC(5)</c:v>
                </c:pt>
              </c:strCache>
            </c:strRef>
          </c:tx>
          <c:spPr>
            <a:ln w="14376">
              <a:solidFill>
                <a:srgbClr val="000080"/>
              </a:solidFill>
              <a:prstDash val="solid"/>
            </a:ln>
          </c:spPr>
          <c:marker>
            <c:symbol val="square"/>
            <c:size val="2"/>
            <c:spPr>
              <a:solidFill>
                <a:srgbClr val="000000"/>
              </a:solidFill>
              <a:ln>
                <a:solidFill>
                  <a:srgbClr val="000000"/>
                </a:solidFill>
                <a:prstDash val="solid"/>
              </a:ln>
            </c:spPr>
          </c:marker>
          <c:cat>
            <c:numRef>
              <c:f>ROC!$D$12:$D$284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ROC!$F$16:$F$284</c:f>
              <c:numCache>
                <c:formatCode>0.00%</c:formatCode>
                <c:ptCount val="269"/>
                <c:pt idx="0">
                  <c:v>6.5546881852469083E-2</c:v>
                </c:pt>
                <c:pt idx="1">
                  <c:v>6.5546881852469083E-2</c:v>
                </c:pt>
                <c:pt idx="2">
                  <c:v>-8.2041750606550758E-3</c:v>
                </c:pt>
                <c:pt idx="3">
                  <c:v>-6.5021443329519438E-2</c:v>
                </c:pt>
                <c:pt idx="4">
                  <c:v>-5.4096928318012827E-2</c:v>
                </c:pt>
                <c:pt idx="5">
                  <c:v>-6.3030571002880061E-3</c:v>
                </c:pt>
                <c:pt idx="6">
                  <c:v>6.3252118004547928E-2</c:v>
                </c:pt>
                <c:pt idx="7">
                  <c:v>6.3252118004547928E-2</c:v>
                </c:pt>
                <c:pt idx="8">
                  <c:v>5.0972304065998793E-2</c:v>
                </c:pt>
                <c:pt idx="9">
                  <c:v>4.2365811027175358E-4</c:v>
                </c:pt>
                <c:pt idx="10">
                  <c:v>-5.3053127650437952E-3</c:v>
                </c:pt>
                <c:pt idx="11">
                  <c:v>-1.7021951101220633E-3</c:v>
                </c:pt>
                <c:pt idx="12">
                  <c:v>-1.0986788174298099E-2</c:v>
                </c:pt>
                <c:pt idx="13">
                  <c:v>-1.0986788174298099E-2</c:v>
                </c:pt>
                <c:pt idx="14">
                  <c:v>-5.7117781789381306E-3</c:v>
                </c:pt>
                <c:pt idx="15">
                  <c:v>-5.1178993767329518E-2</c:v>
                </c:pt>
                <c:pt idx="16">
                  <c:v>-2.6925298801207014E-2</c:v>
                </c:pt>
                <c:pt idx="17">
                  <c:v>-2.4832225200366959E-2</c:v>
                </c:pt>
                <c:pt idx="18">
                  <c:v>2.3334780544222639E-3</c:v>
                </c:pt>
                <c:pt idx="19">
                  <c:v>5.024676927073185E-2</c:v>
                </c:pt>
                <c:pt idx="20">
                  <c:v>-7.8935174088810393E-3</c:v>
                </c:pt>
                <c:pt idx="21">
                  <c:v>-1.002294779162767E-2</c:v>
                </c:pt>
                <c:pt idx="22">
                  <c:v>-3.2778786743384671E-3</c:v>
                </c:pt>
                <c:pt idx="23">
                  <c:v>-4.0963967166993461E-3</c:v>
                </c:pt>
                <c:pt idx="24">
                  <c:v>9.4452504283553326E-2</c:v>
                </c:pt>
                <c:pt idx="25">
                  <c:v>0.18166602036530696</c:v>
                </c:pt>
                <c:pt idx="26">
                  <c:v>0.18577508544885346</c:v>
                </c:pt>
                <c:pt idx="27">
                  <c:v>0.18259947608347338</c:v>
                </c:pt>
                <c:pt idx="28">
                  <c:v>0.19411927846546562</c:v>
                </c:pt>
                <c:pt idx="29">
                  <c:v>0.21071619538892214</c:v>
                </c:pt>
                <c:pt idx="30">
                  <c:v>0.16936167806863789</c:v>
                </c:pt>
                <c:pt idx="31">
                  <c:v>0.22659802599164838</c:v>
                </c:pt>
                <c:pt idx="32">
                  <c:v>0.12299325325463874</c:v>
                </c:pt>
                <c:pt idx="33">
                  <c:v>1.4822877995512473E-2</c:v>
                </c:pt>
                <c:pt idx="34">
                  <c:v>1.2446685431092487E-2</c:v>
                </c:pt>
                <c:pt idx="35">
                  <c:v>-4.2766095623465471E-2</c:v>
                </c:pt>
                <c:pt idx="36">
                  <c:v>-2.8049453749803742E-2</c:v>
                </c:pt>
                <c:pt idx="37">
                  <c:v>-1.4936606461720672E-2</c:v>
                </c:pt>
                <c:pt idx="38">
                  <c:v>-1.8594005300877618E-2</c:v>
                </c:pt>
                <c:pt idx="39">
                  <c:v>-1.5961078426145841E-2</c:v>
                </c:pt>
                <c:pt idx="40">
                  <c:v>-1.2140066736494976E-2</c:v>
                </c:pt>
                <c:pt idx="41">
                  <c:v>-1.8288573453154999E-2</c:v>
                </c:pt>
                <c:pt idx="42">
                  <c:v>-2.0882283426251608E-2</c:v>
                </c:pt>
                <c:pt idx="43">
                  <c:v>2.3645743766122266E-3</c:v>
                </c:pt>
                <c:pt idx="44">
                  <c:v>2.5883230058307265E-3</c:v>
                </c:pt>
                <c:pt idx="45">
                  <c:v>5.2414693762299243E-3</c:v>
                </c:pt>
                <c:pt idx="46">
                  <c:v>1.7357117500887437E-2</c:v>
                </c:pt>
                <c:pt idx="47">
                  <c:v>-5.7798025975111381E-4</c:v>
                </c:pt>
                <c:pt idx="48">
                  <c:v>3.4015574029253981E-2</c:v>
                </c:pt>
                <c:pt idx="49">
                  <c:v>3.1398951905267668E-2</c:v>
                </c:pt>
                <c:pt idx="50">
                  <c:v>4.3836218703057823E-2</c:v>
                </c:pt>
                <c:pt idx="51">
                  <c:v>5.1642701068965867E-2</c:v>
                </c:pt>
                <c:pt idx="52">
                  <c:v>1.4471441292456332E-2</c:v>
                </c:pt>
                <c:pt idx="53">
                  <c:v>1.7150079150283323E-2</c:v>
                </c:pt>
                <c:pt idx="54">
                  <c:v>-4.4392074276497677E-3</c:v>
                </c:pt>
                <c:pt idx="55">
                  <c:v>-1.2490461497627794E-2</c:v>
                </c:pt>
                <c:pt idx="56">
                  <c:v>-9.2684084954698688E-3</c:v>
                </c:pt>
                <c:pt idx="57">
                  <c:v>-1.3181818562149153E-2</c:v>
                </c:pt>
                <c:pt idx="58">
                  <c:v>-7.7545668674000945E-3</c:v>
                </c:pt>
                <c:pt idx="59">
                  <c:v>-1.4401372103199948E-2</c:v>
                </c:pt>
                <c:pt idx="60">
                  <c:v>-1.1178548796879965E-2</c:v>
                </c:pt>
                <c:pt idx="61">
                  <c:v>4.04832381842277E-2</c:v>
                </c:pt>
                <c:pt idx="62">
                  <c:v>1.1117032976329422E-2</c:v>
                </c:pt>
                <c:pt idx="63">
                  <c:v>-5.574062474700351E-2</c:v>
                </c:pt>
                <c:pt idx="64">
                  <c:v>-5.3858802828619677E-2</c:v>
                </c:pt>
                <c:pt idx="65">
                  <c:v>-9.6452512464123313E-2</c:v>
                </c:pt>
                <c:pt idx="66">
                  <c:v>-6.8702251755144092E-2</c:v>
                </c:pt>
                <c:pt idx="67">
                  <c:v>9.496158487112669E-3</c:v>
                </c:pt>
                <c:pt idx="68">
                  <c:v>1.5418984940875504E-2</c:v>
                </c:pt>
                <c:pt idx="69">
                  <c:v>4.0323315262143493E-2</c:v>
                </c:pt>
                <c:pt idx="70">
                  <c:v>1.3294546343146254E-2</c:v>
                </c:pt>
                <c:pt idx="71">
                  <c:v>1.9039845371101309E-2</c:v>
                </c:pt>
                <c:pt idx="72">
                  <c:v>1.7578577779277897E-2</c:v>
                </c:pt>
                <c:pt idx="73">
                  <c:v>9.2694057593075176E-3</c:v>
                </c:pt>
                <c:pt idx="74">
                  <c:v>4.2655020099549003E-2</c:v>
                </c:pt>
                <c:pt idx="75">
                  <c:v>3.390107084641257E-2</c:v>
                </c:pt>
                <c:pt idx="76">
                  <c:v>-3.2418277833543788E-3</c:v>
                </c:pt>
                <c:pt idx="77">
                  <c:v>-3.3947107108620684E-3</c:v>
                </c:pt>
                <c:pt idx="78">
                  <c:v>-1.2454974336647349E-2</c:v>
                </c:pt>
                <c:pt idx="79">
                  <c:v>-2.5713456564682845E-2</c:v>
                </c:pt>
                <c:pt idx="80">
                  <c:v>2.9797641899370855E-2</c:v>
                </c:pt>
                <c:pt idx="81">
                  <c:v>1.2133127393959083E-2</c:v>
                </c:pt>
                <c:pt idx="82">
                  <c:v>1.1094856068244766E-2</c:v>
                </c:pt>
                <c:pt idx="83">
                  <c:v>2.0829395959710305E-2</c:v>
                </c:pt>
                <c:pt idx="84">
                  <c:v>-1.6692702066305981E-3</c:v>
                </c:pt>
                <c:pt idx="85">
                  <c:v>5.6170159134591259E-2</c:v>
                </c:pt>
                <c:pt idx="86">
                  <c:v>5.9312709391824779E-2</c:v>
                </c:pt>
                <c:pt idx="87">
                  <c:v>4.9676606367540087E-2</c:v>
                </c:pt>
                <c:pt idx="88">
                  <c:v>9.8757240204429331E-2</c:v>
                </c:pt>
                <c:pt idx="89">
                  <c:v>-2.7251785730123615E-2</c:v>
                </c:pt>
                <c:pt idx="90">
                  <c:v>-1.3042244394761201E-2</c:v>
                </c:pt>
                <c:pt idx="91">
                  <c:v>7.6166742662723084E-3</c:v>
                </c:pt>
                <c:pt idx="92">
                  <c:v>-3.6661366682662261E-2</c:v>
                </c:pt>
                <c:pt idx="93">
                  <c:v>0.17316755771063869</c:v>
                </c:pt>
                <c:pt idx="94">
                  <c:v>9.903979772868339E-2</c:v>
                </c:pt>
                <c:pt idx="95">
                  <c:v>8.6301663792310648E-2</c:v>
                </c:pt>
                <c:pt idx="96">
                  <c:v>0.12321570836518742</c:v>
                </c:pt>
                <c:pt idx="97">
                  <c:v>-2.7975763193741801E-2</c:v>
                </c:pt>
                <c:pt idx="98">
                  <c:v>1.9660625016212862E-2</c:v>
                </c:pt>
                <c:pt idx="99">
                  <c:v>-2.4554350457344977E-2</c:v>
                </c:pt>
                <c:pt idx="100">
                  <c:v>-6.0040236028440386E-2</c:v>
                </c:pt>
                <c:pt idx="101">
                  <c:v>-5.1517257219946426E-2</c:v>
                </c:pt>
                <c:pt idx="102">
                  <c:v>-4.5604940353488874E-2</c:v>
                </c:pt>
                <c:pt idx="103">
                  <c:v>2.5829407156870358E-3</c:v>
                </c:pt>
                <c:pt idx="104">
                  <c:v>1.3917323824927779E-2</c:v>
                </c:pt>
                <c:pt idx="105">
                  <c:v>2.9948746873314176E-2</c:v>
                </c:pt>
                <c:pt idx="106">
                  <c:v>6.389953009451417E-2</c:v>
                </c:pt>
                <c:pt idx="107">
                  <c:v>1.8590567132266016E-2</c:v>
                </c:pt>
                <c:pt idx="108">
                  <c:v>-2.5337894981360198E-2</c:v>
                </c:pt>
                <c:pt idx="109">
                  <c:v>-3.3928433245831738E-2</c:v>
                </c:pt>
                <c:pt idx="110">
                  <c:v>-6.7676880478076101E-2</c:v>
                </c:pt>
                <c:pt idx="111">
                  <c:v>1.721958172070544E-4</c:v>
                </c:pt>
                <c:pt idx="112">
                  <c:v>2.2097683329785432E-2</c:v>
                </c:pt>
                <c:pt idx="113">
                  <c:v>4.592810870802546E-2</c:v>
                </c:pt>
                <c:pt idx="114">
                  <c:v>4.5457128115037541E-2</c:v>
                </c:pt>
                <c:pt idx="115">
                  <c:v>5.339387222587171E-3</c:v>
                </c:pt>
                <c:pt idx="116">
                  <c:v>2.4437693089016659E-2</c:v>
                </c:pt>
                <c:pt idx="117">
                  <c:v>3.8394443630344118E-2</c:v>
                </c:pt>
                <c:pt idx="118">
                  <c:v>4.1304499502421571E-3</c:v>
                </c:pt>
                <c:pt idx="119">
                  <c:v>1.3587458141539922E-2</c:v>
                </c:pt>
                <c:pt idx="120">
                  <c:v>-1.1270303119589821E-3</c:v>
                </c:pt>
                <c:pt idx="121">
                  <c:v>-7.6977681081928387E-2</c:v>
                </c:pt>
                <c:pt idx="122">
                  <c:v>-1.5745100090036861E-2</c:v>
                </c:pt>
                <c:pt idx="123">
                  <c:v>-1.4212061125540347E-2</c:v>
                </c:pt>
                <c:pt idx="124">
                  <c:v>-6.0013864102300496E-3</c:v>
                </c:pt>
                <c:pt idx="125">
                  <c:v>5.4098843038447433E-2</c:v>
                </c:pt>
                <c:pt idx="126">
                  <c:v>2.3977254825026981E-2</c:v>
                </c:pt>
                <c:pt idx="127">
                  <c:v>2.1080466660928988E-2</c:v>
                </c:pt>
                <c:pt idx="128">
                  <c:v>1.5593353127350891E-2</c:v>
                </c:pt>
                <c:pt idx="129">
                  <c:v>2.3974245160763654E-2</c:v>
                </c:pt>
                <c:pt idx="130">
                  <c:v>2.3874457712063694E-2</c:v>
                </c:pt>
                <c:pt idx="131">
                  <c:v>2.4535677953785768E-2</c:v>
                </c:pt>
                <c:pt idx="132">
                  <c:v>2.8985316677624478E-2</c:v>
                </c:pt>
                <c:pt idx="133">
                  <c:v>2.435036625200097E-2</c:v>
                </c:pt>
                <c:pt idx="134">
                  <c:v>3.3323741047987958E-2</c:v>
                </c:pt>
                <c:pt idx="135">
                  <c:v>4.3956379089992226E-2</c:v>
                </c:pt>
                <c:pt idx="136">
                  <c:v>2.2925957951920279E-2</c:v>
                </c:pt>
                <c:pt idx="137">
                  <c:v>2.2386644032417087E-2</c:v>
                </c:pt>
                <c:pt idx="138">
                  <c:v>2.0308381194220907E-2</c:v>
                </c:pt>
                <c:pt idx="139">
                  <c:v>1.9565295667019669E-2</c:v>
                </c:pt>
                <c:pt idx="140">
                  <c:v>5.3471129615350672E-2</c:v>
                </c:pt>
                <c:pt idx="141">
                  <c:v>3.5747831559659549E-2</c:v>
                </c:pt>
                <c:pt idx="142">
                  <c:v>5.467912802743969E-2</c:v>
                </c:pt>
                <c:pt idx="143">
                  <c:v>4.599791303235351E-2</c:v>
                </c:pt>
                <c:pt idx="144">
                  <c:v>5.1239330766656439E-2</c:v>
                </c:pt>
                <c:pt idx="145">
                  <c:v>5.2818664362100316E-2</c:v>
                </c:pt>
                <c:pt idx="146">
                  <c:v>3.2225021226252697E-2</c:v>
                </c:pt>
                <c:pt idx="147">
                  <c:v>3.9442645529003222E-2</c:v>
                </c:pt>
                <c:pt idx="148">
                  <c:v>1.8917799351128299E-2</c:v>
                </c:pt>
                <c:pt idx="149">
                  <c:v>2.0968285794955632E-2</c:v>
                </c:pt>
                <c:pt idx="150">
                  <c:v>1.8066318505934743E-2</c:v>
                </c:pt>
                <c:pt idx="151">
                  <c:v>4.3071933438296094E-2</c:v>
                </c:pt>
                <c:pt idx="152">
                  <c:v>8.7831205255000447E-2</c:v>
                </c:pt>
                <c:pt idx="153">
                  <c:v>0.11115248784388906</c:v>
                </c:pt>
                <c:pt idx="154">
                  <c:v>0.13234620650081913</c:v>
                </c:pt>
                <c:pt idx="155">
                  <c:v>0.14410603248355286</c:v>
                </c:pt>
                <c:pt idx="156">
                  <c:v>0.16341763900031839</c:v>
                </c:pt>
                <c:pt idx="157">
                  <c:v>0.11012010065159819</c:v>
                </c:pt>
                <c:pt idx="158">
                  <c:v>3.9204269096191832E-2</c:v>
                </c:pt>
                <c:pt idx="159">
                  <c:v>-1.9970902300854621E-2</c:v>
                </c:pt>
                <c:pt idx="160">
                  <c:v>-8.000225492621188E-2</c:v>
                </c:pt>
                <c:pt idx="161">
                  <c:v>-6.8006417978257655E-2</c:v>
                </c:pt>
                <c:pt idx="162">
                  <c:v>-2.3459290442933184E-2</c:v>
                </c:pt>
                <c:pt idx="163">
                  <c:v>-5.3847705734548978E-3</c:v>
                </c:pt>
                <c:pt idx="164">
                  <c:v>1.6473552568677153E-2</c:v>
                </c:pt>
                <c:pt idx="165">
                  <c:v>2.6690746733419608E-2</c:v>
                </c:pt>
                <c:pt idx="166">
                  <c:v>3.3405331678004808E-2</c:v>
                </c:pt>
                <c:pt idx="167">
                  <c:v>2.7884128553809142E-2</c:v>
                </c:pt>
                <c:pt idx="168">
                  <c:v>1.457947150130358E-2</c:v>
                </c:pt>
                <c:pt idx="169">
                  <c:v>-3.5274706802694691E-2</c:v>
                </c:pt>
                <c:pt idx="170">
                  <c:v>-1.1853768616806582E-2</c:v>
                </c:pt>
                <c:pt idx="171">
                  <c:v>-1.0411610485931618E-2</c:v>
                </c:pt>
                <c:pt idx="172">
                  <c:v>-2.0479569090566387E-2</c:v>
                </c:pt>
                <c:pt idx="173">
                  <c:v>3.1843896497149866E-2</c:v>
                </c:pt>
                <c:pt idx="174">
                  <c:v>-1.0627184274310527E-2</c:v>
                </c:pt>
                <c:pt idx="175">
                  <c:v>-1.3352276553052237E-2</c:v>
                </c:pt>
                <c:pt idx="176">
                  <c:v>2.2865548358488249E-2</c:v>
                </c:pt>
                <c:pt idx="177">
                  <c:v>1.8803192318483784E-2</c:v>
                </c:pt>
                <c:pt idx="178">
                  <c:v>3.1567788640381879E-2</c:v>
                </c:pt>
                <c:pt idx="179">
                  <c:v>6.1431999424642676E-2</c:v>
                </c:pt>
                <c:pt idx="180">
                  <c:v>2.2610015950267848E-2</c:v>
                </c:pt>
                <c:pt idx="181">
                  <c:v>1.970513191238922E-2</c:v>
                </c:pt>
                <c:pt idx="182">
                  <c:v>2.4251061952594848E-2</c:v>
                </c:pt>
                <c:pt idx="183">
                  <c:v>1.9470059473026959E-2</c:v>
                </c:pt>
                <c:pt idx="184">
                  <c:v>6.2179955376849706E-2</c:v>
                </c:pt>
                <c:pt idx="185">
                  <c:v>2.5734615621219276E-2</c:v>
                </c:pt>
                <c:pt idx="186">
                  <c:v>5.4049550242272308E-2</c:v>
                </c:pt>
                <c:pt idx="187">
                  <c:v>3.903134538920254E-2</c:v>
                </c:pt>
                <c:pt idx="188">
                  <c:v>7.2904890416747633E-3</c:v>
                </c:pt>
                <c:pt idx="189">
                  <c:v>3.7402567260649187E-2</c:v>
                </c:pt>
                <c:pt idx="190">
                  <c:v>6.7737341059553608E-3</c:v>
                </c:pt>
                <c:pt idx="191">
                  <c:v>2.210345106121303E-3</c:v>
                </c:pt>
                <c:pt idx="192">
                  <c:v>5.13415719081053E-3</c:v>
                </c:pt>
                <c:pt idx="193">
                  <c:v>1.2604277755661197E-2</c:v>
                </c:pt>
                <c:pt idx="194">
                  <c:v>4.0008294288822804E-3</c:v>
                </c:pt>
                <c:pt idx="195">
                  <c:v>1.0215324524186338E-2</c:v>
                </c:pt>
                <c:pt idx="196">
                  <c:v>6.925552863472996E-3</c:v>
                </c:pt>
                <c:pt idx="197">
                  <c:v>1.4511508391090305E-2</c:v>
                </c:pt>
                <c:pt idx="198">
                  <c:v>3.1337935182705577E-2</c:v>
                </c:pt>
                <c:pt idx="199">
                  <c:v>1.6828936251849318E-2</c:v>
                </c:pt>
                <c:pt idx="200">
                  <c:v>4.3368103036755173E-2</c:v>
                </c:pt>
                <c:pt idx="201">
                  <c:v>3.685743462482368E-2</c:v>
                </c:pt>
                <c:pt idx="202">
                  <c:v>2.7309427796250792E-2</c:v>
                </c:pt>
                <c:pt idx="203">
                  <c:v>3.8598575899133666E-2</c:v>
                </c:pt>
                <c:pt idx="204">
                  <c:v>2.9359734513274349E-2</c:v>
                </c:pt>
                <c:pt idx="205">
                  <c:v>1.1285598991462155E-2</c:v>
                </c:pt>
                <c:pt idx="206">
                  <c:v>-8.5927715762190368E-3</c:v>
                </c:pt>
                <c:pt idx="207">
                  <c:v>4.1978055952692815E-3</c:v>
                </c:pt>
                <c:pt idx="208">
                  <c:v>-1.045628071062304E-2</c:v>
                </c:pt>
                <c:pt idx="209">
                  <c:v>4.594587636850409E-3</c:v>
                </c:pt>
                <c:pt idx="210">
                  <c:v>2.2166520194783372E-2</c:v>
                </c:pt>
                <c:pt idx="211">
                  <c:v>1.2700799567232584E-2</c:v>
                </c:pt>
                <c:pt idx="212">
                  <c:v>1.4337792589838187E-2</c:v>
                </c:pt>
                <c:pt idx="213">
                  <c:v>1.8256508438960536E-2</c:v>
                </c:pt>
                <c:pt idx="214">
                  <c:v>3.5904281186011355E-2</c:v>
                </c:pt>
                <c:pt idx="215">
                  <c:v>2.9042959843285827E-2</c:v>
                </c:pt>
                <c:pt idx="216">
                  <c:v>3.5047455411784112E-2</c:v>
                </c:pt>
                <c:pt idx="217">
                  <c:v>3.2137997517477944E-2</c:v>
                </c:pt>
                <c:pt idx="218">
                  <c:v>7.7589379677207243E-3</c:v>
                </c:pt>
                <c:pt idx="219">
                  <c:v>8.9932575605205008E-3</c:v>
                </c:pt>
                <c:pt idx="220">
                  <c:v>9.575190401142639E-3</c:v>
                </c:pt>
                <c:pt idx="221">
                  <c:v>7.2086435947092149E-3</c:v>
                </c:pt>
                <c:pt idx="222">
                  <c:v>9.2440920624615539E-3</c:v>
                </c:pt>
                <c:pt idx="223">
                  <c:v>1.0961474995595542E-2</c:v>
                </c:pt>
                <c:pt idx="224">
                  <c:v>5.2368573446125687E-3</c:v>
                </c:pt>
                <c:pt idx="225">
                  <c:v>2.4925969677212556E-2</c:v>
                </c:pt>
                <c:pt idx="226">
                  <c:v>4.1449408196748895E-2</c:v>
                </c:pt>
                <c:pt idx="227">
                  <c:v>3.8626821881932567E-2</c:v>
                </c:pt>
                <c:pt idx="228">
                  <c:v>4.236031524903671E-2</c:v>
                </c:pt>
                <c:pt idx="229">
                  <c:v>1.7043739486277895E-2</c:v>
                </c:pt>
                <c:pt idx="230">
                  <c:v>2.9439700221674139E-3</c:v>
                </c:pt>
                <c:pt idx="231">
                  <c:v>7.5121812502290152E-3</c:v>
                </c:pt>
                <c:pt idx="232">
                  <c:v>4.2715352494552185E-3</c:v>
                </c:pt>
                <c:pt idx="233">
                  <c:v>1.8642786852981683E-2</c:v>
                </c:pt>
                <c:pt idx="234">
                  <c:v>3.3430457499601302E-2</c:v>
                </c:pt>
                <c:pt idx="235">
                  <c:v>5.7487130651254589E-2</c:v>
                </c:pt>
                <c:pt idx="236">
                  <c:v>8.0812801617689223E-2</c:v>
                </c:pt>
                <c:pt idx="237">
                  <c:v>9.2084894789598415E-2</c:v>
                </c:pt>
                <c:pt idx="238">
                  <c:v>9.2284203068652454E-2</c:v>
                </c:pt>
                <c:pt idx="239">
                  <c:v>8.5286179391357644E-2</c:v>
                </c:pt>
                <c:pt idx="240">
                  <c:v>6.5750210171924783E-2</c:v>
                </c:pt>
                <c:pt idx="241">
                  <c:v>4.9306392231168603E-2</c:v>
                </c:pt>
                <c:pt idx="242">
                  <c:v>3.7674625607777415E-2</c:v>
                </c:pt>
                <c:pt idx="243">
                  <c:v>1.4287543932196429E-2</c:v>
                </c:pt>
                <c:pt idx="244">
                  <c:v>2.2589467783214099E-3</c:v>
                </c:pt>
                <c:pt idx="245">
                  <c:v>7.3663477448925648E-3</c:v>
                </c:pt>
                <c:pt idx="246">
                  <c:v>2.212866273649744E-2</c:v>
                </c:pt>
                <c:pt idx="247">
                  <c:v>1.7200414142503069E-2</c:v>
                </c:pt>
                <c:pt idx="248">
                  <c:v>5.281936028423989E-3</c:v>
                </c:pt>
                <c:pt idx="249">
                  <c:v>-6.7932936059220596E-3</c:v>
                </c:pt>
                <c:pt idx="250">
                  <c:v>-2.7996925246280422E-2</c:v>
                </c:pt>
                <c:pt idx="251">
                  <c:v>-1.6428865968489959E-2</c:v>
                </c:pt>
                <c:pt idx="252">
                  <c:v>8.8928830424796771E-5</c:v>
                </c:pt>
                <c:pt idx="253">
                  <c:v>6.2994933712249013E-3</c:v>
                </c:pt>
                <c:pt idx="254">
                  <c:v>1.7153197086588817E-3</c:v>
                </c:pt>
                <c:pt idx="255">
                  <c:v>-1.8877709432981453E-3</c:v>
                </c:pt>
                <c:pt idx="256">
                  <c:v>-5.9768282141726336E-3</c:v>
                </c:pt>
                <c:pt idx="257">
                  <c:v>-5.2971526464829846E-3</c:v>
                </c:pt>
                <c:pt idx="258">
                  <c:v>-9.7344998559540828E-4</c:v>
                </c:pt>
                <c:pt idx="259">
                  <c:v>-5.1325839038913997E-3</c:v>
                </c:pt>
                <c:pt idx="260">
                  <c:v>1.8640518180749253E-3</c:v>
                </c:pt>
                <c:pt idx="261">
                  <c:v>-3.9165787580149559E-3</c:v>
                </c:pt>
                <c:pt idx="262">
                  <c:v>-1.7531753114600442E-3</c:v>
                </c:pt>
                <c:pt idx="263">
                  <c:v>8.0316696576975197E-3</c:v>
                </c:pt>
                <c:pt idx="264">
                  <c:v>3.9915953645119885E-2</c:v>
                </c:pt>
                <c:pt idx="265">
                  <c:v>4.9304213524830394E-2</c:v>
                </c:pt>
                <c:pt idx="266">
                  <c:v>6.3044057048871033E-2</c:v>
                </c:pt>
                <c:pt idx="267">
                  <c:v>7.4501123220979834E-2</c:v>
                </c:pt>
                <c:pt idx="268">
                  <c:v>5.3432660953773289E-2</c:v>
                </c:pt>
              </c:numCache>
            </c:numRef>
          </c:val>
        </c:ser>
        <c:ser>
          <c:idx val="1"/>
          <c:order val="1"/>
          <c:tx>
            <c:strRef>
              <c:f>ROC!$L$11</c:f>
              <c:strCache>
                <c:ptCount val="1"/>
                <c:pt idx="0">
                  <c:v>valor de referencia</c:v>
                </c:pt>
              </c:strCache>
            </c:strRef>
          </c:tx>
          <c:spPr>
            <a:ln w="14376">
              <a:pattFill prst="pct50">
                <a:fgClr>
                  <a:srgbClr val="FF00FF"/>
                </a:fgClr>
                <a:bgClr>
                  <a:srgbClr val="FFFFFF"/>
                </a:bgClr>
              </a:pattFill>
              <a:prstDash val="solid"/>
            </a:ln>
          </c:spPr>
          <c:marker>
            <c:symbol val="square"/>
            <c:size val="2"/>
            <c:spPr>
              <a:noFill/>
              <a:ln>
                <a:solidFill>
                  <a:srgbClr val="FFFFFF"/>
                </a:solidFill>
                <a:prstDash val="solid"/>
              </a:ln>
            </c:spPr>
          </c:marker>
          <c:cat>
            <c:numRef>
              <c:f>ROC!$D$12:$D$284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ROC!$L$16:$L$284</c:f>
              <c:numCache>
                <c:formatCode>0%</c:formatCode>
                <c:ptCount val="26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numCache>
            </c:numRef>
          </c:val>
        </c:ser>
        <c:marker val="1"/>
        <c:axId val="261426560"/>
        <c:axId val="261428736"/>
      </c:lineChart>
      <c:dateAx>
        <c:axId val="261426560"/>
        <c:scaling>
          <c:orientation val="minMax"/>
        </c:scaling>
        <c:axPos val="b"/>
        <c:numFmt formatCode="mmm\-yy" sourceLinked="0"/>
        <c:tickLblPos val="nextTo"/>
        <c:spPr>
          <a:ln w="3594">
            <a:solidFill>
              <a:srgbClr val="000000"/>
            </a:solidFill>
            <a:prstDash val="solid"/>
          </a:ln>
        </c:spPr>
        <c:txPr>
          <a:bodyPr rot="-5400000" vert="horz"/>
          <a:lstStyle/>
          <a:p>
            <a:pPr>
              <a:defRPr sz="651" b="0" i="0" u="none" strike="noStrike" baseline="0">
                <a:solidFill>
                  <a:srgbClr val="000000"/>
                </a:solidFill>
                <a:latin typeface="Arial"/>
                <a:ea typeface="Arial"/>
                <a:cs typeface="Arial"/>
              </a:defRPr>
            </a:pPr>
            <a:endParaRPr lang="es-ES"/>
          </a:p>
        </c:txPr>
        <c:crossAx val="261428736"/>
        <c:crosses val="autoZero"/>
        <c:auto val="1"/>
        <c:lblOffset val="100"/>
        <c:baseTimeUnit val="days"/>
        <c:majorUnit val="3"/>
        <c:majorTimeUnit val="months"/>
        <c:minorUnit val="1"/>
        <c:minorTimeUnit val="months"/>
      </c:dateAx>
      <c:valAx>
        <c:axId val="261428736"/>
        <c:scaling>
          <c:orientation val="minMax"/>
        </c:scaling>
        <c:axPos val="l"/>
        <c:numFmt formatCode="0.00%" sourceLinked="1"/>
        <c:tickLblPos val="nextTo"/>
        <c:spPr>
          <a:ln w="3594">
            <a:solidFill>
              <a:srgbClr val="000000"/>
            </a:solidFill>
            <a:prstDash val="solid"/>
          </a:ln>
        </c:spPr>
        <c:txPr>
          <a:bodyPr rot="0" vert="horz"/>
          <a:lstStyle/>
          <a:p>
            <a:pPr>
              <a:defRPr sz="651" b="0" i="0" u="none" strike="noStrike" baseline="0">
                <a:solidFill>
                  <a:srgbClr val="000000"/>
                </a:solidFill>
                <a:latin typeface="Arial"/>
                <a:ea typeface="Arial"/>
                <a:cs typeface="Arial"/>
              </a:defRPr>
            </a:pPr>
            <a:endParaRPr lang="es-ES"/>
          </a:p>
        </c:txPr>
        <c:crossAx val="261426560"/>
        <c:crosses val="autoZero"/>
        <c:crossBetween val="midCat"/>
      </c:valAx>
      <c:spPr>
        <a:solidFill>
          <a:srgbClr val="C0C0C0"/>
        </a:solidFill>
        <a:ln w="28752">
          <a:noFill/>
        </a:ln>
      </c:spPr>
    </c:plotArea>
    <c:legend>
      <c:legendPos val="t"/>
      <c:layout>
        <c:manualLayout>
          <c:xMode val="edge"/>
          <c:yMode val="edge"/>
          <c:x val="2.0964360587002106E-3"/>
          <c:y val="0"/>
          <c:w val="0.2662473794549266"/>
          <c:h val="0.15111111111111117"/>
        </c:manualLayout>
      </c:layout>
      <c:spPr>
        <a:solidFill>
          <a:srgbClr val="C0C0C0"/>
        </a:solidFill>
        <a:ln w="3594">
          <a:solidFill>
            <a:srgbClr val="000000"/>
          </a:solidFill>
          <a:prstDash val="solid"/>
        </a:ln>
      </c:spPr>
      <c:txPr>
        <a:bodyPr/>
        <a:lstStyle/>
        <a:p>
          <a:pPr>
            <a:defRPr sz="72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594">
      <a:solidFill>
        <a:srgbClr val="000000"/>
      </a:solidFill>
      <a:prstDash val="solid"/>
    </a:ln>
  </c:spPr>
  <c:txPr>
    <a:bodyPr/>
    <a:lstStyle/>
    <a:p>
      <a:pPr>
        <a:defRPr sz="116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90" b="1" i="0" u="none" strike="noStrike" baseline="0">
                <a:solidFill>
                  <a:srgbClr val="000000"/>
                </a:solidFill>
                <a:latin typeface="Arial"/>
                <a:ea typeface="Arial"/>
                <a:cs typeface="Arial"/>
              </a:defRPr>
            </a:pPr>
            <a:r>
              <a:t>GRÁFICO %K - IPECU</a:t>
            </a:r>
          </a:p>
        </c:rich>
      </c:tx>
      <c:layout>
        <c:manualLayout>
          <c:xMode val="edge"/>
          <c:yMode val="edge"/>
          <c:x val="0.39252336448598141"/>
          <c:y val="1.3392857142857151E-2"/>
        </c:manualLayout>
      </c:layout>
      <c:spPr>
        <a:noFill/>
        <a:ln w="30214">
          <a:noFill/>
        </a:ln>
      </c:spPr>
    </c:title>
    <c:plotArea>
      <c:layout>
        <c:manualLayout>
          <c:layoutTarget val="inner"/>
          <c:xMode val="edge"/>
          <c:yMode val="edge"/>
          <c:x val="7.4766355140186938E-2"/>
          <c:y val="0.41517857142857156"/>
          <c:w val="0.90186915887850472"/>
          <c:h val="0.4017857142857143"/>
        </c:manualLayout>
      </c:layout>
      <c:lineChart>
        <c:grouping val="standard"/>
        <c:ser>
          <c:idx val="0"/>
          <c:order val="0"/>
          <c:tx>
            <c:strRef>
              <c:f>'%K'!$H$11</c:f>
              <c:strCache>
                <c:ptCount val="1"/>
                <c:pt idx="0">
                  <c:v>%k OSCILADOR</c:v>
                </c:pt>
              </c:strCache>
            </c:strRef>
          </c:tx>
          <c:spPr>
            <a:ln w="15107">
              <a:solidFill>
                <a:srgbClr val="000080"/>
              </a:solidFill>
              <a:prstDash val="solid"/>
            </a:ln>
          </c:spPr>
          <c:marker>
            <c:symbol val="square"/>
            <c:size val="2"/>
            <c:spPr>
              <a:solidFill>
                <a:srgbClr val="000000"/>
              </a:solidFill>
              <a:ln>
                <a:solidFill>
                  <a:srgbClr val="000000"/>
                </a:solidFill>
                <a:prstDash val="solid"/>
              </a:ln>
            </c:spPr>
          </c:marker>
          <c:cat>
            <c:numRef>
              <c:f>'%K'!$D$12:$D$284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'%K'!$H$62:$H$284</c:f>
              <c:numCache>
                <c:formatCode>0.00%</c:formatCode>
                <c:ptCount val="223"/>
                <c:pt idx="0">
                  <c:v>0.80312281166606758</c:v>
                </c:pt>
                <c:pt idx="1">
                  <c:v>0.8217120578382574</c:v>
                </c:pt>
                <c:pt idx="2">
                  <c:v>0.82191267483013752</c:v>
                </c:pt>
                <c:pt idx="3">
                  <c:v>0.90699699074512208</c:v>
                </c:pt>
                <c:pt idx="4">
                  <c:v>0.89615231750477919</c:v>
                </c:pt>
                <c:pt idx="5">
                  <c:v>0.95240456498287152</c:v>
                </c:pt>
                <c:pt idx="6">
                  <c:v>0.97588810871169818</c:v>
                </c:pt>
                <c:pt idx="7">
                  <c:v>0.95137498343963522</c:v>
                </c:pt>
                <c:pt idx="8">
                  <c:v>0.9477554849052181</c:v>
                </c:pt>
                <c:pt idx="9">
                  <c:v>0.93762950604137296</c:v>
                </c:pt>
                <c:pt idx="10">
                  <c:v>0.93573809313286438</c:v>
                </c:pt>
                <c:pt idx="11">
                  <c:v>0.92132952487861486</c:v>
                </c:pt>
                <c:pt idx="12">
                  <c:v>0.90614440091802739</c:v>
                </c:pt>
                <c:pt idx="13">
                  <c:v>0.91323335498975444</c:v>
                </c:pt>
                <c:pt idx="14">
                  <c:v>0.87182217643191895</c:v>
                </c:pt>
                <c:pt idx="15">
                  <c:v>0.86773180380050985</c:v>
                </c:pt>
                <c:pt idx="16">
                  <c:v>1</c:v>
                </c:pt>
                <c:pt idx="17">
                  <c:v>0.91715275695738441</c:v>
                </c:pt>
                <c:pt idx="18">
                  <c:v>0.6908959115284049</c:v>
                </c:pt>
                <c:pt idx="19">
                  <c:v>0.69280864677776188</c:v>
                </c:pt>
                <c:pt idx="20">
                  <c:v>0.6873529832096682</c:v>
                </c:pt>
                <c:pt idx="21">
                  <c:v>0.69875897550782373</c:v>
                </c:pt>
                <c:pt idx="22">
                  <c:v>0.71316227563644541</c:v>
                </c:pt>
                <c:pt idx="23">
                  <c:v>0.73244392600975661</c:v>
                </c:pt>
                <c:pt idx="24">
                  <c:v>0.80527927879211569</c:v>
                </c:pt>
                <c:pt idx="25">
                  <c:v>0.73778963997543456</c:v>
                </c:pt>
                <c:pt idx="26">
                  <c:v>0.74982300477153974</c:v>
                </c:pt>
                <c:pt idx="27">
                  <c:v>0.76484407291499745</c:v>
                </c:pt>
                <c:pt idx="28">
                  <c:v>0.79658873764420013</c:v>
                </c:pt>
                <c:pt idx="29">
                  <c:v>0.79207891410019771</c:v>
                </c:pt>
                <c:pt idx="30">
                  <c:v>0.76649034924860771</c:v>
                </c:pt>
                <c:pt idx="31">
                  <c:v>0.6412933057764385</c:v>
                </c:pt>
                <c:pt idx="32">
                  <c:v>0.65933978663513548</c:v>
                </c:pt>
                <c:pt idx="33">
                  <c:v>0.4641611825950302</c:v>
                </c:pt>
                <c:pt idx="34">
                  <c:v>0.32010607995285428</c:v>
                </c:pt>
                <c:pt idx="35">
                  <c:v>0.55259797662312138</c:v>
                </c:pt>
                <c:pt idx="36">
                  <c:v>0.5385890384048726</c:v>
                </c:pt>
                <c:pt idx="37">
                  <c:v>0.53813476082899436</c:v>
                </c:pt>
                <c:pt idx="38">
                  <c:v>0.52028287987427546</c:v>
                </c:pt>
                <c:pt idx="39">
                  <c:v>0.53618259502995813</c:v>
                </c:pt>
                <c:pt idx="40">
                  <c:v>1</c:v>
                </c:pt>
                <c:pt idx="41">
                  <c:v>1</c:v>
                </c:pt>
                <c:pt idx="42">
                  <c:v>0.89880515611823664</c:v>
                </c:pt>
                <c:pt idx="43">
                  <c:v>1</c:v>
                </c:pt>
                <c:pt idx="44">
                  <c:v>0.53616279164527458</c:v>
                </c:pt>
                <c:pt idx="45">
                  <c:v>0.65398626017651573</c:v>
                </c:pt>
                <c:pt idx="46">
                  <c:v>0.72086806998671737</c:v>
                </c:pt>
                <c:pt idx="47">
                  <c:v>0.73727273468123766</c:v>
                </c:pt>
                <c:pt idx="48">
                  <c:v>1</c:v>
                </c:pt>
                <c:pt idx="49">
                  <c:v>0.78350535269171484</c:v>
                </c:pt>
                <c:pt idx="50">
                  <c:v>0.7751293146921665</c:v>
                </c:pt>
                <c:pt idx="51">
                  <c:v>0.79173250469471113</c:v>
                </c:pt>
                <c:pt idx="52">
                  <c:v>0.87035871919620744</c:v>
                </c:pt>
                <c:pt idx="53">
                  <c:v>0.87035871919620744</c:v>
                </c:pt>
                <c:pt idx="54">
                  <c:v>0.66686518132873562</c:v>
                </c:pt>
                <c:pt idx="55">
                  <c:v>0.66144284938980791</c:v>
                </c:pt>
                <c:pt idx="56">
                  <c:v>0.63830308386123791</c:v>
                </c:pt>
                <c:pt idx="57">
                  <c:v>0.66493446614764695</c:v>
                </c:pt>
                <c:pt idx="58">
                  <c:v>0.67797399778111811</c:v>
                </c:pt>
                <c:pt idx="59">
                  <c:v>0.7212229783923193</c:v>
                </c:pt>
                <c:pt idx="60">
                  <c:v>0.76625859096213922</c:v>
                </c:pt>
                <c:pt idx="61">
                  <c:v>0.7104503561256984</c:v>
                </c:pt>
                <c:pt idx="62">
                  <c:v>0.75813709998895318</c:v>
                </c:pt>
                <c:pt idx="63">
                  <c:v>0.61086483552900195</c:v>
                </c:pt>
                <c:pt idx="64">
                  <c:v>0.61695955583945261</c:v>
                </c:pt>
                <c:pt idx="65">
                  <c:v>0.63010474850273523</c:v>
                </c:pt>
                <c:pt idx="66">
                  <c:v>0.70555632933582402</c:v>
                </c:pt>
                <c:pt idx="67">
                  <c:v>0.6519909899958215</c:v>
                </c:pt>
                <c:pt idx="68">
                  <c:v>0.75762725736487191</c:v>
                </c:pt>
                <c:pt idx="69">
                  <c:v>0.76925410068894473</c:v>
                </c:pt>
                <c:pt idx="70">
                  <c:v>0.72414483580456734</c:v>
                </c:pt>
                <c:pt idx="71">
                  <c:v>0.74803882065593175</c:v>
                </c:pt>
                <c:pt idx="72">
                  <c:v>0.9223097916188433</c:v>
                </c:pt>
                <c:pt idx="73">
                  <c:v>0.77323517474865266</c:v>
                </c:pt>
                <c:pt idx="74">
                  <c:v>0.77323517474865266</c:v>
                </c:pt>
                <c:pt idx="75">
                  <c:v>0.72286094249372645</c:v>
                </c:pt>
                <c:pt idx="76">
                  <c:v>0.51604755643217215</c:v>
                </c:pt>
                <c:pt idx="77">
                  <c:v>0.67806809010601654</c:v>
                </c:pt>
                <c:pt idx="78">
                  <c:v>0.6858203260111666</c:v>
                </c:pt>
                <c:pt idx="79">
                  <c:v>0.68616621189078786</c:v>
                </c:pt>
                <c:pt idx="80">
                  <c:v>0.77538829807676413</c:v>
                </c:pt>
                <c:pt idx="81">
                  <c:v>0.79736577706282441</c:v>
                </c:pt>
                <c:pt idx="82">
                  <c:v>0.79044256921835232</c:v>
                </c:pt>
                <c:pt idx="83">
                  <c:v>0.76408935934248723</c:v>
                </c:pt>
                <c:pt idx="84">
                  <c:v>0.88687687307416319</c:v>
                </c:pt>
                <c:pt idx="85">
                  <c:v>0.7905352846469722</c:v>
                </c:pt>
                <c:pt idx="86">
                  <c:v>0.78699566441746971</c:v>
                </c:pt>
                <c:pt idx="87">
                  <c:v>0.6760734938523969</c:v>
                </c:pt>
                <c:pt idx="88">
                  <c:v>0.78643142784213149</c:v>
                </c:pt>
                <c:pt idx="89">
                  <c:v>0.81403725574177888</c:v>
                </c:pt>
                <c:pt idx="90">
                  <c:v>0.8776374270648295</c:v>
                </c:pt>
                <c:pt idx="91">
                  <c:v>0.73720869815546908</c:v>
                </c:pt>
                <c:pt idx="92">
                  <c:v>0.87488502397820522</c:v>
                </c:pt>
                <c:pt idx="93">
                  <c:v>0.94784477008306378</c:v>
                </c:pt>
                <c:pt idx="94">
                  <c:v>1</c:v>
                </c:pt>
                <c:pt idx="95">
                  <c:v>1</c:v>
                </c:pt>
                <c:pt idx="96">
                  <c:v>1</c:v>
                </c:pt>
                <c:pt idx="97">
                  <c:v>1</c:v>
                </c:pt>
                <c:pt idx="98">
                  <c:v>1</c:v>
                </c:pt>
                <c:pt idx="99">
                  <c:v>1</c:v>
                </c:pt>
                <c:pt idx="100">
                  <c:v>1</c:v>
                </c:pt>
                <c:pt idx="101">
                  <c:v>1</c:v>
                </c:pt>
                <c:pt idx="102">
                  <c:v>1</c:v>
                </c:pt>
                <c:pt idx="103">
                  <c:v>0.97847772654797538</c:v>
                </c:pt>
                <c:pt idx="104">
                  <c:v>1</c:v>
                </c:pt>
                <c:pt idx="105">
                  <c:v>1</c:v>
                </c:pt>
                <c:pt idx="106">
                  <c:v>1</c:v>
                </c:pt>
                <c:pt idx="107">
                  <c:v>1</c:v>
                </c:pt>
                <c:pt idx="108">
                  <c:v>1</c:v>
                </c:pt>
                <c:pt idx="109">
                  <c:v>1</c:v>
                </c:pt>
                <c:pt idx="110">
                  <c:v>1</c:v>
                </c:pt>
                <c:pt idx="111">
                  <c:v>1</c:v>
                </c:pt>
                <c:pt idx="112">
                  <c:v>0.94608214284095038</c:v>
                </c:pt>
                <c:pt idx="113">
                  <c:v>0.82911994994718152</c:v>
                </c:pt>
                <c:pt idx="114">
                  <c:v>0.78317019318393044</c:v>
                </c:pt>
                <c:pt idx="115">
                  <c:v>0.76103406221238912</c:v>
                </c:pt>
                <c:pt idx="116">
                  <c:v>0.74661440741362073</c:v>
                </c:pt>
                <c:pt idx="117">
                  <c:v>0.76305612353615915</c:v>
                </c:pt>
                <c:pt idx="118">
                  <c:v>0.76825409059378824</c:v>
                </c:pt>
                <c:pt idx="119">
                  <c:v>0.80630375350800454</c:v>
                </c:pt>
                <c:pt idx="120">
                  <c:v>0.81957636455136029</c:v>
                </c:pt>
                <c:pt idx="121">
                  <c:v>0.85492163378927988</c:v>
                </c:pt>
                <c:pt idx="122">
                  <c:v>0.8450810864725915</c:v>
                </c:pt>
                <c:pt idx="123">
                  <c:v>0.84702834059492105</c:v>
                </c:pt>
                <c:pt idx="124">
                  <c:v>0.72057470065784979</c:v>
                </c:pt>
                <c:pt idx="125">
                  <c:v>0.82123345740750009</c:v>
                </c:pt>
                <c:pt idx="126">
                  <c:v>0.80228708924752057</c:v>
                </c:pt>
                <c:pt idx="127">
                  <c:v>0.77298135737071638</c:v>
                </c:pt>
                <c:pt idx="128">
                  <c:v>0.79210664325003333</c:v>
                </c:pt>
                <c:pt idx="129">
                  <c:v>0.77362848751113145</c:v>
                </c:pt>
                <c:pt idx="130">
                  <c:v>0.75928732024343093</c:v>
                </c:pt>
                <c:pt idx="131">
                  <c:v>0.83990288348478093</c:v>
                </c:pt>
                <c:pt idx="132">
                  <c:v>0.84735143485469444</c:v>
                </c:pt>
                <c:pt idx="133">
                  <c:v>0.86880414836097464</c:v>
                </c:pt>
                <c:pt idx="134">
                  <c:v>0.94362174740850491</c:v>
                </c:pt>
                <c:pt idx="135">
                  <c:v>0.90831246525403231</c:v>
                </c:pt>
                <c:pt idx="136">
                  <c:v>0.90695706505428997</c:v>
                </c:pt>
                <c:pt idx="137">
                  <c:v>0.9202931604438408</c:v>
                </c:pt>
                <c:pt idx="138">
                  <c:v>0.9051559336801378</c:v>
                </c:pt>
                <c:pt idx="139">
                  <c:v>0.99792942623580971</c:v>
                </c:pt>
                <c:pt idx="140">
                  <c:v>0.88073956384696139</c:v>
                </c:pt>
                <c:pt idx="141">
                  <c:v>0.98915876553469551</c:v>
                </c:pt>
                <c:pt idx="142">
                  <c:v>0.99560559751936961</c:v>
                </c:pt>
                <c:pt idx="143">
                  <c:v>0.99275220149391652</c:v>
                </c:pt>
                <c:pt idx="144">
                  <c:v>0.96985069193689466</c:v>
                </c:pt>
                <c:pt idx="145">
                  <c:v>1</c:v>
                </c:pt>
                <c:pt idx="146">
                  <c:v>1</c:v>
                </c:pt>
                <c:pt idx="147">
                  <c:v>1</c:v>
                </c:pt>
                <c:pt idx="148">
                  <c:v>1</c:v>
                </c:pt>
                <c:pt idx="149">
                  <c:v>1</c:v>
                </c:pt>
                <c:pt idx="150">
                  <c:v>1</c:v>
                </c:pt>
                <c:pt idx="151">
                  <c:v>0.99496056934025801</c:v>
                </c:pt>
                <c:pt idx="152">
                  <c:v>1</c:v>
                </c:pt>
                <c:pt idx="153">
                  <c:v>1</c:v>
                </c:pt>
                <c:pt idx="154">
                  <c:v>0.9651440175068513</c:v>
                </c:pt>
                <c:pt idx="155">
                  <c:v>1</c:v>
                </c:pt>
                <c:pt idx="156">
                  <c:v>1</c:v>
                </c:pt>
                <c:pt idx="157">
                  <c:v>1</c:v>
                </c:pt>
                <c:pt idx="158">
                  <c:v>1</c:v>
                </c:pt>
                <c:pt idx="159">
                  <c:v>1</c:v>
                </c:pt>
                <c:pt idx="160">
                  <c:v>0.90976909564943742</c:v>
                </c:pt>
                <c:pt idx="161">
                  <c:v>0.83503672608338753</c:v>
                </c:pt>
                <c:pt idx="162">
                  <c:v>0.93012899850713915</c:v>
                </c:pt>
                <c:pt idx="163">
                  <c:v>0.95893994105112779</c:v>
                </c:pt>
                <c:pt idx="164">
                  <c:v>0.9372870759062425</c:v>
                </c:pt>
                <c:pt idx="165">
                  <c:v>0.923621655417045</c:v>
                </c:pt>
                <c:pt idx="166">
                  <c:v>1</c:v>
                </c:pt>
                <c:pt idx="167">
                  <c:v>1</c:v>
                </c:pt>
                <c:pt idx="168">
                  <c:v>1</c:v>
                </c:pt>
                <c:pt idx="169">
                  <c:v>1</c:v>
                </c:pt>
                <c:pt idx="170">
                  <c:v>1</c:v>
                </c:pt>
                <c:pt idx="171">
                  <c:v>1</c:v>
                </c:pt>
                <c:pt idx="172">
                  <c:v>1</c:v>
                </c:pt>
                <c:pt idx="173">
                  <c:v>0.99017100737772767</c:v>
                </c:pt>
                <c:pt idx="174">
                  <c:v>0.99604257693013243</c:v>
                </c:pt>
                <c:pt idx="175">
                  <c:v>1</c:v>
                </c:pt>
                <c:pt idx="176">
                  <c:v>0.99376506864505643</c:v>
                </c:pt>
                <c:pt idx="177">
                  <c:v>0.99421220944790589</c:v>
                </c:pt>
                <c:pt idx="178">
                  <c:v>1</c:v>
                </c:pt>
                <c:pt idx="179">
                  <c:v>1</c:v>
                </c:pt>
                <c:pt idx="180">
                  <c:v>1</c:v>
                </c:pt>
                <c:pt idx="181">
                  <c:v>1</c:v>
                </c:pt>
                <c:pt idx="182">
                  <c:v>1</c:v>
                </c:pt>
                <c:pt idx="183">
                  <c:v>1</c:v>
                </c:pt>
                <c:pt idx="184">
                  <c:v>0.96682625626800411</c:v>
                </c:pt>
                <c:pt idx="185">
                  <c:v>0.97785527579216924</c:v>
                </c:pt>
                <c:pt idx="186">
                  <c:v>1</c:v>
                </c:pt>
                <c:pt idx="187">
                  <c:v>1</c:v>
                </c:pt>
                <c:pt idx="188">
                  <c:v>1</c:v>
                </c:pt>
                <c:pt idx="189">
                  <c:v>1</c:v>
                </c:pt>
                <c:pt idx="190">
                  <c:v>1</c:v>
                </c:pt>
                <c:pt idx="191">
                  <c:v>1</c:v>
                </c:pt>
                <c:pt idx="192">
                  <c:v>1</c:v>
                </c:pt>
                <c:pt idx="193">
                  <c:v>1</c:v>
                </c:pt>
                <c:pt idx="194">
                  <c:v>1</c:v>
                </c:pt>
                <c:pt idx="195">
                  <c:v>1</c:v>
                </c:pt>
                <c:pt idx="196">
                  <c:v>1</c:v>
                </c:pt>
                <c:pt idx="197">
                  <c:v>1</c:v>
                </c:pt>
                <c:pt idx="198">
                  <c:v>0.99454778770785235</c:v>
                </c:pt>
                <c:pt idx="199">
                  <c:v>0.9773095896750853</c:v>
                </c:pt>
                <c:pt idx="200">
                  <c:v>1</c:v>
                </c:pt>
                <c:pt idx="201">
                  <c:v>1</c:v>
                </c:pt>
                <c:pt idx="202">
                  <c:v>0.97644578828068085</c:v>
                </c:pt>
                <c:pt idx="203">
                  <c:v>0.9160199567820092</c:v>
                </c:pt>
                <c:pt idx="204">
                  <c:v>0.8927979056081361</c:v>
                </c:pt>
                <c:pt idx="205">
                  <c:v>0.88654480966427862</c:v>
                </c:pt>
                <c:pt idx="206">
                  <c:v>0.90843166175024515</c:v>
                </c:pt>
                <c:pt idx="207">
                  <c:v>0.90976392400618067</c:v>
                </c:pt>
                <c:pt idx="208">
                  <c:v>0.91718025705857587</c:v>
                </c:pt>
                <c:pt idx="209">
                  <c:v>0.89330269349627767</c:v>
                </c:pt>
                <c:pt idx="210">
                  <c:v>0.90095606826801478</c:v>
                </c:pt>
                <c:pt idx="211">
                  <c:v>0.88062458025520451</c:v>
                </c:pt>
                <c:pt idx="212">
                  <c:v>0.8911791493785477</c:v>
                </c:pt>
                <c:pt idx="213">
                  <c:v>0.88416653633494902</c:v>
                </c:pt>
                <c:pt idx="214">
                  <c:v>0.87494825064169213</c:v>
                </c:pt>
                <c:pt idx="215">
                  <c:v>0.87054730201536168</c:v>
                </c:pt>
                <c:pt idx="216">
                  <c:v>0.85528621246916736</c:v>
                </c:pt>
                <c:pt idx="217">
                  <c:v>0.85532328106746558</c:v>
                </c:pt>
                <c:pt idx="218">
                  <c:v>0.87903881759902414</c:v>
                </c:pt>
                <c:pt idx="219">
                  <c:v>1</c:v>
                </c:pt>
                <c:pt idx="220">
                  <c:v>1</c:v>
                </c:pt>
                <c:pt idx="221">
                  <c:v>1</c:v>
                </c:pt>
                <c:pt idx="222">
                  <c:v>1</c:v>
                </c:pt>
              </c:numCache>
            </c:numRef>
          </c:val>
        </c:ser>
        <c:ser>
          <c:idx val="1"/>
          <c:order val="1"/>
          <c:tx>
            <c:strRef>
              <c:f>'%K'!$N$11</c:f>
              <c:strCache>
                <c:ptCount val="1"/>
                <c:pt idx="0">
                  <c:v>valor de sobrecompra</c:v>
                </c:pt>
              </c:strCache>
            </c:strRef>
          </c:tx>
          <c:spPr>
            <a:ln w="15107">
              <a:pattFill prst="pct50">
                <a:fgClr>
                  <a:srgbClr val="FF00FF"/>
                </a:fgClr>
                <a:bgClr>
                  <a:srgbClr val="FFFFFF"/>
                </a:bgClr>
              </a:pattFill>
              <a:prstDash val="solid"/>
            </a:ln>
          </c:spPr>
          <c:marker>
            <c:symbol val="square"/>
            <c:size val="2"/>
            <c:spPr>
              <a:noFill/>
              <a:ln>
                <a:solidFill>
                  <a:srgbClr val="FFFFFF"/>
                </a:solidFill>
                <a:prstDash val="solid"/>
              </a:ln>
            </c:spPr>
          </c:marker>
          <c:cat>
            <c:numRef>
              <c:f>'%K'!$D$12:$D$284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'%K'!$N$62:$N$284</c:f>
              <c:numCache>
                <c:formatCode>0%</c:formatCode>
                <c:ptCount val="223"/>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0.8</c:v>
                </c:pt>
                <c:pt idx="46">
                  <c:v>0.8</c:v>
                </c:pt>
                <c:pt idx="47">
                  <c:v>0.8</c:v>
                </c:pt>
                <c:pt idx="48">
                  <c:v>0.8</c:v>
                </c:pt>
                <c:pt idx="49">
                  <c:v>0.8</c:v>
                </c:pt>
                <c:pt idx="50">
                  <c:v>0.8</c:v>
                </c:pt>
                <c:pt idx="51">
                  <c:v>0.8</c:v>
                </c:pt>
                <c:pt idx="52">
                  <c:v>0.8</c:v>
                </c:pt>
                <c:pt idx="53">
                  <c:v>0.8</c:v>
                </c:pt>
                <c:pt idx="54">
                  <c:v>0.8</c:v>
                </c:pt>
                <c:pt idx="55">
                  <c:v>0.8</c:v>
                </c:pt>
                <c:pt idx="56">
                  <c:v>0.8</c:v>
                </c:pt>
                <c:pt idx="57">
                  <c:v>0.8</c:v>
                </c:pt>
                <c:pt idx="58">
                  <c:v>0.8</c:v>
                </c:pt>
                <c:pt idx="59">
                  <c:v>0.8</c:v>
                </c:pt>
                <c:pt idx="60">
                  <c:v>0.8</c:v>
                </c:pt>
                <c:pt idx="61">
                  <c:v>0.8</c:v>
                </c:pt>
                <c:pt idx="62">
                  <c:v>0.8</c:v>
                </c:pt>
                <c:pt idx="63">
                  <c:v>0.8</c:v>
                </c:pt>
                <c:pt idx="64">
                  <c:v>0.8</c:v>
                </c:pt>
                <c:pt idx="65">
                  <c:v>0.8</c:v>
                </c:pt>
                <c:pt idx="66">
                  <c:v>0.8</c:v>
                </c:pt>
                <c:pt idx="67">
                  <c:v>0.8</c:v>
                </c:pt>
                <c:pt idx="68">
                  <c:v>0.8</c:v>
                </c:pt>
                <c:pt idx="69">
                  <c:v>0.8</c:v>
                </c:pt>
                <c:pt idx="70">
                  <c:v>0.8</c:v>
                </c:pt>
                <c:pt idx="71">
                  <c:v>0.8</c:v>
                </c:pt>
                <c:pt idx="72">
                  <c:v>0.8</c:v>
                </c:pt>
                <c:pt idx="73">
                  <c:v>0.8</c:v>
                </c:pt>
                <c:pt idx="74">
                  <c:v>0.8</c:v>
                </c:pt>
                <c:pt idx="75">
                  <c:v>0.8</c:v>
                </c:pt>
                <c:pt idx="76">
                  <c:v>0.8</c:v>
                </c:pt>
                <c:pt idx="77">
                  <c:v>0.8</c:v>
                </c:pt>
                <c:pt idx="78">
                  <c:v>0.8</c:v>
                </c:pt>
                <c:pt idx="79">
                  <c:v>0.8</c:v>
                </c:pt>
                <c:pt idx="80">
                  <c:v>0.8</c:v>
                </c:pt>
                <c:pt idx="81">
                  <c:v>0.8</c:v>
                </c:pt>
                <c:pt idx="82">
                  <c:v>0.8</c:v>
                </c:pt>
                <c:pt idx="83">
                  <c:v>0.8</c:v>
                </c:pt>
                <c:pt idx="84">
                  <c:v>0.8</c:v>
                </c:pt>
                <c:pt idx="85">
                  <c:v>0.8</c:v>
                </c:pt>
                <c:pt idx="86">
                  <c:v>0.8</c:v>
                </c:pt>
                <c:pt idx="87">
                  <c:v>0.8</c:v>
                </c:pt>
                <c:pt idx="88">
                  <c:v>0.8</c:v>
                </c:pt>
                <c:pt idx="89">
                  <c:v>0.8</c:v>
                </c:pt>
                <c:pt idx="90">
                  <c:v>0.8</c:v>
                </c:pt>
                <c:pt idx="91">
                  <c:v>0.8</c:v>
                </c:pt>
                <c:pt idx="92">
                  <c:v>0.8</c:v>
                </c:pt>
                <c:pt idx="93">
                  <c:v>0.8</c:v>
                </c:pt>
                <c:pt idx="94">
                  <c:v>0.8</c:v>
                </c:pt>
                <c:pt idx="95">
                  <c:v>0.8</c:v>
                </c:pt>
                <c:pt idx="96">
                  <c:v>0.8</c:v>
                </c:pt>
                <c:pt idx="97">
                  <c:v>0.8</c:v>
                </c:pt>
                <c:pt idx="98">
                  <c:v>0.8</c:v>
                </c:pt>
                <c:pt idx="99">
                  <c:v>0.8</c:v>
                </c:pt>
                <c:pt idx="100">
                  <c:v>0.8</c:v>
                </c:pt>
                <c:pt idx="101">
                  <c:v>0.8</c:v>
                </c:pt>
                <c:pt idx="102">
                  <c:v>0.8</c:v>
                </c:pt>
                <c:pt idx="103">
                  <c:v>0.8</c:v>
                </c:pt>
                <c:pt idx="104">
                  <c:v>0.8</c:v>
                </c:pt>
                <c:pt idx="105">
                  <c:v>0.8</c:v>
                </c:pt>
                <c:pt idx="106">
                  <c:v>0.8</c:v>
                </c:pt>
                <c:pt idx="107">
                  <c:v>0.8</c:v>
                </c:pt>
                <c:pt idx="108">
                  <c:v>0.8</c:v>
                </c:pt>
                <c:pt idx="109">
                  <c:v>0.8</c:v>
                </c:pt>
                <c:pt idx="110">
                  <c:v>0.8</c:v>
                </c:pt>
                <c:pt idx="111">
                  <c:v>0.8</c:v>
                </c:pt>
                <c:pt idx="112">
                  <c:v>0.8</c:v>
                </c:pt>
                <c:pt idx="113">
                  <c:v>0.8</c:v>
                </c:pt>
                <c:pt idx="114">
                  <c:v>0.8</c:v>
                </c:pt>
                <c:pt idx="115">
                  <c:v>0.8</c:v>
                </c:pt>
                <c:pt idx="116">
                  <c:v>0.8</c:v>
                </c:pt>
                <c:pt idx="117">
                  <c:v>0.8</c:v>
                </c:pt>
                <c:pt idx="118">
                  <c:v>0.8</c:v>
                </c:pt>
                <c:pt idx="119">
                  <c:v>0.8</c:v>
                </c:pt>
                <c:pt idx="120">
                  <c:v>0.8</c:v>
                </c:pt>
                <c:pt idx="121">
                  <c:v>0.8</c:v>
                </c:pt>
                <c:pt idx="122">
                  <c:v>0.8</c:v>
                </c:pt>
                <c:pt idx="123">
                  <c:v>0.8</c:v>
                </c:pt>
                <c:pt idx="124">
                  <c:v>0.8</c:v>
                </c:pt>
                <c:pt idx="125">
                  <c:v>0.8</c:v>
                </c:pt>
                <c:pt idx="126">
                  <c:v>0.8</c:v>
                </c:pt>
                <c:pt idx="127">
                  <c:v>0.8</c:v>
                </c:pt>
                <c:pt idx="128">
                  <c:v>0.8</c:v>
                </c:pt>
                <c:pt idx="129">
                  <c:v>0.8</c:v>
                </c:pt>
                <c:pt idx="130">
                  <c:v>0.8</c:v>
                </c:pt>
                <c:pt idx="131">
                  <c:v>0.8</c:v>
                </c:pt>
                <c:pt idx="132">
                  <c:v>0.8</c:v>
                </c:pt>
                <c:pt idx="133">
                  <c:v>0.8</c:v>
                </c:pt>
                <c:pt idx="134">
                  <c:v>0.8</c:v>
                </c:pt>
                <c:pt idx="135">
                  <c:v>0.8</c:v>
                </c:pt>
                <c:pt idx="136">
                  <c:v>0.8</c:v>
                </c:pt>
                <c:pt idx="137">
                  <c:v>0.8</c:v>
                </c:pt>
                <c:pt idx="138">
                  <c:v>0.8</c:v>
                </c:pt>
                <c:pt idx="139">
                  <c:v>0.8</c:v>
                </c:pt>
                <c:pt idx="140">
                  <c:v>0.8</c:v>
                </c:pt>
                <c:pt idx="141">
                  <c:v>0.8</c:v>
                </c:pt>
                <c:pt idx="142">
                  <c:v>0.8</c:v>
                </c:pt>
                <c:pt idx="143">
                  <c:v>0.8</c:v>
                </c:pt>
                <c:pt idx="144">
                  <c:v>0.8</c:v>
                </c:pt>
                <c:pt idx="145">
                  <c:v>0.8</c:v>
                </c:pt>
                <c:pt idx="146">
                  <c:v>0.8</c:v>
                </c:pt>
                <c:pt idx="147">
                  <c:v>0.8</c:v>
                </c:pt>
                <c:pt idx="148">
                  <c:v>0.8</c:v>
                </c:pt>
                <c:pt idx="149">
                  <c:v>0.8</c:v>
                </c:pt>
                <c:pt idx="150">
                  <c:v>0.8</c:v>
                </c:pt>
                <c:pt idx="151">
                  <c:v>0.8</c:v>
                </c:pt>
                <c:pt idx="152">
                  <c:v>0.8</c:v>
                </c:pt>
                <c:pt idx="153">
                  <c:v>0.8</c:v>
                </c:pt>
                <c:pt idx="154">
                  <c:v>0.8</c:v>
                </c:pt>
                <c:pt idx="155">
                  <c:v>0.8</c:v>
                </c:pt>
                <c:pt idx="156">
                  <c:v>0.8</c:v>
                </c:pt>
                <c:pt idx="157">
                  <c:v>0.8</c:v>
                </c:pt>
                <c:pt idx="158">
                  <c:v>0.8</c:v>
                </c:pt>
                <c:pt idx="159">
                  <c:v>0.8</c:v>
                </c:pt>
                <c:pt idx="160">
                  <c:v>0.8</c:v>
                </c:pt>
                <c:pt idx="161">
                  <c:v>0.8</c:v>
                </c:pt>
                <c:pt idx="162">
                  <c:v>0.8</c:v>
                </c:pt>
                <c:pt idx="163">
                  <c:v>0.8</c:v>
                </c:pt>
                <c:pt idx="164">
                  <c:v>0.8</c:v>
                </c:pt>
                <c:pt idx="165">
                  <c:v>0.8</c:v>
                </c:pt>
                <c:pt idx="166">
                  <c:v>0.8</c:v>
                </c:pt>
                <c:pt idx="167">
                  <c:v>0.8</c:v>
                </c:pt>
                <c:pt idx="168">
                  <c:v>0.8</c:v>
                </c:pt>
                <c:pt idx="169">
                  <c:v>0.8</c:v>
                </c:pt>
                <c:pt idx="170">
                  <c:v>0.8</c:v>
                </c:pt>
                <c:pt idx="171">
                  <c:v>0.8</c:v>
                </c:pt>
                <c:pt idx="172">
                  <c:v>0.8</c:v>
                </c:pt>
                <c:pt idx="173">
                  <c:v>0.8</c:v>
                </c:pt>
                <c:pt idx="174">
                  <c:v>0.8</c:v>
                </c:pt>
                <c:pt idx="175">
                  <c:v>0.8</c:v>
                </c:pt>
                <c:pt idx="176">
                  <c:v>0.8</c:v>
                </c:pt>
                <c:pt idx="177">
                  <c:v>0.8</c:v>
                </c:pt>
                <c:pt idx="178">
                  <c:v>0.8</c:v>
                </c:pt>
                <c:pt idx="179">
                  <c:v>0.8</c:v>
                </c:pt>
                <c:pt idx="180">
                  <c:v>0.8</c:v>
                </c:pt>
                <c:pt idx="181">
                  <c:v>0.8</c:v>
                </c:pt>
                <c:pt idx="182">
                  <c:v>0.8</c:v>
                </c:pt>
                <c:pt idx="183">
                  <c:v>0.8</c:v>
                </c:pt>
                <c:pt idx="184">
                  <c:v>0.8</c:v>
                </c:pt>
                <c:pt idx="185">
                  <c:v>0.8</c:v>
                </c:pt>
                <c:pt idx="186">
                  <c:v>0.8</c:v>
                </c:pt>
                <c:pt idx="187">
                  <c:v>0.8</c:v>
                </c:pt>
                <c:pt idx="188">
                  <c:v>0.8</c:v>
                </c:pt>
                <c:pt idx="189">
                  <c:v>0.8</c:v>
                </c:pt>
                <c:pt idx="190">
                  <c:v>0.8</c:v>
                </c:pt>
                <c:pt idx="191">
                  <c:v>0.8</c:v>
                </c:pt>
                <c:pt idx="192">
                  <c:v>0.8</c:v>
                </c:pt>
                <c:pt idx="193">
                  <c:v>0.8</c:v>
                </c:pt>
                <c:pt idx="194">
                  <c:v>0.8</c:v>
                </c:pt>
                <c:pt idx="195">
                  <c:v>0.8</c:v>
                </c:pt>
                <c:pt idx="196">
                  <c:v>0.8</c:v>
                </c:pt>
                <c:pt idx="197">
                  <c:v>0.8</c:v>
                </c:pt>
                <c:pt idx="198">
                  <c:v>0.8</c:v>
                </c:pt>
                <c:pt idx="199">
                  <c:v>0.8</c:v>
                </c:pt>
                <c:pt idx="200">
                  <c:v>0.8</c:v>
                </c:pt>
                <c:pt idx="201">
                  <c:v>0.8</c:v>
                </c:pt>
                <c:pt idx="202">
                  <c:v>0.8</c:v>
                </c:pt>
                <c:pt idx="203">
                  <c:v>0.8</c:v>
                </c:pt>
                <c:pt idx="204">
                  <c:v>0.8</c:v>
                </c:pt>
                <c:pt idx="205">
                  <c:v>0.8</c:v>
                </c:pt>
                <c:pt idx="206">
                  <c:v>0.8</c:v>
                </c:pt>
                <c:pt idx="207">
                  <c:v>0.8</c:v>
                </c:pt>
                <c:pt idx="208">
                  <c:v>0.8</c:v>
                </c:pt>
                <c:pt idx="209">
                  <c:v>0.8</c:v>
                </c:pt>
                <c:pt idx="210">
                  <c:v>0.8</c:v>
                </c:pt>
                <c:pt idx="211">
                  <c:v>0.8</c:v>
                </c:pt>
                <c:pt idx="212">
                  <c:v>0.8</c:v>
                </c:pt>
                <c:pt idx="213">
                  <c:v>0.8</c:v>
                </c:pt>
                <c:pt idx="214">
                  <c:v>0.8</c:v>
                </c:pt>
                <c:pt idx="215">
                  <c:v>0.8</c:v>
                </c:pt>
                <c:pt idx="216">
                  <c:v>0.8</c:v>
                </c:pt>
                <c:pt idx="217">
                  <c:v>0.8</c:v>
                </c:pt>
                <c:pt idx="218">
                  <c:v>0.8</c:v>
                </c:pt>
                <c:pt idx="219">
                  <c:v>0.8</c:v>
                </c:pt>
                <c:pt idx="220">
                  <c:v>0.8</c:v>
                </c:pt>
                <c:pt idx="221">
                  <c:v>0.8</c:v>
                </c:pt>
                <c:pt idx="222">
                  <c:v>0.8</c:v>
                </c:pt>
              </c:numCache>
            </c:numRef>
          </c:val>
        </c:ser>
        <c:ser>
          <c:idx val="2"/>
          <c:order val="2"/>
          <c:tx>
            <c:strRef>
              <c:f>'%K'!$O$11</c:f>
              <c:strCache>
                <c:ptCount val="1"/>
                <c:pt idx="0">
                  <c:v>valor de sobreventa</c:v>
                </c:pt>
              </c:strCache>
            </c:strRef>
          </c:tx>
          <c:spPr>
            <a:ln w="15107">
              <a:solidFill>
                <a:srgbClr val="FFFF00"/>
              </a:solidFill>
              <a:prstDash val="solid"/>
            </a:ln>
          </c:spPr>
          <c:marker>
            <c:symbol val="none"/>
          </c:marker>
          <c:cat>
            <c:numRef>
              <c:f>'%K'!$D$12:$D$284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'%K'!$O$62:$O$284</c:f>
              <c:numCache>
                <c:formatCode>0%</c:formatCode>
                <c:ptCount val="223"/>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pt idx="36">
                  <c:v>0.2</c:v>
                </c:pt>
                <c:pt idx="37">
                  <c:v>0.2</c:v>
                </c:pt>
                <c:pt idx="38">
                  <c:v>0.2</c:v>
                </c:pt>
                <c:pt idx="39">
                  <c:v>0.2</c:v>
                </c:pt>
                <c:pt idx="40">
                  <c:v>0.2</c:v>
                </c:pt>
                <c:pt idx="41">
                  <c:v>0.2</c:v>
                </c:pt>
                <c:pt idx="42">
                  <c:v>0.2</c:v>
                </c:pt>
                <c:pt idx="43">
                  <c:v>0.2</c:v>
                </c:pt>
                <c:pt idx="44">
                  <c:v>0.2</c:v>
                </c:pt>
                <c:pt idx="45">
                  <c:v>0.2</c:v>
                </c:pt>
                <c:pt idx="46">
                  <c:v>0.2</c:v>
                </c:pt>
                <c:pt idx="47">
                  <c:v>0.2</c:v>
                </c:pt>
                <c:pt idx="48">
                  <c:v>0.2</c:v>
                </c:pt>
                <c:pt idx="49">
                  <c:v>0.2</c:v>
                </c:pt>
                <c:pt idx="50">
                  <c:v>0.2</c:v>
                </c:pt>
                <c:pt idx="51">
                  <c:v>0.2</c:v>
                </c:pt>
                <c:pt idx="52">
                  <c:v>0.2</c:v>
                </c:pt>
                <c:pt idx="53">
                  <c:v>0.2</c:v>
                </c:pt>
                <c:pt idx="54">
                  <c:v>0.2</c:v>
                </c:pt>
                <c:pt idx="55">
                  <c:v>0.2</c:v>
                </c:pt>
                <c:pt idx="56">
                  <c:v>0.2</c:v>
                </c:pt>
                <c:pt idx="57">
                  <c:v>0.2</c:v>
                </c:pt>
                <c:pt idx="58">
                  <c:v>0.2</c:v>
                </c:pt>
                <c:pt idx="59">
                  <c:v>0.2</c:v>
                </c:pt>
                <c:pt idx="60">
                  <c:v>0.2</c:v>
                </c:pt>
                <c:pt idx="61">
                  <c:v>0.2</c:v>
                </c:pt>
                <c:pt idx="62">
                  <c:v>0.2</c:v>
                </c:pt>
                <c:pt idx="63">
                  <c:v>0.2</c:v>
                </c:pt>
                <c:pt idx="64">
                  <c:v>0.2</c:v>
                </c:pt>
                <c:pt idx="65">
                  <c:v>0.2</c:v>
                </c:pt>
                <c:pt idx="66">
                  <c:v>0.2</c:v>
                </c:pt>
                <c:pt idx="67">
                  <c:v>0.2</c:v>
                </c:pt>
                <c:pt idx="68">
                  <c:v>0.2</c:v>
                </c:pt>
                <c:pt idx="69">
                  <c:v>0.2</c:v>
                </c:pt>
                <c:pt idx="70">
                  <c:v>0.2</c:v>
                </c:pt>
                <c:pt idx="71">
                  <c:v>0.2</c:v>
                </c:pt>
                <c:pt idx="72">
                  <c:v>0.2</c:v>
                </c:pt>
                <c:pt idx="73">
                  <c:v>0.2</c:v>
                </c:pt>
                <c:pt idx="74">
                  <c:v>0.2</c:v>
                </c:pt>
                <c:pt idx="75">
                  <c:v>0.2</c:v>
                </c:pt>
                <c:pt idx="76">
                  <c:v>0.2</c:v>
                </c:pt>
                <c:pt idx="77">
                  <c:v>0.2</c:v>
                </c:pt>
                <c:pt idx="78">
                  <c:v>0.2</c:v>
                </c:pt>
                <c:pt idx="79">
                  <c:v>0.2</c:v>
                </c:pt>
                <c:pt idx="80">
                  <c:v>0.2</c:v>
                </c:pt>
                <c:pt idx="81">
                  <c:v>0.2</c:v>
                </c:pt>
                <c:pt idx="82">
                  <c:v>0.2</c:v>
                </c:pt>
                <c:pt idx="83">
                  <c:v>0.2</c:v>
                </c:pt>
                <c:pt idx="84">
                  <c:v>0.2</c:v>
                </c:pt>
                <c:pt idx="85">
                  <c:v>0.2</c:v>
                </c:pt>
                <c:pt idx="86">
                  <c:v>0.2</c:v>
                </c:pt>
                <c:pt idx="87">
                  <c:v>0.2</c:v>
                </c:pt>
                <c:pt idx="88">
                  <c:v>0.2</c:v>
                </c:pt>
                <c:pt idx="89">
                  <c:v>0.2</c:v>
                </c:pt>
                <c:pt idx="90">
                  <c:v>0.2</c:v>
                </c:pt>
                <c:pt idx="91">
                  <c:v>0.2</c:v>
                </c:pt>
                <c:pt idx="92">
                  <c:v>0.2</c:v>
                </c:pt>
                <c:pt idx="93">
                  <c:v>0.2</c:v>
                </c:pt>
                <c:pt idx="94">
                  <c:v>0.2</c:v>
                </c:pt>
                <c:pt idx="95">
                  <c:v>0.2</c:v>
                </c:pt>
                <c:pt idx="96">
                  <c:v>0.2</c:v>
                </c:pt>
                <c:pt idx="97">
                  <c:v>0.2</c:v>
                </c:pt>
                <c:pt idx="98">
                  <c:v>0.2</c:v>
                </c:pt>
                <c:pt idx="99">
                  <c:v>0.2</c:v>
                </c:pt>
                <c:pt idx="100">
                  <c:v>0.2</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0.2</c:v>
                </c:pt>
                <c:pt idx="117">
                  <c:v>0.2</c:v>
                </c:pt>
                <c:pt idx="118">
                  <c:v>0.2</c:v>
                </c:pt>
                <c:pt idx="119">
                  <c:v>0.2</c:v>
                </c:pt>
                <c:pt idx="120">
                  <c:v>0.2</c:v>
                </c:pt>
                <c:pt idx="121">
                  <c:v>0.2</c:v>
                </c:pt>
                <c:pt idx="122">
                  <c:v>0.2</c:v>
                </c:pt>
                <c:pt idx="123">
                  <c:v>0.2</c:v>
                </c:pt>
                <c:pt idx="124">
                  <c:v>0.2</c:v>
                </c:pt>
                <c:pt idx="125">
                  <c:v>0.2</c:v>
                </c:pt>
                <c:pt idx="126">
                  <c:v>0.2</c:v>
                </c:pt>
                <c:pt idx="127">
                  <c:v>0.2</c:v>
                </c:pt>
                <c:pt idx="128">
                  <c:v>0.2</c:v>
                </c:pt>
                <c:pt idx="129">
                  <c:v>0.2</c:v>
                </c:pt>
                <c:pt idx="130">
                  <c:v>0.2</c:v>
                </c:pt>
                <c:pt idx="131">
                  <c:v>0.2</c:v>
                </c:pt>
                <c:pt idx="132">
                  <c:v>0.2</c:v>
                </c:pt>
                <c:pt idx="133">
                  <c:v>0.2</c:v>
                </c:pt>
                <c:pt idx="134">
                  <c:v>0.2</c:v>
                </c:pt>
                <c:pt idx="135">
                  <c:v>0.2</c:v>
                </c:pt>
                <c:pt idx="136">
                  <c:v>0.2</c:v>
                </c:pt>
                <c:pt idx="137">
                  <c:v>0.2</c:v>
                </c:pt>
                <c:pt idx="138">
                  <c:v>0.2</c:v>
                </c:pt>
                <c:pt idx="139">
                  <c:v>0.2</c:v>
                </c:pt>
                <c:pt idx="140">
                  <c:v>0.2</c:v>
                </c:pt>
                <c:pt idx="141">
                  <c:v>0.2</c:v>
                </c:pt>
                <c:pt idx="142">
                  <c:v>0.2</c:v>
                </c:pt>
                <c:pt idx="143">
                  <c:v>0.2</c:v>
                </c:pt>
                <c:pt idx="144">
                  <c:v>0.2</c:v>
                </c:pt>
                <c:pt idx="145">
                  <c:v>0.2</c:v>
                </c:pt>
                <c:pt idx="146">
                  <c:v>0.2</c:v>
                </c:pt>
                <c:pt idx="147">
                  <c:v>0.2</c:v>
                </c:pt>
                <c:pt idx="148">
                  <c:v>0.2</c:v>
                </c:pt>
                <c:pt idx="149">
                  <c:v>0.2</c:v>
                </c:pt>
                <c:pt idx="150">
                  <c:v>0.2</c:v>
                </c:pt>
                <c:pt idx="151">
                  <c:v>0.2</c:v>
                </c:pt>
                <c:pt idx="152">
                  <c:v>0.2</c:v>
                </c:pt>
                <c:pt idx="153">
                  <c:v>0.2</c:v>
                </c:pt>
                <c:pt idx="154">
                  <c:v>0.2</c:v>
                </c:pt>
                <c:pt idx="155">
                  <c:v>0.2</c:v>
                </c:pt>
                <c:pt idx="156">
                  <c:v>0.2</c:v>
                </c:pt>
                <c:pt idx="157">
                  <c:v>0.2</c:v>
                </c:pt>
                <c:pt idx="158">
                  <c:v>0.2</c:v>
                </c:pt>
                <c:pt idx="159">
                  <c:v>0.2</c:v>
                </c:pt>
                <c:pt idx="160">
                  <c:v>0.2</c:v>
                </c:pt>
                <c:pt idx="161">
                  <c:v>0.2</c:v>
                </c:pt>
                <c:pt idx="162">
                  <c:v>0.2</c:v>
                </c:pt>
                <c:pt idx="163">
                  <c:v>0.2</c:v>
                </c:pt>
                <c:pt idx="164">
                  <c:v>0.2</c:v>
                </c:pt>
                <c:pt idx="165">
                  <c:v>0.2</c:v>
                </c:pt>
                <c:pt idx="166">
                  <c:v>0.2</c:v>
                </c:pt>
                <c:pt idx="167">
                  <c:v>0.2</c:v>
                </c:pt>
                <c:pt idx="168">
                  <c:v>0.2</c:v>
                </c:pt>
                <c:pt idx="169">
                  <c:v>0.2</c:v>
                </c:pt>
                <c:pt idx="170">
                  <c:v>0.2</c:v>
                </c:pt>
                <c:pt idx="171">
                  <c:v>0.2</c:v>
                </c:pt>
                <c:pt idx="172">
                  <c:v>0.2</c:v>
                </c:pt>
                <c:pt idx="173">
                  <c:v>0.2</c:v>
                </c:pt>
                <c:pt idx="174">
                  <c:v>0.2</c:v>
                </c:pt>
                <c:pt idx="175">
                  <c:v>0.2</c:v>
                </c:pt>
                <c:pt idx="176">
                  <c:v>0.2</c:v>
                </c:pt>
                <c:pt idx="177">
                  <c:v>0.2</c:v>
                </c:pt>
                <c:pt idx="178">
                  <c:v>0.2</c:v>
                </c:pt>
                <c:pt idx="179">
                  <c:v>0.2</c:v>
                </c:pt>
                <c:pt idx="180">
                  <c:v>0.2</c:v>
                </c:pt>
                <c:pt idx="181">
                  <c:v>0.2</c:v>
                </c:pt>
                <c:pt idx="182">
                  <c:v>0.2</c:v>
                </c:pt>
                <c:pt idx="183">
                  <c:v>0.2</c:v>
                </c:pt>
                <c:pt idx="184">
                  <c:v>0.2</c:v>
                </c:pt>
                <c:pt idx="185">
                  <c:v>0.2</c:v>
                </c:pt>
                <c:pt idx="186">
                  <c:v>0.2</c:v>
                </c:pt>
                <c:pt idx="187">
                  <c:v>0.2</c:v>
                </c:pt>
                <c:pt idx="188">
                  <c:v>0.2</c:v>
                </c:pt>
                <c:pt idx="189">
                  <c:v>0.2</c:v>
                </c:pt>
                <c:pt idx="190">
                  <c:v>0.2</c:v>
                </c:pt>
                <c:pt idx="191">
                  <c:v>0.2</c:v>
                </c:pt>
                <c:pt idx="192">
                  <c:v>0.2</c:v>
                </c:pt>
                <c:pt idx="193">
                  <c:v>0.2</c:v>
                </c:pt>
                <c:pt idx="194">
                  <c:v>0.2</c:v>
                </c:pt>
                <c:pt idx="195">
                  <c:v>0.2</c:v>
                </c:pt>
                <c:pt idx="196">
                  <c:v>0.2</c:v>
                </c:pt>
                <c:pt idx="197">
                  <c:v>0.2</c:v>
                </c:pt>
                <c:pt idx="198">
                  <c:v>0.2</c:v>
                </c:pt>
                <c:pt idx="199">
                  <c:v>0.2</c:v>
                </c:pt>
                <c:pt idx="200">
                  <c:v>0.2</c:v>
                </c:pt>
                <c:pt idx="201">
                  <c:v>0.2</c:v>
                </c:pt>
                <c:pt idx="202">
                  <c:v>0.2</c:v>
                </c:pt>
                <c:pt idx="203">
                  <c:v>0.2</c:v>
                </c:pt>
                <c:pt idx="204">
                  <c:v>0.2</c:v>
                </c:pt>
                <c:pt idx="205">
                  <c:v>0.2</c:v>
                </c:pt>
                <c:pt idx="206">
                  <c:v>0.2</c:v>
                </c:pt>
                <c:pt idx="207">
                  <c:v>0.2</c:v>
                </c:pt>
                <c:pt idx="208">
                  <c:v>0.2</c:v>
                </c:pt>
                <c:pt idx="209">
                  <c:v>0.2</c:v>
                </c:pt>
                <c:pt idx="210">
                  <c:v>0.2</c:v>
                </c:pt>
                <c:pt idx="211">
                  <c:v>0.2</c:v>
                </c:pt>
                <c:pt idx="212">
                  <c:v>0.2</c:v>
                </c:pt>
                <c:pt idx="213">
                  <c:v>0.2</c:v>
                </c:pt>
                <c:pt idx="214">
                  <c:v>0.2</c:v>
                </c:pt>
                <c:pt idx="215">
                  <c:v>0.2</c:v>
                </c:pt>
                <c:pt idx="216">
                  <c:v>0.2</c:v>
                </c:pt>
                <c:pt idx="217">
                  <c:v>0.2</c:v>
                </c:pt>
                <c:pt idx="218">
                  <c:v>0.2</c:v>
                </c:pt>
                <c:pt idx="219">
                  <c:v>0.2</c:v>
                </c:pt>
                <c:pt idx="220">
                  <c:v>0.2</c:v>
                </c:pt>
                <c:pt idx="221">
                  <c:v>0.2</c:v>
                </c:pt>
                <c:pt idx="222">
                  <c:v>0.2</c:v>
                </c:pt>
              </c:numCache>
            </c:numRef>
          </c:val>
        </c:ser>
        <c:marker val="1"/>
        <c:axId val="261798528"/>
        <c:axId val="261812608"/>
      </c:lineChart>
      <c:dateAx>
        <c:axId val="261798528"/>
        <c:scaling>
          <c:orientation val="minMax"/>
        </c:scaling>
        <c:axPos val="b"/>
        <c:numFmt formatCode="dd/mm/yyyy" sourceLinked="0"/>
        <c:tickLblPos val="nextTo"/>
        <c:spPr>
          <a:ln w="3777">
            <a:solidFill>
              <a:srgbClr val="000000"/>
            </a:solidFill>
            <a:prstDash val="solid"/>
          </a:ln>
        </c:spPr>
        <c:txPr>
          <a:bodyPr rot="-5400000" vert="horz"/>
          <a:lstStyle/>
          <a:p>
            <a:pPr>
              <a:defRPr sz="595" b="0" i="0" u="none" strike="noStrike" baseline="0">
                <a:solidFill>
                  <a:srgbClr val="000000"/>
                </a:solidFill>
                <a:latin typeface="Arial"/>
                <a:ea typeface="Arial"/>
                <a:cs typeface="Arial"/>
              </a:defRPr>
            </a:pPr>
            <a:endParaRPr lang="es-ES"/>
          </a:p>
        </c:txPr>
        <c:crossAx val="261812608"/>
        <c:crosses val="autoZero"/>
        <c:auto val="1"/>
        <c:lblOffset val="100"/>
        <c:baseTimeUnit val="days"/>
        <c:majorUnit val="3"/>
        <c:majorTimeUnit val="months"/>
        <c:minorUnit val="1"/>
        <c:minorTimeUnit val="months"/>
      </c:dateAx>
      <c:valAx>
        <c:axId val="261812608"/>
        <c:scaling>
          <c:orientation val="minMax"/>
        </c:scaling>
        <c:axPos val="l"/>
        <c:numFmt formatCode="0.00%" sourceLinked="1"/>
        <c:tickLblPos val="nextTo"/>
        <c:spPr>
          <a:ln w="3777">
            <a:solidFill>
              <a:srgbClr val="000000"/>
            </a:solidFill>
            <a:prstDash val="solid"/>
          </a:ln>
        </c:spPr>
        <c:txPr>
          <a:bodyPr rot="0" vert="horz"/>
          <a:lstStyle/>
          <a:p>
            <a:pPr>
              <a:defRPr sz="595" b="0" i="0" u="none" strike="noStrike" baseline="0">
                <a:solidFill>
                  <a:srgbClr val="000000"/>
                </a:solidFill>
                <a:latin typeface="Arial"/>
                <a:ea typeface="Arial"/>
                <a:cs typeface="Arial"/>
              </a:defRPr>
            </a:pPr>
            <a:endParaRPr lang="es-ES"/>
          </a:p>
        </c:txPr>
        <c:crossAx val="261798528"/>
        <c:crosses val="autoZero"/>
        <c:crossBetween val="between"/>
      </c:valAx>
      <c:spPr>
        <a:solidFill>
          <a:srgbClr val="C0C0C0"/>
        </a:solidFill>
        <a:ln w="3777">
          <a:solidFill>
            <a:srgbClr val="000000"/>
          </a:solidFill>
          <a:prstDash val="solid"/>
        </a:ln>
      </c:spPr>
    </c:plotArea>
    <c:legend>
      <c:legendPos val="t"/>
      <c:layout>
        <c:manualLayout>
          <c:xMode val="edge"/>
          <c:yMode val="edge"/>
          <c:x val="0"/>
          <c:y val="0"/>
          <c:w val="0.32476635514018692"/>
          <c:h val="0.18303571428571427"/>
        </c:manualLayout>
      </c:layout>
      <c:spPr>
        <a:solidFill>
          <a:srgbClr val="C0C0C0"/>
        </a:solidFill>
        <a:ln w="3777">
          <a:solidFill>
            <a:srgbClr val="000000"/>
          </a:solidFill>
          <a:prstDash val="solid"/>
        </a:ln>
      </c:spPr>
      <c:txPr>
        <a:bodyPr/>
        <a:lstStyle/>
        <a:p>
          <a:pPr>
            <a:defRPr sz="761"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777">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97" b="1" i="0" u="none" strike="noStrike" baseline="0">
                <a:solidFill>
                  <a:srgbClr val="000000"/>
                </a:solidFill>
                <a:latin typeface="Arial"/>
                <a:ea typeface="Arial"/>
                <a:cs typeface="Arial"/>
              </a:defRPr>
            </a:pPr>
            <a:r>
              <a:t>GRÁFICO %K - IRECU</a:t>
            </a:r>
          </a:p>
        </c:rich>
      </c:tx>
      <c:layout>
        <c:manualLayout>
          <c:xMode val="edge"/>
          <c:yMode val="edge"/>
          <c:x val="0.41386554621848737"/>
          <c:y val="1.7857142857142856E-2"/>
        </c:manualLayout>
      </c:layout>
      <c:spPr>
        <a:noFill/>
        <a:ln w="29944">
          <a:noFill/>
        </a:ln>
      </c:spPr>
    </c:title>
    <c:plotArea>
      <c:layout>
        <c:manualLayout>
          <c:layoutTarget val="inner"/>
          <c:xMode val="edge"/>
          <c:yMode val="edge"/>
          <c:x val="6.7226890756302518E-2"/>
          <c:y val="0.43750000000000011"/>
          <c:w val="0.91176470588235248"/>
          <c:h val="0.37946428571428598"/>
        </c:manualLayout>
      </c:layout>
      <c:lineChart>
        <c:grouping val="standard"/>
        <c:ser>
          <c:idx val="0"/>
          <c:order val="0"/>
          <c:tx>
            <c:strRef>
              <c:f>'%K'!$H$11</c:f>
              <c:strCache>
                <c:ptCount val="1"/>
                <c:pt idx="0">
                  <c:v>%k OSCILADOR</c:v>
                </c:pt>
              </c:strCache>
            </c:strRef>
          </c:tx>
          <c:spPr>
            <a:ln w="14972">
              <a:solidFill>
                <a:srgbClr val="000080"/>
              </a:solidFill>
              <a:prstDash val="solid"/>
            </a:ln>
          </c:spPr>
          <c:marker>
            <c:symbol val="square"/>
            <c:size val="2"/>
            <c:spPr>
              <a:solidFill>
                <a:srgbClr val="000000"/>
              </a:solidFill>
              <a:ln>
                <a:solidFill>
                  <a:srgbClr val="000000"/>
                </a:solidFill>
                <a:prstDash val="solid"/>
              </a:ln>
            </c:spPr>
          </c:marker>
          <c:cat>
            <c:numRef>
              <c:f>'%K'!$D$12:$D$284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'%K'!$H$62:$H$284</c:f>
              <c:numCache>
                <c:formatCode>0.00%</c:formatCode>
                <c:ptCount val="223"/>
                <c:pt idx="0">
                  <c:v>0.81968353329855714</c:v>
                </c:pt>
                <c:pt idx="1">
                  <c:v>0.83670975625442212</c:v>
                </c:pt>
                <c:pt idx="2">
                  <c:v>0.83689316688223359</c:v>
                </c:pt>
                <c:pt idx="3">
                  <c:v>0.91481886414036406</c:v>
                </c:pt>
                <c:pt idx="4">
                  <c:v>0.90488610676404091</c:v>
                </c:pt>
                <c:pt idx="5">
                  <c:v>0.95640781948583109</c:v>
                </c:pt>
                <c:pt idx="6">
                  <c:v>0.97791688402017041</c:v>
                </c:pt>
                <c:pt idx="7">
                  <c:v>0.95546456482851061</c:v>
                </c:pt>
                <c:pt idx="8">
                  <c:v>0.95224102587628523</c:v>
                </c:pt>
                <c:pt idx="9">
                  <c:v>0.9429862155721298</c:v>
                </c:pt>
                <c:pt idx="10">
                  <c:v>0.94125501312285265</c:v>
                </c:pt>
                <c:pt idx="11">
                  <c:v>0.92808628486851752</c:v>
                </c:pt>
                <c:pt idx="12">
                  <c:v>0.91420286215813595</c:v>
                </c:pt>
                <c:pt idx="13">
                  <c:v>0.9206809879202148</c:v>
                </c:pt>
                <c:pt idx="14">
                  <c:v>0.89985585385464184</c:v>
                </c:pt>
                <c:pt idx="15">
                  <c:v>0.89609887894379781</c:v>
                </c:pt>
                <c:pt idx="16">
                  <c:v>1</c:v>
                </c:pt>
                <c:pt idx="17">
                  <c:v>0.92513380271780188</c:v>
                </c:pt>
                <c:pt idx="18">
                  <c:v>0.72067949734270886</c:v>
                </c:pt>
                <c:pt idx="19">
                  <c:v>0.72240568139708361</c:v>
                </c:pt>
                <c:pt idx="20">
                  <c:v>0.71816937125712854</c:v>
                </c:pt>
                <c:pt idx="21">
                  <c:v>0.72846784851118562</c:v>
                </c:pt>
                <c:pt idx="22">
                  <c:v>0.74147131308561465</c:v>
                </c:pt>
                <c:pt idx="23">
                  <c:v>0.75887752550807852</c:v>
                </c:pt>
                <c:pt idx="24">
                  <c:v>0.82462824282975999</c:v>
                </c:pt>
                <c:pt idx="25">
                  <c:v>0.76370411820032669</c:v>
                </c:pt>
                <c:pt idx="26">
                  <c:v>0.7772588412743382</c:v>
                </c:pt>
                <c:pt idx="27">
                  <c:v>0.79087436855723037</c:v>
                </c:pt>
                <c:pt idx="28">
                  <c:v>0.81683719928897069</c:v>
                </c:pt>
                <c:pt idx="29">
                  <c:v>0.81295274611095658</c:v>
                </c:pt>
                <c:pt idx="30">
                  <c:v>0.79448975279949319</c:v>
                </c:pt>
                <c:pt idx="31">
                  <c:v>0.6400338051975496</c:v>
                </c:pt>
                <c:pt idx="32">
                  <c:v>0.61153718873916441</c:v>
                </c:pt>
                <c:pt idx="33">
                  <c:v>0.44772660481128534</c:v>
                </c:pt>
                <c:pt idx="34">
                  <c:v>0.33719299718711981</c:v>
                </c:pt>
                <c:pt idx="35">
                  <c:v>0.57043536672404371</c:v>
                </c:pt>
                <c:pt idx="36">
                  <c:v>0.55637936101431629</c:v>
                </c:pt>
                <c:pt idx="37">
                  <c:v>0.55591754481716249</c:v>
                </c:pt>
                <c:pt idx="38">
                  <c:v>0.53800747302573571</c:v>
                </c:pt>
                <c:pt idx="39">
                  <c:v>0.5539527268147284</c:v>
                </c:pt>
                <c:pt idx="40">
                  <c:v>1</c:v>
                </c:pt>
                <c:pt idx="41">
                  <c:v>1</c:v>
                </c:pt>
                <c:pt idx="42">
                  <c:v>0.90023113047830861</c:v>
                </c:pt>
                <c:pt idx="43">
                  <c:v>1</c:v>
                </c:pt>
                <c:pt idx="44">
                  <c:v>0.54104137119737861</c:v>
                </c:pt>
                <c:pt idx="45">
                  <c:v>0.65762393218773718</c:v>
                </c:pt>
                <c:pt idx="46">
                  <c:v>0.72380905262926498</c:v>
                </c:pt>
                <c:pt idx="47">
                  <c:v>0.74003650076409722</c:v>
                </c:pt>
                <c:pt idx="48">
                  <c:v>1</c:v>
                </c:pt>
                <c:pt idx="49">
                  <c:v>0.78485460774839677</c:v>
                </c:pt>
                <c:pt idx="50">
                  <c:v>0.77652835124503394</c:v>
                </c:pt>
                <c:pt idx="51">
                  <c:v>0.93621417253148831</c:v>
                </c:pt>
                <c:pt idx="52">
                  <c:v>0.87116590367051616</c:v>
                </c:pt>
                <c:pt idx="53">
                  <c:v>0.87116590367051616</c:v>
                </c:pt>
                <c:pt idx="54">
                  <c:v>0.66893775968712266</c:v>
                </c:pt>
                <c:pt idx="55">
                  <c:v>0.66354635404973661</c:v>
                </c:pt>
                <c:pt idx="56">
                  <c:v>0.64055560436127956</c:v>
                </c:pt>
                <c:pt idx="57">
                  <c:v>0.66702132159393002</c:v>
                </c:pt>
                <c:pt idx="58">
                  <c:v>0.6799776144412889</c:v>
                </c:pt>
                <c:pt idx="59">
                  <c:v>0.72295593493871635</c:v>
                </c:pt>
                <c:pt idx="60">
                  <c:v>0.76771078378738966</c:v>
                </c:pt>
                <c:pt idx="61">
                  <c:v>0.94001451156858362</c:v>
                </c:pt>
                <c:pt idx="62">
                  <c:v>0.75964157076341932</c:v>
                </c:pt>
                <c:pt idx="63">
                  <c:v>0.61328947325609062</c:v>
                </c:pt>
                <c:pt idx="64">
                  <c:v>0.61934463673899753</c:v>
                </c:pt>
                <c:pt idx="65">
                  <c:v>0.63240830217901345</c:v>
                </c:pt>
                <c:pt idx="66">
                  <c:v>0.76039317891202252</c:v>
                </c:pt>
                <c:pt idx="67">
                  <c:v>0.70650840597251952</c:v>
                </c:pt>
                <c:pt idx="68">
                  <c:v>0.81292216369596082</c:v>
                </c:pt>
                <c:pt idx="69">
                  <c:v>0.82461799383571721</c:v>
                </c:pt>
                <c:pt idx="70">
                  <c:v>0.78008138150059592</c:v>
                </c:pt>
                <c:pt idx="71">
                  <c:v>0.80520788763522533</c:v>
                </c:pt>
                <c:pt idx="72">
                  <c:v>0.98197292657568569</c:v>
                </c:pt>
                <c:pt idx="73">
                  <c:v>0.83251473135709386</c:v>
                </c:pt>
                <c:pt idx="74">
                  <c:v>0.83251473135709386</c:v>
                </c:pt>
                <c:pt idx="75">
                  <c:v>0.78459796313905961</c:v>
                </c:pt>
                <c:pt idx="76">
                  <c:v>0.58392214517686236</c:v>
                </c:pt>
                <c:pt idx="77">
                  <c:v>0.74517978875917978</c:v>
                </c:pt>
                <c:pt idx="78">
                  <c:v>0.75284531437432345</c:v>
                </c:pt>
                <c:pt idx="79">
                  <c:v>0.75318909271775025</c:v>
                </c:pt>
                <c:pt idx="80">
                  <c:v>0.84144503935164894</c:v>
                </c:pt>
                <c:pt idx="81">
                  <c:v>0.85998360674144758</c:v>
                </c:pt>
                <c:pt idx="82">
                  <c:v>0.85340384680163051</c:v>
                </c:pt>
                <c:pt idx="83">
                  <c:v>0.82608174921308564</c:v>
                </c:pt>
                <c:pt idx="84">
                  <c:v>0.95699786654170171</c:v>
                </c:pt>
                <c:pt idx="85">
                  <c:v>0.98145247814130132</c:v>
                </c:pt>
                <c:pt idx="86">
                  <c:v>0.97779394656899665</c:v>
                </c:pt>
                <c:pt idx="87">
                  <c:v>0.97208828160005267</c:v>
                </c:pt>
                <c:pt idx="88">
                  <c:v>1</c:v>
                </c:pt>
                <c:pt idx="89">
                  <c:v>1</c:v>
                </c:pt>
                <c:pt idx="90">
                  <c:v>1</c:v>
                </c:pt>
                <c:pt idx="91">
                  <c:v>0.88296489926288069</c:v>
                </c:pt>
                <c:pt idx="92">
                  <c:v>0.99770615421122177</c:v>
                </c:pt>
                <c:pt idx="93">
                  <c:v>1</c:v>
                </c:pt>
                <c:pt idx="94">
                  <c:v>1</c:v>
                </c:pt>
                <c:pt idx="95">
                  <c:v>1</c:v>
                </c:pt>
                <c:pt idx="96">
                  <c:v>1</c:v>
                </c:pt>
                <c:pt idx="97">
                  <c:v>1</c:v>
                </c:pt>
                <c:pt idx="98">
                  <c:v>1</c:v>
                </c:pt>
                <c:pt idx="99">
                  <c:v>1</c:v>
                </c:pt>
                <c:pt idx="100">
                  <c:v>1</c:v>
                </c:pt>
                <c:pt idx="101">
                  <c:v>1</c:v>
                </c:pt>
                <c:pt idx="102">
                  <c:v>1</c:v>
                </c:pt>
                <c:pt idx="103">
                  <c:v>0.98266865171120521</c:v>
                </c:pt>
                <c:pt idx="104">
                  <c:v>1</c:v>
                </c:pt>
                <c:pt idx="105">
                  <c:v>1</c:v>
                </c:pt>
                <c:pt idx="106">
                  <c:v>1</c:v>
                </c:pt>
                <c:pt idx="107">
                  <c:v>1</c:v>
                </c:pt>
                <c:pt idx="108">
                  <c:v>1</c:v>
                </c:pt>
                <c:pt idx="109">
                  <c:v>1</c:v>
                </c:pt>
                <c:pt idx="110">
                  <c:v>1</c:v>
                </c:pt>
                <c:pt idx="111">
                  <c:v>1</c:v>
                </c:pt>
                <c:pt idx="112">
                  <c:v>0.95120474092913687</c:v>
                </c:pt>
                <c:pt idx="113">
                  <c:v>0.84497326625753943</c:v>
                </c:pt>
                <c:pt idx="114">
                  <c:v>0.80244882412533469</c:v>
                </c:pt>
                <c:pt idx="115">
                  <c:v>0.78228001449509232</c:v>
                </c:pt>
                <c:pt idx="116">
                  <c:v>0.76914317606511184</c:v>
                </c:pt>
                <c:pt idx="117">
                  <c:v>0.78412231953213651</c:v>
                </c:pt>
                <c:pt idx="118">
                  <c:v>0.78885835279678573</c:v>
                </c:pt>
                <c:pt idx="119">
                  <c:v>0.82352489955271524</c:v>
                </c:pt>
                <c:pt idx="120">
                  <c:v>0.8356182500614987</c:v>
                </c:pt>
                <c:pt idx="121">
                  <c:v>0.86782089568030396</c:v>
                </c:pt>
                <c:pt idx="122">
                  <c:v>0.85885536384532568</c:v>
                </c:pt>
                <c:pt idx="123">
                  <c:v>0.86062889654789387</c:v>
                </c:pt>
                <c:pt idx="124">
                  <c:v>0.74541936576037049</c:v>
                </c:pt>
                <c:pt idx="125">
                  <c:v>0.83712859633020265</c:v>
                </c:pt>
                <c:pt idx="126">
                  <c:v>0.82158632070503079</c:v>
                </c:pt>
                <c:pt idx="127">
                  <c:v>0.79524149598058402</c:v>
                </c:pt>
                <c:pt idx="128">
                  <c:v>0.81249586171434163</c:v>
                </c:pt>
                <c:pt idx="129">
                  <c:v>0.79136838957226607</c:v>
                </c:pt>
                <c:pt idx="130">
                  <c:v>0.77815007469327879</c:v>
                </c:pt>
                <c:pt idx="131">
                  <c:v>0.8524470214875649</c:v>
                </c:pt>
                <c:pt idx="132">
                  <c:v>0.85931241534398861</c:v>
                </c:pt>
                <c:pt idx="133">
                  <c:v>0.87241617009543349</c:v>
                </c:pt>
                <c:pt idx="134">
                  <c:v>0.94486234843384831</c:v>
                </c:pt>
                <c:pt idx="135">
                  <c:v>0.91155977379266939</c:v>
                </c:pt>
                <c:pt idx="136">
                  <c:v>0.91023494197698773</c:v>
                </c:pt>
                <c:pt idx="137">
                  <c:v>0.94276430649854515</c:v>
                </c:pt>
                <c:pt idx="138">
                  <c:v>1</c:v>
                </c:pt>
                <c:pt idx="139">
                  <c:v>1</c:v>
                </c:pt>
                <c:pt idx="140">
                  <c:v>0.89209947134824485</c:v>
                </c:pt>
                <c:pt idx="141">
                  <c:v>1</c:v>
                </c:pt>
                <c:pt idx="142">
                  <c:v>1</c:v>
                </c:pt>
                <c:pt idx="143">
                  <c:v>0.9975491610829863</c:v>
                </c:pt>
                <c:pt idx="144">
                  <c:v>0.9773400167673616</c:v>
                </c:pt>
                <c:pt idx="145">
                  <c:v>1</c:v>
                </c:pt>
                <c:pt idx="146">
                  <c:v>1</c:v>
                </c:pt>
                <c:pt idx="147">
                  <c:v>1</c:v>
                </c:pt>
                <c:pt idx="148">
                  <c:v>1</c:v>
                </c:pt>
                <c:pt idx="149">
                  <c:v>1</c:v>
                </c:pt>
                <c:pt idx="150">
                  <c:v>1</c:v>
                </c:pt>
                <c:pt idx="151">
                  <c:v>0.99567579922142269</c:v>
                </c:pt>
                <c:pt idx="152">
                  <c:v>1</c:v>
                </c:pt>
                <c:pt idx="153">
                  <c:v>1</c:v>
                </c:pt>
                <c:pt idx="154">
                  <c:v>0.96990096593088571</c:v>
                </c:pt>
                <c:pt idx="155">
                  <c:v>1</c:v>
                </c:pt>
                <c:pt idx="156">
                  <c:v>1</c:v>
                </c:pt>
                <c:pt idx="157">
                  <c:v>1</c:v>
                </c:pt>
                <c:pt idx="158">
                  <c:v>1</c:v>
                </c:pt>
                <c:pt idx="159">
                  <c:v>1</c:v>
                </c:pt>
                <c:pt idx="160">
                  <c:v>0.92512724205157382</c:v>
                </c:pt>
                <c:pt idx="161">
                  <c:v>0.86311856335212034</c:v>
                </c:pt>
                <c:pt idx="162">
                  <c:v>0.94202489975690129</c:v>
                </c:pt>
                <c:pt idx="163">
                  <c:v>0.94724903443504982</c:v>
                </c:pt>
                <c:pt idx="164">
                  <c:v>0.94796250073189947</c:v>
                </c:pt>
                <c:pt idx="165">
                  <c:v>0.9719124149641426</c:v>
                </c:pt>
                <c:pt idx="166">
                  <c:v>1</c:v>
                </c:pt>
                <c:pt idx="167">
                  <c:v>1</c:v>
                </c:pt>
                <c:pt idx="168">
                  <c:v>1</c:v>
                </c:pt>
                <c:pt idx="169">
                  <c:v>1</c:v>
                </c:pt>
                <c:pt idx="170">
                  <c:v>1</c:v>
                </c:pt>
                <c:pt idx="171">
                  <c:v>1</c:v>
                </c:pt>
                <c:pt idx="172">
                  <c:v>1</c:v>
                </c:pt>
                <c:pt idx="173">
                  <c:v>0.99156372292654726</c:v>
                </c:pt>
                <c:pt idx="174">
                  <c:v>0.99665909783987394</c:v>
                </c:pt>
                <c:pt idx="175">
                  <c:v>1</c:v>
                </c:pt>
                <c:pt idx="176">
                  <c:v>0.9947001551082959</c:v>
                </c:pt>
                <c:pt idx="177">
                  <c:v>0.99508138513576638</c:v>
                </c:pt>
                <c:pt idx="178">
                  <c:v>1</c:v>
                </c:pt>
                <c:pt idx="179">
                  <c:v>1</c:v>
                </c:pt>
                <c:pt idx="180">
                  <c:v>1</c:v>
                </c:pt>
                <c:pt idx="181">
                  <c:v>1</c:v>
                </c:pt>
                <c:pt idx="182">
                  <c:v>1</c:v>
                </c:pt>
                <c:pt idx="183">
                  <c:v>1</c:v>
                </c:pt>
                <c:pt idx="184">
                  <c:v>0.97094276305754235</c:v>
                </c:pt>
                <c:pt idx="185">
                  <c:v>0.98060099238216603</c:v>
                </c:pt>
                <c:pt idx="186">
                  <c:v>1</c:v>
                </c:pt>
                <c:pt idx="187">
                  <c:v>1</c:v>
                </c:pt>
                <c:pt idx="188">
                  <c:v>1</c:v>
                </c:pt>
                <c:pt idx="189">
                  <c:v>1</c:v>
                </c:pt>
                <c:pt idx="190">
                  <c:v>1</c:v>
                </c:pt>
                <c:pt idx="191">
                  <c:v>1</c:v>
                </c:pt>
                <c:pt idx="192">
                  <c:v>1</c:v>
                </c:pt>
                <c:pt idx="193">
                  <c:v>1</c:v>
                </c:pt>
                <c:pt idx="194">
                  <c:v>1</c:v>
                </c:pt>
                <c:pt idx="195">
                  <c:v>1</c:v>
                </c:pt>
                <c:pt idx="196">
                  <c:v>1</c:v>
                </c:pt>
                <c:pt idx="197">
                  <c:v>1</c:v>
                </c:pt>
                <c:pt idx="198">
                  <c:v>0.99475356500152867</c:v>
                </c:pt>
                <c:pt idx="199">
                  <c:v>0.97817886808546128</c:v>
                </c:pt>
                <c:pt idx="200">
                  <c:v>1</c:v>
                </c:pt>
                <c:pt idx="201">
                  <c:v>1</c:v>
                </c:pt>
                <c:pt idx="202">
                  <c:v>0.97733259483199331</c:v>
                </c:pt>
                <c:pt idx="203">
                  <c:v>0.91918628854449269</c:v>
                </c:pt>
                <c:pt idx="204">
                  <c:v>0.89723354766010743</c:v>
                </c:pt>
                <c:pt idx="205">
                  <c:v>0.89126623310432029</c:v>
                </c:pt>
                <c:pt idx="206">
                  <c:v>0.91224185031905658</c:v>
                </c:pt>
                <c:pt idx="207">
                  <c:v>0.91351730851562685</c:v>
                </c:pt>
                <c:pt idx="208">
                  <c:v>0.9206259811216897</c:v>
                </c:pt>
                <c:pt idx="209">
                  <c:v>0.89774163625614212</c:v>
                </c:pt>
                <c:pt idx="210">
                  <c:v>0.90507583943242764</c:v>
                </c:pt>
                <c:pt idx="211">
                  <c:v>0.88551367529361469</c:v>
                </c:pt>
                <c:pt idx="212">
                  <c:v>0.89529785354567815</c:v>
                </c:pt>
                <c:pt idx="213">
                  <c:v>0.88850222343809504</c:v>
                </c:pt>
                <c:pt idx="214">
                  <c:v>0.87781903714431975</c:v>
                </c:pt>
                <c:pt idx="215">
                  <c:v>0.88854221847744019</c:v>
                </c:pt>
                <c:pt idx="216">
                  <c:v>0.87413729023933584</c:v>
                </c:pt>
                <c:pt idx="217">
                  <c:v>0.87445481405055625</c:v>
                </c:pt>
                <c:pt idx="218">
                  <c:v>0.89870884471298562</c:v>
                </c:pt>
                <c:pt idx="219">
                  <c:v>1</c:v>
                </c:pt>
                <c:pt idx="220">
                  <c:v>1</c:v>
                </c:pt>
                <c:pt idx="221">
                  <c:v>1</c:v>
                </c:pt>
                <c:pt idx="222">
                  <c:v>1</c:v>
                </c:pt>
              </c:numCache>
            </c:numRef>
          </c:val>
        </c:ser>
        <c:ser>
          <c:idx val="1"/>
          <c:order val="1"/>
          <c:tx>
            <c:strRef>
              <c:f>'%K'!$N$11</c:f>
              <c:strCache>
                <c:ptCount val="1"/>
                <c:pt idx="0">
                  <c:v>valor de sobrecompra</c:v>
                </c:pt>
              </c:strCache>
            </c:strRef>
          </c:tx>
          <c:spPr>
            <a:ln w="14972">
              <a:pattFill prst="pct50">
                <a:fgClr>
                  <a:srgbClr val="FF00FF"/>
                </a:fgClr>
                <a:bgClr>
                  <a:srgbClr val="FFFFFF"/>
                </a:bgClr>
              </a:pattFill>
              <a:prstDash val="solid"/>
            </a:ln>
          </c:spPr>
          <c:marker>
            <c:symbol val="square"/>
            <c:size val="2"/>
            <c:spPr>
              <a:noFill/>
              <a:ln>
                <a:solidFill>
                  <a:srgbClr val="FFFFFF"/>
                </a:solidFill>
                <a:prstDash val="solid"/>
              </a:ln>
            </c:spPr>
          </c:marker>
          <c:cat>
            <c:numRef>
              <c:f>'%K'!$D$12:$D$284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'%K'!$N$62:$N$284</c:f>
              <c:numCache>
                <c:formatCode>0%</c:formatCode>
                <c:ptCount val="223"/>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0.8</c:v>
                </c:pt>
                <c:pt idx="46">
                  <c:v>0.8</c:v>
                </c:pt>
                <c:pt idx="47">
                  <c:v>0.8</c:v>
                </c:pt>
                <c:pt idx="48">
                  <c:v>0.8</c:v>
                </c:pt>
                <c:pt idx="49">
                  <c:v>0.8</c:v>
                </c:pt>
                <c:pt idx="50">
                  <c:v>0.8</c:v>
                </c:pt>
                <c:pt idx="51">
                  <c:v>0.8</c:v>
                </c:pt>
                <c:pt idx="52">
                  <c:v>0.8</c:v>
                </c:pt>
                <c:pt idx="53">
                  <c:v>0.8</c:v>
                </c:pt>
                <c:pt idx="54">
                  <c:v>0.8</c:v>
                </c:pt>
                <c:pt idx="55">
                  <c:v>0.8</c:v>
                </c:pt>
                <c:pt idx="56">
                  <c:v>0.8</c:v>
                </c:pt>
                <c:pt idx="57">
                  <c:v>0.8</c:v>
                </c:pt>
                <c:pt idx="58">
                  <c:v>0.8</c:v>
                </c:pt>
                <c:pt idx="59">
                  <c:v>0.8</c:v>
                </c:pt>
                <c:pt idx="60">
                  <c:v>0.8</c:v>
                </c:pt>
                <c:pt idx="61">
                  <c:v>0.8</c:v>
                </c:pt>
                <c:pt idx="62">
                  <c:v>0.8</c:v>
                </c:pt>
                <c:pt idx="63">
                  <c:v>0.8</c:v>
                </c:pt>
                <c:pt idx="64">
                  <c:v>0.8</c:v>
                </c:pt>
                <c:pt idx="65">
                  <c:v>0.8</c:v>
                </c:pt>
                <c:pt idx="66">
                  <c:v>0.8</c:v>
                </c:pt>
                <c:pt idx="67">
                  <c:v>0.8</c:v>
                </c:pt>
                <c:pt idx="68">
                  <c:v>0.8</c:v>
                </c:pt>
                <c:pt idx="69">
                  <c:v>0.8</c:v>
                </c:pt>
                <c:pt idx="70">
                  <c:v>0.8</c:v>
                </c:pt>
                <c:pt idx="71">
                  <c:v>0.8</c:v>
                </c:pt>
                <c:pt idx="72">
                  <c:v>0.8</c:v>
                </c:pt>
                <c:pt idx="73">
                  <c:v>0.8</c:v>
                </c:pt>
                <c:pt idx="74">
                  <c:v>0.8</c:v>
                </c:pt>
                <c:pt idx="75">
                  <c:v>0.8</c:v>
                </c:pt>
                <c:pt idx="76">
                  <c:v>0.8</c:v>
                </c:pt>
                <c:pt idx="77">
                  <c:v>0.8</c:v>
                </c:pt>
                <c:pt idx="78">
                  <c:v>0.8</c:v>
                </c:pt>
                <c:pt idx="79">
                  <c:v>0.8</c:v>
                </c:pt>
                <c:pt idx="80">
                  <c:v>0.8</c:v>
                </c:pt>
                <c:pt idx="81">
                  <c:v>0.8</c:v>
                </c:pt>
                <c:pt idx="82">
                  <c:v>0.8</c:v>
                </c:pt>
                <c:pt idx="83">
                  <c:v>0.8</c:v>
                </c:pt>
                <c:pt idx="84">
                  <c:v>0.8</c:v>
                </c:pt>
                <c:pt idx="85">
                  <c:v>0.8</c:v>
                </c:pt>
                <c:pt idx="86">
                  <c:v>0.8</c:v>
                </c:pt>
                <c:pt idx="87">
                  <c:v>0.8</c:v>
                </c:pt>
                <c:pt idx="88">
                  <c:v>0.8</c:v>
                </c:pt>
                <c:pt idx="89">
                  <c:v>0.8</c:v>
                </c:pt>
                <c:pt idx="90">
                  <c:v>0.8</c:v>
                </c:pt>
                <c:pt idx="91">
                  <c:v>0.8</c:v>
                </c:pt>
                <c:pt idx="92">
                  <c:v>0.8</c:v>
                </c:pt>
                <c:pt idx="93">
                  <c:v>0.8</c:v>
                </c:pt>
                <c:pt idx="94">
                  <c:v>0.8</c:v>
                </c:pt>
                <c:pt idx="95">
                  <c:v>0.8</c:v>
                </c:pt>
                <c:pt idx="96">
                  <c:v>0.8</c:v>
                </c:pt>
                <c:pt idx="97">
                  <c:v>0.8</c:v>
                </c:pt>
                <c:pt idx="98">
                  <c:v>0.8</c:v>
                </c:pt>
                <c:pt idx="99">
                  <c:v>0.8</c:v>
                </c:pt>
                <c:pt idx="100">
                  <c:v>0.8</c:v>
                </c:pt>
                <c:pt idx="101">
                  <c:v>0.8</c:v>
                </c:pt>
                <c:pt idx="102">
                  <c:v>0.8</c:v>
                </c:pt>
                <c:pt idx="103">
                  <c:v>0.8</c:v>
                </c:pt>
                <c:pt idx="104">
                  <c:v>0.8</c:v>
                </c:pt>
                <c:pt idx="105">
                  <c:v>0.8</c:v>
                </c:pt>
                <c:pt idx="106">
                  <c:v>0.8</c:v>
                </c:pt>
                <c:pt idx="107">
                  <c:v>0.8</c:v>
                </c:pt>
                <c:pt idx="108">
                  <c:v>0.8</c:v>
                </c:pt>
                <c:pt idx="109">
                  <c:v>0.8</c:v>
                </c:pt>
                <c:pt idx="110">
                  <c:v>0.8</c:v>
                </c:pt>
                <c:pt idx="111">
                  <c:v>0.8</c:v>
                </c:pt>
                <c:pt idx="112">
                  <c:v>0.8</c:v>
                </c:pt>
                <c:pt idx="113">
                  <c:v>0.8</c:v>
                </c:pt>
                <c:pt idx="114">
                  <c:v>0.8</c:v>
                </c:pt>
                <c:pt idx="115">
                  <c:v>0.8</c:v>
                </c:pt>
                <c:pt idx="116">
                  <c:v>0.8</c:v>
                </c:pt>
                <c:pt idx="117">
                  <c:v>0.8</c:v>
                </c:pt>
                <c:pt idx="118">
                  <c:v>0.8</c:v>
                </c:pt>
                <c:pt idx="119">
                  <c:v>0.8</c:v>
                </c:pt>
                <c:pt idx="120">
                  <c:v>0.8</c:v>
                </c:pt>
                <c:pt idx="121">
                  <c:v>0.8</c:v>
                </c:pt>
                <c:pt idx="122">
                  <c:v>0.8</c:v>
                </c:pt>
                <c:pt idx="123">
                  <c:v>0.8</c:v>
                </c:pt>
                <c:pt idx="124">
                  <c:v>0.8</c:v>
                </c:pt>
                <c:pt idx="125">
                  <c:v>0.8</c:v>
                </c:pt>
                <c:pt idx="126">
                  <c:v>0.8</c:v>
                </c:pt>
                <c:pt idx="127">
                  <c:v>0.8</c:v>
                </c:pt>
                <c:pt idx="128">
                  <c:v>0.8</c:v>
                </c:pt>
                <c:pt idx="129">
                  <c:v>0.8</c:v>
                </c:pt>
                <c:pt idx="130">
                  <c:v>0.8</c:v>
                </c:pt>
                <c:pt idx="131">
                  <c:v>0.8</c:v>
                </c:pt>
                <c:pt idx="132">
                  <c:v>0.8</c:v>
                </c:pt>
                <c:pt idx="133">
                  <c:v>0.8</c:v>
                </c:pt>
                <c:pt idx="134">
                  <c:v>0.8</c:v>
                </c:pt>
                <c:pt idx="135">
                  <c:v>0.8</c:v>
                </c:pt>
                <c:pt idx="136">
                  <c:v>0.8</c:v>
                </c:pt>
                <c:pt idx="137">
                  <c:v>0.8</c:v>
                </c:pt>
                <c:pt idx="138">
                  <c:v>0.8</c:v>
                </c:pt>
                <c:pt idx="139">
                  <c:v>0.8</c:v>
                </c:pt>
                <c:pt idx="140">
                  <c:v>0.8</c:v>
                </c:pt>
                <c:pt idx="141">
                  <c:v>0.8</c:v>
                </c:pt>
                <c:pt idx="142">
                  <c:v>0.8</c:v>
                </c:pt>
                <c:pt idx="143">
                  <c:v>0.8</c:v>
                </c:pt>
                <c:pt idx="144">
                  <c:v>0.8</c:v>
                </c:pt>
                <c:pt idx="145">
                  <c:v>0.8</c:v>
                </c:pt>
                <c:pt idx="146">
                  <c:v>0.8</c:v>
                </c:pt>
                <c:pt idx="147">
                  <c:v>0.8</c:v>
                </c:pt>
                <c:pt idx="148">
                  <c:v>0.8</c:v>
                </c:pt>
                <c:pt idx="149">
                  <c:v>0.8</c:v>
                </c:pt>
                <c:pt idx="150">
                  <c:v>0.8</c:v>
                </c:pt>
                <c:pt idx="151">
                  <c:v>0.8</c:v>
                </c:pt>
                <c:pt idx="152">
                  <c:v>0.8</c:v>
                </c:pt>
                <c:pt idx="153">
                  <c:v>0.8</c:v>
                </c:pt>
                <c:pt idx="154">
                  <c:v>0.8</c:v>
                </c:pt>
                <c:pt idx="155">
                  <c:v>0.8</c:v>
                </c:pt>
                <c:pt idx="156">
                  <c:v>0.8</c:v>
                </c:pt>
                <c:pt idx="157">
                  <c:v>0.8</c:v>
                </c:pt>
                <c:pt idx="158">
                  <c:v>0.8</c:v>
                </c:pt>
                <c:pt idx="159">
                  <c:v>0.8</c:v>
                </c:pt>
                <c:pt idx="160">
                  <c:v>0.8</c:v>
                </c:pt>
                <c:pt idx="161">
                  <c:v>0.8</c:v>
                </c:pt>
                <c:pt idx="162">
                  <c:v>0.8</c:v>
                </c:pt>
                <c:pt idx="163">
                  <c:v>0.8</c:v>
                </c:pt>
                <c:pt idx="164">
                  <c:v>0.8</c:v>
                </c:pt>
                <c:pt idx="165">
                  <c:v>0.8</c:v>
                </c:pt>
                <c:pt idx="166">
                  <c:v>0.8</c:v>
                </c:pt>
                <c:pt idx="167">
                  <c:v>0.8</c:v>
                </c:pt>
                <c:pt idx="168">
                  <c:v>0.8</c:v>
                </c:pt>
                <c:pt idx="169">
                  <c:v>0.8</c:v>
                </c:pt>
                <c:pt idx="170">
                  <c:v>0.8</c:v>
                </c:pt>
                <c:pt idx="171">
                  <c:v>0.8</c:v>
                </c:pt>
                <c:pt idx="172">
                  <c:v>0.8</c:v>
                </c:pt>
                <c:pt idx="173">
                  <c:v>0.8</c:v>
                </c:pt>
                <c:pt idx="174">
                  <c:v>0.8</c:v>
                </c:pt>
                <c:pt idx="175">
                  <c:v>0.8</c:v>
                </c:pt>
                <c:pt idx="176">
                  <c:v>0.8</c:v>
                </c:pt>
                <c:pt idx="177">
                  <c:v>0.8</c:v>
                </c:pt>
                <c:pt idx="178">
                  <c:v>0.8</c:v>
                </c:pt>
                <c:pt idx="179">
                  <c:v>0.8</c:v>
                </c:pt>
                <c:pt idx="180">
                  <c:v>0.8</c:v>
                </c:pt>
                <c:pt idx="181">
                  <c:v>0.8</c:v>
                </c:pt>
                <c:pt idx="182">
                  <c:v>0.8</c:v>
                </c:pt>
                <c:pt idx="183">
                  <c:v>0.8</c:v>
                </c:pt>
                <c:pt idx="184">
                  <c:v>0.8</c:v>
                </c:pt>
                <c:pt idx="185">
                  <c:v>0.8</c:v>
                </c:pt>
                <c:pt idx="186">
                  <c:v>0.8</c:v>
                </c:pt>
                <c:pt idx="187">
                  <c:v>0.8</c:v>
                </c:pt>
                <c:pt idx="188">
                  <c:v>0.8</c:v>
                </c:pt>
                <c:pt idx="189">
                  <c:v>0.8</c:v>
                </c:pt>
                <c:pt idx="190">
                  <c:v>0.8</c:v>
                </c:pt>
                <c:pt idx="191">
                  <c:v>0.8</c:v>
                </c:pt>
                <c:pt idx="192">
                  <c:v>0.8</c:v>
                </c:pt>
                <c:pt idx="193">
                  <c:v>0.8</c:v>
                </c:pt>
                <c:pt idx="194">
                  <c:v>0.8</c:v>
                </c:pt>
                <c:pt idx="195">
                  <c:v>0.8</c:v>
                </c:pt>
                <c:pt idx="196">
                  <c:v>0.8</c:v>
                </c:pt>
                <c:pt idx="197">
                  <c:v>0.8</c:v>
                </c:pt>
                <c:pt idx="198">
                  <c:v>0.8</c:v>
                </c:pt>
                <c:pt idx="199">
                  <c:v>0.8</c:v>
                </c:pt>
                <c:pt idx="200">
                  <c:v>0.8</c:v>
                </c:pt>
                <c:pt idx="201">
                  <c:v>0.8</c:v>
                </c:pt>
                <c:pt idx="202">
                  <c:v>0.8</c:v>
                </c:pt>
                <c:pt idx="203">
                  <c:v>0.8</c:v>
                </c:pt>
                <c:pt idx="204">
                  <c:v>0.8</c:v>
                </c:pt>
                <c:pt idx="205">
                  <c:v>0.8</c:v>
                </c:pt>
                <c:pt idx="206">
                  <c:v>0.8</c:v>
                </c:pt>
                <c:pt idx="207">
                  <c:v>0.8</c:v>
                </c:pt>
                <c:pt idx="208">
                  <c:v>0.8</c:v>
                </c:pt>
                <c:pt idx="209">
                  <c:v>0.8</c:v>
                </c:pt>
                <c:pt idx="210">
                  <c:v>0.8</c:v>
                </c:pt>
                <c:pt idx="211">
                  <c:v>0.8</c:v>
                </c:pt>
                <c:pt idx="212">
                  <c:v>0.8</c:v>
                </c:pt>
                <c:pt idx="213">
                  <c:v>0.8</c:v>
                </c:pt>
                <c:pt idx="214">
                  <c:v>0.8</c:v>
                </c:pt>
                <c:pt idx="215">
                  <c:v>0.8</c:v>
                </c:pt>
                <c:pt idx="216">
                  <c:v>0.8</c:v>
                </c:pt>
                <c:pt idx="217">
                  <c:v>0.8</c:v>
                </c:pt>
                <c:pt idx="218">
                  <c:v>0.8</c:v>
                </c:pt>
                <c:pt idx="219">
                  <c:v>0.8</c:v>
                </c:pt>
                <c:pt idx="220">
                  <c:v>0.8</c:v>
                </c:pt>
                <c:pt idx="221">
                  <c:v>0.8</c:v>
                </c:pt>
                <c:pt idx="222">
                  <c:v>0.8</c:v>
                </c:pt>
              </c:numCache>
            </c:numRef>
          </c:val>
        </c:ser>
        <c:ser>
          <c:idx val="2"/>
          <c:order val="2"/>
          <c:tx>
            <c:strRef>
              <c:f>'%K'!$O$11</c:f>
              <c:strCache>
                <c:ptCount val="1"/>
                <c:pt idx="0">
                  <c:v>valor de sobreventa</c:v>
                </c:pt>
              </c:strCache>
            </c:strRef>
          </c:tx>
          <c:spPr>
            <a:ln w="14972">
              <a:solidFill>
                <a:srgbClr val="FFFF00"/>
              </a:solidFill>
              <a:prstDash val="solid"/>
            </a:ln>
          </c:spPr>
          <c:marker>
            <c:symbol val="none"/>
          </c:marker>
          <c:cat>
            <c:numRef>
              <c:f>'%K'!$D$12:$D$284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'%K'!$O$62:$O$284</c:f>
              <c:numCache>
                <c:formatCode>0%</c:formatCode>
                <c:ptCount val="223"/>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pt idx="36">
                  <c:v>0.2</c:v>
                </c:pt>
                <c:pt idx="37">
                  <c:v>0.2</c:v>
                </c:pt>
                <c:pt idx="38">
                  <c:v>0.2</c:v>
                </c:pt>
                <c:pt idx="39">
                  <c:v>0.2</c:v>
                </c:pt>
                <c:pt idx="40">
                  <c:v>0.2</c:v>
                </c:pt>
                <c:pt idx="41">
                  <c:v>0.2</c:v>
                </c:pt>
                <c:pt idx="42">
                  <c:v>0.2</c:v>
                </c:pt>
                <c:pt idx="43">
                  <c:v>0.2</c:v>
                </c:pt>
                <c:pt idx="44">
                  <c:v>0.2</c:v>
                </c:pt>
                <c:pt idx="45">
                  <c:v>0.2</c:v>
                </c:pt>
                <c:pt idx="46">
                  <c:v>0.2</c:v>
                </c:pt>
                <c:pt idx="47">
                  <c:v>0.2</c:v>
                </c:pt>
                <c:pt idx="48">
                  <c:v>0.2</c:v>
                </c:pt>
                <c:pt idx="49">
                  <c:v>0.2</c:v>
                </c:pt>
                <c:pt idx="50">
                  <c:v>0.2</c:v>
                </c:pt>
                <c:pt idx="51">
                  <c:v>0.2</c:v>
                </c:pt>
                <c:pt idx="52">
                  <c:v>0.2</c:v>
                </c:pt>
                <c:pt idx="53">
                  <c:v>0.2</c:v>
                </c:pt>
                <c:pt idx="54">
                  <c:v>0.2</c:v>
                </c:pt>
                <c:pt idx="55">
                  <c:v>0.2</c:v>
                </c:pt>
                <c:pt idx="56">
                  <c:v>0.2</c:v>
                </c:pt>
                <c:pt idx="57">
                  <c:v>0.2</c:v>
                </c:pt>
                <c:pt idx="58">
                  <c:v>0.2</c:v>
                </c:pt>
                <c:pt idx="59">
                  <c:v>0.2</c:v>
                </c:pt>
                <c:pt idx="60">
                  <c:v>0.2</c:v>
                </c:pt>
                <c:pt idx="61">
                  <c:v>0.2</c:v>
                </c:pt>
                <c:pt idx="62">
                  <c:v>0.2</c:v>
                </c:pt>
                <c:pt idx="63">
                  <c:v>0.2</c:v>
                </c:pt>
                <c:pt idx="64">
                  <c:v>0.2</c:v>
                </c:pt>
                <c:pt idx="65">
                  <c:v>0.2</c:v>
                </c:pt>
                <c:pt idx="66">
                  <c:v>0.2</c:v>
                </c:pt>
                <c:pt idx="67">
                  <c:v>0.2</c:v>
                </c:pt>
                <c:pt idx="68">
                  <c:v>0.2</c:v>
                </c:pt>
                <c:pt idx="69">
                  <c:v>0.2</c:v>
                </c:pt>
                <c:pt idx="70">
                  <c:v>0.2</c:v>
                </c:pt>
                <c:pt idx="71">
                  <c:v>0.2</c:v>
                </c:pt>
                <c:pt idx="72">
                  <c:v>0.2</c:v>
                </c:pt>
                <c:pt idx="73">
                  <c:v>0.2</c:v>
                </c:pt>
                <c:pt idx="74">
                  <c:v>0.2</c:v>
                </c:pt>
                <c:pt idx="75">
                  <c:v>0.2</c:v>
                </c:pt>
                <c:pt idx="76">
                  <c:v>0.2</c:v>
                </c:pt>
                <c:pt idx="77">
                  <c:v>0.2</c:v>
                </c:pt>
                <c:pt idx="78">
                  <c:v>0.2</c:v>
                </c:pt>
                <c:pt idx="79">
                  <c:v>0.2</c:v>
                </c:pt>
                <c:pt idx="80">
                  <c:v>0.2</c:v>
                </c:pt>
                <c:pt idx="81">
                  <c:v>0.2</c:v>
                </c:pt>
                <c:pt idx="82">
                  <c:v>0.2</c:v>
                </c:pt>
                <c:pt idx="83">
                  <c:v>0.2</c:v>
                </c:pt>
                <c:pt idx="84">
                  <c:v>0.2</c:v>
                </c:pt>
                <c:pt idx="85">
                  <c:v>0.2</c:v>
                </c:pt>
                <c:pt idx="86">
                  <c:v>0.2</c:v>
                </c:pt>
                <c:pt idx="87">
                  <c:v>0.2</c:v>
                </c:pt>
                <c:pt idx="88">
                  <c:v>0.2</c:v>
                </c:pt>
                <c:pt idx="89">
                  <c:v>0.2</c:v>
                </c:pt>
                <c:pt idx="90">
                  <c:v>0.2</c:v>
                </c:pt>
                <c:pt idx="91">
                  <c:v>0.2</c:v>
                </c:pt>
                <c:pt idx="92">
                  <c:v>0.2</c:v>
                </c:pt>
                <c:pt idx="93">
                  <c:v>0.2</c:v>
                </c:pt>
                <c:pt idx="94">
                  <c:v>0.2</c:v>
                </c:pt>
                <c:pt idx="95">
                  <c:v>0.2</c:v>
                </c:pt>
                <c:pt idx="96">
                  <c:v>0.2</c:v>
                </c:pt>
                <c:pt idx="97">
                  <c:v>0.2</c:v>
                </c:pt>
                <c:pt idx="98">
                  <c:v>0.2</c:v>
                </c:pt>
                <c:pt idx="99">
                  <c:v>0.2</c:v>
                </c:pt>
                <c:pt idx="100">
                  <c:v>0.2</c:v>
                </c:pt>
                <c:pt idx="101">
                  <c:v>0.2</c:v>
                </c:pt>
                <c:pt idx="102">
                  <c:v>0.2</c:v>
                </c:pt>
                <c:pt idx="103">
                  <c:v>0.2</c:v>
                </c:pt>
                <c:pt idx="104">
                  <c:v>0.2</c:v>
                </c:pt>
                <c:pt idx="105">
                  <c:v>0.2</c:v>
                </c:pt>
                <c:pt idx="106">
                  <c:v>0.2</c:v>
                </c:pt>
                <c:pt idx="107">
                  <c:v>0.2</c:v>
                </c:pt>
                <c:pt idx="108">
                  <c:v>0.2</c:v>
                </c:pt>
                <c:pt idx="109">
                  <c:v>0.2</c:v>
                </c:pt>
                <c:pt idx="110">
                  <c:v>0.2</c:v>
                </c:pt>
                <c:pt idx="111">
                  <c:v>0.2</c:v>
                </c:pt>
                <c:pt idx="112">
                  <c:v>0.2</c:v>
                </c:pt>
                <c:pt idx="113">
                  <c:v>0.2</c:v>
                </c:pt>
                <c:pt idx="114">
                  <c:v>0.2</c:v>
                </c:pt>
                <c:pt idx="115">
                  <c:v>0.2</c:v>
                </c:pt>
                <c:pt idx="116">
                  <c:v>0.2</c:v>
                </c:pt>
                <c:pt idx="117">
                  <c:v>0.2</c:v>
                </c:pt>
                <c:pt idx="118">
                  <c:v>0.2</c:v>
                </c:pt>
                <c:pt idx="119">
                  <c:v>0.2</c:v>
                </c:pt>
                <c:pt idx="120">
                  <c:v>0.2</c:v>
                </c:pt>
                <c:pt idx="121">
                  <c:v>0.2</c:v>
                </c:pt>
                <c:pt idx="122">
                  <c:v>0.2</c:v>
                </c:pt>
                <c:pt idx="123">
                  <c:v>0.2</c:v>
                </c:pt>
                <c:pt idx="124">
                  <c:v>0.2</c:v>
                </c:pt>
                <c:pt idx="125">
                  <c:v>0.2</c:v>
                </c:pt>
                <c:pt idx="126">
                  <c:v>0.2</c:v>
                </c:pt>
                <c:pt idx="127">
                  <c:v>0.2</c:v>
                </c:pt>
                <c:pt idx="128">
                  <c:v>0.2</c:v>
                </c:pt>
                <c:pt idx="129">
                  <c:v>0.2</c:v>
                </c:pt>
                <c:pt idx="130">
                  <c:v>0.2</c:v>
                </c:pt>
                <c:pt idx="131">
                  <c:v>0.2</c:v>
                </c:pt>
                <c:pt idx="132">
                  <c:v>0.2</c:v>
                </c:pt>
                <c:pt idx="133">
                  <c:v>0.2</c:v>
                </c:pt>
                <c:pt idx="134">
                  <c:v>0.2</c:v>
                </c:pt>
                <c:pt idx="135">
                  <c:v>0.2</c:v>
                </c:pt>
                <c:pt idx="136">
                  <c:v>0.2</c:v>
                </c:pt>
                <c:pt idx="137">
                  <c:v>0.2</c:v>
                </c:pt>
                <c:pt idx="138">
                  <c:v>0.2</c:v>
                </c:pt>
                <c:pt idx="139">
                  <c:v>0.2</c:v>
                </c:pt>
                <c:pt idx="140">
                  <c:v>0.2</c:v>
                </c:pt>
                <c:pt idx="141">
                  <c:v>0.2</c:v>
                </c:pt>
                <c:pt idx="142">
                  <c:v>0.2</c:v>
                </c:pt>
                <c:pt idx="143">
                  <c:v>0.2</c:v>
                </c:pt>
                <c:pt idx="144">
                  <c:v>0.2</c:v>
                </c:pt>
                <c:pt idx="145">
                  <c:v>0.2</c:v>
                </c:pt>
                <c:pt idx="146">
                  <c:v>0.2</c:v>
                </c:pt>
                <c:pt idx="147">
                  <c:v>0.2</c:v>
                </c:pt>
                <c:pt idx="148">
                  <c:v>0.2</c:v>
                </c:pt>
                <c:pt idx="149">
                  <c:v>0.2</c:v>
                </c:pt>
                <c:pt idx="150">
                  <c:v>0.2</c:v>
                </c:pt>
                <c:pt idx="151">
                  <c:v>0.2</c:v>
                </c:pt>
                <c:pt idx="152">
                  <c:v>0.2</c:v>
                </c:pt>
                <c:pt idx="153">
                  <c:v>0.2</c:v>
                </c:pt>
                <c:pt idx="154">
                  <c:v>0.2</c:v>
                </c:pt>
                <c:pt idx="155">
                  <c:v>0.2</c:v>
                </c:pt>
                <c:pt idx="156">
                  <c:v>0.2</c:v>
                </c:pt>
                <c:pt idx="157">
                  <c:v>0.2</c:v>
                </c:pt>
                <c:pt idx="158">
                  <c:v>0.2</c:v>
                </c:pt>
                <c:pt idx="159">
                  <c:v>0.2</c:v>
                </c:pt>
                <c:pt idx="160">
                  <c:v>0.2</c:v>
                </c:pt>
                <c:pt idx="161">
                  <c:v>0.2</c:v>
                </c:pt>
                <c:pt idx="162">
                  <c:v>0.2</c:v>
                </c:pt>
                <c:pt idx="163">
                  <c:v>0.2</c:v>
                </c:pt>
                <c:pt idx="164">
                  <c:v>0.2</c:v>
                </c:pt>
                <c:pt idx="165">
                  <c:v>0.2</c:v>
                </c:pt>
                <c:pt idx="166">
                  <c:v>0.2</c:v>
                </c:pt>
                <c:pt idx="167">
                  <c:v>0.2</c:v>
                </c:pt>
                <c:pt idx="168">
                  <c:v>0.2</c:v>
                </c:pt>
                <c:pt idx="169">
                  <c:v>0.2</c:v>
                </c:pt>
                <c:pt idx="170">
                  <c:v>0.2</c:v>
                </c:pt>
                <c:pt idx="171">
                  <c:v>0.2</c:v>
                </c:pt>
                <c:pt idx="172">
                  <c:v>0.2</c:v>
                </c:pt>
                <c:pt idx="173">
                  <c:v>0.2</c:v>
                </c:pt>
                <c:pt idx="174">
                  <c:v>0.2</c:v>
                </c:pt>
                <c:pt idx="175">
                  <c:v>0.2</c:v>
                </c:pt>
                <c:pt idx="176">
                  <c:v>0.2</c:v>
                </c:pt>
                <c:pt idx="177">
                  <c:v>0.2</c:v>
                </c:pt>
                <c:pt idx="178">
                  <c:v>0.2</c:v>
                </c:pt>
                <c:pt idx="179">
                  <c:v>0.2</c:v>
                </c:pt>
                <c:pt idx="180">
                  <c:v>0.2</c:v>
                </c:pt>
                <c:pt idx="181">
                  <c:v>0.2</c:v>
                </c:pt>
                <c:pt idx="182">
                  <c:v>0.2</c:v>
                </c:pt>
                <c:pt idx="183">
                  <c:v>0.2</c:v>
                </c:pt>
                <c:pt idx="184">
                  <c:v>0.2</c:v>
                </c:pt>
                <c:pt idx="185">
                  <c:v>0.2</c:v>
                </c:pt>
                <c:pt idx="186">
                  <c:v>0.2</c:v>
                </c:pt>
                <c:pt idx="187">
                  <c:v>0.2</c:v>
                </c:pt>
                <c:pt idx="188">
                  <c:v>0.2</c:v>
                </c:pt>
                <c:pt idx="189">
                  <c:v>0.2</c:v>
                </c:pt>
                <c:pt idx="190">
                  <c:v>0.2</c:v>
                </c:pt>
                <c:pt idx="191">
                  <c:v>0.2</c:v>
                </c:pt>
                <c:pt idx="192">
                  <c:v>0.2</c:v>
                </c:pt>
                <c:pt idx="193">
                  <c:v>0.2</c:v>
                </c:pt>
                <c:pt idx="194">
                  <c:v>0.2</c:v>
                </c:pt>
                <c:pt idx="195">
                  <c:v>0.2</c:v>
                </c:pt>
                <c:pt idx="196">
                  <c:v>0.2</c:v>
                </c:pt>
                <c:pt idx="197">
                  <c:v>0.2</c:v>
                </c:pt>
                <c:pt idx="198">
                  <c:v>0.2</c:v>
                </c:pt>
                <c:pt idx="199">
                  <c:v>0.2</c:v>
                </c:pt>
                <c:pt idx="200">
                  <c:v>0.2</c:v>
                </c:pt>
                <c:pt idx="201">
                  <c:v>0.2</c:v>
                </c:pt>
                <c:pt idx="202">
                  <c:v>0.2</c:v>
                </c:pt>
                <c:pt idx="203">
                  <c:v>0.2</c:v>
                </c:pt>
                <c:pt idx="204">
                  <c:v>0.2</c:v>
                </c:pt>
                <c:pt idx="205">
                  <c:v>0.2</c:v>
                </c:pt>
                <c:pt idx="206">
                  <c:v>0.2</c:v>
                </c:pt>
                <c:pt idx="207">
                  <c:v>0.2</c:v>
                </c:pt>
                <c:pt idx="208">
                  <c:v>0.2</c:v>
                </c:pt>
                <c:pt idx="209">
                  <c:v>0.2</c:v>
                </c:pt>
                <c:pt idx="210">
                  <c:v>0.2</c:v>
                </c:pt>
                <c:pt idx="211">
                  <c:v>0.2</c:v>
                </c:pt>
                <c:pt idx="212">
                  <c:v>0.2</c:v>
                </c:pt>
                <c:pt idx="213">
                  <c:v>0.2</c:v>
                </c:pt>
                <c:pt idx="214">
                  <c:v>0.2</c:v>
                </c:pt>
                <c:pt idx="215">
                  <c:v>0.2</c:v>
                </c:pt>
                <c:pt idx="216">
                  <c:v>0.2</c:v>
                </c:pt>
                <c:pt idx="217">
                  <c:v>0.2</c:v>
                </c:pt>
                <c:pt idx="218">
                  <c:v>0.2</c:v>
                </c:pt>
                <c:pt idx="219">
                  <c:v>0.2</c:v>
                </c:pt>
                <c:pt idx="220">
                  <c:v>0.2</c:v>
                </c:pt>
                <c:pt idx="221">
                  <c:v>0.2</c:v>
                </c:pt>
                <c:pt idx="222">
                  <c:v>0.2</c:v>
                </c:pt>
              </c:numCache>
            </c:numRef>
          </c:val>
        </c:ser>
        <c:marker val="1"/>
        <c:axId val="262649344"/>
        <c:axId val="262650880"/>
      </c:lineChart>
      <c:dateAx>
        <c:axId val="262649344"/>
        <c:scaling>
          <c:orientation val="minMax"/>
        </c:scaling>
        <c:axPos val="b"/>
        <c:numFmt formatCode="dd/mm/yyyy" sourceLinked="0"/>
        <c:tickLblPos val="nextTo"/>
        <c:spPr>
          <a:ln w="3743">
            <a:solidFill>
              <a:srgbClr val="000000"/>
            </a:solidFill>
            <a:prstDash val="solid"/>
          </a:ln>
        </c:spPr>
        <c:txPr>
          <a:bodyPr rot="-5400000" vert="horz"/>
          <a:lstStyle/>
          <a:p>
            <a:pPr>
              <a:defRPr sz="619" b="0" i="0" u="none" strike="noStrike" baseline="0">
                <a:solidFill>
                  <a:srgbClr val="000000"/>
                </a:solidFill>
                <a:latin typeface="Arial"/>
                <a:ea typeface="Arial"/>
                <a:cs typeface="Arial"/>
              </a:defRPr>
            </a:pPr>
            <a:endParaRPr lang="es-ES"/>
          </a:p>
        </c:txPr>
        <c:crossAx val="262650880"/>
        <c:crosses val="autoZero"/>
        <c:auto val="1"/>
        <c:lblOffset val="100"/>
        <c:baseTimeUnit val="days"/>
        <c:majorUnit val="2"/>
        <c:majorTimeUnit val="months"/>
        <c:minorUnit val="1"/>
        <c:minorTimeUnit val="months"/>
      </c:dateAx>
      <c:valAx>
        <c:axId val="262650880"/>
        <c:scaling>
          <c:orientation val="minMax"/>
        </c:scaling>
        <c:axPos val="l"/>
        <c:numFmt formatCode="0.00%" sourceLinked="1"/>
        <c:tickLblPos val="nextTo"/>
        <c:spPr>
          <a:ln w="3743">
            <a:solidFill>
              <a:srgbClr val="000000"/>
            </a:solidFill>
            <a:prstDash val="solid"/>
          </a:ln>
        </c:spPr>
        <c:txPr>
          <a:bodyPr rot="0" vert="horz"/>
          <a:lstStyle/>
          <a:p>
            <a:pPr>
              <a:defRPr sz="619" b="0" i="0" u="none" strike="noStrike" baseline="0">
                <a:solidFill>
                  <a:srgbClr val="000000"/>
                </a:solidFill>
                <a:latin typeface="Arial"/>
                <a:ea typeface="Arial"/>
                <a:cs typeface="Arial"/>
              </a:defRPr>
            </a:pPr>
            <a:endParaRPr lang="es-ES"/>
          </a:p>
        </c:txPr>
        <c:crossAx val="262649344"/>
        <c:crosses val="autoZero"/>
        <c:crossBetween val="between"/>
      </c:valAx>
      <c:spPr>
        <a:solidFill>
          <a:srgbClr val="C0C0C0"/>
        </a:solidFill>
        <a:ln w="3743">
          <a:solidFill>
            <a:srgbClr val="000000"/>
          </a:solidFill>
          <a:prstDash val="solid"/>
        </a:ln>
      </c:spPr>
    </c:plotArea>
    <c:legend>
      <c:legendPos val="t"/>
      <c:layout>
        <c:manualLayout>
          <c:xMode val="edge"/>
          <c:yMode val="edge"/>
          <c:x val="0"/>
          <c:y val="0"/>
          <c:w val="0.34243697478991614"/>
          <c:h val="0.18303571428571427"/>
        </c:manualLayout>
      </c:layout>
      <c:spPr>
        <a:solidFill>
          <a:srgbClr val="C0C0C0"/>
        </a:solidFill>
        <a:ln w="3743">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743">
      <a:solidFill>
        <a:srgbClr val="000000"/>
      </a:solidFill>
      <a:prstDash val="solid"/>
    </a:ln>
  </c:spPr>
  <c:txPr>
    <a:bodyPr/>
    <a:lstStyle/>
    <a:p>
      <a:pPr>
        <a:defRPr sz="1208"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8" b="1" i="0" u="none" strike="noStrike" baseline="0">
                <a:solidFill>
                  <a:srgbClr val="000000"/>
                </a:solidFill>
                <a:latin typeface="Arial"/>
                <a:ea typeface="Arial"/>
                <a:cs typeface="Arial"/>
              </a:defRPr>
            </a:pPr>
            <a:r>
              <a:t>MEDIA MÓVIL IPECU</a:t>
            </a:r>
          </a:p>
        </c:rich>
      </c:tx>
      <c:layout>
        <c:manualLayout>
          <c:xMode val="edge"/>
          <c:yMode val="edge"/>
          <c:x val="0.38836265223274719"/>
          <c:y val="1.9083969465648862E-2"/>
        </c:manualLayout>
      </c:layout>
      <c:spPr>
        <a:noFill/>
        <a:ln w="24510">
          <a:noFill/>
        </a:ln>
      </c:spPr>
    </c:title>
    <c:plotArea>
      <c:layout>
        <c:manualLayout>
          <c:layoutTarget val="inner"/>
          <c:xMode val="edge"/>
          <c:yMode val="edge"/>
          <c:x val="7.1718538565629222E-2"/>
          <c:y val="0.23664122137404581"/>
          <c:w val="0.90121786197564246"/>
          <c:h val="0.51908396946564839"/>
        </c:manualLayout>
      </c:layout>
      <c:lineChart>
        <c:grouping val="standard"/>
        <c:ser>
          <c:idx val="0"/>
          <c:order val="0"/>
          <c:tx>
            <c:strRef>
              <c:f>'ipecuMM5-50'!$F$11</c:f>
              <c:strCache>
                <c:ptCount val="1"/>
                <c:pt idx="0">
                  <c:v>MM5</c:v>
                </c:pt>
              </c:strCache>
            </c:strRef>
          </c:tx>
          <c:spPr>
            <a:ln w="12255">
              <a:solidFill>
                <a:srgbClr val="000080"/>
              </a:solidFill>
              <a:prstDash val="solid"/>
            </a:ln>
          </c:spPr>
          <c:marker>
            <c:symbol val="none"/>
          </c:marker>
          <c:cat>
            <c:numRef>
              <c:f>'ipecuMM5-50'!$D$12:$D$284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'ipecuMM5-50'!$F$61:$F$284</c:f>
              <c:numCache>
                <c:formatCode>##0.00</c:formatCode>
                <c:ptCount val="224"/>
                <c:pt idx="0">
                  <c:v>78.144020000000026</c:v>
                </c:pt>
                <c:pt idx="1">
                  <c:v>78.323859999999982</c:v>
                </c:pt>
                <c:pt idx="2">
                  <c:v>78.593499999999992</c:v>
                </c:pt>
                <c:pt idx="3">
                  <c:v>79.033940000000001</c:v>
                </c:pt>
                <c:pt idx="4">
                  <c:v>79.509680000000003</c:v>
                </c:pt>
                <c:pt idx="5">
                  <c:v>80.298439999999999</c:v>
                </c:pt>
                <c:pt idx="6">
                  <c:v>81.11305999999999</c:v>
                </c:pt>
                <c:pt idx="7">
                  <c:v>81.797100000000029</c:v>
                </c:pt>
                <c:pt idx="8">
                  <c:v>82.0167</c:v>
                </c:pt>
                <c:pt idx="9">
                  <c:v>82.240920000000031</c:v>
                </c:pt>
                <c:pt idx="10">
                  <c:v>82.158079999999984</c:v>
                </c:pt>
                <c:pt idx="11">
                  <c:v>81.876200000000011</c:v>
                </c:pt>
                <c:pt idx="12">
                  <c:v>81.644840000000002</c:v>
                </c:pt>
                <c:pt idx="13">
                  <c:v>81.465239999999994</c:v>
                </c:pt>
                <c:pt idx="14">
                  <c:v>81.122879999999938</c:v>
                </c:pt>
                <c:pt idx="15">
                  <c:v>80.769080000000002</c:v>
                </c:pt>
                <c:pt idx="16">
                  <c:v>81.245840000000001</c:v>
                </c:pt>
                <c:pt idx="17">
                  <c:v>81.365000000000009</c:v>
                </c:pt>
                <c:pt idx="18">
                  <c:v>80.254920000000027</c:v>
                </c:pt>
                <c:pt idx="19">
                  <c:v>79.370359999999977</c:v>
                </c:pt>
                <c:pt idx="20">
                  <c:v>78.507080000000002</c:v>
                </c:pt>
                <c:pt idx="21">
                  <c:v>76.947260000000057</c:v>
                </c:pt>
                <c:pt idx="22">
                  <c:v>75.898620000000022</c:v>
                </c:pt>
                <c:pt idx="23">
                  <c:v>76.142179999999982</c:v>
                </c:pt>
                <c:pt idx="24">
                  <c:v>76.752800000000008</c:v>
                </c:pt>
                <c:pt idx="25">
                  <c:v>77.013959999999997</c:v>
                </c:pt>
                <c:pt idx="26">
                  <c:v>77.379399999999976</c:v>
                </c:pt>
                <c:pt idx="27">
                  <c:v>77.749539999999996</c:v>
                </c:pt>
                <c:pt idx="28">
                  <c:v>78.272699999999986</c:v>
                </c:pt>
                <c:pt idx="29">
                  <c:v>78.580319999999986</c:v>
                </c:pt>
                <c:pt idx="30">
                  <c:v>79.271439999999998</c:v>
                </c:pt>
                <c:pt idx="31">
                  <c:v>79.441820000000035</c:v>
                </c:pt>
                <c:pt idx="32">
                  <c:v>79.78479999999999</c:v>
                </c:pt>
                <c:pt idx="33">
                  <c:v>79.774180000000001</c:v>
                </c:pt>
                <c:pt idx="34">
                  <c:v>79.3673</c:v>
                </c:pt>
                <c:pt idx="35">
                  <c:v>79.30510000000001</c:v>
                </c:pt>
                <c:pt idx="36">
                  <c:v>79.577480000000008</c:v>
                </c:pt>
                <c:pt idx="37">
                  <c:v>79.597240000000042</c:v>
                </c:pt>
                <c:pt idx="38">
                  <c:v>79.688659999999999</c:v>
                </c:pt>
                <c:pt idx="39">
                  <c:v>80.040640000000025</c:v>
                </c:pt>
                <c:pt idx="40">
                  <c:v>80.917140000000046</c:v>
                </c:pt>
                <c:pt idx="41">
                  <c:v>81.865980000000008</c:v>
                </c:pt>
                <c:pt idx="42">
                  <c:v>82.630759999999981</c:v>
                </c:pt>
                <c:pt idx="43">
                  <c:v>84.237420000000029</c:v>
                </c:pt>
                <c:pt idx="44">
                  <c:v>84.67983999999997</c:v>
                </c:pt>
                <c:pt idx="45">
                  <c:v>84.50818000000001</c:v>
                </c:pt>
                <c:pt idx="46">
                  <c:v>84.451139999999995</c:v>
                </c:pt>
                <c:pt idx="47">
                  <c:v>84.619159999999994</c:v>
                </c:pt>
                <c:pt idx="48">
                  <c:v>86.329239999999999</c:v>
                </c:pt>
                <c:pt idx="49">
                  <c:v>88.276120000000006</c:v>
                </c:pt>
                <c:pt idx="50">
                  <c:v>89.898960000000002</c:v>
                </c:pt>
                <c:pt idx="51">
                  <c:v>91.4268</c:v>
                </c:pt>
                <c:pt idx="52">
                  <c:v>93.241800000000012</c:v>
                </c:pt>
                <c:pt idx="53">
                  <c:v>92.701939999999993</c:v>
                </c:pt>
                <c:pt idx="54">
                  <c:v>92.216220000000021</c:v>
                </c:pt>
                <c:pt idx="55">
                  <c:v>91.742800000000003</c:v>
                </c:pt>
                <c:pt idx="56">
                  <c:v>91.103879999999975</c:v>
                </c:pt>
                <c:pt idx="57">
                  <c:v>90.248440000000002</c:v>
                </c:pt>
                <c:pt idx="58">
                  <c:v>89.447300000000027</c:v>
                </c:pt>
                <c:pt idx="59">
                  <c:v>89.673659999999998</c:v>
                </c:pt>
                <c:pt idx="60">
                  <c:v>90.110140000000001</c:v>
                </c:pt>
                <c:pt idx="61">
                  <c:v>90.410579999999996</c:v>
                </c:pt>
                <c:pt idx="62">
                  <c:v>90.798699999999997</c:v>
                </c:pt>
                <c:pt idx="63">
                  <c:v>90.519239999999996</c:v>
                </c:pt>
                <c:pt idx="64">
                  <c:v>90.085059999999984</c:v>
                </c:pt>
                <c:pt idx="65">
                  <c:v>89.518080000000012</c:v>
                </c:pt>
                <c:pt idx="66">
                  <c:v>89.497700000000023</c:v>
                </c:pt>
                <c:pt idx="67">
                  <c:v>89.055679999999981</c:v>
                </c:pt>
                <c:pt idx="68">
                  <c:v>89.669280000000001</c:v>
                </c:pt>
                <c:pt idx="69">
                  <c:v>90.305799999999977</c:v>
                </c:pt>
                <c:pt idx="70">
                  <c:v>90.716480000000004</c:v>
                </c:pt>
                <c:pt idx="71">
                  <c:v>90.929600000000022</c:v>
                </c:pt>
                <c:pt idx="72">
                  <c:v>92.07419999999999</c:v>
                </c:pt>
                <c:pt idx="73">
                  <c:v>92.198260000000005</c:v>
                </c:pt>
                <c:pt idx="74">
                  <c:v>92.274019999999993</c:v>
                </c:pt>
                <c:pt idx="75">
                  <c:v>92.370039999999989</c:v>
                </c:pt>
                <c:pt idx="76">
                  <c:v>91.616439999999983</c:v>
                </c:pt>
                <c:pt idx="77">
                  <c:v>90.7483</c:v>
                </c:pt>
                <c:pt idx="78">
                  <c:v>90.486599999999996</c:v>
                </c:pt>
                <c:pt idx="79">
                  <c:v>90.226160000000007</c:v>
                </c:pt>
                <c:pt idx="80">
                  <c:v>90.44158000000003</c:v>
                </c:pt>
                <c:pt idx="81">
                  <c:v>91.470039999999983</c:v>
                </c:pt>
                <c:pt idx="82">
                  <c:v>91.879399999999976</c:v>
                </c:pt>
                <c:pt idx="83">
                  <c:v>92.164519999999996</c:v>
                </c:pt>
                <c:pt idx="84">
                  <c:v>92.932559999999995</c:v>
                </c:pt>
                <c:pt idx="85">
                  <c:v>93.056039999999982</c:v>
                </c:pt>
                <c:pt idx="86">
                  <c:v>93.087720000000004</c:v>
                </c:pt>
                <c:pt idx="87">
                  <c:v>92.776719999999983</c:v>
                </c:pt>
                <c:pt idx="88">
                  <c:v>92.933279999999996</c:v>
                </c:pt>
                <c:pt idx="89">
                  <c:v>92.778779999999969</c:v>
                </c:pt>
                <c:pt idx="90">
                  <c:v>93.124980000000008</c:v>
                </c:pt>
                <c:pt idx="91">
                  <c:v>93.082919999999987</c:v>
                </c:pt>
                <c:pt idx="92">
                  <c:v>93.800919999999991</c:v>
                </c:pt>
                <c:pt idx="93">
                  <c:v>94.355179999999976</c:v>
                </c:pt>
                <c:pt idx="94">
                  <c:v>94.907079999999993</c:v>
                </c:pt>
                <c:pt idx="95">
                  <c:v>95.498920000000027</c:v>
                </c:pt>
                <c:pt idx="96">
                  <c:v>96.568179999999998</c:v>
                </c:pt>
                <c:pt idx="97">
                  <c:v>97.823059999999998</c:v>
                </c:pt>
                <c:pt idx="98">
                  <c:v>98.882479999999973</c:v>
                </c:pt>
                <c:pt idx="99">
                  <c:v>100.10481999999999</c:v>
                </c:pt>
                <c:pt idx="100">
                  <c:v>101.21844</c:v>
                </c:pt>
                <c:pt idx="101">
                  <c:v>102.44702000000004</c:v>
                </c:pt>
                <c:pt idx="102">
                  <c:v>103.25644</c:v>
                </c:pt>
                <c:pt idx="103">
                  <c:v>103.97872</c:v>
                </c:pt>
                <c:pt idx="104">
                  <c:v>104.52419999999999</c:v>
                </c:pt>
                <c:pt idx="105">
                  <c:v>105.09320000000002</c:v>
                </c:pt>
                <c:pt idx="106">
                  <c:v>106.15656000000001</c:v>
                </c:pt>
                <c:pt idx="107">
                  <c:v>107.92013999999999</c:v>
                </c:pt>
                <c:pt idx="108">
                  <c:v>110.42092000000002</c:v>
                </c:pt>
                <c:pt idx="109">
                  <c:v>113.36566000000002</c:v>
                </c:pt>
                <c:pt idx="110">
                  <c:v>117.10424</c:v>
                </c:pt>
                <c:pt idx="111">
                  <c:v>121.54764000000003</c:v>
                </c:pt>
                <c:pt idx="112">
                  <c:v>124.65650000000001</c:v>
                </c:pt>
                <c:pt idx="113">
                  <c:v>126.07102</c:v>
                </c:pt>
                <c:pt idx="114">
                  <c:v>126.47929999999999</c:v>
                </c:pt>
                <c:pt idx="115">
                  <c:v>125.76253999999999</c:v>
                </c:pt>
                <c:pt idx="116">
                  <c:v>123.527</c:v>
                </c:pt>
                <c:pt idx="117">
                  <c:v>121.91222000000003</c:v>
                </c:pt>
                <c:pt idx="118">
                  <c:v>121.37521999999998</c:v>
                </c:pt>
                <c:pt idx="119">
                  <c:v>121.57932000000001</c:v>
                </c:pt>
                <c:pt idx="120">
                  <c:v>122.09582</c:v>
                </c:pt>
                <c:pt idx="121">
                  <c:v>123.05137999999998</c:v>
                </c:pt>
                <c:pt idx="122">
                  <c:v>123.77505999999998</c:v>
                </c:pt>
                <c:pt idx="123">
                  <c:v>124.47006000000002</c:v>
                </c:pt>
                <c:pt idx="124">
                  <c:v>123.7137</c:v>
                </c:pt>
                <c:pt idx="125">
                  <c:v>123.72832000000001</c:v>
                </c:pt>
                <c:pt idx="126">
                  <c:v>123.38136</c:v>
                </c:pt>
                <c:pt idx="127">
                  <c:v>122.88647999999998</c:v>
                </c:pt>
                <c:pt idx="128">
                  <c:v>122.53152000000003</c:v>
                </c:pt>
                <c:pt idx="129">
                  <c:v>123.15629999999999</c:v>
                </c:pt>
                <c:pt idx="130">
                  <c:v>122.77640000000001</c:v>
                </c:pt>
                <c:pt idx="131">
                  <c:v>123.10168000000002</c:v>
                </c:pt>
                <c:pt idx="132">
                  <c:v>123.72226000000002</c:v>
                </c:pt>
                <c:pt idx="133">
                  <c:v>124.36015999999999</c:v>
                </c:pt>
                <c:pt idx="134">
                  <c:v>125.74228000000002</c:v>
                </c:pt>
                <c:pt idx="135">
                  <c:v>126.95392000000002</c:v>
                </c:pt>
                <c:pt idx="136">
                  <c:v>127.49910000000003</c:v>
                </c:pt>
                <c:pt idx="137">
                  <c:v>128.11812</c:v>
                </c:pt>
                <c:pt idx="138">
                  <c:v>128.44457999999995</c:v>
                </c:pt>
                <c:pt idx="139">
                  <c:v>128.88680000000005</c:v>
                </c:pt>
                <c:pt idx="140">
                  <c:v>128.70148</c:v>
                </c:pt>
                <c:pt idx="141">
                  <c:v>129.3776</c:v>
                </c:pt>
                <c:pt idx="142">
                  <c:v>129.96802000000002</c:v>
                </c:pt>
                <c:pt idx="143">
                  <c:v>130.65726000000001</c:v>
                </c:pt>
                <c:pt idx="144">
                  <c:v>130.46802000000005</c:v>
                </c:pt>
                <c:pt idx="145">
                  <c:v>131.42008000000001</c:v>
                </c:pt>
                <c:pt idx="146">
                  <c:v>131.52696</c:v>
                </c:pt>
                <c:pt idx="147">
                  <c:v>131.64267999999998</c:v>
                </c:pt>
                <c:pt idx="148">
                  <c:v>131.81784000000005</c:v>
                </c:pt>
                <c:pt idx="149">
                  <c:v>132.15004000000008</c:v>
                </c:pt>
                <c:pt idx="150">
                  <c:v>132.42474000000001</c:v>
                </c:pt>
                <c:pt idx="151">
                  <c:v>132.66538</c:v>
                </c:pt>
                <c:pt idx="152">
                  <c:v>133.08972</c:v>
                </c:pt>
                <c:pt idx="153">
                  <c:v>133.92216000000005</c:v>
                </c:pt>
                <c:pt idx="154">
                  <c:v>134.53982000000002</c:v>
                </c:pt>
                <c:pt idx="155">
                  <c:v>135.66548</c:v>
                </c:pt>
                <c:pt idx="156">
                  <c:v>136.89680000000001</c:v>
                </c:pt>
                <c:pt idx="157">
                  <c:v>138.09084000000001</c:v>
                </c:pt>
                <c:pt idx="158">
                  <c:v>138.92462</c:v>
                </c:pt>
                <c:pt idx="159">
                  <c:v>140.41726</c:v>
                </c:pt>
                <c:pt idx="160">
                  <c:v>140.80842000000007</c:v>
                </c:pt>
                <c:pt idx="161">
                  <c:v>140.77132</c:v>
                </c:pt>
                <c:pt idx="162">
                  <c:v>140.97742000000005</c:v>
                </c:pt>
                <c:pt idx="163">
                  <c:v>141.23104000000001</c:v>
                </c:pt>
                <c:pt idx="164">
                  <c:v>140.93614000000005</c:v>
                </c:pt>
                <c:pt idx="165">
                  <c:v>141.00128000000001</c:v>
                </c:pt>
                <c:pt idx="166">
                  <c:v>141.80740000000003</c:v>
                </c:pt>
                <c:pt idx="167">
                  <c:v>142.24265999999997</c:v>
                </c:pt>
                <c:pt idx="168">
                  <c:v>142.65742000000003</c:v>
                </c:pt>
                <c:pt idx="169">
                  <c:v>143.81395999999998</c:v>
                </c:pt>
                <c:pt idx="170">
                  <c:v>145.03475999999998</c:v>
                </c:pt>
                <c:pt idx="171">
                  <c:v>146.11681999999999</c:v>
                </c:pt>
                <c:pt idx="172">
                  <c:v>147.15778</c:v>
                </c:pt>
                <c:pt idx="173">
                  <c:v>148.02626000000001</c:v>
                </c:pt>
                <c:pt idx="174">
                  <c:v>148.29114000000001</c:v>
                </c:pt>
                <c:pt idx="175">
                  <c:v>148.82638000000006</c:v>
                </c:pt>
                <c:pt idx="176">
                  <c:v>149.07594</c:v>
                </c:pt>
                <c:pt idx="177">
                  <c:v>149.2928</c:v>
                </c:pt>
                <c:pt idx="178">
                  <c:v>149.6549</c:v>
                </c:pt>
                <c:pt idx="179">
                  <c:v>150.08230000000006</c:v>
                </c:pt>
                <c:pt idx="180">
                  <c:v>150.79404</c:v>
                </c:pt>
                <c:pt idx="181">
                  <c:v>152.03818000000001</c:v>
                </c:pt>
                <c:pt idx="182">
                  <c:v>153.28638000000001</c:v>
                </c:pt>
                <c:pt idx="183">
                  <c:v>154.66495999999998</c:v>
                </c:pt>
                <c:pt idx="184">
                  <c:v>155.74287999999999</c:v>
                </c:pt>
                <c:pt idx="185">
                  <c:v>156.33226000000005</c:v>
                </c:pt>
                <c:pt idx="186">
                  <c:v>156.57321999999999</c:v>
                </c:pt>
                <c:pt idx="187">
                  <c:v>156.92555999999999</c:v>
                </c:pt>
                <c:pt idx="188">
                  <c:v>157.30864000000005</c:v>
                </c:pt>
                <c:pt idx="189">
                  <c:v>157.98028000000005</c:v>
                </c:pt>
                <c:pt idx="190">
                  <c:v>159.48374000000001</c:v>
                </c:pt>
                <c:pt idx="191">
                  <c:v>161.68714000000006</c:v>
                </c:pt>
                <c:pt idx="192">
                  <c:v>164.39152000000001</c:v>
                </c:pt>
                <c:pt idx="193">
                  <c:v>167.42440000000005</c:v>
                </c:pt>
                <c:pt idx="194">
                  <c:v>171.11907999999994</c:v>
                </c:pt>
                <c:pt idx="195">
                  <c:v>174.15812000000005</c:v>
                </c:pt>
                <c:pt idx="196">
                  <c:v>176.44430000000003</c:v>
                </c:pt>
                <c:pt idx="197">
                  <c:v>178.31202000000008</c:v>
                </c:pt>
                <c:pt idx="198">
                  <c:v>179.54977999999994</c:v>
                </c:pt>
                <c:pt idx="199">
                  <c:v>179.87305999999998</c:v>
                </c:pt>
                <c:pt idx="200">
                  <c:v>180.23389999999998</c:v>
                </c:pt>
                <c:pt idx="201">
                  <c:v>181.23379999999995</c:v>
                </c:pt>
                <c:pt idx="202">
                  <c:v>181.80172000000005</c:v>
                </c:pt>
                <c:pt idx="203">
                  <c:v>181.82830000000007</c:v>
                </c:pt>
                <c:pt idx="204">
                  <c:v>181.8623400000001</c:v>
                </c:pt>
                <c:pt idx="205">
                  <c:v>181.56375999999995</c:v>
                </c:pt>
                <c:pt idx="206">
                  <c:v>180.72935999999999</c:v>
                </c:pt>
                <c:pt idx="207">
                  <c:v>180.13862</c:v>
                </c:pt>
                <c:pt idx="208">
                  <c:v>180.20940000000002</c:v>
                </c:pt>
                <c:pt idx="209">
                  <c:v>180.21825999999999</c:v>
                </c:pt>
                <c:pt idx="210">
                  <c:v>180.34957999999995</c:v>
                </c:pt>
                <c:pt idx="211">
                  <c:v>180.14592000000002</c:v>
                </c:pt>
                <c:pt idx="212">
                  <c:v>180.02190000000004</c:v>
                </c:pt>
                <c:pt idx="213">
                  <c:v>179.76932000000002</c:v>
                </c:pt>
                <c:pt idx="214">
                  <c:v>179.65415999999999</c:v>
                </c:pt>
                <c:pt idx="215">
                  <c:v>179.48142000000007</c:v>
                </c:pt>
                <c:pt idx="216">
                  <c:v>179.32850000000008</c:v>
                </c:pt>
                <c:pt idx="217">
                  <c:v>179.10074</c:v>
                </c:pt>
                <c:pt idx="218">
                  <c:v>179.20381999999998</c:v>
                </c:pt>
                <c:pt idx="219">
                  <c:v>180.64704</c:v>
                </c:pt>
                <c:pt idx="220">
                  <c:v>182.29325999999998</c:v>
                </c:pt>
                <c:pt idx="221">
                  <c:v>184.56422000000003</c:v>
                </c:pt>
                <c:pt idx="222">
                  <c:v>187.51784000000001</c:v>
                </c:pt>
                <c:pt idx="223">
                  <c:v>190.76995999999997</c:v>
                </c:pt>
              </c:numCache>
            </c:numRef>
          </c:val>
        </c:ser>
        <c:ser>
          <c:idx val="1"/>
          <c:order val="1"/>
          <c:tx>
            <c:strRef>
              <c:f>'ipecuMM5-50'!$G$11</c:f>
              <c:strCache>
                <c:ptCount val="1"/>
                <c:pt idx="0">
                  <c:v>MM50</c:v>
                </c:pt>
              </c:strCache>
            </c:strRef>
          </c:tx>
          <c:spPr>
            <a:ln w="12255">
              <a:solidFill>
                <a:srgbClr val="FF00FF"/>
              </a:solidFill>
              <a:prstDash val="solid"/>
            </a:ln>
          </c:spPr>
          <c:marker>
            <c:symbol val="square"/>
            <c:size val="2"/>
            <c:spPr>
              <a:noFill/>
              <a:ln>
                <a:solidFill>
                  <a:srgbClr val="FFFFFF"/>
                </a:solidFill>
                <a:prstDash val="solid"/>
              </a:ln>
            </c:spPr>
          </c:marker>
          <c:cat>
            <c:numRef>
              <c:f>'ipecuMM5-50'!$D$12:$D$284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'ipecuMM5-50'!$G$61:$G$284</c:f>
              <c:numCache>
                <c:formatCode>##0.00</c:formatCode>
                <c:ptCount val="224"/>
                <c:pt idx="0">
                  <c:v>66.972196086956515</c:v>
                </c:pt>
                <c:pt idx="1">
                  <c:v>67.213720851063854</c:v>
                </c:pt>
                <c:pt idx="2">
                  <c:v>67.450799583333364</c:v>
                </c:pt>
                <c:pt idx="3">
                  <c:v>67.687190204081659</c:v>
                </c:pt>
                <c:pt idx="4">
                  <c:v>67.92364000000002</c:v>
                </c:pt>
                <c:pt idx="5">
                  <c:v>68.353177200000019</c:v>
                </c:pt>
                <c:pt idx="6">
                  <c:v>68.783992000000012</c:v>
                </c:pt>
                <c:pt idx="7">
                  <c:v>69.229343600000036</c:v>
                </c:pt>
                <c:pt idx="8">
                  <c:v>69.680975200000006</c:v>
                </c:pt>
                <c:pt idx="9">
                  <c:v>70.150295600000021</c:v>
                </c:pt>
                <c:pt idx="10">
                  <c:v>70.619497600000031</c:v>
                </c:pt>
                <c:pt idx="11">
                  <c:v>71.08449760000002</c:v>
                </c:pt>
                <c:pt idx="12">
                  <c:v>71.530435200000014</c:v>
                </c:pt>
                <c:pt idx="13">
                  <c:v>71.958345600000015</c:v>
                </c:pt>
                <c:pt idx="14">
                  <c:v>72.367640000000023</c:v>
                </c:pt>
                <c:pt idx="15">
                  <c:v>72.771042800000018</c:v>
                </c:pt>
                <c:pt idx="16">
                  <c:v>73.184393600000035</c:v>
                </c:pt>
                <c:pt idx="17">
                  <c:v>73.602793600000012</c:v>
                </c:pt>
                <c:pt idx="18">
                  <c:v>74.001658000000035</c:v>
                </c:pt>
                <c:pt idx="19">
                  <c:v>74.385497199999989</c:v>
                </c:pt>
                <c:pt idx="20">
                  <c:v>74.763594000000026</c:v>
                </c:pt>
                <c:pt idx="21">
                  <c:v>75.119209200000029</c:v>
                </c:pt>
                <c:pt idx="22">
                  <c:v>75.459811200000004</c:v>
                </c:pt>
                <c:pt idx="23">
                  <c:v>75.804724399999998</c:v>
                </c:pt>
                <c:pt idx="24">
                  <c:v>76.160445999999979</c:v>
                </c:pt>
                <c:pt idx="25">
                  <c:v>76.519551600000042</c:v>
                </c:pt>
                <c:pt idx="26">
                  <c:v>76.887809600000026</c:v>
                </c:pt>
                <c:pt idx="27">
                  <c:v>77.257739200000017</c:v>
                </c:pt>
                <c:pt idx="28">
                  <c:v>77.638276799999986</c:v>
                </c:pt>
                <c:pt idx="29">
                  <c:v>78.015894400000022</c:v>
                </c:pt>
                <c:pt idx="30">
                  <c:v>71.785497500000048</c:v>
                </c:pt>
                <c:pt idx="31">
                  <c:v>72.053271250000051</c:v>
                </c:pt>
                <c:pt idx="32">
                  <c:v>72.336787500000028</c:v>
                </c:pt>
                <c:pt idx="33">
                  <c:v>72.610782500000028</c:v>
                </c:pt>
                <c:pt idx="34">
                  <c:v>72.82641500000004</c:v>
                </c:pt>
                <c:pt idx="35">
                  <c:v>73.065717500000019</c:v>
                </c:pt>
                <c:pt idx="36">
                  <c:v>73.303593750000033</c:v>
                </c:pt>
                <c:pt idx="37">
                  <c:v>73.591020000000071</c:v>
                </c:pt>
                <c:pt idx="38">
                  <c:v>73.876628750000009</c:v>
                </c:pt>
                <c:pt idx="39">
                  <c:v>74.155523750000029</c:v>
                </c:pt>
                <c:pt idx="40">
                  <c:v>74.454415000000026</c:v>
                </c:pt>
                <c:pt idx="41">
                  <c:v>74.756080000000011</c:v>
                </c:pt>
                <c:pt idx="42">
                  <c:v>75.046195000000068</c:v>
                </c:pt>
                <c:pt idx="43">
                  <c:v>75.387110000000021</c:v>
                </c:pt>
                <c:pt idx="44">
                  <c:v>75.656878749999976</c:v>
                </c:pt>
                <c:pt idx="45">
                  <c:v>75.948742500000009</c:v>
                </c:pt>
                <c:pt idx="46">
                  <c:v>76.248132500000011</c:v>
                </c:pt>
                <c:pt idx="47">
                  <c:v>76.557080000000013</c:v>
                </c:pt>
                <c:pt idx="48">
                  <c:v>77.013206250000025</c:v>
                </c:pt>
                <c:pt idx="49">
                  <c:v>77.412986250000017</c:v>
                </c:pt>
                <c:pt idx="50">
                  <c:v>77.842287500000012</c:v>
                </c:pt>
                <c:pt idx="51">
                  <c:v>78.264401250000006</c:v>
                </c:pt>
                <c:pt idx="52">
                  <c:v>78.705410000000001</c:v>
                </c:pt>
                <c:pt idx="53">
                  <c:v>79.126044999999962</c:v>
                </c:pt>
                <c:pt idx="54">
                  <c:v>79.491079999999997</c:v>
                </c:pt>
                <c:pt idx="55">
                  <c:v>79.885044999999948</c:v>
                </c:pt>
                <c:pt idx="56">
                  <c:v>80.272987499999942</c:v>
                </c:pt>
                <c:pt idx="57">
                  <c:v>80.642621249999976</c:v>
                </c:pt>
                <c:pt idx="58">
                  <c:v>81.013637499999987</c:v>
                </c:pt>
                <c:pt idx="59">
                  <c:v>81.364468749999986</c:v>
                </c:pt>
                <c:pt idx="60">
                  <c:v>81.672698749999938</c:v>
                </c:pt>
                <c:pt idx="61">
                  <c:v>81.934213750000026</c:v>
                </c:pt>
                <c:pt idx="62">
                  <c:v>82.208139999999972</c:v>
                </c:pt>
                <c:pt idx="63">
                  <c:v>82.406976249999985</c:v>
                </c:pt>
                <c:pt idx="64">
                  <c:v>82.521609999999995</c:v>
                </c:pt>
                <c:pt idx="65">
                  <c:v>82.636701249999959</c:v>
                </c:pt>
                <c:pt idx="66">
                  <c:v>82.722741249999956</c:v>
                </c:pt>
                <c:pt idx="67">
                  <c:v>82.820852499999958</c:v>
                </c:pt>
                <c:pt idx="68">
                  <c:v>82.957548749999987</c:v>
                </c:pt>
                <c:pt idx="69">
                  <c:v>83.096620000000016</c:v>
                </c:pt>
                <c:pt idx="70">
                  <c:v>83.233312499999982</c:v>
                </c:pt>
                <c:pt idx="71">
                  <c:v>83.387222499999993</c:v>
                </c:pt>
                <c:pt idx="72">
                  <c:v>83.582842499999956</c:v>
                </c:pt>
                <c:pt idx="73">
                  <c:v>83.745374999999981</c:v>
                </c:pt>
                <c:pt idx="74">
                  <c:v>83.913437499999972</c:v>
                </c:pt>
                <c:pt idx="75">
                  <c:v>84.078063749999984</c:v>
                </c:pt>
                <c:pt idx="76">
                  <c:v>84.200439999999986</c:v>
                </c:pt>
                <c:pt idx="77">
                  <c:v>84.365479999999948</c:v>
                </c:pt>
                <c:pt idx="78">
                  <c:v>84.514862499999992</c:v>
                </c:pt>
                <c:pt idx="79">
                  <c:v>84.670111249999948</c:v>
                </c:pt>
                <c:pt idx="80">
                  <c:v>84.846661249999997</c:v>
                </c:pt>
                <c:pt idx="81">
                  <c:v>85.022076249999969</c:v>
                </c:pt>
                <c:pt idx="82">
                  <c:v>85.195848749999953</c:v>
                </c:pt>
                <c:pt idx="83">
                  <c:v>85.335523749999993</c:v>
                </c:pt>
                <c:pt idx="84">
                  <c:v>85.509041249999981</c:v>
                </c:pt>
                <c:pt idx="85">
                  <c:v>85.644011249999991</c:v>
                </c:pt>
                <c:pt idx="86">
                  <c:v>85.770492499999989</c:v>
                </c:pt>
                <c:pt idx="87">
                  <c:v>85.882074999999958</c:v>
                </c:pt>
                <c:pt idx="88">
                  <c:v>86.017809999999997</c:v>
                </c:pt>
                <c:pt idx="89">
                  <c:v>86.16765749999999</c:v>
                </c:pt>
                <c:pt idx="90">
                  <c:v>86.329442499999956</c:v>
                </c:pt>
                <c:pt idx="91">
                  <c:v>86.470912499999969</c:v>
                </c:pt>
                <c:pt idx="92">
                  <c:v>86.641830000000013</c:v>
                </c:pt>
                <c:pt idx="93">
                  <c:v>86.823431249999956</c:v>
                </c:pt>
                <c:pt idx="94">
                  <c:v>87.029169999999993</c:v>
                </c:pt>
                <c:pt idx="95">
                  <c:v>87.250057499999983</c:v>
                </c:pt>
                <c:pt idx="96">
                  <c:v>87.428558749999979</c:v>
                </c:pt>
                <c:pt idx="97">
                  <c:v>87.670458749999938</c:v>
                </c:pt>
                <c:pt idx="98">
                  <c:v>87.987653750000021</c:v>
                </c:pt>
                <c:pt idx="99">
                  <c:v>88.325073749999959</c:v>
                </c:pt>
                <c:pt idx="100">
                  <c:v>88.669517499999969</c:v>
                </c:pt>
                <c:pt idx="101">
                  <c:v>89.022293749999974</c:v>
                </c:pt>
                <c:pt idx="102">
                  <c:v>89.380322499999963</c:v>
                </c:pt>
                <c:pt idx="103">
                  <c:v>89.727437499999979</c:v>
                </c:pt>
                <c:pt idx="104">
                  <c:v>90.060786249999978</c:v>
                </c:pt>
                <c:pt idx="105">
                  <c:v>90.424470000000014</c:v>
                </c:pt>
                <c:pt idx="106">
                  <c:v>90.82086624999998</c:v>
                </c:pt>
                <c:pt idx="107">
                  <c:v>91.265984999999986</c:v>
                </c:pt>
                <c:pt idx="108">
                  <c:v>91.736701249999982</c:v>
                </c:pt>
                <c:pt idx="109">
                  <c:v>92.234870000000001</c:v>
                </c:pt>
                <c:pt idx="110">
                  <c:v>92.789020000000022</c:v>
                </c:pt>
                <c:pt idx="111">
                  <c:v>93.45247999999998</c:v>
                </c:pt>
                <c:pt idx="112">
                  <c:v>94.07046625000001</c:v>
                </c:pt>
                <c:pt idx="113">
                  <c:v>94.630253749999994</c:v>
                </c:pt>
                <c:pt idx="114">
                  <c:v>95.179369999999963</c:v>
                </c:pt>
                <c:pt idx="115">
                  <c:v>95.692610000000002</c:v>
                </c:pt>
                <c:pt idx="116">
                  <c:v>96.199325000000002</c:v>
                </c:pt>
                <c:pt idx="117">
                  <c:v>96.715152500000002</c:v>
                </c:pt>
                <c:pt idx="118">
                  <c:v>97.235663750000043</c:v>
                </c:pt>
                <c:pt idx="119">
                  <c:v>97.775537499999984</c:v>
                </c:pt>
                <c:pt idx="120">
                  <c:v>98.266277500000029</c:v>
                </c:pt>
                <c:pt idx="121">
                  <c:v>98.773412499999992</c:v>
                </c:pt>
                <c:pt idx="122">
                  <c:v>99.286671250000012</c:v>
                </c:pt>
                <c:pt idx="123">
                  <c:v>99.750203750000026</c:v>
                </c:pt>
                <c:pt idx="124">
                  <c:v>100.21515375000007</c:v>
                </c:pt>
                <c:pt idx="125">
                  <c:v>100.71753625000007</c:v>
                </c:pt>
                <c:pt idx="126">
                  <c:v>101.20655125000003</c:v>
                </c:pt>
                <c:pt idx="127">
                  <c:v>101.67837874999998</c:v>
                </c:pt>
                <c:pt idx="128">
                  <c:v>102.01284625000004</c:v>
                </c:pt>
                <c:pt idx="129">
                  <c:v>102.39516500000006</c:v>
                </c:pt>
                <c:pt idx="130">
                  <c:v>102.77237624999997</c:v>
                </c:pt>
                <c:pt idx="131">
                  <c:v>103.18623125000001</c:v>
                </c:pt>
                <c:pt idx="132">
                  <c:v>103.58340750000001</c:v>
                </c:pt>
                <c:pt idx="133">
                  <c:v>103.99148500000007</c:v>
                </c:pt>
                <c:pt idx="134">
                  <c:v>104.49054375000006</c:v>
                </c:pt>
                <c:pt idx="135">
                  <c:v>104.97307124999999</c:v>
                </c:pt>
                <c:pt idx="136">
                  <c:v>105.46093250000004</c:v>
                </c:pt>
                <c:pt idx="137">
                  <c:v>105.95026250000006</c:v>
                </c:pt>
                <c:pt idx="138">
                  <c:v>106.42881500000003</c:v>
                </c:pt>
                <c:pt idx="139">
                  <c:v>106.9413650000001</c:v>
                </c:pt>
                <c:pt idx="140">
                  <c:v>107.38503000000003</c:v>
                </c:pt>
                <c:pt idx="141">
                  <c:v>107.89637125000002</c:v>
                </c:pt>
                <c:pt idx="142">
                  <c:v>108.39834500000001</c:v>
                </c:pt>
                <c:pt idx="143">
                  <c:v>108.93744125000006</c:v>
                </c:pt>
                <c:pt idx="144">
                  <c:v>109.46530000000004</c:v>
                </c:pt>
                <c:pt idx="145">
                  <c:v>110.00390500000003</c:v>
                </c:pt>
                <c:pt idx="146">
                  <c:v>110.52320000000002</c:v>
                </c:pt>
                <c:pt idx="147">
                  <c:v>111.06003250000001</c:v>
                </c:pt>
                <c:pt idx="148">
                  <c:v>111.57172625000003</c:v>
                </c:pt>
                <c:pt idx="149">
                  <c:v>112.08056500000002</c:v>
                </c:pt>
                <c:pt idx="150">
                  <c:v>112.61067125000004</c:v>
                </c:pt>
                <c:pt idx="151">
                  <c:v>113.13168625000003</c:v>
                </c:pt>
                <c:pt idx="152">
                  <c:v>113.62350249999999</c:v>
                </c:pt>
                <c:pt idx="153">
                  <c:v>114.17946999999998</c:v>
                </c:pt>
                <c:pt idx="154">
                  <c:v>114.72217749999999</c:v>
                </c:pt>
                <c:pt idx="155">
                  <c:v>115.31663625000003</c:v>
                </c:pt>
                <c:pt idx="156">
                  <c:v>115.96170875000003</c:v>
                </c:pt>
                <c:pt idx="157">
                  <c:v>116.58241125000001</c:v>
                </c:pt>
                <c:pt idx="158">
                  <c:v>117.20684625000001</c:v>
                </c:pt>
                <c:pt idx="159">
                  <c:v>117.85912125</c:v>
                </c:pt>
                <c:pt idx="160">
                  <c:v>118.46456375000004</c:v>
                </c:pt>
                <c:pt idx="161">
                  <c:v>119.04303875000001</c:v>
                </c:pt>
                <c:pt idx="162">
                  <c:v>119.65103749999997</c:v>
                </c:pt>
                <c:pt idx="163">
                  <c:v>120.27350375000003</c:v>
                </c:pt>
                <c:pt idx="164">
                  <c:v>120.85934499999998</c:v>
                </c:pt>
                <c:pt idx="165">
                  <c:v>121.46114125000003</c:v>
                </c:pt>
                <c:pt idx="166">
                  <c:v>122.08801874999996</c:v>
                </c:pt>
                <c:pt idx="167">
                  <c:v>122.74265874999996</c:v>
                </c:pt>
                <c:pt idx="168">
                  <c:v>123.38126250000002</c:v>
                </c:pt>
                <c:pt idx="169">
                  <c:v>124.04904375000001</c:v>
                </c:pt>
                <c:pt idx="170">
                  <c:v>124.70550249999998</c:v>
                </c:pt>
                <c:pt idx="171">
                  <c:v>125.4026375</c:v>
                </c:pt>
                <c:pt idx="172">
                  <c:v>126.07746249999998</c:v>
                </c:pt>
                <c:pt idx="173">
                  <c:v>126.73570499999998</c:v>
                </c:pt>
                <c:pt idx="174">
                  <c:v>127.38554749999996</c:v>
                </c:pt>
                <c:pt idx="175">
                  <c:v>128.03846875000005</c:v>
                </c:pt>
                <c:pt idx="176">
                  <c:v>128.68437249999997</c:v>
                </c:pt>
                <c:pt idx="177">
                  <c:v>129.29432124999997</c:v>
                </c:pt>
                <c:pt idx="178">
                  <c:v>129.90898125000001</c:v>
                </c:pt>
                <c:pt idx="179">
                  <c:v>130.50913999999997</c:v>
                </c:pt>
                <c:pt idx="180">
                  <c:v>131.13694374999994</c:v>
                </c:pt>
                <c:pt idx="181">
                  <c:v>131.78381999999996</c:v>
                </c:pt>
                <c:pt idx="182">
                  <c:v>132.42119250000002</c:v>
                </c:pt>
                <c:pt idx="183">
                  <c:v>133.07687124999995</c:v>
                </c:pt>
                <c:pt idx="184">
                  <c:v>133.71030749999994</c:v>
                </c:pt>
                <c:pt idx="185">
                  <c:v>134.33938499999996</c:v>
                </c:pt>
                <c:pt idx="186">
                  <c:v>134.93486124999998</c:v>
                </c:pt>
                <c:pt idx="187">
                  <c:v>135.48403125000004</c:v>
                </c:pt>
                <c:pt idx="188">
                  <c:v>136.00735374999999</c:v>
                </c:pt>
                <c:pt idx="189">
                  <c:v>136.49872125000005</c:v>
                </c:pt>
                <c:pt idx="190">
                  <c:v>136.98810375000005</c:v>
                </c:pt>
                <c:pt idx="191">
                  <c:v>137.44357999999994</c:v>
                </c:pt>
                <c:pt idx="192">
                  <c:v>137.96747000000005</c:v>
                </c:pt>
                <c:pt idx="193">
                  <c:v>138.59194000000005</c:v>
                </c:pt>
                <c:pt idx="194">
                  <c:v>139.28870750000004</c:v>
                </c:pt>
                <c:pt idx="195">
                  <c:v>140.01282750000001</c:v>
                </c:pt>
                <c:pt idx="196">
                  <c:v>140.75091125</c:v>
                </c:pt>
                <c:pt idx="197">
                  <c:v>141.49245750000006</c:v>
                </c:pt>
                <c:pt idx="198">
                  <c:v>142.22785000000002</c:v>
                </c:pt>
                <c:pt idx="199">
                  <c:v>142.93206625000005</c:v>
                </c:pt>
                <c:pt idx="200">
                  <c:v>143.64645749999997</c:v>
                </c:pt>
                <c:pt idx="201">
                  <c:v>144.38731250000006</c:v>
                </c:pt>
                <c:pt idx="202">
                  <c:v>145.11912374999997</c:v>
                </c:pt>
                <c:pt idx="203">
                  <c:v>145.81274000000008</c:v>
                </c:pt>
                <c:pt idx="204">
                  <c:v>146.56635625000004</c:v>
                </c:pt>
                <c:pt idx="205">
                  <c:v>147.26117249999999</c:v>
                </c:pt>
                <c:pt idx="206">
                  <c:v>147.97156249999998</c:v>
                </c:pt>
                <c:pt idx="207">
                  <c:v>148.69738250000003</c:v>
                </c:pt>
                <c:pt idx="208">
                  <c:v>149.41760750000003</c:v>
                </c:pt>
                <c:pt idx="209">
                  <c:v>150.13272875000001</c:v>
                </c:pt>
                <c:pt idx="210">
                  <c:v>150.85949625000009</c:v>
                </c:pt>
                <c:pt idx="211">
                  <c:v>151.53682750000004</c:v>
                </c:pt>
                <c:pt idx="212">
                  <c:v>152.21610999999999</c:v>
                </c:pt>
                <c:pt idx="213">
                  <c:v>152.88068000000004</c:v>
                </c:pt>
                <c:pt idx="214">
                  <c:v>153.5022212500001</c:v>
                </c:pt>
                <c:pt idx="215">
                  <c:v>154.14246500000002</c:v>
                </c:pt>
                <c:pt idx="216">
                  <c:v>154.77616499999999</c:v>
                </c:pt>
                <c:pt idx="217">
                  <c:v>155.40252375000006</c:v>
                </c:pt>
                <c:pt idx="218">
                  <c:v>156.05313250000003</c:v>
                </c:pt>
                <c:pt idx="219">
                  <c:v>156.73723625000011</c:v>
                </c:pt>
                <c:pt idx="220">
                  <c:v>157.49195125000003</c:v>
                </c:pt>
                <c:pt idx="221">
                  <c:v>158.22532875000007</c:v>
                </c:pt>
                <c:pt idx="222">
                  <c:v>158.99938750000004</c:v>
                </c:pt>
                <c:pt idx="223">
                  <c:v>159.81017625000004</c:v>
                </c:pt>
              </c:numCache>
            </c:numRef>
          </c:val>
        </c:ser>
        <c:marker val="1"/>
        <c:axId val="237724800"/>
        <c:axId val="237726720"/>
      </c:lineChart>
      <c:dateAx>
        <c:axId val="237724800"/>
        <c:scaling>
          <c:orientation val="minMax"/>
        </c:scaling>
        <c:axPos val="b"/>
        <c:numFmt formatCode="dd/mm/yyyy" sourceLinked="0"/>
        <c:tickLblPos val="nextTo"/>
        <c:spPr>
          <a:ln w="3064">
            <a:solidFill>
              <a:srgbClr val="000000"/>
            </a:solidFill>
            <a:prstDash val="solid"/>
          </a:ln>
        </c:spPr>
        <c:txPr>
          <a:bodyPr rot="-5400000" vert="horz"/>
          <a:lstStyle/>
          <a:p>
            <a:pPr>
              <a:defRPr sz="796" b="0" i="0" u="none" strike="noStrike" baseline="0">
                <a:solidFill>
                  <a:srgbClr val="000000"/>
                </a:solidFill>
                <a:latin typeface="Arial"/>
                <a:ea typeface="Arial"/>
                <a:cs typeface="Arial"/>
              </a:defRPr>
            </a:pPr>
            <a:endParaRPr lang="es-ES"/>
          </a:p>
        </c:txPr>
        <c:crossAx val="237726720"/>
        <c:crosses val="autoZero"/>
        <c:auto val="1"/>
        <c:lblOffset val="100"/>
        <c:baseTimeUnit val="days"/>
        <c:majorUnit val="2"/>
        <c:majorTimeUnit val="months"/>
        <c:minorUnit val="1"/>
        <c:minorTimeUnit val="months"/>
      </c:dateAx>
      <c:valAx>
        <c:axId val="237726720"/>
        <c:scaling>
          <c:orientation val="minMax"/>
        </c:scaling>
        <c:axPos val="l"/>
        <c:numFmt formatCode="##0.00" sourceLinked="1"/>
        <c:tickLblPos val="nextTo"/>
        <c:spPr>
          <a:ln w="3064">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s-ES"/>
          </a:p>
        </c:txPr>
        <c:crossAx val="237724800"/>
        <c:crosses val="autoZero"/>
        <c:crossBetween val="between"/>
      </c:valAx>
      <c:spPr>
        <a:solidFill>
          <a:srgbClr val="C0C0C0"/>
        </a:solidFill>
        <a:ln w="12255">
          <a:solidFill>
            <a:srgbClr val="808080"/>
          </a:solidFill>
          <a:prstDash val="solid"/>
        </a:ln>
      </c:spPr>
    </c:plotArea>
    <c:legend>
      <c:legendPos val="r"/>
      <c:layout>
        <c:manualLayout>
          <c:xMode val="edge"/>
          <c:yMode val="edge"/>
          <c:x val="0.10148849797023006"/>
          <c:y val="7.6335877862595434E-3"/>
          <c:w val="8.5250338294993275E-2"/>
          <c:h val="0.11068702290076335"/>
        </c:manualLayout>
      </c:layout>
      <c:spPr>
        <a:solidFill>
          <a:srgbClr val="C0C0C0"/>
        </a:solidFill>
        <a:ln w="3064">
          <a:solidFill>
            <a:srgbClr val="C0C0C0"/>
          </a:solidFill>
          <a:prstDash val="solid"/>
        </a:ln>
      </c:spPr>
      <c:txPr>
        <a:bodyPr/>
        <a:lstStyle/>
        <a:p>
          <a:pPr>
            <a:defRPr sz="531"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064">
      <a:solidFill>
        <a:srgbClr val="000000"/>
      </a:solidFill>
      <a:prstDash val="solid"/>
    </a:ln>
  </c:spPr>
  <c:txPr>
    <a:bodyPr/>
    <a:lstStyle/>
    <a:p>
      <a:pPr>
        <a:defRPr sz="1158"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99" b="1" i="0" u="none" strike="noStrike" baseline="0">
                <a:solidFill>
                  <a:srgbClr val="000000"/>
                </a:solidFill>
                <a:latin typeface="Arial"/>
                <a:ea typeface="Arial"/>
                <a:cs typeface="Arial"/>
              </a:defRPr>
            </a:pPr>
            <a:r>
              <a:t>MEDIA MÓVIL IRECU</a:t>
            </a:r>
          </a:p>
        </c:rich>
      </c:tx>
      <c:layout>
        <c:manualLayout>
          <c:xMode val="edge"/>
          <c:yMode val="edge"/>
          <c:x val="0.34564643799472305"/>
          <c:y val="1.7857142857142856E-2"/>
        </c:manualLayout>
      </c:layout>
      <c:spPr>
        <a:noFill/>
        <a:ln w="36664">
          <a:noFill/>
        </a:ln>
      </c:spPr>
    </c:title>
    <c:plotArea>
      <c:layout>
        <c:manualLayout>
          <c:layoutTarget val="inner"/>
          <c:xMode val="edge"/>
          <c:yMode val="edge"/>
          <c:x val="0.10026385224274406"/>
          <c:y val="0.45238095238095255"/>
          <c:w val="0.8812664907651715"/>
          <c:h val="0.30357142857142855"/>
        </c:manualLayout>
      </c:layout>
      <c:lineChart>
        <c:grouping val="standard"/>
        <c:ser>
          <c:idx val="0"/>
          <c:order val="0"/>
          <c:tx>
            <c:strRef>
              <c:f>'IRECUMM5-50'!$F$11</c:f>
              <c:strCache>
                <c:ptCount val="1"/>
                <c:pt idx="0">
                  <c:v>MM5</c:v>
                </c:pt>
              </c:strCache>
            </c:strRef>
          </c:tx>
          <c:spPr>
            <a:ln w="18332">
              <a:solidFill>
                <a:srgbClr val="000080"/>
              </a:solidFill>
              <a:prstDash val="solid"/>
            </a:ln>
          </c:spPr>
          <c:marker>
            <c:symbol val="none"/>
          </c:marker>
          <c:cat>
            <c:numRef>
              <c:f>'IRECUMM5-50'!$D$12:$D$284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'IRECUMM5-50'!$F$61:$F$284</c:f>
              <c:numCache>
                <c:formatCode>##0.00</c:formatCode>
                <c:ptCount val="224"/>
                <c:pt idx="0">
                  <c:v>113.73476000000002</c:v>
                </c:pt>
                <c:pt idx="1">
                  <c:v>113.99652000000002</c:v>
                </c:pt>
                <c:pt idx="2">
                  <c:v>114.38921999999999</c:v>
                </c:pt>
                <c:pt idx="3">
                  <c:v>115.03026000000003</c:v>
                </c:pt>
                <c:pt idx="4">
                  <c:v>115.72266000000002</c:v>
                </c:pt>
                <c:pt idx="5">
                  <c:v>116.87066</c:v>
                </c:pt>
                <c:pt idx="6">
                  <c:v>118.05630000000001</c:v>
                </c:pt>
                <c:pt idx="7">
                  <c:v>119.05188000000001</c:v>
                </c:pt>
                <c:pt idx="8">
                  <c:v>119.3715</c:v>
                </c:pt>
                <c:pt idx="9">
                  <c:v>119.69786000000002</c:v>
                </c:pt>
                <c:pt idx="10">
                  <c:v>119.57728</c:v>
                </c:pt>
                <c:pt idx="11">
                  <c:v>119.16702000000002</c:v>
                </c:pt>
                <c:pt idx="12">
                  <c:v>118.83027999999999</c:v>
                </c:pt>
                <c:pt idx="13">
                  <c:v>118.56886</c:v>
                </c:pt>
                <c:pt idx="14">
                  <c:v>118.21160000000003</c:v>
                </c:pt>
                <c:pt idx="15">
                  <c:v>117.83756000000002</c:v>
                </c:pt>
                <c:pt idx="16">
                  <c:v>118.67746000000001</c:v>
                </c:pt>
                <c:pt idx="17">
                  <c:v>118.99393999999999</c:v>
                </c:pt>
                <c:pt idx="18">
                  <c:v>117.51328000000002</c:v>
                </c:pt>
                <c:pt idx="19">
                  <c:v>116.21984</c:v>
                </c:pt>
                <c:pt idx="20">
                  <c:v>114.95752000000003</c:v>
                </c:pt>
                <c:pt idx="21">
                  <c:v>112.67683999999997</c:v>
                </c:pt>
                <c:pt idx="22">
                  <c:v>111.14380000000001</c:v>
                </c:pt>
                <c:pt idx="23">
                  <c:v>111.50044</c:v>
                </c:pt>
                <c:pt idx="24">
                  <c:v>112.39462000000003</c:v>
                </c:pt>
                <c:pt idx="25">
                  <c:v>112.77708</c:v>
                </c:pt>
                <c:pt idx="26">
                  <c:v>113.31224</c:v>
                </c:pt>
                <c:pt idx="27">
                  <c:v>113.85426000000002</c:v>
                </c:pt>
                <c:pt idx="28">
                  <c:v>114.62036000000001</c:v>
                </c:pt>
                <c:pt idx="29">
                  <c:v>115.07083999999998</c:v>
                </c:pt>
                <c:pt idx="30">
                  <c:v>116.08287999999997</c:v>
                </c:pt>
                <c:pt idx="31">
                  <c:v>116.12467999999998</c:v>
                </c:pt>
                <c:pt idx="32">
                  <c:v>116.41592000000003</c:v>
                </c:pt>
                <c:pt idx="33">
                  <c:v>116.35961999999999</c:v>
                </c:pt>
                <c:pt idx="34">
                  <c:v>115.80339999999998</c:v>
                </c:pt>
                <c:pt idx="35">
                  <c:v>115.7529</c:v>
                </c:pt>
                <c:pt idx="36">
                  <c:v>116.39996000000002</c:v>
                </c:pt>
                <c:pt idx="37">
                  <c:v>116.68039999999998</c:v>
                </c:pt>
                <c:pt idx="38">
                  <c:v>116.89544000000001</c:v>
                </c:pt>
                <c:pt idx="39">
                  <c:v>117.41174000000002</c:v>
                </c:pt>
                <c:pt idx="40">
                  <c:v>118.69746000000002</c:v>
                </c:pt>
                <c:pt idx="41">
                  <c:v>120.08930000000001</c:v>
                </c:pt>
                <c:pt idx="42">
                  <c:v>121.21116000000004</c:v>
                </c:pt>
                <c:pt idx="43">
                  <c:v>123.56796000000003</c:v>
                </c:pt>
                <c:pt idx="44">
                  <c:v>124.21696000000003</c:v>
                </c:pt>
                <c:pt idx="45">
                  <c:v>123.96513999999999</c:v>
                </c:pt>
                <c:pt idx="46">
                  <c:v>123.88148000000001</c:v>
                </c:pt>
                <c:pt idx="47">
                  <c:v>124.12794000000001</c:v>
                </c:pt>
                <c:pt idx="48">
                  <c:v>126.63648000000001</c:v>
                </c:pt>
                <c:pt idx="49">
                  <c:v>129.49238000000005</c:v>
                </c:pt>
                <c:pt idx="50">
                  <c:v>131.87294000000006</c:v>
                </c:pt>
                <c:pt idx="51">
                  <c:v>134.99426</c:v>
                </c:pt>
                <c:pt idx="52">
                  <c:v>137.6567</c:v>
                </c:pt>
                <c:pt idx="53">
                  <c:v>136.86477999999997</c:v>
                </c:pt>
                <c:pt idx="54">
                  <c:v>136.15226000000001</c:v>
                </c:pt>
                <c:pt idx="55">
                  <c:v>135.45778000000001</c:v>
                </c:pt>
                <c:pt idx="56">
                  <c:v>133.64042000000001</c:v>
                </c:pt>
                <c:pt idx="57">
                  <c:v>132.38558</c:v>
                </c:pt>
                <c:pt idx="58">
                  <c:v>131.21037999999999</c:v>
                </c:pt>
                <c:pt idx="59">
                  <c:v>131.54242000000005</c:v>
                </c:pt>
                <c:pt idx="60">
                  <c:v>132.18270000000001</c:v>
                </c:pt>
                <c:pt idx="61">
                  <c:v>134.02342000000004</c:v>
                </c:pt>
                <c:pt idx="62">
                  <c:v>134.59274000000005</c:v>
                </c:pt>
                <c:pt idx="63">
                  <c:v>134.18282000000008</c:v>
                </c:pt>
                <c:pt idx="64">
                  <c:v>133.54594000000003</c:v>
                </c:pt>
                <c:pt idx="65">
                  <c:v>132.71425999999997</c:v>
                </c:pt>
                <c:pt idx="66">
                  <c:v>131.61015999999998</c:v>
                </c:pt>
                <c:pt idx="67">
                  <c:v>131.28355999999997</c:v>
                </c:pt>
                <c:pt idx="68">
                  <c:v>132.51342</c:v>
                </c:pt>
                <c:pt idx="69">
                  <c:v>133.77777999999998</c:v>
                </c:pt>
                <c:pt idx="70">
                  <c:v>134.70775999999998</c:v>
                </c:pt>
                <c:pt idx="71">
                  <c:v>135.02422000000001</c:v>
                </c:pt>
                <c:pt idx="72">
                  <c:v>136.72387999999998</c:v>
                </c:pt>
                <c:pt idx="73">
                  <c:v>136.90808000000001</c:v>
                </c:pt>
                <c:pt idx="74">
                  <c:v>137.02055999999999</c:v>
                </c:pt>
                <c:pt idx="75">
                  <c:v>137.16314</c:v>
                </c:pt>
                <c:pt idx="76">
                  <c:v>136.04411999999999</c:v>
                </c:pt>
                <c:pt idx="77">
                  <c:v>134.75497999999999</c:v>
                </c:pt>
                <c:pt idx="78">
                  <c:v>134.36636000000001</c:v>
                </c:pt>
                <c:pt idx="79">
                  <c:v>133.97961999999998</c:v>
                </c:pt>
                <c:pt idx="80">
                  <c:v>134.29949999999999</c:v>
                </c:pt>
                <c:pt idx="81">
                  <c:v>135.82668000000001</c:v>
                </c:pt>
                <c:pt idx="82">
                  <c:v>136.43684000000007</c:v>
                </c:pt>
                <c:pt idx="83">
                  <c:v>136.85908000000001</c:v>
                </c:pt>
                <c:pt idx="84">
                  <c:v>137.99957999999998</c:v>
                </c:pt>
                <c:pt idx="85">
                  <c:v>138.77641999999997</c:v>
                </c:pt>
                <c:pt idx="86">
                  <c:v>139.41657999999998</c:v>
                </c:pt>
                <c:pt idx="87">
                  <c:v>140.06414000000001</c:v>
                </c:pt>
                <c:pt idx="88">
                  <c:v>141.46848000000006</c:v>
                </c:pt>
                <c:pt idx="89">
                  <c:v>142.52776</c:v>
                </c:pt>
                <c:pt idx="90">
                  <c:v>143.74949999999995</c:v>
                </c:pt>
                <c:pt idx="91">
                  <c:v>144.36760000000001</c:v>
                </c:pt>
                <c:pt idx="92">
                  <c:v>145.62272000000004</c:v>
                </c:pt>
                <c:pt idx="93">
                  <c:v>146.58994000000001</c:v>
                </c:pt>
                <c:pt idx="94">
                  <c:v>147.44736</c:v>
                </c:pt>
                <c:pt idx="95">
                  <c:v>148.36682000000008</c:v>
                </c:pt>
                <c:pt idx="96">
                  <c:v>150.02802000000008</c:v>
                </c:pt>
                <c:pt idx="97">
                  <c:v>151.97758000000002</c:v>
                </c:pt>
                <c:pt idx="98">
                  <c:v>153.62348</c:v>
                </c:pt>
                <c:pt idx="99">
                  <c:v>155.52250000000001</c:v>
                </c:pt>
                <c:pt idx="100">
                  <c:v>157.25264000000001</c:v>
                </c:pt>
                <c:pt idx="101">
                  <c:v>159.16136</c:v>
                </c:pt>
                <c:pt idx="102">
                  <c:v>160.41890000000001</c:v>
                </c:pt>
                <c:pt idx="103">
                  <c:v>161.54104000000001</c:v>
                </c:pt>
                <c:pt idx="104">
                  <c:v>162.3884800000001</c:v>
                </c:pt>
                <c:pt idx="105">
                  <c:v>163.27248</c:v>
                </c:pt>
                <c:pt idx="106">
                  <c:v>164.92452</c:v>
                </c:pt>
                <c:pt idx="107">
                  <c:v>167.6644</c:v>
                </c:pt>
                <c:pt idx="108">
                  <c:v>171.54959999999994</c:v>
                </c:pt>
                <c:pt idx="109">
                  <c:v>176.12454</c:v>
                </c:pt>
                <c:pt idx="110">
                  <c:v>182.09674000000001</c:v>
                </c:pt>
                <c:pt idx="111">
                  <c:v>189.21169999999998</c:v>
                </c:pt>
                <c:pt idx="112">
                  <c:v>194.24951999999996</c:v>
                </c:pt>
                <c:pt idx="113">
                  <c:v>196.64669999999998</c:v>
                </c:pt>
                <c:pt idx="114">
                  <c:v>197.47736</c:v>
                </c:pt>
                <c:pt idx="115">
                  <c:v>196.39460000000003</c:v>
                </c:pt>
                <c:pt idx="116">
                  <c:v>192.90349999999998</c:v>
                </c:pt>
                <c:pt idx="117">
                  <c:v>190.38178000000005</c:v>
                </c:pt>
                <c:pt idx="118">
                  <c:v>189.54317999999998</c:v>
                </c:pt>
                <c:pt idx="119">
                  <c:v>189.86190000000008</c:v>
                </c:pt>
                <c:pt idx="120">
                  <c:v>190.66850000000002</c:v>
                </c:pt>
                <c:pt idx="121">
                  <c:v>192.16074</c:v>
                </c:pt>
                <c:pt idx="122">
                  <c:v>193.29088000000002</c:v>
                </c:pt>
                <c:pt idx="123">
                  <c:v>194.37622000000007</c:v>
                </c:pt>
                <c:pt idx="124">
                  <c:v>193.19508000000002</c:v>
                </c:pt>
                <c:pt idx="125">
                  <c:v>193.21791999999999</c:v>
                </c:pt>
                <c:pt idx="126">
                  <c:v>192.67607999999998</c:v>
                </c:pt>
                <c:pt idx="127">
                  <c:v>191.90324000000001</c:v>
                </c:pt>
                <c:pt idx="128">
                  <c:v>191.34892000000005</c:v>
                </c:pt>
                <c:pt idx="129">
                  <c:v>192.3246</c:v>
                </c:pt>
                <c:pt idx="130">
                  <c:v>191.73132000000001</c:v>
                </c:pt>
                <c:pt idx="131">
                  <c:v>192.23927999999995</c:v>
                </c:pt>
                <c:pt idx="132">
                  <c:v>193.20840000000001</c:v>
                </c:pt>
                <c:pt idx="133">
                  <c:v>194.20457999999996</c:v>
                </c:pt>
                <c:pt idx="134">
                  <c:v>196.36292000000006</c:v>
                </c:pt>
                <c:pt idx="135">
                  <c:v>198.27100000000002</c:v>
                </c:pt>
                <c:pt idx="136">
                  <c:v>199.13834000000008</c:v>
                </c:pt>
                <c:pt idx="137">
                  <c:v>200.36838000000006</c:v>
                </c:pt>
                <c:pt idx="138">
                  <c:v>202.10563999999999</c:v>
                </c:pt>
                <c:pt idx="139">
                  <c:v>204.16085999999999</c:v>
                </c:pt>
                <c:pt idx="140">
                  <c:v>205.17275999999998</c:v>
                </c:pt>
                <c:pt idx="141">
                  <c:v>207.81614000000005</c:v>
                </c:pt>
                <c:pt idx="142">
                  <c:v>210.20485999999994</c:v>
                </c:pt>
                <c:pt idx="143">
                  <c:v>211.78254000000001</c:v>
                </c:pt>
                <c:pt idx="144">
                  <c:v>211.84104000000008</c:v>
                </c:pt>
                <c:pt idx="145">
                  <c:v>213.74409999999995</c:v>
                </c:pt>
                <c:pt idx="146">
                  <c:v>214.04140000000001</c:v>
                </c:pt>
                <c:pt idx="147">
                  <c:v>214.22973999999999</c:v>
                </c:pt>
                <c:pt idx="148">
                  <c:v>214.51477999999992</c:v>
                </c:pt>
                <c:pt idx="149">
                  <c:v>215.05538000000001</c:v>
                </c:pt>
                <c:pt idx="150">
                  <c:v>215.50244000000009</c:v>
                </c:pt>
                <c:pt idx="151">
                  <c:v>215.89406</c:v>
                </c:pt>
                <c:pt idx="152">
                  <c:v>216.58462</c:v>
                </c:pt>
                <c:pt idx="153">
                  <c:v>217.93932000000001</c:v>
                </c:pt>
                <c:pt idx="154">
                  <c:v>218.94450000000001</c:v>
                </c:pt>
                <c:pt idx="155">
                  <c:v>220.77634</c:v>
                </c:pt>
                <c:pt idx="156">
                  <c:v>222.78012000000001</c:v>
                </c:pt>
                <c:pt idx="157">
                  <c:v>224.72325999999998</c:v>
                </c:pt>
                <c:pt idx="158">
                  <c:v>226.08012000000005</c:v>
                </c:pt>
                <c:pt idx="159">
                  <c:v>228.50917999999996</c:v>
                </c:pt>
                <c:pt idx="160">
                  <c:v>229.14571999999998</c:v>
                </c:pt>
                <c:pt idx="161">
                  <c:v>229.08536000000001</c:v>
                </c:pt>
                <c:pt idx="162">
                  <c:v>229.42076000000003</c:v>
                </c:pt>
                <c:pt idx="163">
                  <c:v>229.66120000000001</c:v>
                </c:pt>
                <c:pt idx="164">
                  <c:v>229.18128000000004</c:v>
                </c:pt>
                <c:pt idx="165">
                  <c:v>229.61275999999998</c:v>
                </c:pt>
                <c:pt idx="166">
                  <c:v>230.92462</c:v>
                </c:pt>
                <c:pt idx="167">
                  <c:v>231.63292000000001</c:v>
                </c:pt>
                <c:pt idx="168">
                  <c:v>232.48016000000001</c:v>
                </c:pt>
                <c:pt idx="169">
                  <c:v>234.36226000000008</c:v>
                </c:pt>
                <c:pt idx="170">
                  <c:v>236.02348000000001</c:v>
                </c:pt>
                <c:pt idx="171">
                  <c:v>237.78438</c:v>
                </c:pt>
                <c:pt idx="172">
                  <c:v>239.47838000000004</c:v>
                </c:pt>
                <c:pt idx="173">
                  <c:v>240.89170000000001</c:v>
                </c:pt>
                <c:pt idx="174">
                  <c:v>241.32274000000007</c:v>
                </c:pt>
                <c:pt idx="175">
                  <c:v>242.19375999999991</c:v>
                </c:pt>
                <c:pt idx="176">
                  <c:v>242.59987999999998</c:v>
                </c:pt>
                <c:pt idx="177">
                  <c:v>242.95282000000009</c:v>
                </c:pt>
                <c:pt idx="178">
                  <c:v>243.54208</c:v>
                </c:pt>
                <c:pt idx="179">
                  <c:v>244.23762000000002</c:v>
                </c:pt>
                <c:pt idx="180">
                  <c:v>245.39588000000001</c:v>
                </c:pt>
                <c:pt idx="181">
                  <c:v>247.42052000000001</c:v>
                </c:pt>
                <c:pt idx="182">
                  <c:v>249.45176000000001</c:v>
                </c:pt>
                <c:pt idx="183">
                  <c:v>251.69522000000001</c:v>
                </c:pt>
                <c:pt idx="184">
                  <c:v>253.44940000000003</c:v>
                </c:pt>
                <c:pt idx="185">
                  <c:v>254.40852000000001</c:v>
                </c:pt>
                <c:pt idx="186">
                  <c:v>254.80065999999997</c:v>
                </c:pt>
                <c:pt idx="187">
                  <c:v>255.37405999999999</c:v>
                </c:pt>
                <c:pt idx="188">
                  <c:v>255.99746000000005</c:v>
                </c:pt>
                <c:pt idx="189">
                  <c:v>257.80730000000005</c:v>
                </c:pt>
                <c:pt idx="190">
                  <c:v>260.99103999999983</c:v>
                </c:pt>
                <c:pt idx="191">
                  <c:v>265.3329</c:v>
                </c:pt>
                <c:pt idx="192">
                  <c:v>270.50393999999983</c:v>
                </c:pt>
                <c:pt idx="193">
                  <c:v>276.22251999999975</c:v>
                </c:pt>
                <c:pt idx="194">
                  <c:v>282.31815999999975</c:v>
                </c:pt>
                <c:pt idx="195">
                  <c:v>287.36824000000001</c:v>
                </c:pt>
                <c:pt idx="196">
                  <c:v>291.17632000000003</c:v>
                </c:pt>
                <c:pt idx="197">
                  <c:v>294.29422000000005</c:v>
                </c:pt>
                <c:pt idx="198">
                  <c:v>296.37278000000015</c:v>
                </c:pt>
                <c:pt idx="199">
                  <c:v>296.94238000000007</c:v>
                </c:pt>
                <c:pt idx="200">
                  <c:v>297.53807999999975</c:v>
                </c:pt>
                <c:pt idx="201">
                  <c:v>299.18880000000001</c:v>
                </c:pt>
                <c:pt idx="202">
                  <c:v>300.12633999999974</c:v>
                </c:pt>
                <c:pt idx="203">
                  <c:v>300.17017999999985</c:v>
                </c:pt>
                <c:pt idx="204">
                  <c:v>300.22637999999984</c:v>
                </c:pt>
                <c:pt idx="205">
                  <c:v>299.73347999999987</c:v>
                </c:pt>
                <c:pt idx="206">
                  <c:v>298.35600000000005</c:v>
                </c:pt>
                <c:pt idx="207">
                  <c:v>297.38078000000007</c:v>
                </c:pt>
                <c:pt idx="208">
                  <c:v>297.49766</c:v>
                </c:pt>
                <c:pt idx="209">
                  <c:v>297.51228000000015</c:v>
                </c:pt>
                <c:pt idx="210">
                  <c:v>297.72904000000005</c:v>
                </c:pt>
                <c:pt idx="211">
                  <c:v>297.39281999999986</c:v>
                </c:pt>
                <c:pt idx="212">
                  <c:v>297.18808000000001</c:v>
                </c:pt>
                <c:pt idx="213">
                  <c:v>296.77109999999993</c:v>
                </c:pt>
                <c:pt idx="214">
                  <c:v>296.58098000000001</c:v>
                </c:pt>
                <c:pt idx="215">
                  <c:v>296.4676799999998</c:v>
                </c:pt>
                <c:pt idx="216">
                  <c:v>296.38653999999974</c:v>
                </c:pt>
                <c:pt idx="217">
                  <c:v>296.18191999999988</c:v>
                </c:pt>
                <c:pt idx="218">
                  <c:v>296.52477999999985</c:v>
                </c:pt>
                <c:pt idx="219">
                  <c:v>299.08603999999974</c:v>
                </c:pt>
                <c:pt idx="220">
                  <c:v>301.8116</c:v>
                </c:pt>
                <c:pt idx="221">
                  <c:v>305.57146</c:v>
                </c:pt>
                <c:pt idx="222">
                  <c:v>310.46159999999975</c:v>
                </c:pt>
                <c:pt idx="223">
                  <c:v>315.84589999999997</c:v>
                </c:pt>
              </c:numCache>
            </c:numRef>
          </c:val>
        </c:ser>
        <c:ser>
          <c:idx val="1"/>
          <c:order val="1"/>
          <c:tx>
            <c:strRef>
              <c:f>'IRECUMM5-50'!$G$11</c:f>
              <c:strCache>
                <c:ptCount val="1"/>
                <c:pt idx="0">
                  <c:v>MM50</c:v>
                </c:pt>
              </c:strCache>
            </c:strRef>
          </c:tx>
          <c:spPr>
            <a:ln w="18332">
              <a:solidFill>
                <a:srgbClr val="FF00FF"/>
              </a:solidFill>
              <a:prstDash val="solid"/>
            </a:ln>
          </c:spPr>
          <c:marker>
            <c:symbol val="square"/>
            <c:size val="2"/>
            <c:spPr>
              <a:noFill/>
              <a:ln>
                <a:solidFill>
                  <a:srgbClr val="FFFFFF"/>
                </a:solidFill>
                <a:prstDash val="solid"/>
              </a:ln>
            </c:spPr>
          </c:marker>
          <c:cat>
            <c:numRef>
              <c:f>'IRECUMM5-50'!$D$12:$D$284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'IRECUMM5-50'!$G$61:$G$284</c:f>
              <c:numCache>
                <c:formatCode>##0.00</c:formatCode>
                <c:ptCount val="224"/>
                <c:pt idx="0">
                  <c:v>95.194153478260901</c:v>
                </c:pt>
                <c:pt idx="1">
                  <c:v>95.594203829787261</c:v>
                </c:pt>
                <c:pt idx="2">
                  <c:v>95.985766666666649</c:v>
                </c:pt>
                <c:pt idx="3">
                  <c:v>96.374429795918417</c:v>
                </c:pt>
                <c:pt idx="4">
                  <c:v>96.761394400000043</c:v>
                </c:pt>
                <c:pt idx="5">
                  <c:v>97.459380799999977</c:v>
                </c:pt>
                <c:pt idx="6">
                  <c:v>98.160155599999982</c:v>
                </c:pt>
                <c:pt idx="7">
                  <c:v>98.882034799999957</c:v>
                </c:pt>
                <c:pt idx="8">
                  <c:v>99.612937199999934</c:v>
                </c:pt>
                <c:pt idx="9">
                  <c:v>100.36876799999999</c:v>
                </c:pt>
                <c:pt idx="10">
                  <c:v>101.12433119999996</c:v>
                </c:pt>
                <c:pt idx="11">
                  <c:v>101.87369000000001</c:v>
                </c:pt>
                <c:pt idx="12">
                  <c:v>102.59619760000002</c:v>
                </c:pt>
                <c:pt idx="13">
                  <c:v>103.29336040000005</c:v>
                </c:pt>
                <c:pt idx="14">
                  <c:v>103.96697760000002</c:v>
                </c:pt>
                <c:pt idx="15">
                  <c:v>104.6347648</c:v>
                </c:pt>
                <c:pt idx="16">
                  <c:v>105.31992560000003</c:v>
                </c:pt>
                <c:pt idx="17">
                  <c:v>106.01513120000001</c:v>
                </c:pt>
                <c:pt idx="18">
                  <c:v>106.68443879999998</c:v>
                </c:pt>
                <c:pt idx="19">
                  <c:v>107.3315928</c:v>
                </c:pt>
                <c:pt idx="20">
                  <c:v>107.9695588</c:v>
                </c:pt>
                <c:pt idx="21">
                  <c:v>108.57405560000002</c:v>
                </c:pt>
                <c:pt idx="22">
                  <c:v>109.15619640000001</c:v>
                </c:pt>
                <c:pt idx="23">
                  <c:v>109.74468960000006</c:v>
                </c:pt>
                <c:pt idx="24">
                  <c:v>110.34910959999999</c:v>
                </c:pt>
                <c:pt idx="25">
                  <c:v>110.95861519999998</c:v>
                </c:pt>
                <c:pt idx="26">
                  <c:v>111.58139279999996</c:v>
                </c:pt>
                <c:pt idx="27">
                  <c:v>112.20702439999999</c:v>
                </c:pt>
                <c:pt idx="28">
                  <c:v>112.84817960000002</c:v>
                </c:pt>
                <c:pt idx="29">
                  <c:v>113.48137960000003</c:v>
                </c:pt>
                <c:pt idx="30">
                  <c:v>103.22785375000002</c:v>
                </c:pt>
                <c:pt idx="31">
                  <c:v>103.65768625000001</c:v>
                </c:pt>
                <c:pt idx="32">
                  <c:v>104.11036374999999</c:v>
                </c:pt>
                <c:pt idx="33">
                  <c:v>104.55996874999998</c:v>
                </c:pt>
                <c:pt idx="34">
                  <c:v>104.93222375000003</c:v>
                </c:pt>
                <c:pt idx="35">
                  <c:v>105.33920124999997</c:v>
                </c:pt>
                <c:pt idx="36">
                  <c:v>105.74408625000001</c:v>
                </c:pt>
                <c:pt idx="37">
                  <c:v>106.21801874999998</c:v>
                </c:pt>
                <c:pt idx="38">
                  <c:v>106.689285</c:v>
                </c:pt>
                <c:pt idx="39">
                  <c:v>107.15131249999996</c:v>
                </c:pt>
                <c:pt idx="40">
                  <c:v>107.64534749999996</c:v>
                </c:pt>
                <c:pt idx="41">
                  <c:v>108.143475</c:v>
                </c:pt>
                <c:pt idx="42">
                  <c:v>108.62465999999999</c:v>
                </c:pt>
                <c:pt idx="43">
                  <c:v>109.18036249999997</c:v>
                </c:pt>
                <c:pt idx="44">
                  <c:v>109.63170124999998</c:v>
                </c:pt>
                <c:pt idx="45">
                  <c:v>110.11515624999997</c:v>
                </c:pt>
                <c:pt idx="46">
                  <c:v>110.60985374999998</c:v>
                </c:pt>
                <c:pt idx="47">
                  <c:v>111.11805249999998</c:v>
                </c:pt>
                <c:pt idx="48">
                  <c:v>111.84214874999998</c:v>
                </c:pt>
                <c:pt idx="49">
                  <c:v>112.48359124999999</c:v>
                </c:pt>
                <c:pt idx="50">
                  <c:v>113.16601374999999</c:v>
                </c:pt>
                <c:pt idx="51">
                  <c:v>113.893745</c:v>
                </c:pt>
                <c:pt idx="52">
                  <c:v>114.59429874999999</c:v>
                </c:pt>
                <c:pt idx="53">
                  <c:v>115.26646124999999</c:v>
                </c:pt>
                <c:pt idx="54">
                  <c:v>115.85725624999999</c:v>
                </c:pt>
                <c:pt idx="55">
                  <c:v>116.48826249999999</c:v>
                </c:pt>
                <c:pt idx="56">
                  <c:v>117.11043624999998</c:v>
                </c:pt>
                <c:pt idx="57">
                  <c:v>117.70760500000004</c:v>
                </c:pt>
                <c:pt idx="58">
                  <c:v>118.30694750000001</c:v>
                </c:pt>
                <c:pt idx="59">
                  <c:v>118.86548000000001</c:v>
                </c:pt>
                <c:pt idx="60">
                  <c:v>119.3532125</c:v>
                </c:pt>
                <c:pt idx="61">
                  <c:v>119.8612875</c:v>
                </c:pt>
                <c:pt idx="62">
                  <c:v>120.30006750000003</c:v>
                </c:pt>
                <c:pt idx="63">
                  <c:v>120.60211375000002</c:v>
                </c:pt>
                <c:pt idx="64">
                  <c:v>120.78162375000004</c:v>
                </c:pt>
                <c:pt idx="65">
                  <c:v>120.96183875000001</c:v>
                </c:pt>
                <c:pt idx="66">
                  <c:v>121.12035874999994</c:v>
                </c:pt>
                <c:pt idx="67">
                  <c:v>121.29603874999998</c:v>
                </c:pt>
                <c:pt idx="68">
                  <c:v>121.52869249999998</c:v>
                </c:pt>
                <c:pt idx="69">
                  <c:v>121.76489124999999</c:v>
                </c:pt>
                <c:pt idx="70">
                  <c:v>121.99731249999999</c:v>
                </c:pt>
                <c:pt idx="71">
                  <c:v>122.25500749999998</c:v>
                </c:pt>
                <c:pt idx="72">
                  <c:v>122.57471624999998</c:v>
                </c:pt>
                <c:pt idx="73">
                  <c:v>122.84520000000002</c:v>
                </c:pt>
                <c:pt idx="74">
                  <c:v>123.12373374999997</c:v>
                </c:pt>
                <c:pt idx="75">
                  <c:v>123.39698875000001</c:v>
                </c:pt>
                <c:pt idx="76">
                  <c:v>123.60740000000003</c:v>
                </c:pt>
                <c:pt idx="77">
                  <c:v>123.88101500000002</c:v>
                </c:pt>
                <c:pt idx="78">
                  <c:v>124.13187750000002</c:v>
                </c:pt>
                <c:pt idx="79">
                  <c:v>124.39128000000002</c:v>
                </c:pt>
                <c:pt idx="80">
                  <c:v>124.68228500000005</c:v>
                </c:pt>
                <c:pt idx="81">
                  <c:v>124.97178500000003</c:v>
                </c:pt>
                <c:pt idx="82">
                  <c:v>125.25899125000005</c:v>
                </c:pt>
                <c:pt idx="83">
                  <c:v>125.49617875000004</c:v>
                </c:pt>
                <c:pt idx="84">
                  <c:v>125.78358750000004</c:v>
                </c:pt>
                <c:pt idx="85">
                  <c:v>126.05139500000004</c:v>
                </c:pt>
                <c:pt idx="86">
                  <c:v>126.30680250000005</c:v>
                </c:pt>
                <c:pt idx="87">
                  <c:v>126.57225750000005</c:v>
                </c:pt>
                <c:pt idx="88">
                  <c:v>126.87724000000007</c:v>
                </c:pt>
                <c:pt idx="89">
                  <c:v>127.21045625000006</c:v>
                </c:pt>
                <c:pt idx="90">
                  <c:v>127.56215875000001</c:v>
                </c:pt>
                <c:pt idx="91">
                  <c:v>127.88183875000001</c:v>
                </c:pt>
                <c:pt idx="92">
                  <c:v>128.24678499999999</c:v>
                </c:pt>
                <c:pt idx="93">
                  <c:v>128.62855750000003</c:v>
                </c:pt>
                <c:pt idx="94">
                  <c:v>129.03769125000002</c:v>
                </c:pt>
                <c:pt idx="95">
                  <c:v>129.47023750000005</c:v>
                </c:pt>
                <c:pt idx="96">
                  <c:v>129.84124875000006</c:v>
                </c:pt>
                <c:pt idx="97">
                  <c:v>130.30826250000001</c:v>
                </c:pt>
                <c:pt idx="98">
                  <c:v>130.88544500000006</c:v>
                </c:pt>
                <c:pt idx="99">
                  <c:v>131.49410750000001</c:v>
                </c:pt>
                <c:pt idx="100">
                  <c:v>132.11368249999992</c:v>
                </c:pt>
                <c:pt idx="101">
                  <c:v>132.74653124999998</c:v>
                </c:pt>
                <c:pt idx="102">
                  <c:v>133.38795625000006</c:v>
                </c:pt>
                <c:pt idx="103">
                  <c:v>134.01298250000002</c:v>
                </c:pt>
                <c:pt idx="104">
                  <c:v>134.61872375000002</c:v>
                </c:pt>
                <c:pt idx="105">
                  <c:v>135.26964499999994</c:v>
                </c:pt>
                <c:pt idx="106">
                  <c:v>135.97229875000005</c:v>
                </c:pt>
                <c:pt idx="107">
                  <c:v>136.75109</c:v>
                </c:pt>
                <c:pt idx="108">
                  <c:v>137.57106000000002</c:v>
                </c:pt>
                <c:pt idx="109">
                  <c:v>138.43457999999998</c:v>
                </c:pt>
                <c:pt idx="110">
                  <c:v>139.39551125</c:v>
                </c:pt>
                <c:pt idx="111">
                  <c:v>140.54023750000007</c:v>
                </c:pt>
                <c:pt idx="112">
                  <c:v>141.61568999999997</c:v>
                </c:pt>
                <c:pt idx="113">
                  <c:v>142.58900250000002</c:v>
                </c:pt>
                <c:pt idx="114">
                  <c:v>143.53920250000002</c:v>
                </c:pt>
                <c:pt idx="115">
                  <c:v>144.43561750000003</c:v>
                </c:pt>
                <c:pt idx="116">
                  <c:v>145.32170875000008</c:v>
                </c:pt>
                <c:pt idx="117">
                  <c:v>146.22202625000006</c:v>
                </c:pt>
                <c:pt idx="118">
                  <c:v>147.12948625000001</c:v>
                </c:pt>
                <c:pt idx="119">
                  <c:v>148.06733750000006</c:v>
                </c:pt>
                <c:pt idx="120">
                  <c:v>148.9338075</c:v>
                </c:pt>
                <c:pt idx="121">
                  <c:v>149.82617375000001</c:v>
                </c:pt>
                <c:pt idx="122">
                  <c:v>150.72700875000004</c:v>
                </c:pt>
                <c:pt idx="123">
                  <c:v>151.55500250000003</c:v>
                </c:pt>
                <c:pt idx="124">
                  <c:v>152.37847000000008</c:v>
                </c:pt>
                <c:pt idx="125">
                  <c:v>153.26210625000004</c:v>
                </c:pt>
                <c:pt idx="126">
                  <c:v>154.12583625000002</c:v>
                </c:pt>
                <c:pt idx="127">
                  <c:v>154.962965</c:v>
                </c:pt>
                <c:pt idx="128">
                  <c:v>155.59952999999996</c:v>
                </c:pt>
                <c:pt idx="129">
                  <c:v>156.30548375000001</c:v>
                </c:pt>
                <c:pt idx="130">
                  <c:v>157.00325499999991</c:v>
                </c:pt>
                <c:pt idx="131">
                  <c:v>157.70364999999998</c:v>
                </c:pt>
                <c:pt idx="132">
                  <c:v>158.43494625000002</c:v>
                </c:pt>
                <c:pt idx="133">
                  <c:v>159.18326749999997</c:v>
                </c:pt>
                <c:pt idx="134">
                  <c:v>160.06864999999999</c:v>
                </c:pt>
                <c:pt idx="135">
                  <c:v>160.92908124999991</c:v>
                </c:pt>
                <c:pt idx="136">
                  <c:v>161.79726999999997</c:v>
                </c:pt>
                <c:pt idx="137">
                  <c:v>162.68387124999995</c:v>
                </c:pt>
                <c:pt idx="138">
                  <c:v>163.61422124999996</c:v>
                </c:pt>
                <c:pt idx="139">
                  <c:v>164.60730249999997</c:v>
                </c:pt>
                <c:pt idx="140">
                  <c:v>165.49095999999994</c:v>
                </c:pt>
                <c:pt idx="141">
                  <c:v>166.40931499999994</c:v>
                </c:pt>
                <c:pt idx="142">
                  <c:v>167.40962874999997</c:v>
                </c:pt>
                <c:pt idx="143">
                  <c:v>168.46420374999994</c:v>
                </c:pt>
                <c:pt idx="144">
                  <c:v>169.50074625000002</c:v>
                </c:pt>
                <c:pt idx="145">
                  <c:v>170.55532500000001</c:v>
                </c:pt>
                <c:pt idx="146">
                  <c:v>171.56126750000001</c:v>
                </c:pt>
                <c:pt idx="147">
                  <c:v>172.59376499999993</c:v>
                </c:pt>
                <c:pt idx="148">
                  <c:v>173.58928875000001</c:v>
                </c:pt>
                <c:pt idx="149">
                  <c:v>174.58059625000001</c:v>
                </c:pt>
                <c:pt idx="150">
                  <c:v>175.60499249999992</c:v>
                </c:pt>
                <c:pt idx="151">
                  <c:v>176.61563249999998</c:v>
                </c:pt>
                <c:pt idx="152">
                  <c:v>177.58506124999997</c:v>
                </c:pt>
                <c:pt idx="153">
                  <c:v>178.65374124999997</c:v>
                </c:pt>
                <c:pt idx="154">
                  <c:v>179.70084249999996</c:v>
                </c:pt>
                <c:pt idx="155">
                  <c:v>180.83081750000002</c:v>
                </c:pt>
                <c:pt idx="156">
                  <c:v>182.03663249999994</c:v>
                </c:pt>
                <c:pt idx="157">
                  <c:v>183.20807874999997</c:v>
                </c:pt>
                <c:pt idx="158">
                  <c:v>184.38585124999994</c:v>
                </c:pt>
                <c:pt idx="159">
                  <c:v>185.60894000000002</c:v>
                </c:pt>
                <c:pt idx="160">
                  <c:v>186.75870625000002</c:v>
                </c:pt>
                <c:pt idx="161">
                  <c:v>187.86530000000002</c:v>
                </c:pt>
                <c:pt idx="162">
                  <c:v>189.01957374999992</c:v>
                </c:pt>
                <c:pt idx="163">
                  <c:v>190.18598374999996</c:v>
                </c:pt>
                <c:pt idx="164">
                  <c:v>191.30779625000002</c:v>
                </c:pt>
                <c:pt idx="165">
                  <c:v>192.43597750000001</c:v>
                </c:pt>
                <c:pt idx="166">
                  <c:v>193.58455249999992</c:v>
                </c:pt>
                <c:pt idx="167">
                  <c:v>194.74262249999995</c:v>
                </c:pt>
                <c:pt idx="168">
                  <c:v>195.87421374999997</c:v>
                </c:pt>
                <c:pt idx="169">
                  <c:v>197.04745249999996</c:v>
                </c:pt>
                <c:pt idx="170">
                  <c:v>198.20310124999995</c:v>
                </c:pt>
                <c:pt idx="171">
                  <c:v>199.42310124999997</c:v>
                </c:pt>
                <c:pt idx="172">
                  <c:v>200.60860124999994</c:v>
                </c:pt>
                <c:pt idx="173">
                  <c:v>201.76807374999993</c:v>
                </c:pt>
                <c:pt idx="174">
                  <c:v>202.91466374999987</c:v>
                </c:pt>
                <c:pt idx="175">
                  <c:v>204.06728499999994</c:v>
                </c:pt>
                <c:pt idx="176">
                  <c:v>205.20884249999997</c:v>
                </c:pt>
                <c:pt idx="177">
                  <c:v>206.29455374999984</c:v>
                </c:pt>
                <c:pt idx="178">
                  <c:v>207.38798625000004</c:v>
                </c:pt>
                <c:pt idx="179">
                  <c:v>208.45935875000001</c:v>
                </c:pt>
                <c:pt idx="180">
                  <c:v>209.57623750000005</c:v>
                </c:pt>
                <c:pt idx="181">
                  <c:v>210.72504000000001</c:v>
                </c:pt>
                <c:pt idx="182">
                  <c:v>211.85910749999999</c:v>
                </c:pt>
                <c:pt idx="183">
                  <c:v>213.02262250000001</c:v>
                </c:pt>
                <c:pt idx="184">
                  <c:v>214.15066625</c:v>
                </c:pt>
                <c:pt idx="185">
                  <c:v>215.27224000000001</c:v>
                </c:pt>
                <c:pt idx="186">
                  <c:v>216.34229874999997</c:v>
                </c:pt>
                <c:pt idx="187">
                  <c:v>217.34096124999991</c:v>
                </c:pt>
                <c:pt idx="188">
                  <c:v>218.30061374999985</c:v>
                </c:pt>
                <c:pt idx="189">
                  <c:v>219.25583874999995</c:v>
                </c:pt>
                <c:pt idx="190">
                  <c:v>220.20313374999992</c:v>
                </c:pt>
                <c:pt idx="191">
                  <c:v>221.09987374999992</c:v>
                </c:pt>
                <c:pt idx="192">
                  <c:v>222.10686249999995</c:v>
                </c:pt>
                <c:pt idx="193">
                  <c:v>223.27410249999988</c:v>
                </c:pt>
                <c:pt idx="194">
                  <c:v>224.55838875000003</c:v>
                </c:pt>
                <c:pt idx="195">
                  <c:v>225.88898625000004</c:v>
                </c:pt>
                <c:pt idx="196">
                  <c:v>227.24192499999995</c:v>
                </c:pt>
                <c:pt idx="197">
                  <c:v>228.60138999999995</c:v>
                </c:pt>
                <c:pt idx="198">
                  <c:v>229.95095249999986</c:v>
                </c:pt>
                <c:pt idx="199">
                  <c:v>231.25091874999995</c:v>
                </c:pt>
                <c:pt idx="200">
                  <c:v>232.56833499999993</c:v>
                </c:pt>
                <c:pt idx="201">
                  <c:v>233.93117874999999</c:v>
                </c:pt>
                <c:pt idx="202">
                  <c:v>235.27860624999988</c:v>
                </c:pt>
                <c:pt idx="203">
                  <c:v>236.56307499999983</c:v>
                </c:pt>
                <c:pt idx="204">
                  <c:v>237.9403749999999</c:v>
                </c:pt>
                <c:pt idx="205">
                  <c:v>239.22555749999992</c:v>
                </c:pt>
                <c:pt idx="206">
                  <c:v>240.53617374999993</c:v>
                </c:pt>
                <c:pt idx="207">
                  <c:v>241.87095249999999</c:v>
                </c:pt>
                <c:pt idx="208">
                  <c:v>243.19737124999997</c:v>
                </c:pt>
                <c:pt idx="209">
                  <c:v>244.51460499999988</c:v>
                </c:pt>
                <c:pt idx="210">
                  <c:v>245.850415</c:v>
                </c:pt>
                <c:pt idx="211">
                  <c:v>247.10827</c:v>
                </c:pt>
                <c:pt idx="212">
                  <c:v>248.36968249999998</c:v>
                </c:pt>
                <c:pt idx="213">
                  <c:v>249.60777875000002</c:v>
                </c:pt>
                <c:pt idx="214">
                  <c:v>250.77823375000003</c:v>
                </c:pt>
                <c:pt idx="215">
                  <c:v>251.98770750000008</c:v>
                </c:pt>
                <c:pt idx="216">
                  <c:v>253.1862825</c:v>
                </c:pt>
                <c:pt idx="217">
                  <c:v>254.3580287500001</c:v>
                </c:pt>
                <c:pt idx="218">
                  <c:v>255.50897500000002</c:v>
                </c:pt>
                <c:pt idx="219">
                  <c:v>256.71105749999987</c:v>
                </c:pt>
                <c:pt idx="220">
                  <c:v>258.02763500000003</c:v>
                </c:pt>
                <c:pt idx="221">
                  <c:v>259.2959899999999</c:v>
                </c:pt>
                <c:pt idx="222">
                  <c:v>260.624075</c:v>
                </c:pt>
                <c:pt idx="223">
                  <c:v>262.01293500000003</c:v>
                </c:pt>
              </c:numCache>
            </c:numRef>
          </c:val>
        </c:ser>
        <c:marker val="1"/>
        <c:axId val="242748416"/>
        <c:axId val="242750592"/>
      </c:lineChart>
      <c:dateAx>
        <c:axId val="242748416"/>
        <c:scaling>
          <c:orientation val="minMax"/>
        </c:scaling>
        <c:axPos val="b"/>
        <c:numFmt formatCode="dd/mm/yyyy" sourceLinked="0"/>
        <c:tickLblPos val="nextTo"/>
        <c:spPr>
          <a:ln w="4583">
            <a:solidFill>
              <a:srgbClr val="000000"/>
            </a:solidFill>
            <a:prstDash val="solid"/>
          </a:ln>
        </c:spPr>
        <c:txPr>
          <a:bodyPr rot="-5400000" vert="horz"/>
          <a:lstStyle/>
          <a:p>
            <a:pPr>
              <a:defRPr sz="794" b="0" i="0" u="none" strike="noStrike" baseline="0">
                <a:solidFill>
                  <a:srgbClr val="000000"/>
                </a:solidFill>
                <a:latin typeface="Arial"/>
                <a:ea typeface="Arial"/>
                <a:cs typeface="Arial"/>
              </a:defRPr>
            </a:pPr>
            <a:endParaRPr lang="es-ES"/>
          </a:p>
        </c:txPr>
        <c:crossAx val="242750592"/>
        <c:crosses val="autoZero"/>
        <c:auto val="1"/>
        <c:lblOffset val="100"/>
        <c:baseTimeUnit val="days"/>
        <c:majorUnit val="3"/>
        <c:majorTimeUnit val="months"/>
        <c:minorUnit val="1"/>
        <c:minorTimeUnit val="months"/>
      </c:dateAx>
      <c:valAx>
        <c:axId val="242750592"/>
        <c:scaling>
          <c:orientation val="minMax"/>
        </c:scaling>
        <c:axPos val="l"/>
        <c:numFmt formatCode="##0.00" sourceLinked="1"/>
        <c:tickLblPos val="nextTo"/>
        <c:spPr>
          <a:ln w="4583">
            <a:solidFill>
              <a:srgbClr val="000000"/>
            </a:solidFill>
            <a:prstDash val="solid"/>
          </a:ln>
        </c:spPr>
        <c:txPr>
          <a:bodyPr rot="0" vert="horz"/>
          <a:lstStyle/>
          <a:p>
            <a:pPr>
              <a:defRPr sz="794" b="0" i="0" u="none" strike="noStrike" baseline="0">
                <a:solidFill>
                  <a:srgbClr val="000000"/>
                </a:solidFill>
                <a:latin typeface="Arial"/>
                <a:ea typeface="Arial"/>
                <a:cs typeface="Arial"/>
              </a:defRPr>
            </a:pPr>
            <a:endParaRPr lang="es-ES"/>
          </a:p>
        </c:txPr>
        <c:crossAx val="242748416"/>
        <c:crosses val="autoZero"/>
        <c:crossBetween val="between"/>
      </c:valAx>
      <c:spPr>
        <a:solidFill>
          <a:srgbClr val="C0C0C0"/>
        </a:solidFill>
        <a:ln w="18332">
          <a:solidFill>
            <a:srgbClr val="808080"/>
          </a:solidFill>
          <a:prstDash val="solid"/>
        </a:ln>
      </c:spPr>
    </c:plotArea>
    <c:legend>
      <c:legendPos val="t"/>
      <c:layout>
        <c:manualLayout>
          <c:xMode val="edge"/>
          <c:yMode val="edge"/>
          <c:x val="0"/>
          <c:y val="5.9523809523809521E-3"/>
          <c:w val="0.15567282321899731"/>
          <c:h val="0.16071428571428578"/>
        </c:manualLayout>
      </c:layout>
      <c:spPr>
        <a:solidFill>
          <a:srgbClr val="C0C0C0"/>
        </a:solidFill>
        <a:ln w="4583">
          <a:solidFill>
            <a:srgbClr val="000000"/>
          </a:solidFill>
          <a:prstDash val="solid"/>
        </a:ln>
      </c:spPr>
      <c:txPr>
        <a:bodyPr/>
        <a:lstStyle/>
        <a:p>
          <a:pPr>
            <a:defRPr sz="83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4583">
      <a:solidFill>
        <a:srgbClr val="000000"/>
      </a:solidFill>
      <a:prstDash val="solid"/>
    </a:ln>
  </c:spPr>
  <c:txPr>
    <a:bodyPr/>
    <a:lstStyle/>
    <a:p>
      <a:pPr>
        <a:defRPr sz="1191"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6" b="1" i="0" u="none" strike="noStrike" baseline="0">
                <a:solidFill>
                  <a:srgbClr val="000000"/>
                </a:solidFill>
                <a:latin typeface="Arial"/>
                <a:ea typeface="Arial"/>
                <a:cs typeface="Arial"/>
              </a:defRPr>
            </a:pPr>
            <a:r>
              <a:t>LONGITUD VARIABLE DE LA MEDIA MÓVIL ECUINDEX</a:t>
            </a:r>
          </a:p>
        </c:rich>
      </c:tx>
      <c:layout>
        <c:manualLayout>
          <c:xMode val="edge"/>
          <c:yMode val="edge"/>
          <c:x val="0.28705882352941192"/>
          <c:y val="1.4925373134328361E-2"/>
        </c:manualLayout>
      </c:layout>
      <c:spPr>
        <a:noFill/>
        <a:ln w="32584">
          <a:noFill/>
        </a:ln>
      </c:spPr>
    </c:title>
    <c:plotArea>
      <c:layout>
        <c:manualLayout>
          <c:layoutTarget val="inner"/>
          <c:xMode val="edge"/>
          <c:yMode val="edge"/>
          <c:x val="0.13882352941176468"/>
          <c:y val="0.38805970149253732"/>
          <c:w val="0.82352941176470584"/>
          <c:h val="0.29353233830845782"/>
        </c:manualLayout>
      </c:layout>
      <c:lineChart>
        <c:grouping val="standard"/>
        <c:ser>
          <c:idx val="0"/>
          <c:order val="0"/>
          <c:tx>
            <c:strRef>
              <c:f>'ECUINDEXMM5-50 VL'!$F$11</c:f>
              <c:strCache>
                <c:ptCount val="1"/>
                <c:pt idx="0">
                  <c:v>MM5</c:v>
                </c:pt>
              </c:strCache>
            </c:strRef>
          </c:tx>
          <c:spPr>
            <a:ln w="16292">
              <a:solidFill>
                <a:srgbClr val="000080"/>
              </a:solidFill>
              <a:prstDash val="solid"/>
            </a:ln>
          </c:spPr>
          <c:marker>
            <c:symbol val="none"/>
          </c:marker>
          <c:cat>
            <c:numRef>
              <c:f>'ECUINDEXMM5-50 VL'!$D$12:$D$269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'ECUINDEXMM5-50 VL'!$F$61:$F$269</c:f>
              <c:numCache>
                <c:formatCode>##0.00</c:formatCode>
                <c:ptCount val="209"/>
                <c:pt idx="0">
                  <c:v>446.85800000000006</c:v>
                </c:pt>
                <c:pt idx="1">
                  <c:v>449.358</c:v>
                </c:pt>
                <c:pt idx="2">
                  <c:v>452.51000000000005</c:v>
                </c:pt>
                <c:pt idx="3">
                  <c:v>456.82</c:v>
                </c:pt>
                <c:pt idx="4">
                  <c:v>462.358</c:v>
                </c:pt>
                <c:pt idx="5">
                  <c:v>471.55</c:v>
                </c:pt>
                <c:pt idx="6">
                  <c:v>482.73799999999989</c:v>
                </c:pt>
                <c:pt idx="7">
                  <c:v>491.31200000000001</c:v>
                </c:pt>
                <c:pt idx="8">
                  <c:v>493.68</c:v>
                </c:pt>
                <c:pt idx="9">
                  <c:v>496.11400000000015</c:v>
                </c:pt>
                <c:pt idx="10">
                  <c:v>494.85599999999994</c:v>
                </c:pt>
                <c:pt idx="11">
                  <c:v>490.49400000000003</c:v>
                </c:pt>
                <c:pt idx="12">
                  <c:v>487.15999999999997</c:v>
                </c:pt>
                <c:pt idx="13">
                  <c:v>484.56200000000001</c:v>
                </c:pt>
                <c:pt idx="14">
                  <c:v>479.65000000000009</c:v>
                </c:pt>
                <c:pt idx="15">
                  <c:v>474.69799999999987</c:v>
                </c:pt>
                <c:pt idx="16">
                  <c:v>481.47200000000004</c:v>
                </c:pt>
                <c:pt idx="17">
                  <c:v>483.1719999999998</c:v>
                </c:pt>
                <c:pt idx="18">
                  <c:v>483</c:v>
                </c:pt>
                <c:pt idx="19">
                  <c:v>478.80399999999986</c:v>
                </c:pt>
                <c:pt idx="20">
                  <c:v>475.06000000000006</c:v>
                </c:pt>
                <c:pt idx="21">
                  <c:v>460.59199999999976</c:v>
                </c:pt>
                <c:pt idx="22">
                  <c:v>454.12399999999985</c:v>
                </c:pt>
                <c:pt idx="23">
                  <c:v>450.34399999999994</c:v>
                </c:pt>
                <c:pt idx="24">
                  <c:v>454.95199999999977</c:v>
                </c:pt>
                <c:pt idx="25">
                  <c:v>458.40599999999984</c:v>
                </c:pt>
                <c:pt idx="26">
                  <c:v>464.0379999999999</c:v>
                </c:pt>
                <c:pt idx="27">
                  <c:v>472.68</c:v>
                </c:pt>
                <c:pt idx="28">
                  <c:v>479.95799999999986</c:v>
                </c:pt>
                <c:pt idx="29">
                  <c:v>487.73999999999984</c:v>
                </c:pt>
                <c:pt idx="30">
                  <c:v>496.18999999999994</c:v>
                </c:pt>
                <c:pt idx="31">
                  <c:v>502.09</c:v>
                </c:pt>
                <c:pt idx="32">
                  <c:v>500.858</c:v>
                </c:pt>
                <c:pt idx="33">
                  <c:v>499.54000000000008</c:v>
                </c:pt>
                <c:pt idx="34">
                  <c:v>495.9679999999999</c:v>
                </c:pt>
                <c:pt idx="35">
                  <c:v>490.42599999999993</c:v>
                </c:pt>
                <c:pt idx="36">
                  <c:v>504.07399999999984</c:v>
                </c:pt>
                <c:pt idx="37">
                  <c:v>509.93599999999986</c:v>
                </c:pt>
                <c:pt idx="38">
                  <c:v>515.74</c:v>
                </c:pt>
                <c:pt idx="39">
                  <c:v>521.15</c:v>
                </c:pt>
                <c:pt idx="40">
                  <c:v>529.32599999999979</c:v>
                </c:pt>
                <c:pt idx="41">
                  <c:v>545.58600000000001</c:v>
                </c:pt>
                <c:pt idx="42">
                  <c:v>561.82999999999981</c:v>
                </c:pt>
                <c:pt idx="43">
                  <c:v>584.60799999999972</c:v>
                </c:pt>
                <c:pt idx="44">
                  <c:v>597.00599999999997</c:v>
                </c:pt>
                <c:pt idx="45">
                  <c:v>617.78400000000022</c:v>
                </c:pt>
                <c:pt idx="46">
                  <c:v>612.15600000000006</c:v>
                </c:pt>
                <c:pt idx="47">
                  <c:v>606.93399999999997</c:v>
                </c:pt>
                <c:pt idx="48">
                  <c:v>595.24400000000003</c:v>
                </c:pt>
                <c:pt idx="49">
                  <c:v>594.05199999999968</c:v>
                </c:pt>
                <c:pt idx="50">
                  <c:v>586.83400000000006</c:v>
                </c:pt>
                <c:pt idx="51">
                  <c:v>575.47799999999972</c:v>
                </c:pt>
                <c:pt idx="52">
                  <c:v>577.476</c:v>
                </c:pt>
                <c:pt idx="53">
                  <c:v>577.02800000000002</c:v>
                </c:pt>
                <c:pt idx="54">
                  <c:v>584.89799999999968</c:v>
                </c:pt>
                <c:pt idx="55">
                  <c:v>590.68999999999994</c:v>
                </c:pt>
                <c:pt idx="56">
                  <c:v>598.4459999999998</c:v>
                </c:pt>
                <c:pt idx="57">
                  <c:v>603.52600000000007</c:v>
                </c:pt>
                <c:pt idx="58">
                  <c:v>619.61799999999971</c:v>
                </c:pt>
                <c:pt idx="59">
                  <c:v>619.78800000000035</c:v>
                </c:pt>
                <c:pt idx="60">
                  <c:v>619.22199999999998</c:v>
                </c:pt>
                <c:pt idx="61">
                  <c:v>615.77800000000025</c:v>
                </c:pt>
                <c:pt idx="62">
                  <c:v>603.32199999999978</c:v>
                </c:pt>
                <c:pt idx="63">
                  <c:v>588.9219999999998</c:v>
                </c:pt>
                <c:pt idx="64">
                  <c:v>583.16000000000008</c:v>
                </c:pt>
                <c:pt idx="65">
                  <c:v>578.65800000000002</c:v>
                </c:pt>
                <c:pt idx="66">
                  <c:v>581.01199999999972</c:v>
                </c:pt>
                <c:pt idx="67">
                  <c:v>592.29200000000003</c:v>
                </c:pt>
                <c:pt idx="68">
                  <c:v>596.78600000000029</c:v>
                </c:pt>
                <c:pt idx="69">
                  <c:v>599.89599999999996</c:v>
                </c:pt>
                <c:pt idx="70">
                  <c:v>588.74800000000005</c:v>
                </c:pt>
                <c:pt idx="71">
                  <c:v>562.2180000000003</c:v>
                </c:pt>
                <c:pt idx="72">
                  <c:v>534.7180000000003</c:v>
                </c:pt>
                <c:pt idx="73">
                  <c:v>521.16599999999971</c:v>
                </c:pt>
                <c:pt idx="74">
                  <c:v>514.404</c:v>
                </c:pt>
                <c:pt idx="75">
                  <c:v>523.22399999999993</c:v>
                </c:pt>
                <c:pt idx="76">
                  <c:v>545.27600000000029</c:v>
                </c:pt>
                <c:pt idx="77">
                  <c:v>564.39799999999968</c:v>
                </c:pt>
                <c:pt idx="78">
                  <c:v>570.1279999999997</c:v>
                </c:pt>
                <c:pt idx="79">
                  <c:v>575.95199999999977</c:v>
                </c:pt>
                <c:pt idx="80">
                  <c:v>579.98599999999999</c:v>
                </c:pt>
                <c:pt idx="81">
                  <c:v>582.20999999999992</c:v>
                </c:pt>
                <c:pt idx="82">
                  <c:v>594.6099999999999</c:v>
                </c:pt>
                <c:pt idx="83">
                  <c:v>609.35199999999975</c:v>
                </c:pt>
                <c:pt idx="84">
                  <c:v>620.91599999999971</c:v>
                </c:pt>
                <c:pt idx="85">
                  <c:v>632.58400000000029</c:v>
                </c:pt>
                <c:pt idx="86">
                  <c:v>648.51</c:v>
                </c:pt>
                <c:pt idx="87">
                  <c:v>657.9</c:v>
                </c:pt>
                <c:pt idx="88">
                  <c:v>663.44199999999978</c:v>
                </c:pt>
                <c:pt idx="89">
                  <c:v>667.49199999999996</c:v>
                </c:pt>
                <c:pt idx="90">
                  <c:v>671.57800000000032</c:v>
                </c:pt>
                <c:pt idx="91">
                  <c:v>681.8299999999997</c:v>
                </c:pt>
                <c:pt idx="92">
                  <c:v>703.9799999999999</c:v>
                </c:pt>
                <c:pt idx="93">
                  <c:v>734.35999999999979</c:v>
                </c:pt>
                <c:pt idx="94">
                  <c:v>769.22400000000005</c:v>
                </c:pt>
                <c:pt idx="95">
                  <c:v>812.34399999999982</c:v>
                </c:pt>
                <c:pt idx="96">
                  <c:v>856.43199999999979</c:v>
                </c:pt>
                <c:pt idx="97">
                  <c:v>884.98199999999997</c:v>
                </c:pt>
                <c:pt idx="98">
                  <c:v>899.08800000000031</c:v>
                </c:pt>
                <c:pt idx="99">
                  <c:v>904.02199999999971</c:v>
                </c:pt>
                <c:pt idx="100">
                  <c:v>898.51200000000006</c:v>
                </c:pt>
                <c:pt idx="101">
                  <c:v>882.34199999999998</c:v>
                </c:pt>
                <c:pt idx="102">
                  <c:v>870.50200000000007</c:v>
                </c:pt>
                <c:pt idx="103">
                  <c:v>865.77400000000023</c:v>
                </c:pt>
                <c:pt idx="104">
                  <c:v>868.7120000000001</c:v>
                </c:pt>
                <c:pt idx="105">
                  <c:v>872.54</c:v>
                </c:pt>
                <c:pt idx="106">
                  <c:v>879.4</c:v>
                </c:pt>
                <c:pt idx="107">
                  <c:v>883.85199999999986</c:v>
                </c:pt>
                <c:pt idx="108">
                  <c:v>889.58199999999999</c:v>
                </c:pt>
                <c:pt idx="109">
                  <c:v>879.39200000000017</c:v>
                </c:pt>
                <c:pt idx="110">
                  <c:v>879.18999999999994</c:v>
                </c:pt>
                <c:pt idx="111">
                  <c:v>876.39</c:v>
                </c:pt>
                <c:pt idx="112">
                  <c:v>872.38600000000008</c:v>
                </c:pt>
                <c:pt idx="113">
                  <c:v>868.38400000000001</c:v>
                </c:pt>
                <c:pt idx="114">
                  <c:v>872.11399999999992</c:v>
                </c:pt>
                <c:pt idx="115">
                  <c:v>867.0659999999998</c:v>
                </c:pt>
                <c:pt idx="116">
                  <c:v>869.10200000000009</c:v>
                </c:pt>
                <c:pt idx="117">
                  <c:v>874.10200000000009</c:v>
                </c:pt>
                <c:pt idx="118">
                  <c:v>878.5659999999998</c:v>
                </c:pt>
                <c:pt idx="119">
                  <c:v>892.09799999999996</c:v>
                </c:pt>
                <c:pt idx="120">
                  <c:v>900.86799999999971</c:v>
                </c:pt>
                <c:pt idx="121">
                  <c:v>902.94599999999969</c:v>
                </c:pt>
                <c:pt idx="122">
                  <c:v>890.2320000000002</c:v>
                </c:pt>
                <c:pt idx="123">
                  <c:v>875.16399999999999</c:v>
                </c:pt>
                <c:pt idx="124">
                  <c:v>859.60400000000004</c:v>
                </c:pt>
                <c:pt idx="125">
                  <c:v>841.65800000000013</c:v>
                </c:pt>
                <c:pt idx="126">
                  <c:v>827.48199999999997</c:v>
                </c:pt>
                <c:pt idx="127">
                  <c:v>828.60400000000004</c:v>
                </c:pt>
                <c:pt idx="128">
                  <c:v>831.65400000000011</c:v>
                </c:pt>
                <c:pt idx="129">
                  <c:v>827.27200000000039</c:v>
                </c:pt>
                <c:pt idx="130">
                  <c:v>831.51200000000006</c:v>
                </c:pt>
                <c:pt idx="131">
                  <c:v>832.46199999999965</c:v>
                </c:pt>
                <c:pt idx="132">
                  <c:v>832.46599999999978</c:v>
                </c:pt>
                <c:pt idx="133">
                  <c:v>831.96199999999965</c:v>
                </c:pt>
                <c:pt idx="134">
                  <c:v>835.12199999999996</c:v>
                </c:pt>
                <c:pt idx="135">
                  <c:v>837.27600000000029</c:v>
                </c:pt>
                <c:pt idx="136">
                  <c:v>839.21199999999988</c:v>
                </c:pt>
                <c:pt idx="137">
                  <c:v>842.01</c:v>
                </c:pt>
                <c:pt idx="138">
                  <c:v>847.8499999999998</c:v>
                </c:pt>
                <c:pt idx="139">
                  <c:v>852.62199999999996</c:v>
                </c:pt>
                <c:pt idx="140">
                  <c:v>860.69799999999998</c:v>
                </c:pt>
                <c:pt idx="141">
                  <c:v>868.73199999999997</c:v>
                </c:pt>
                <c:pt idx="142">
                  <c:v>876.58999999999992</c:v>
                </c:pt>
                <c:pt idx="143">
                  <c:v>882.65400000000011</c:v>
                </c:pt>
                <c:pt idx="144">
                  <c:v>894.048</c:v>
                </c:pt>
                <c:pt idx="145">
                  <c:v>897.00200000000007</c:v>
                </c:pt>
                <c:pt idx="146">
                  <c:v>900.68600000000004</c:v>
                </c:pt>
                <c:pt idx="147">
                  <c:v>890.57</c:v>
                </c:pt>
                <c:pt idx="148">
                  <c:v>893.8499999999998</c:v>
                </c:pt>
                <c:pt idx="149">
                  <c:v>891.43999999999971</c:v>
                </c:pt>
                <c:pt idx="150">
                  <c:v>893.34599999999966</c:v>
                </c:pt>
                <c:pt idx="151">
                  <c:v>896.09799999999996</c:v>
                </c:pt>
                <c:pt idx="152">
                  <c:v>912.3</c:v>
                </c:pt>
                <c:pt idx="153">
                  <c:v>914.68200000000002</c:v>
                </c:pt>
                <c:pt idx="154">
                  <c:v>922.42000000000007</c:v>
                </c:pt>
                <c:pt idx="155">
                  <c:v>929.66399999999999</c:v>
                </c:pt>
                <c:pt idx="156">
                  <c:v>933.86799999999971</c:v>
                </c:pt>
                <c:pt idx="157">
                  <c:v>937.76800000000003</c:v>
                </c:pt>
                <c:pt idx="158">
                  <c:v>940.9380000000001</c:v>
                </c:pt>
                <c:pt idx="159">
                  <c:v>939.65400000000011</c:v>
                </c:pt>
                <c:pt idx="160">
                  <c:v>940.23400000000004</c:v>
                </c:pt>
                <c:pt idx="161">
                  <c:v>941.89199999999983</c:v>
                </c:pt>
                <c:pt idx="162">
                  <c:v>943.44200000000001</c:v>
                </c:pt>
                <c:pt idx="163">
                  <c:v>946.01199999999972</c:v>
                </c:pt>
                <c:pt idx="164">
                  <c:v>948.95999999999981</c:v>
                </c:pt>
                <c:pt idx="165">
                  <c:v>953.94999999999982</c:v>
                </c:pt>
                <c:pt idx="166">
                  <c:v>962.70999999999981</c:v>
                </c:pt>
                <c:pt idx="167">
                  <c:v>971.37200000000007</c:v>
                </c:pt>
                <c:pt idx="168">
                  <c:v>979.43799999999965</c:v>
                </c:pt>
                <c:pt idx="169">
                  <c:v>987.05400000000009</c:v>
                </c:pt>
                <c:pt idx="170">
                  <c:v>991.2299999999999</c:v>
                </c:pt>
                <c:pt idx="171">
                  <c:v>992.94599999999991</c:v>
                </c:pt>
                <c:pt idx="172">
                  <c:v>994.35599999999977</c:v>
                </c:pt>
                <c:pt idx="173">
                  <c:v>996.06399999999996</c:v>
                </c:pt>
                <c:pt idx="174">
                  <c:v>989.46800000000007</c:v>
                </c:pt>
                <c:pt idx="175">
                  <c:v>987.33199999999977</c:v>
                </c:pt>
                <c:pt idx="176">
                  <c:v>989.51800000000003</c:v>
                </c:pt>
                <c:pt idx="177">
                  <c:v>994.90400000000011</c:v>
                </c:pt>
                <c:pt idx="178">
                  <c:v>1003.534</c:v>
                </c:pt>
                <c:pt idx="179">
                  <c:v>1025.046</c:v>
                </c:pt>
                <c:pt idx="180">
                  <c:v>1042.5419999999999</c:v>
                </c:pt>
                <c:pt idx="181">
                  <c:v>1055.1099999999999</c:v>
                </c:pt>
                <c:pt idx="182">
                  <c:v>1065.944</c:v>
                </c:pt>
                <c:pt idx="183">
                  <c:v>1072.6979999999999</c:v>
                </c:pt>
                <c:pt idx="184">
                  <c:v>1074.1779999999999</c:v>
                </c:pt>
                <c:pt idx="185">
                  <c:v>1076.482</c:v>
                </c:pt>
                <c:pt idx="186">
                  <c:v>1082.6499999999999</c:v>
                </c:pt>
                <c:pt idx="187">
                  <c:v>1085.6659999999999</c:v>
                </c:pt>
                <c:pt idx="188">
                  <c:v>1084.768</c:v>
                </c:pt>
                <c:pt idx="189">
                  <c:v>1083.3539999999998</c:v>
                </c:pt>
                <c:pt idx="190">
                  <c:v>1079.7180000000001</c:v>
                </c:pt>
                <c:pt idx="191">
                  <c:v>1073.8499999999999</c:v>
                </c:pt>
                <c:pt idx="192">
                  <c:v>1069.8300000000002</c:v>
                </c:pt>
                <c:pt idx="193">
                  <c:v>1072.308</c:v>
                </c:pt>
                <c:pt idx="194">
                  <c:v>1073.5</c:v>
                </c:pt>
                <c:pt idx="195">
                  <c:v>1075.8799999999999</c:v>
                </c:pt>
                <c:pt idx="196">
                  <c:v>1075.424</c:v>
                </c:pt>
                <c:pt idx="197">
                  <c:v>1075.5999999999999</c:v>
                </c:pt>
                <c:pt idx="198">
                  <c:v>1073.3780000000002</c:v>
                </c:pt>
                <c:pt idx="199">
                  <c:v>1074.3919999999998</c:v>
                </c:pt>
                <c:pt idx="200">
                  <c:v>1073.7539999999999</c:v>
                </c:pt>
                <c:pt idx="201">
                  <c:v>1072.7900000000002</c:v>
                </c:pt>
                <c:pt idx="202">
                  <c:v>1071.1080000000002</c:v>
                </c:pt>
                <c:pt idx="203">
                  <c:v>1076.0260000000001</c:v>
                </c:pt>
                <c:pt idx="204">
                  <c:v>1082.442</c:v>
                </c:pt>
                <c:pt idx="205">
                  <c:v>1090.9640000000002</c:v>
                </c:pt>
                <c:pt idx="206">
                  <c:v>1103.7180000000001</c:v>
                </c:pt>
                <c:pt idx="207">
                  <c:v>1119.9739999999999</c:v>
                </c:pt>
                <c:pt idx="208">
                  <c:v>1132.328</c:v>
                </c:pt>
              </c:numCache>
            </c:numRef>
          </c:val>
        </c:ser>
        <c:ser>
          <c:idx val="1"/>
          <c:order val="1"/>
          <c:tx>
            <c:strRef>
              <c:f>'ECUINDEXMM5-50 VL'!$G$11</c:f>
              <c:strCache>
                <c:ptCount val="1"/>
                <c:pt idx="0">
                  <c:v>MM50</c:v>
                </c:pt>
              </c:strCache>
            </c:strRef>
          </c:tx>
          <c:spPr>
            <a:ln w="16292">
              <a:solidFill>
                <a:srgbClr val="FF00FF"/>
              </a:solidFill>
              <a:prstDash val="solid"/>
            </a:ln>
          </c:spPr>
          <c:marker>
            <c:symbol val="square"/>
            <c:size val="2"/>
            <c:spPr>
              <a:solidFill>
                <a:srgbClr val="FFFFFF"/>
              </a:solidFill>
              <a:ln>
                <a:solidFill>
                  <a:srgbClr val="FFFFFF"/>
                </a:solidFill>
                <a:prstDash val="solid"/>
              </a:ln>
            </c:spPr>
          </c:marker>
          <c:cat>
            <c:numRef>
              <c:f>'ECUINDEXMM5-50 VL'!$D$12:$D$269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'ECUINDEXMM5-50 VL'!$G$61:$G$269</c:f>
              <c:numCache>
                <c:formatCode>##0.00</c:formatCode>
                <c:ptCount val="209"/>
                <c:pt idx="0">
                  <c:v>367.94408695652174</c:v>
                </c:pt>
                <c:pt idx="1">
                  <c:v>369.6762978723404</c:v>
                </c:pt>
                <c:pt idx="2">
                  <c:v>371.40199999999987</c:v>
                </c:pt>
                <c:pt idx="3">
                  <c:v>373.14522448979602</c:v>
                </c:pt>
                <c:pt idx="4">
                  <c:v>374.92947999999984</c:v>
                </c:pt>
                <c:pt idx="5">
                  <c:v>377.84275999999983</c:v>
                </c:pt>
                <c:pt idx="6">
                  <c:v>380.9220399999997</c:v>
                </c:pt>
                <c:pt idx="7">
                  <c:v>384.17292000000015</c:v>
                </c:pt>
                <c:pt idx="8">
                  <c:v>387.47144000000003</c:v>
                </c:pt>
                <c:pt idx="9">
                  <c:v>390.81888000000015</c:v>
                </c:pt>
                <c:pt idx="10">
                  <c:v>394.14092000000016</c:v>
                </c:pt>
                <c:pt idx="11">
                  <c:v>397.37547999999981</c:v>
                </c:pt>
                <c:pt idx="12">
                  <c:v>400.54312000000004</c:v>
                </c:pt>
                <c:pt idx="13">
                  <c:v>403.65856000000008</c:v>
                </c:pt>
                <c:pt idx="14">
                  <c:v>406.67560000000026</c:v>
                </c:pt>
                <c:pt idx="15">
                  <c:v>409.59360000000015</c:v>
                </c:pt>
                <c:pt idx="16">
                  <c:v>412.64708000000024</c:v>
                </c:pt>
                <c:pt idx="17">
                  <c:v>415.73468000000008</c:v>
                </c:pt>
                <c:pt idx="18">
                  <c:v>418.80144000000007</c:v>
                </c:pt>
                <c:pt idx="19">
                  <c:v>421.79568</c:v>
                </c:pt>
                <c:pt idx="20">
                  <c:v>424.87628000000007</c:v>
                </c:pt>
                <c:pt idx="21">
                  <c:v>427.77308000000005</c:v>
                </c:pt>
                <c:pt idx="22">
                  <c:v>430.63840000000016</c:v>
                </c:pt>
                <c:pt idx="23">
                  <c:v>433.44496000000026</c:v>
                </c:pt>
                <c:pt idx="24">
                  <c:v>436.32776000000018</c:v>
                </c:pt>
                <c:pt idx="25">
                  <c:v>439.26072000000005</c:v>
                </c:pt>
                <c:pt idx="26">
                  <c:v>442.34308000000021</c:v>
                </c:pt>
                <c:pt idx="27">
                  <c:v>445.51607999999987</c:v>
                </c:pt>
                <c:pt idx="28">
                  <c:v>448.84123999999986</c:v>
                </c:pt>
                <c:pt idx="29">
                  <c:v>452.42015999999984</c:v>
                </c:pt>
                <c:pt idx="30">
                  <c:v>410.33112499999987</c:v>
                </c:pt>
                <c:pt idx="31">
                  <c:v>412.69274999999999</c:v>
                </c:pt>
                <c:pt idx="32">
                  <c:v>414.72862499999979</c:v>
                </c:pt>
                <c:pt idx="33">
                  <c:v>416.7571249999998</c:v>
                </c:pt>
                <c:pt idx="34">
                  <c:v>418.75762499999985</c:v>
                </c:pt>
                <c:pt idx="35">
                  <c:v>420.61487499999998</c:v>
                </c:pt>
                <c:pt idx="36">
                  <c:v>423.64900000000011</c:v>
                </c:pt>
                <c:pt idx="37">
                  <c:v>426.05162499999989</c:v>
                </c:pt>
                <c:pt idx="38">
                  <c:v>428.44374999999968</c:v>
                </c:pt>
                <c:pt idx="39">
                  <c:v>430.78312499999959</c:v>
                </c:pt>
                <c:pt idx="40">
                  <c:v>433.15062499999988</c:v>
                </c:pt>
                <c:pt idx="41">
                  <c:v>437.20024999999964</c:v>
                </c:pt>
                <c:pt idx="42">
                  <c:v>440.6173749999997</c:v>
                </c:pt>
                <c:pt idx="43">
                  <c:v>444.43237499999958</c:v>
                </c:pt>
                <c:pt idx="44">
                  <c:v>447.54612499999973</c:v>
                </c:pt>
                <c:pt idx="45">
                  <c:v>451.21224999999964</c:v>
                </c:pt>
                <c:pt idx="46">
                  <c:v>454.9101249999996</c:v>
                </c:pt>
                <c:pt idx="47">
                  <c:v>458.00124999999969</c:v>
                </c:pt>
                <c:pt idx="48">
                  <c:v>461.03124999999977</c:v>
                </c:pt>
                <c:pt idx="49">
                  <c:v>464.10612499999979</c:v>
                </c:pt>
                <c:pt idx="50">
                  <c:v>467.8249999999997</c:v>
                </c:pt>
                <c:pt idx="51">
                  <c:v>471.14299999999986</c:v>
                </c:pt>
                <c:pt idx="52">
                  <c:v>474.66487499999982</c:v>
                </c:pt>
                <c:pt idx="53">
                  <c:v>477.7194999999997</c:v>
                </c:pt>
                <c:pt idx="54">
                  <c:v>481.23649999999964</c:v>
                </c:pt>
                <c:pt idx="55">
                  <c:v>485.25824999999975</c:v>
                </c:pt>
                <c:pt idx="56">
                  <c:v>489.17587499999979</c:v>
                </c:pt>
                <c:pt idx="57">
                  <c:v>492.7583749999996</c:v>
                </c:pt>
                <c:pt idx="58">
                  <c:v>496.83937499999973</c:v>
                </c:pt>
                <c:pt idx="59">
                  <c:v>500.67362499999979</c:v>
                </c:pt>
                <c:pt idx="60">
                  <c:v>504.50787499999979</c:v>
                </c:pt>
                <c:pt idx="61">
                  <c:v>507.59587499999969</c:v>
                </c:pt>
                <c:pt idx="62">
                  <c:v>510.18087499999973</c:v>
                </c:pt>
                <c:pt idx="63">
                  <c:v>512.64687499999968</c:v>
                </c:pt>
                <c:pt idx="64">
                  <c:v>514.03724999999929</c:v>
                </c:pt>
                <c:pt idx="65">
                  <c:v>515.47474999999974</c:v>
                </c:pt>
                <c:pt idx="66">
                  <c:v>517.01762499999927</c:v>
                </c:pt>
                <c:pt idx="67">
                  <c:v>518.58712499999956</c:v>
                </c:pt>
                <c:pt idx="68">
                  <c:v>520.31899999999951</c:v>
                </c:pt>
                <c:pt idx="69">
                  <c:v>521.97449999999981</c:v>
                </c:pt>
                <c:pt idx="70">
                  <c:v>522.96462499999939</c:v>
                </c:pt>
                <c:pt idx="71">
                  <c:v>523.32412499999953</c:v>
                </c:pt>
                <c:pt idx="72">
                  <c:v>523.44562499999938</c:v>
                </c:pt>
                <c:pt idx="73">
                  <c:v>524.48612499999967</c:v>
                </c:pt>
                <c:pt idx="74">
                  <c:v>525.94462499999952</c:v>
                </c:pt>
                <c:pt idx="75">
                  <c:v>527.65812499999981</c:v>
                </c:pt>
                <c:pt idx="76">
                  <c:v>529.42537500000003</c:v>
                </c:pt>
                <c:pt idx="77">
                  <c:v>531.01550000000009</c:v>
                </c:pt>
                <c:pt idx="78">
                  <c:v>532.32149999999979</c:v>
                </c:pt>
                <c:pt idx="79">
                  <c:v>534.1182500000001</c:v>
                </c:pt>
                <c:pt idx="80">
                  <c:v>535.97862500000008</c:v>
                </c:pt>
                <c:pt idx="81">
                  <c:v>537.72862500000008</c:v>
                </c:pt>
                <c:pt idx="82">
                  <c:v>539.89675000000011</c:v>
                </c:pt>
                <c:pt idx="83">
                  <c:v>541.85475000000008</c:v>
                </c:pt>
                <c:pt idx="84">
                  <c:v>544.02812499999982</c:v>
                </c:pt>
                <c:pt idx="85">
                  <c:v>546.04324999999972</c:v>
                </c:pt>
                <c:pt idx="86">
                  <c:v>548.08937500000025</c:v>
                </c:pt>
                <c:pt idx="87">
                  <c:v>550.30849999999998</c:v>
                </c:pt>
                <c:pt idx="88">
                  <c:v>552.46487500000001</c:v>
                </c:pt>
                <c:pt idx="89">
                  <c:v>554.73924999999997</c:v>
                </c:pt>
                <c:pt idx="90">
                  <c:v>557.08837500000038</c:v>
                </c:pt>
                <c:pt idx="91">
                  <c:v>560.04787500000009</c:v>
                </c:pt>
                <c:pt idx="92">
                  <c:v>563.85974999999996</c:v>
                </c:pt>
                <c:pt idx="93">
                  <c:v>568.07724999999982</c:v>
                </c:pt>
                <c:pt idx="94">
                  <c:v>572.83762499999955</c:v>
                </c:pt>
                <c:pt idx="95">
                  <c:v>578.19124999999997</c:v>
                </c:pt>
                <c:pt idx="96">
                  <c:v>583.48287499999992</c:v>
                </c:pt>
                <c:pt idx="97">
                  <c:v>588.97287499999982</c:v>
                </c:pt>
                <c:pt idx="98">
                  <c:v>594.08274999999981</c:v>
                </c:pt>
                <c:pt idx="99">
                  <c:v>599.41374999999994</c:v>
                </c:pt>
                <c:pt idx="100">
                  <c:v>604.6569999999997</c:v>
                </c:pt>
                <c:pt idx="101">
                  <c:v>609.84224999999947</c:v>
                </c:pt>
                <c:pt idx="102">
                  <c:v>614.99649999999986</c:v>
                </c:pt>
                <c:pt idx="103">
                  <c:v>620.04712499999937</c:v>
                </c:pt>
                <c:pt idx="104">
                  <c:v>625.27375000000006</c:v>
                </c:pt>
                <c:pt idx="105">
                  <c:v>630.54037499999981</c:v>
                </c:pt>
                <c:pt idx="106">
                  <c:v>635.80237499999987</c:v>
                </c:pt>
                <c:pt idx="107">
                  <c:v>640.69475000000011</c:v>
                </c:pt>
                <c:pt idx="108">
                  <c:v>645.6486249999997</c:v>
                </c:pt>
                <c:pt idx="109">
                  <c:v>649.75199999999973</c:v>
                </c:pt>
                <c:pt idx="110">
                  <c:v>654.47787499999993</c:v>
                </c:pt>
                <c:pt idx="111">
                  <c:v>659.19612499999982</c:v>
                </c:pt>
                <c:pt idx="112">
                  <c:v>663.91524999999979</c:v>
                </c:pt>
                <c:pt idx="113">
                  <c:v>668.70137500000021</c:v>
                </c:pt>
                <c:pt idx="114">
                  <c:v>673.26112499999977</c:v>
                </c:pt>
                <c:pt idx="115">
                  <c:v>678.017875</c:v>
                </c:pt>
                <c:pt idx="116">
                  <c:v>682.01037500000029</c:v>
                </c:pt>
                <c:pt idx="117">
                  <c:v>686.67562499999997</c:v>
                </c:pt>
                <c:pt idx="118">
                  <c:v>691.37800000000004</c:v>
                </c:pt>
                <c:pt idx="119">
                  <c:v>696.44537500000013</c:v>
                </c:pt>
                <c:pt idx="120">
                  <c:v>701.23925000000008</c:v>
                </c:pt>
                <c:pt idx="121">
                  <c:v>704.3453750000001</c:v>
                </c:pt>
                <c:pt idx="122">
                  <c:v>707.20075000000043</c:v>
                </c:pt>
                <c:pt idx="123">
                  <c:v>709.53775000000019</c:v>
                </c:pt>
                <c:pt idx="124">
                  <c:v>712.85775000000001</c:v>
                </c:pt>
                <c:pt idx="125">
                  <c:v>715.23137500000041</c:v>
                </c:pt>
                <c:pt idx="126">
                  <c:v>717.80325000000016</c:v>
                </c:pt>
                <c:pt idx="127">
                  <c:v>721.05512499999986</c:v>
                </c:pt>
                <c:pt idx="128">
                  <c:v>724.31337500000041</c:v>
                </c:pt>
                <c:pt idx="129">
                  <c:v>727.4340000000002</c:v>
                </c:pt>
                <c:pt idx="130">
                  <c:v>730.5237500000004</c:v>
                </c:pt>
                <c:pt idx="131">
                  <c:v>733.86475000000019</c:v>
                </c:pt>
                <c:pt idx="132">
                  <c:v>736.99200000000008</c:v>
                </c:pt>
                <c:pt idx="133">
                  <c:v>740.24675000000013</c:v>
                </c:pt>
                <c:pt idx="134">
                  <c:v>743.07300000000032</c:v>
                </c:pt>
                <c:pt idx="135">
                  <c:v>745.93537500000014</c:v>
                </c:pt>
                <c:pt idx="136">
                  <c:v>748.91262499999982</c:v>
                </c:pt>
                <c:pt idx="137">
                  <c:v>751.89724999999987</c:v>
                </c:pt>
                <c:pt idx="138">
                  <c:v>754.51124999999979</c:v>
                </c:pt>
                <c:pt idx="139">
                  <c:v>757.6251249999998</c:v>
                </c:pt>
                <c:pt idx="140">
                  <c:v>761.02762499999949</c:v>
                </c:pt>
                <c:pt idx="141">
                  <c:v>764.7222499999998</c:v>
                </c:pt>
                <c:pt idx="142">
                  <c:v>768.97649999999999</c:v>
                </c:pt>
                <c:pt idx="143">
                  <c:v>772.86949999999979</c:v>
                </c:pt>
                <c:pt idx="144">
                  <c:v>777.05562499999985</c:v>
                </c:pt>
                <c:pt idx="145">
                  <c:v>780.92412499999978</c:v>
                </c:pt>
                <c:pt idx="146">
                  <c:v>784.7018750000002</c:v>
                </c:pt>
                <c:pt idx="147">
                  <c:v>787.61887500000023</c:v>
                </c:pt>
                <c:pt idx="148">
                  <c:v>791.43599999999969</c:v>
                </c:pt>
                <c:pt idx="149">
                  <c:v>795.27712499999996</c:v>
                </c:pt>
                <c:pt idx="150">
                  <c:v>799.96149999999977</c:v>
                </c:pt>
                <c:pt idx="151">
                  <c:v>805.56937500000004</c:v>
                </c:pt>
                <c:pt idx="152">
                  <c:v>811.21775000000002</c:v>
                </c:pt>
                <c:pt idx="153">
                  <c:v>816.03075000000001</c:v>
                </c:pt>
                <c:pt idx="154">
                  <c:v>820.77812500000005</c:v>
                </c:pt>
                <c:pt idx="155">
                  <c:v>825.36399999999969</c:v>
                </c:pt>
                <c:pt idx="156">
                  <c:v>829.85637499999996</c:v>
                </c:pt>
                <c:pt idx="157">
                  <c:v>834.55337499999985</c:v>
                </c:pt>
                <c:pt idx="158">
                  <c:v>839.20637499999975</c:v>
                </c:pt>
                <c:pt idx="159">
                  <c:v>843.50949999999978</c:v>
                </c:pt>
                <c:pt idx="160">
                  <c:v>847.87949999999978</c:v>
                </c:pt>
                <c:pt idx="161">
                  <c:v>852.33649999999955</c:v>
                </c:pt>
                <c:pt idx="162">
                  <c:v>856.35537499999987</c:v>
                </c:pt>
                <c:pt idx="163">
                  <c:v>860.24762499999974</c:v>
                </c:pt>
                <c:pt idx="164">
                  <c:v>864.01224999999977</c:v>
                </c:pt>
                <c:pt idx="165">
                  <c:v>867.96487499999989</c:v>
                </c:pt>
                <c:pt idx="166">
                  <c:v>871.97399999999993</c:v>
                </c:pt>
                <c:pt idx="167">
                  <c:v>875.94737499999997</c:v>
                </c:pt>
                <c:pt idx="168">
                  <c:v>879.99737500000015</c:v>
                </c:pt>
                <c:pt idx="169">
                  <c:v>883.98487500000033</c:v>
                </c:pt>
                <c:pt idx="170">
                  <c:v>887.9431249999999</c:v>
                </c:pt>
                <c:pt idx="171">
                  <c:v>891.41875000000039</c:v>
                </c:pt>
                <c:pt idx="172">
                  <c:v>894.09587500000043</c:v>
                </c:pt>
                <c:pt idx="173">
                  <c:v>896.35387500000013</c:v>
                </c:pt>
                <c:pt idx="174">
                  <c:v>897.75012499999991</c:v>
                </c:pt>
                <c:pt idx="175">
                  <c:v>898.8798750000002</c:v>
                </c:pt>
                <c:pt idx="176">
                  <c:v>899.73662499999966</c:v>
                </c:pt>
                <c:pt idx="177">
                  <c:v>900.96599999999978</c:v>
                </c:pt>
                <c:pt idx="178">
                  <c:v>902.88175000000012</c:v>
                </c:pt>
                <c:pt idx="179">
                  <c:v>905.31412499999999</c:v>
                </c:pt>
                <c:pt idx="180">
                  <c:v>907.88175000000012</c:v>
                </c:pt>
                <c:pt idx="181">
                  <c:v>910.53462499999978</c:v>
                </c:pt>
                <c:pt idx="182">
                  <c:v>913.18112500000007</c:v>
                </c:pt>
                <c:pt idx="183">
                  <c:v>915.81450000000007</c:v>
                </c:pt>
                <c:pt idx="184">
                  <c:v>918.15575000000013</c:v>
                </c:pt>
                <c:pt idx="185">
                  <c:v>920.62812499999973</c:v>
                </c:pt>
                <c:pt idx="186">
                  <c:v>923.23774999999989</c:v>
                </c:pt>
                <c:pt idx="187">
                  <c:v>925.79449999999974</c:v>
                </c:pt>
                <c:pt idx="188">
                  <c:v>928.01362499999959</c:v>
                </c:pt>
                <c:pt idx="189">
                  <c:v>930.9033750000001</c:v>
                </c:pt>
                <c:pt idx="190">
                  <c:v>933.16112499999974</c:v>
                </c:pt>
                <c:pt idx="191">
                  <c:v>935.57899999999995</c:v>
                </c:pt>
                <c:pt idx="192">
                  <c:v>938.13475000000039</c:v>
                </c:pt>
                <c:pt idx="193">
                  <c:v>940.75887500000044</c:v>
                </c:pt>
                <c:pt idx="194">
                  <c:v>943.49000000000012</c:v>
                </c:pt>
                <c:pt idx="195">
                  <c:v>946.2120000000001</c:v>
                </c:pt>
                <c:pt idx="196">
                  <c:v>948.47412500000007</c:v>
                </c:pt>
                <c:pt idx="197">
                  <c:v>950.72837500000026</c:v>
                </c:pt>
                <c:pt idx="198">
                  <c:v>952.93462499999964</c:v>
                </c:pt>
                <c:pt idx="199">
                  <c:v>954.88337500000023</c:v>
                </c:pt>
                <c:pt idx="200">
                  <c:v>957.01737499999979</c:v>
                </c:pt>
                <c:pt idx="201">
                  <c:v>959.08937500000013</c:v>
                </c:pt>
                <c:pt idx="202">
                  <c:v>962.03312499999993</c:v>
                </c:pt>
                <c:pt idx="203">
                  <c:v>965.48849999999982</c:v>
                </c:pt>
                <c:pt idx="204">
                  <c:v>968.81074999999998</c:v>
                </c:pt>
                <c:pt idx="205">
                  <c:v>972.59899999999993</c:v>
                </c:pt>
                <c:pt idx="206">
                  <c:v>976.35412499999939</c:v>
                </c:pt>
                <c:pt idx="207">
                  <c:v>980.24375000000043</c:v>
                </c:pt>
                <c:pt idx="208">
                  <c:v>984.2806250000001</c:v>
                </c:pt>
              </c:numCache>
            </c:numRef>
          </c:val>
        </c:ser>
        <c:marker val="1"/>
        <c:axId val="232494208"/>
        <c:axId val="232496128"/>
      </c:lineChart>
      <c:dateAx>
        <c:axId val="232494208"/>
        <c:scaling>
          <c:orientation val="minMax"/>
        </c:scaling>
        <c:axPos val="b"/>
        <c:numFmt formatCode="dd/mm/yyyy" sourceLinked="0"/>
        <c:tickLblPos val="nextTo"/>
        <c:spPr>
          <a:ln w="4073">
            <a:solidFill>
              <a:srgbClr val="000000"/>
            </a:solidFill>
            <a:prstDash val="solid"/>
          </a:ln>
        </c:spPr>
        <c:txPr>
          <a:bodyPr rot="-5400000" vert="horz"/>
          <a:lstStyle/>
          <a:p>
            <a:pPr>
              <a:defRPr sz="1026" b="0" i="0" u="none" strike="noStrike" baseline="0">
                <a:solidFill>
                  <a:srgbClr val="000000"/>
                </a:solidFill>
                <a:latin typeface="Arial"/>
                <a:ea typeface="Arial"/>
                <a:cs typeface="Arial"/>
              </a:defRPr>
            </a:pPr>
            <a:endParaRPr lang="es-ES"/>
          </a:p>
        </c:txPr>
        <c:crossAx val="232496128"/>
        <c:crosses val="autoZero"/>
        <c:auto val="1"/>
        <c:lblOffset val="100"/>
        <c:baseTimeUnit val="days"/>
        <c:majorUnit val="3"/>
        <c:majorTimeUnit val="months"/>
        <c:minorUnit val="1"/>
        <c:minorTimeUnit val="months"/>
      </c:dateAx>
      <c:valAx>
        <c:axId val="232496128"/>
        <c:scaling>
          <c:orientation val="minMax"/>
        </c:scaling>
        <c:axPos val="l"/>
        <c:numFmt formatCode="##0.00" sourceLinked="1"/>
        <c:tickLblPos val="nextTo"/>
        <c:spPr>
          <a:ln w="4073">
            <a:solidFill>
              <a:srgbClr val="000000"/>
            </a:solidFill>
            <a:prstDash val="solid"/>
          </a:ln>
        </c:spPr>
        <c:txPr>
          <a:bodyPr rot="0" vert="horz"/>
          <a:lstStyle/>
          <a:p>
            <a:pPr>
              <a:defRPr sz="1026" b="0" i="0" u="none" strike="noStrike" baseline="0">
                <a:solidFill>
                  <a:srgbClr val="000000"/>
                </a:solidFill>
                <a:latin typeface="Arial"/>
                <a:ea typeface="Arial"/>
                <a:cs typeface="Arial"/>
              </a:defRPr>
            </a:pPr>
            <a:endParaRPr lang="es-ES"/>
          </a:p>
        </c:txPr>
        <c:crossAx val="232494208"/>
        <c:crosses val="autoZero"/>
        <c:crossBetween val="between"/>
      </c:valAx>
      <c:spPr>
        <a:solidFill>
          <a:srgbClr val="C0C0C0"/>
        </a:solidFill>
        <a:ln w="16292">
          <a:solidFill>
            <a:srgbClr val="808080"/>
          </a:solidFill>
          <a:prstDash val="solid"/>
        </a:ln>
      </c:spPr>
    </c:plotArea>
    <c:legend>
      <c:legendPos val="t"/>
      <c:layout>
        <c:manualLayout>
          <c:xMode val="edge"/>
          <c:yMode val="edge"/>
          <c:x val="0"/>
          <c:y val="0"/>
          <c:w val="0.2752941176470588"/>
          <c:h val="0.12935323383084579"/>
        </c:manualLayout>
      </c:layout>
      <c:spPr>
        <a:solidFill>
          <a:srgbClr val="C0C0C0"/>
        </a:solidFill>
        <a:ln w="4073">
          <a:solidFill>
            <a:srgbClr val="000000"/>
          </a:solidFill>
          <a:prstDash val="solid"/>
        </a:ln>
      </c:spPr>
      <c:txPr>
        <a:bodyPr/>
        <a:lstStyle/>
        <a:p>
          <a:pPr>
            <a:defRPr sz="70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4073">
      <a:solidFill>
        <a:srgbClr val="000000"/>
      </a:solidFill>
      <a:prstDash val="solid"/>
    </a:ln>
  </c:spPr>
  <c:txPr>
    <a:bodyPr/>
    <a:lstStyle/>
    <a:p>
      <a:pPr>
        <a:defRPr sz="1187"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9" b="1" i="0" u="none" strike="noStrike" baseline="0">
                <a:solidFill>
                  <a:srgbClr val="000000"/>
                </a:solidFill>
                <a:latin typeface="Arial"/>
                <a:ea typeface="Arial"/>
                <a:cs typeface="Arial"/>
              </a:defRPr>
            </a:pPr>
            <a:r>
              <a:t>LONGITUD VARIABLE DE LA MEDIA MÓVIL IPECU</a:t>
            </a:r>
          </a:p>
        </c:rich>
      </c:tx>
      <c:layout>
        <c:manualLayout>
          <c:xMode val="edge"/>
          <c:yMode val="edge"/>
          <c:x val="0.23368421052631586"/>
          <c:y val="0"/>
        </c:manualLayout>
      </c:layout>
      <c:spPr>
        <a:noFill/>
        <a:ln w="28259">
          <a:noFill/>
        </a:ln>
      </c:spPr>
    </c:title>
    <c:plotArea>
      <c:layout>
        <c:manualLayout>
          <c:layoutTarget val="inner"/>
          <c:xMode val="edge"/>
          <c:yMode val="edge"/>
          <c:x val="9.2631578947368454E-2"/>
          <c:y val="0.3147410358565737"/>
          <c:w val="0.89263157894736822"/>
          <c:h val="0.4940239043824704"/>
        </c:manualLayout>
      </c:layout>
      <c:lineChart>
        <c:grouping val="standard"/>
        <c:ser>
          <c:idx val="0"/>
          <c:order val="0"/>
          <c:tx>
            <c:strRef>
              <c:f>'ipecuMM5-50 VL'!$F$11</c:f>
              <c:strCache>
                <c:ptCount val="1"/>
                <c:pt idx="0">
                  <c:v>MM5</c:v>
                </c:pt>
              </c:strCache>
            </c:strRef>
          </c:tx>
          <c:spPr>
            <a:ln w="14130">
              <a:solidFill>
                <a:srgbClr val="000080"/>
              </a:solidFill>
              <a:prstDash val="solid"/>
            </a:ln>
          </c:spPr>
          <c:marker>
            <c:symbol val="none"/>
          </c:marker>
          <c:cat>
            <c:numRef>
              <c:f>'ipecuMM5-50 VL'!$D$12:$D$284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'ipecuMM5-50 VL'!$F$61:$F$284</c:f>
              <c:numCache>
                <c:formatCode>##0.00</c:formatCode>
                <c:ptCount val="224"/>
                <c:pt idx="0">
                  <c:v>78.144020000000026</c:v>
                </c:pt>
                <c:pt idx="1">
                  <c:v>78.323859999999982</c:v>
                </c:pt>
                <c:pt idx="2">
                  <c:v>78.593499999999992</c:v>
                </c:pt>
                <c:pt idx="3">
                  <c:v>79.033940000000001</c:v>
                </c:pt>
                <c:pt idx="4">
                  <c:v>79.509680000000003</c:v>
                </c:pt>
                <c:pt idx="5">
                  <c:v>80.298439999999999</c:v>
                </c:pt>
                <c:pt idx="6">
                  <c:v>81.11305999999999</c:v>
                </c:pt>
                <c:pt idx="7">
                  <c:v>81.797100000000029</c:v>
                </c:pt>
                <c:pt idx="8">
                  <c:v>82.0167</c:v>
                </c:pt>
                <c:pt idx="9">
                  <c:v>82.240920000000031</c:v>
                </c:pt>
                <c:pt idx="10">
                  <c:v>82.158079999999984</c:v>
                </c:pt>
                <c:pt idx="11">
                  <c:v>81.876200000000011</c:v>
                </c:pt>
                <c:pt idx="12">
                  <c:v>81.644840000000002</c:v>
                </c:pt>
                <c:pt idx="13">
                  <c:v>81.465239999999994</c:v>
                </c:pt>
                <c:pt idx="14">
                  <c:v>81.122879999999938</c:v>
                </c:pt>
                <c:pt idx="15">
                  <c:v>80.769080000000002</c:v>
                </c:pt>
                <c:pt idx="16">
                  <c:v>81.245840000000001</c:v>
                </c:pt>
                <c:pt idx="17">
                  <c:v>81.365000000000009</c:v>
                </c:pt>
                <c:pt idx="18">
                  <c:v>80.254920000000027</c:v>
                </c:pt>
                <c:pt idx="19">
                  <c:v>79.370359999999977</c:v>
                </c:pt>
                <c:pt idx="20">
                  <c:v>78.507080000000002</c:v>
                </c:pt>
                <c:pt idx="21">
                  <c:v>76.947260000000057</c:v>
                </c:pt>
                <c:pt idx="22">
                  <c:v>75.898620000000022</c:v>
                </c:pt>
                <c:pt idx="23">
                  <c:v>76.142179999999982</c:v>
                </c:pt>
                <c:pt idx="24">
                  <c:v>76.752800000000008</c:v>
                </c:pt>
                <c:pt idx="25">
                  <c:v>77.013959999999997</c:v>
                </c:pt>
                <c:pt idx="26">
                  <c:v>77.379399999999976</c:v>
                </c:pt>
                <c:pt idx="27">
                  <c:v>77.749539999999996</c:v>
                </c:pt>
                <c:pt idx="28">
                  <c:v>78.272699999999986</c:v>
                </c:pt>
                <c:pt idx="29">
                  <c:v>78.580319999999986</c:v>
                </c:pt>
                <c:pt idx="30">
                  <c:v>79.271439999999998</c:v>
                </c:pt>
                <c:pt idx="31">
                  <c:v>79.441820000000035</c:v>
                </c:pt>
                <c:pt idx="32">
                  <c:v>79.78479999999999</c:v>
                </c:pt>
                <c:pt idx="33">
                  <c:v>79.774180000000001</c:v>
                </c:pt>
                <c:pt idx="34">
                  <c:v>79.3673</c:v>
                </c:pt>
                <c:pt idx="35">
                  <c:v>79.30510000000001</c:v>
                </c:pt>
                <c:pt idx="36">
                  <c:v>79.577480000000008</c:v>
                </c:pt>
                <c:pt idx="37">
                  <c:v>79.597240000000042</c:v>
                </c:pt>
                <c:pt idx="38">
                  <c:v>79.688659999999999</c:v>
                </c:pt>
                <c:pt idx="39">
                  <c:v>80.040640000000025</c:v>
                </c:pt>
                <c:pt idx="40">
                  <c:v>80.917140000000046</c:v>
                </c:pt>
                <c:pt idx="41">
                  <c:v>81.865980000000008</c:v>
                </c:pt>
                <c:pt idx="42">
                  <c:v>82.630759999999981</c:v>
                </c:pt>
                <c:pt idx="43">
                  <c:v>84.237420000000029</c:v>
                </c:pt>
                <c:pt idx="44">
                  <c:v>84.67983999999997</c:v>
                </c:pt>
                <c:pt idx="45">
                  <c:v>84.50818000000001</c:v>
                </c:pt>
                <c:pt idx="46">
                  <c:v>84.451139999999995</c:v>
                </c:pt>
                <c:pt idx="47">
                  <c:v>84.619159999999994</c:v>
                </c:pt>
                <c:pt idx="48">
                  <c:v>86.329239999999999</c:v>
                </c:pt>
                <c:pt idx="49">
                  <c:v>88.276120000000006</c:v>
                </c:pt>
                <c:pt idx="50">
                  <c:v>89.898960000000002</c:v>
                </c:pt>
                <c:pt idx="51">
                  <c:v>91.4268</c:v>
                </c:pt>
                <c:pt idx="52">
                  <c:v>93.241800000000012</c:v>
                </c:pt>
                <c:pt idx="53">
                  <c:v>92.701939999999993</c:v>
                </c:pt>
                <c:pt idx="54">
                  <c:v>92.216220000000021</c:v>
                </c:pt>
                <c:pt idx="55">
                  <c:v>91.742800000000003</c:v>
                </c:pt>
                <c:pt idx="56">
                  <c:v>91.103879999999975</c:v>
                </c:pt>
                <c:pt idx="57">
                  <c:v>90.248440000000002</c:v>
                </c:pt>
                <c:pt idx="58">
                  <c:v>89.447300000000027</c:v>
                </c:pt>
                <c:pt idx="59">
                  <c:v>89.673659999999998</c:v>
                </c:pt>
                <c:pt idx="60">
                  <c:v>90.110140000000001</c:v>
                </c:pt>
                <c:pt idx="61">
                  <c:v>90.410579999999996</c:v>
                </c:pt>
                <c:pt idx="62">
                  <c:v>90.798699999999997</c:v>
                </c:pt>
                <c:pt idx="63">
                  <c:v>90.519239999999996</c:v>
                </c:pt>
                <c:pt idx="64">
                  <c:v>90.085059999999984</c:v>
                </c:pt>
                <c:pt idx="65">
                  <c:v>89.518080000000012</c:v>
                </c:pt>
                <c:pt idx="66">
                  <c:v>89.497700000000023</c:v>
                </c:pt>
                <c:pt idx="67">
                  <c:v>89.055679999999981</c:v>
                </c:pt>
                <c:pt idx="68">
                  <c:v>89.669280000000001</c:v>
                </c:pt>
                <c:pt idx="69">
                  <c:v>90.305799999999977</c:v>
                </c:pt>
                <c:pt idx="70">
                  <c:v>90.716480000000004</c:v>
                </c:pt>
                <c:pt idx="71">
                  <c:v>90.929600000000022</c:v>
                </c:pt>
                <c:pt idx="72">
                  <c:v>92.07419999999999</c:v>
                </c:pt>
                <c:pt idx="73">
                  <c:v>92.198260000000005</c:v>
                </c:pt>
                <c:pt idx="74">
                  <c:v>92.274019999999993</c:v>
                </c:pt>
                <c:pt idx="75">
                  <c:v>92.370039999999989</c:v>
                </c:pt>
                <c:pt idx="76">
                  <c:v>91.616439999999983</c:v>
                </c:pt>
                <c:pt idx="77">
                  <c:v>90.7483</c:v>
                </c:pt>
                <c:pt idx="78">
                  <c:v>90.486599999999996</c:v>
                </c:pt>
                <c:pt idx="79">
                  <c:v>90.226160000000007</c:v>
                </c:pt>
                <c:pt idx="80">
                  <c:v>90.44158000000003</c:v>
                </c:pt>
                <c:pt idx="81">
                  <c:v>91.470039999999983</c:v>
                </c:pt>
                <c:pt idx="82">
                  <c:v>91.879399999999976</c:v>
                </c:pt>
                <c:pt idx="83">
                  <c:v>92.164519999999996</c:v>
                </c:pt>
                <c:pt idx="84">
                  <c:v>92.932559999999995</c:v>
                </c:pt>
                <c:pt idx="85">
                  <c:v>93.056039999999982</c:v>
                </c:pt>
                <c:pt idx="86">
                  <c:v>93.087720000000004</c:v>
                </c:pt>
                <c:pt idx="87">
                  <c:v>92.776719999999983</c:v>
                </c:pt>
                <c:pt idx="88">
                  <c:v>92.933279999999996</c:v>
                </c:pt>
                <c:pt idx="89">
                  <c:v>92.778779999999969</c:v>
                </c:pt>
                <c:pt idx="90">
                  <c:v>93.124980000000008</c:v>
                </c:pt>
                <c:pt idx="91">
                  <c:v>93.082919999999987</c:v>
                </c:pt>
                <c:pt idx="92">
                  <c:v>93.800919999999991</c:v>
                </c:pt>
                <c:pt idx="93">
                  <c:v>94.355179999999976</c:v>
                </c:pt>
                <c:pt idx="94">
                  <c:v>94.907079999999993</c:v>
                </c:pt>
                <c:pt idx="95">
                  <c:v>95.498920000000027</c:v>
                </c:pt>
                <c:pt idx="96">
                  <c:v>96.568179999999998</c:v>
                </c:pt>
                <c:pt idx="97">
                  <c:v>97.823059999999998</c:v>
                </c:pt>
                <c:pt idx="98">
                  <c:v>98.882479999999973</c:v>
                </c:pt>
                <c:pt idx="99">
                  <c:v>100.10481999999999</c:v>
                </c:pt>
                <c:pt idx="100">
                  <c:v>101.21844</c:v>
                </c:pt>
                <c:pt idx="101">
                  <c:v>102.44702000000004</c:v>
                </c:pt>
                <c:pt idx="102">
                  <c:v>103.25644</c:v>
                </c:pt>
                <c:pt idx="103">
                  <c:v>103.97872</c:v>
                </c:pt>
                <c:pt idx="104">
                  <c:v>104.52419999999999</c:v>
                </c:pt>
                <c:pt idx="105">
                  <c:v>105.09320000000002</c:v>
                </c:pt>
                <c:pt idx="106">
                  <c:v>106.15656000000001</c:v>
                </c:pt>
                <c:pt idx="107">
                  <c:v>107.92013999999999</c:v>
                </c:pt>
                <c:pt idx="108">
                  <c:v>110.42092000000002</c:v>
                </c:pt>
                <c:pt idx="109">
                  <c:v>113.36566000000002</c:v>
                </c:pt>
                <c:pt idx="110">
                  <c:v>117.10424</c:v>
                </c:pt>
                <c:pt idx="111">
                  <c:v>121.54764000000003</c:v>
                </c:pt>
                <c:pt idx="112">
                  <c:v>124.65650000000001</c:v>
                </c:pt>
                <c:pt idx="113">
                  <c:v>126.07102</c:v>
                </c:pt>
                <c:pt idx="114">
                  <c:v>126.47929999999999</c:v>
                </c:pt>
                <c:pt idx="115">
                  <c:v>125.76253999999999</c:v>
                </c:pt>
                <c:pt idx="116">
                  <c:v>123.527</c:v>
                </c:pt>
                <c:pt idx="117">
                  <c:v>121.91222000000003</c:v>
                </c:pt>
                <c:pt idx="118">
                  <c:v>121.37521999999998</c:v>
                </c:pt>
                <c:pt idx="119">
                  <c:v>121.57932000000001</c:v>
                </c:pt>
                <c:pt idx="120">
                  <c:v>122.09582</c:v>
                </c:pt>
                <c:pt idx="121">
                  <c:v>123.05137999999998</c:v>
                </c:pt>
                <c:pt idx="122">
                  <c:v>123.77505999999998</c:v>
                </c:pt>
                <c:pt idx="123">
                  <c:v>124.47006000000002</c:v>
                </c:pt>
                <c:pt idx="124">
                  <c:v>123.7137</c:v>
                </c:pt>
                <c:pt idx="125">
                  <c:v>123.72832000000001</c:v>
                </c:pt>
                <c:pt idx="126">
                  <c:v>123.38136</c:v>
                </c:pt>
                <c:pt idx="127">
                  <c:v>122.88647999999998</c:v>
                </c:pt>
                <c:pt idx="128">
                  <c:v>122.53152000000003</c:v>
                </c:pt>
                <c:pt idx="129">
                  <c:v>123.15629999999999</c:v>
                </c:pt>
                <c:pt idx="130">
                  <c:v>122.77640000000001</c:v>
                </c:pt>
                <c:pt idx="131">
                  <c:v>123.10168000000002</c:v>
                </c:pt>
                <c:pt idx="132">
                  <c:v>123.72226000000002</c:v>
                </c:pt>
                <c:pt idx="133">
                  <c:v>124.36015999999999</c:v>
                </c:pt>
                <c:pt idx="134">
                  <c:v>125.74228000000002</c:v>
                </c:pt>
                <c:pt idx="135">
                  <c:v>126.95392000000002</c:v>
                </c:pt>
                <c:pt idx="136">
                  <c:v>127.49910000000003</c:v>
                </c:pt>
                <c:pt idx="137">
                  <c:v>128.11812</c:v>
                </c:pt>
                <c:pt idx="138">
                  <c:v>128.44457999999995</c:v>
                </c:pt>
                <c:pt idx="139">
                  <c:v>128.88680000000005</c:v>
                </c:pt>
                <c:pt idx="140">
                  <c:v>128.70148</c:v>
                </c:pt>
                <c:pt idx="141">
                  <c:v>129.3776</c:v>
                </c:pt>
                <c:pt idx="142">
                  <c:v>129.96802000000002</c:v>
                </c:pt>
                <c:pt idx="143">
                  <c:v>130.65726000000001</c:v>
                </c:pt>
                <c:pt idx="144">
                  <c:v>130.46802000000005</c:v>
                </c:pt>
                <c:pt idx="145">
                  <c:v>131.42008000000001</c:v>
                </c:pt>
                <c:pt idx="146">
                  <c:v>131.52696</c:v>
                </c:pt>
                <c:pt idx="147">
                  <c:v>131.64267999999998</c:v>
                </c:pt>
                <c:pt idx="148">
                  <c:v>131.81784000000005</c:v>
                </c:pt>
                <c:pt idx="149">
                  <c:v>132.15004000000008</c:v>
                </c:pt>
                <c:pt idx="150">
                  <c:v>132.42474000000001</c:v>
                </c:pt>
                <c:pt idx="151">
                  <c:v>132.66538</c:v>
                </c:pt>
                <c:pt idx="152">
                  <c:v>133.08972</c:v>
                </c:pt>
                <c:pt idx="153">
                  <c:v>133.92216000000005</c:v>
                </c:pt>
                <c:pt idx="154">
                  <c:v>134.53982000000002</c:v>
                </c:pt>
                <c:pt idx="155">
                  <c:v>135.66548</c:v>
                </c:pt>
                <c:pt idx="156">
                  <c:v>136.89680000000001</c:v>
                </c:pt>
                <c:pt idx="157">
                  <c:v>138.09084000000001</c:v>
                </c:pt>
                <c:pt idx="158">
                  <c:v>138.92462</c:v>
                </c:pt>
                <c:pt idx="159">
                  <c:v>140.41726</c:v>
                </c:pt>
                <c:pt idx="160">
                  <c:v>140.80842000000007</c:v>
                </c:pt>
                <c:pt idx="161">
                  <c:v>140.77132</c:v>
                </c:pt>
                <c:pt idx="162">
                  <c:v>140.97742000000005</c:v>
                </c:pt>
                <c:pt idx="163">
                  <c:v>141.23104000000001</c:v>
                </c:pt>
                <c:pt idx="164">
                  <c:v>140.93614000000005</c:v>
                </c:pt>
                <c:pt idx="165">
                  <c:v>141.00128000000001</c:v>
                </c:pt>
                <c:pt idx="166">
                  <c:v>141.80740000000003</c:v>
                </c:pt>
                <c:pt idx="167">
                  <c:v>142.24265999999997</c:v>
                </c:pt>
                <c:pt idx="168">
                  <c:v>142.65742000000003</c:v>
                </c:pt>
                <c:pt idx="169">
                  <c:v>143.81395999999998</c:v>
                </c:pt>
                <c:pt idx="170">
                  <c:v>145.03475999999998</c:v>
                </c:pt>
                <c:pt idx="171">
                  <c:v>146.11681999999999</c:v>
                </c:pt>
                <c:pt idx="172">
                  <c:v>147.15778</c:v>
                </c:pt>
                <c:pt idx="173">
                  <c:v>148.02626000000001</c:v>
                </c:pt>
                <c:pt idx="174">
                  <c:v>148.29114000000001</c:v>
                </c:pt>
                <c:pt idx="175">
                  <c:v>148.82638000000006</c:v>
                </c:pt>
                <c:pt idx="176">
                  <c:v>149.07594</c:v>
                </c:pt>
                <c:pt idx="177">
                  <c:v>149.2928</c:v>
                </c:pt>
                <c:pt idx="178">
                  <c:v>149.6549</c:v>
                </c:pt>
                <c:pt idx="179">
                  <c:v>150.08230000000006</c:v>
                </c:pt>
                <c:pt idx="180">
                  <c:v>150.79404</c:v>
                </c:pt>
                <c:pt idx="181">
                  <c:v>152.03818000000001</c:v>
                </c:pt>
                <c:pt idx="182">
                  <c:v>153.28638000000001</c:v>
                </c:pt>
                <c:pt idx="183">
                  <c:v>154.66495999999998</c:v>
                </c:pt>
                <c:pt idx="184">
                  <c:v>155.74287999999999</c:v>
                </c:pt>
                <c:pt idx="185">
                  <c:v>156.33226000000005</c:v>
                </c:pt>
                <c:pt idx="186">
                  <c:v>156.57321999999999</c:v>
                </c:pt>
                <c:pt idx="187">
                  <c:v>156.92555999999999</c:v>
                </c:pt>
                <c:pt idx="188">
                  <c:v>157.30864000000005</c:v>
                </c:pt>
                <c:pt idx="189">
                  <c:v>157.98028000000005</c:v>
                </c:pt>
                <c:pt idx="190">
                  <c:v>159.48374000000001</c:v>
                </c:pt>
                <c:pt idx="191">
                  <c:v>161.68714000000006</c:v>
                </c:pt>
                <c:pt idx="192">
                  <c:v>164.39152000000001</c:v>
                </c:pt>
                <c:pt idx="193">
                  <c:v>167.42440000000005</c:v>
                </c:pt>
                <c:pt idx="194">
                  <c:v>171.11907999999994</c:v>
                </c:pt>
                <c:pt idx="195">
                  <c:v>174.15812000000005</c:v>
                </c:pt>
                <c:pt idx="196">
                  <c:v>176.44430000000003</c:v>
                </c:pt>
                <c:pt idx="197">
                  <c:v>178.31202000000008</c:v>
                </c:pt>
                <c:pt idx="198">
                  <c:v>179.54977999999994</c:v>
                </c:pt>
                <c:pt idx="199">
                  <c:v>179.87305999999998</c:v>
                </c:pt>
                <c:pt idx="200">
                  <c:v>180.23389999999998</c:v>
                </c:pt>
                <c:pt idx="201">
                  <c:v>181.23379999999995</c:v>
                </c:pt>
                <c:pt idx="202">
                  <c:v>181.80172000000005</c:v>
                </c:pt>
                <c:pt idx="203">
                  <c:v>181.82830000000007</c:v>
                </c:pt>
                <c:pt idx="204">
                  <c:v>181.8623400000001</c:v>
                </c:pt>
                <c:pt idx="205">
                  <c:v>181.56375999999995</c:v>
                </c:pt>
                <c:pt idx="206">
                  <c:v>180.72935999999999</c:v>
                </c:pt>
                <c:pt idx="207">
                  <c:v>180.13862</c:v>
                </c:pt>
                <c:pt idx="208">
                  <c:v>180.20940000000002</c:v>
                </c:pt>
                <c:pt idx="209">
                  <c:v>180.21825999999999</c:v>
                </c:pt>
                <c:pt idx="210">
                  <c:v>180.34957999999995</c:v>
                </c:pt>
                <c:pt idx="211">
                  <c:v>180.14592000000002</c:v>
                </c:pt>
                <c:pt idx="212">
                  <c:v>180.02190000000004</c:v>
                </c:pt>
                <c:pt idx="213">
                  <c:v>179.76932000000002</c:v>
                </c:pt>
                <c:pt idx="214">
                  <c:v>179.65415999999999</c:v>
                </c:pt>
                <c:pt idx="215">
                  <c:v>179.48142000000007</c:v>
                </c:pt>
                <c:pt idx="216">
                  <c:v>179.32850000000008</c:v>
                </c:pt>
                <c:pt idx="217">
                  <c:v>179.10074</c:v>
                </c:pt>
                <c:pt idx="218">
                  <c:v>179.20381999999998</c:v>
                </c:pt>
                <c:pt idx="219">
                  <c:v>180.64704</c:v>
                </c:pt>
                <c:pt idx="220">
                  <c:v>182.29325999999998</c:v>
                </c:pt>
                <c:pt idx="221">
                  <c:v>184.56422000000003</c:v>
                </c:pt>
                <c:pt idx="222">
                  <c:v>187.51784000000001</c:v>
                </c:pt>
                <c:pt idx="223">
                  <c:v>190.76995999999997</c:v>
                </c:pt>
              </c:numCache>
            </c:numRef>
          </c:val>
        </c:ser>
        <c:ser>
          <c:idx val="1"/>
          <c:order val="1"/>
          <c:tx>
            <c:strRef>
              <c:f>'ipecuMM5-50 VL'!$G$11</c:f>
              <c:strCache>
                <c:ptCount val="1"/>
                <c:pt idx="0">
                  <c:v>MM50</c:v>
                </c:pt>
              </c:strCache>
            </c:strRef>
          </c:tx>
          <c:spPr>
            <a:ln w="14130">
              <a:solidFill>
                <a:srgbClr val="FF00FF"/>
              </a:solidFill>
              <a:prstDash val="solid"/>
            </a:ln>
          </c:spPr>
          <c:marker>
            <c:symbol val="square"/>
            <c:size val="2"/>
            <c:spPr>
              <a:noFill/>
              <a:ln>
                <a:solidFill>
                  <a:srgbClr val="FFFFFF"/>
                </a:solidFill>
                <a:prstDash val="solid"/>
              </a:ln>
            </c:spPr>
          </c:marker>
          <c:cat>
            <c:numRef>
              <c:f>'ipecuMM5-50 VL'!$D$12:$D$284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'ipecuMM5-50 VL'!$G$61:$G$284</c:f>
              <c:numCache>
                <c:formatCode>##0.00</c:formatCode>
                <c:ptCount val="224"/>
                <c:pt idx="0">
                  <c:v>66.972196086956515</c:v>
                </c:pt>
                <c:pt idx="1">
                  <c:v>67.213720851063854</c:v>
                </c:pt>
                <c:pt idx="2">
                  <c:v>67.450799583333364</c:v>
                </c:pt>
                <c:pt idx="3">
                  <c:v>67.687190204081659</c:v>
                </c:pt>
                <c:pt idx="4">
                  <c:v>67.92364000000002</c:v>
                </c:pt>
                <c:pt idx="5">
                  <c:v>68.353177200000019</c:v>
                </c:pt>
                <c:pt idx="6">
                  <c:v>68.783992000000012</c:v>
                </c:pt>
                <c:pt idx="7">
                  <c:v>69.229343600000036</c:v>
                </c:pt>
                <c:pt idx="8">
                  <c:v>69.680975200000006</c:v>
                </c:pt>
                <c:pt idx="9">
                  <c:v>70.150295600000021</c:v>
                </c:pt>
                <c:pt idx="10">
                  <c:v>70.619497600000031</c:v>
                </c:pt>
                <c:pt idx="11">
                  <c:v>71.08449760000002</c:v>
                </c:pt>
                <c:pt idx="12">
                  <c:v>71.530435200000014</c:v>
                </c:pt>
                <c:pt idx="13">
                  <c:v>71.958345600000015</c:v>
                </c:pt>
                <c:pt idx="14">
                  <c:v>72.367640000000023</c:v>
                </c:pt>
                <c:pt idx="15">
                  <c:v>72.771042800000018</c:v>
                </c:pt>
                <c:pt idx="16">
                  <c:v>73.184393600000035</c:v>
                </c:pt>
                <c:pt idx="17">
                  <c:v>73.602793600000012</c:v>
                </c:pt>
                <c:pt idx="18">
                  <c:v>74.001658000000035</c:v>
                </c:pt>
                <c:pt idx="19">
                  <c:v>74.385497199999989</c:v>
                </c:pt>
                <c:pt idx="20">
                  <c:v>74.763594000000026</c:v>
                </c:pt>
                <c:pt idx="21">
                  <c:v>75.119209200000029</c:v>
                </c:pt>
                <c:pt idx="22">
                  <c:v>75.459811200000004</c:v>
                </c:pt>
                <c:pt idx="23">
                  <c:v>75.804724399999998</c:v>
                </c:pt>
                <c:pt idx="24">
                  <c:v>76.160445999999979</c:v>
                </c:pt>
                <c:pt idx="25">
                  <c:v>76.519551600000042</c:v>
                </c:pt>
                <c:pt idx="26">
                  <c:v>76.887809600000026</c:v>
                </c:pt>
                <c:pt idx="27">
                  <c:v>77.257739200000017</c:v>
                </c:pt>
                <c:pt idx="28">
                  <c:v>77.638276799999986</c:v>
                </c:pt>
                <c:pt idx="29">
                  <c:v>78.015894400000022</c:v>
                </c:pt>
                <c:pt idx="30">
                  <c:v>71.785497500000048</c:v>
                </c:pt>
                <c:pt idx="31">
                  <c:v>72.053271250000051</c:v>
                </c:pt>
                <c:pt idx="32">
                  <c:v>72.336787500000028</c:v>
                </c:pt>
                <c:pt idx="33">
                  <c:v>72.610782500000028</c:v>
                </c:pt>
                <c:pt idx="34">
                  <c:v>72.82641500000004</c:v>
                </c:pt>
                <c:pt idx="35">
                  <c:v>73.065717500000019</c:v>
                </c:pt>
                <c:pt idx="36">
                  <c:v>73.303593750000033</c:v>
                </c:pt>
                <c:pt idx="37">
                  <c:v>73.591020000000071</c:v>
                </c:pt>
                <c:pt idx="38">
                  <c:v>73.876628750000009</c:v>
                </c:pt>
                <c:pt idx="39">
                  <c:v>74.155523750000029</c:v>
                </c:pt>
                <c:pt idx="40">
                  <c:v>74.454415000000026</c:v>
                </c:pt>
                <c:pt idx="41">
                  <c:v>74.756080000000011</c:v>
                </c:pt>
                <c:pt idx="42">
                  <c:v>75.046195000000068</c:v>
                </c:pt>
                <c:pt idx="43">
                  <c:v>75.387110000000021</c:v>
                </c:pt>
                <c:pt idx="44">
                  <c:v>75.656878749999976</c:v>
                </c:pt>
                <c:pt idx="45">
                  <c:v>75.948742500000009</c:v>
                </c:pt>
                <c:pt idx="46">
                  <c:v>76.248132500000011</c:v>
                </c:pt>
                <c:pt idx="47">
                  <c:v>76.557080000000013</c:v>
                </c:pt>
                <c:pt idx="48">
                  <c:v>77.013206250000025</c:v>
                </c:pt>
                <c:pt idx="49">
                  <c:v>77.412986250000017</c:v>
                </c:pt>
                <c:pt idx="50">
                  <c:v>77.842287500000012</c:v>
                </c:pt>
                <c:pt idx="51">
                  <c:v>78.264401250000006</c:v>
                </c:pt>
                <c:pt idx="52">
                  <c:v>78.705410000000001</c:v>
                </c:pt>
                <c:pt idx="53">
                  <c:v>79.126044999999962</c:v>
                </c:pt>
                <c:pt idx="54">
                  <c:v>79.491079999999997</c:v>
                </c:pt>
                <c:pt idx="55">
                  <c:v>79.885044999999948</c:v>
                </c:pt>
                <c:pt idx="56">
                  <c:v>80.272987499999942</c:v>
                </c:pt>
                <c:pt idx="57">
                  <c:v>80.642621249999976</c:v>
                </c:pt>
                <c:pt idx="58">
                  <c:v>81.013637499999987</c:v>
                </c:pt>
                <c:pt idx="59">
                  <c:v>81.364468749999986</c:v>
                </c:pt>
                <c:pt idx="60">
                  <c:v>81.672698749999938</c:v>
                </c:pt>
                <c:pt idx="61">
                  <c:v>81.934213750000026</c:v>
                </c:pt>
                <c:pt idx="62">
                  <c:v>82.208139999999972</c:v>
                </c:pt>
                <c:pt idx="63">
                  <c:v>82.406976249999985</c:v>
                </c:pt>
                <c:pt idx="64">
                  <c:v>82.521609999999995</c:v>
                </c:pt>
                <c:pt idx="65">
                  <c:v>82.636701249999959</c:v>
                </c:pt>
                <c:pt idx="66">
                  <c:v>82.722741249999956</c:v>
                </c:pt>
                <c:pt idx="67">
                  <c:v>82.820852499999958</c:v>
                </c:pt>
                <c:pt idx="68">
                  <c:v>82.957548749999987</c:v>
                </c:pt>
                <c:pt idx="69">
                  <c:v>83.096620000000016</c:v>
                </c:pt>
                <c:pt idx="70">
                  <c:v>83.233312499999982</c:v>
                </c:pt>
                <c:pt idx="71">
                  <c:v>83.387222499999993</c:v>
                </c:pt>
                <c:pt idx="72">
                  <c:v>83.582842499999956</c:v>
                </c:pt>
                <c:pt idx="73">
                  <c:v>83.745374999999981</c:v>
                </c:pt>
                <c:pt idx="74">
                  <c:v>83.913437499999972</c:v>
                </c:pt>
                <c:pt idx="75">
                  <c:v>84.078063749999984</c:v>
                </c:pt>
                <c:pt idx="76">
                  <c:v>84.200439999999986</c:v>
                </c:pt>
                <c:pt idx="77">
                  <c:v>84.365479999999948</c:v>
                </c:pt>
                <c:pt idx="78">
                  <c:v>84.514862499999992</c:v>
                </c:pt>
                <c:pt idx="79">
                  <c:v>84.670111249999948</c:v>
                </c:pt>
                <c:pt idx="80">
                  <c:v>84.846661249999997</c:v>
                </c:pt>
                <c:pt idx="81">
                  <c:v>85.022076249999969</c:v>
                </c:pt>
                <c:pt idx="82">
                  <c:v>85.195848749999953</c:v>
                </c:pt>
                <c:pt idx="83">
                  <c:v>85.335523749999993</c:v>
                </c:pt>
                <c:pt idx="84">
                  <c:v>85.509041249999981</c:v>
                </c:pt>
                <c:pt idx="85">
                  <c:v>85.644011249999991</c:v>
                </c:pt>
                <c:pt idx="86">
                  <c:v>85.770492499999989</c:v>
                </c:pt>
                <c:pt idx="87">
                  <c:v>85.882074999999958</c:v>
                </c:pt>
                <c:pt idx="88">
                  <c:v>86.017809999999997</c:v>
                </c:pt>
                <c:pt idx="89">
                  <c:v>86.16765749999999</c:v>
                </c:pt>
                <c:pt idx="90">
                  <c:v>86.329442499999956</c:v>
                </c:pt>
                <c:pt idx="91">
                  <c:v>86.470912499999969</c:v>
                </c:pt>
                <c:pt idx="92">
                  <c:v>86.641830000000013</c:v>
                </c:pt>
                <c:pt idx="93">
                  <c:v>86.823431249999956</c:v>
                </c:pt>
                <c:pt idx="94">
                  <c:v>87.029169999999993</c:v>
                </c:pt>
                <c:pt idx="95">
                  <c:v>87.250057499999983</c:v>
                </c:pt>
                <c:pt idx="96">
                  <c:v>87.428558749999979</c:v>
                </c:pt>
                <c:pt idx="97">
                  <c:v>87.670458749999938</c:v>
                </c:pt>
                <c:pt idx="98">
                  <c:v>87.987653750000021</c:v>
                </c:pt>
                <c:pt idx="99">
                  <c:v>88.325073749999959</c:v>
                </c:pt>
                <c:pt idx="100">
                  <c:v>88.669517499999969</c:v>
                </c:pt>
                <c:pt idx="101">
                  <c:v>89.022293749999974</c:v>
                </c:pt>
                <c:pt idx="102">
                  <c:v>89.380322499999963</c:v>
                </c:pt>
                <c:pt idx="103">
                  <c:v>89.727437499999979</c:v>
                </c:pt>
                <c:pt idx="104">
                  <c:v>90.060786249999978</c:v>
                </c:pt>
                <c:pt idx="105">
                  <c:v>90.424470000000014</c:v>
                </c:pt>
                <c:pt idx="106">
                  <c:v>90.82086624999998</c:v>
                </c:pt>
                <c:pt idx="107">
                  <c:v>91.265984999999986</c:v>
                </c:pt>
                <c:pt idx="108">
                  <c:v>91.736701249999982</c:v>
                </c:pt>
                <c:pt idx="109">
                  <c:v>92.234870000000001</c:v>
                </c:pt>
                <c:pt idx="110">
                  <c:v>92.789020000000022</c:v>
                </c:pt>
                <c:pt idx="111">
                  <c:v>93.45247999999998</c:v>
                </c:pt>
                <c:pt idx="112">
                  <c:v>94.07046625000001</c:v>
                </c:pt>
                <c:pt idx="113">
                  <c:v>94.630253749999994</c:v>
                </c:pt>
                <c:pt idx="114">
                  <c:v>95.179369999999963</c:v>
                </c:pt>
                <c:pt idx="115">
                  <c:v>95.692610000000002</c:v>
                </c:pt>
                <c:pt idx="116">
                  <c:v>96.199325000000002</c:v>
                </c:pt>
                <c:pt idx="117">
                  <c:v>96.715152500000002</c:v>
                </c:pt>
                <c:pt idx="118">
                  <c:v>97.235663750000043</c:v>
                </c:pt>
                <c:pt idx="119">
                  <c:v>97.775537499999984</c:v>
                </c:pt>
                <c:pt idx="120">
                  <c:v>98.266277500000029</c:v>
                </c:pt>
                <c:pt idx="121">
                  <c:v>98.773412499999992</c:v>
                </c:pt>
                <c:pt idx="122">
                  <c:v>99.286671250000012</c:v>
                </c:pt>
                <c:pt idx="123">
                  <c:v>99.750203750000026</c:v>
                </c:pt>
                <c:pt idx="124">
                  <c:v>100.21515375000007</c:v>
                </c:pt>
                <c:pt idx="125">
                  <c:v>100.71753625000007</c:v>
                </c:pt>
                <c:pt idx="126">
                  <c:v>101.20655125000003</c:v>
                </c:pt>
                <c:pt idx="127">
                  <c:v>101.67837874999998</c:v>
                </c:pt>
                <c:pt idx="128">
                  <c:v>102.01284625000004</c:v>
                </c:pt>
                <c:pt idx="129">
                  <c:v>102.39516500000006</c:v>
                </c:pt>
                <c:pt idx="130">
                  <c:v>102.77237624999997</c:v>
                </c:pt>
                <c:pt idx="131">
                  <c:v>103.18623125000001</c:v>
                </c:pt>
                <c:pt idx="132">
                  <c:v>103.58340750000001</c:v>
                </c:pt>
                <c:pt idx="133">
                  <c:v>103.99148500000007</c:v>
                </c:pt>
                <c:pt idx="134">
                  <c:v>104.49054375000006</c:v>
                </c:pt>
                <c:pt idx="135">
                  <c:v>104.97307124999999</c:v>
                </c:pt>
                <c:pt idx="136">
                  <c:v>105.46093250000004</c:v>
                </c:pt>
                <c:pt idx="137">
                  <c:v>105.95026250000006</c:v>
                </c:pt>
                <c:pt idx="138">
                  <c:v>106.42881500000003</c:v>
                </c:pt>
                <c:pt idx="139">
                  <c:v>106.9413650000001</c:v>
                </c:pt>
                <c:pt idx="140">
                  <c:v>107.38503000000003</c:v>
                </c:pt>
                <c:pt idx="141">
                  <c:v>107.89637125000002</c:v>
                </c:pt>
                <c:pt idx="142">
                  <c:v>108.39834500000001</c:v>
                </c:pt>
                <c:pt idx="143">
                  <c:v>108.93744125000006</c:v>
                </c:pt>
                <c:pt idx="144">
                  <c:v>109.46530000000004</c:v>
                </c:pt>
                <c:pt idx="145">
                  <c:v>110.00390500000003</c:v>
                </c:pt>
                <c:pt idx="146">
                  <c:v>110.52320000000002</c:v>
                </c:pt>
                <c:pt idx="147">
                  <c:v>111.06003250000001</c:v>
                </c:pt>
                <c:pt idx="148">
                  <c:v>111.57172625000003</c:v>
                </c:pt>
                <c:pt idx="149">
                  <c:v>112.08056500000002</c:v>
                </c:pt>
                <c:pt idx="150">
                  <c:v>112.61067125000004</c:v>
                </c:pt>
                <c:pt idx="151">
                  <c:v>113.13168625000003</c:v>
                </c:pt>
                <c:pt idx="152">
                  <c:v>113.62350249999999</c:v>
                </c:pt>
                <c:pt idx="153">
                  <c:v>114.17946999999998</c:v>
                </c:pt>
                <c:pt idx="154">
                  <c:v>114.72217749999999</c:v>
                </c:pt>
                <c:pt idx="155">
                  <c:v>115.31663625000003</c:v>
                </c:pt>
                <c:pt idx="156">
                  <c:v>115.96170875000003</c:v>
                </c:pt>
                <c:pt idx="157">
                  <c:v>116.58241125000001</c:v>
                </c:pt>
                <c:pt idx="158">
                  <c:v>117.20684625000001</c:v>
                </c:pt>
                <c:pt idx="159">
                  <c:v>117.85912125</c:v>
                </c:pt>
                <c:pt idx="160">
                  <c:v>118.46456375000004</c:v>
                </c:pt>
                <c:pt idx="161">
                  <c:v>119.04303875000001</c:v>
                </c:pt>
                <c:pt idx="162">
                  <c:v>119.65103749999997</c:v>
                </c:pt>
                <c:pt idx="163">
                  <c:v>120.27350375000003</c:v>
                </c:pt>
                <c:pt idx="164">
                  <c:v>120.85934499999998</c:v>
                </c:pt>
                <c:pt idx="165">
                  <c:v>121.46114125000003</c:v>
                </c:pt>
                <c:pt idx="166">
                  <c:v>122.08801874999996</c:v>
                </c:pt>
                <c:pt idx="167">
                  <c:v>122.74265874999996</c:v>
                </c:pt>
                <c:pt idx="168">
                  <c:v>123.38126250000002</c:v>
                </c:pt>
                <c:pt idx="169">
                  <c:v>124.04904375000001</c:v>
                </c:pt>
                <c:pt idx="170">
                  <c:v>124.70550249999998</c:v>
                </c:pt>
                <c:pt idx="171">
                  <c:v>125.4026375</c:v>
                </c:pt>
                <c:pt idx="172">
                  <c:v>126.07746249999998</c:v>
                </c:pt>
                <c:pt idx="173">
                  <c:v>126.73570499999998</c:v>
                </c:pt>
                <c:pt idx="174">
                  <c:v>127.38554749999996</c:v>
                </c:pt>
                <c:pt idx="175">
                  <c:v>128.03846875000005</c:v>
                </c:pt>
                <c:pt idx="176">
                  <c:v>128.68437249999997</c:v>
                </c:pt>
                <c:pt idx="177">
                  <c:v>129.29432124999997</c:v>
                </c:pt>
                <c:pt idx="178">
                  <c:v>129.90898125000001</c:v>
                </c:pt>
                <c:pt idx="179">
                  <c:v>130.50913999999997</c:v>
                </c:pt>
                <c:pt idx="180">
                  <c:v>131.13694374999994</c:v>
                </c:pt>
                <c:pt idx="181">
                  <c:v>131.78381999999996</c:v>
                </c:pt>
                <c:pt idx="182">
                  <c:v>132.42119250000002</c:v>
                </c:pt>
                <c:pt idx="183">
                  <c:v>133.07687124999995</c:v>
                </c:pt>
                <c:pt idx="184">
                  <c:v>133.71030749999994</c:v>
                </c:pt>
                <c:pt idx="185">
                  <c:v>134.33938499999996</c:v>
                </c:pt>
                <c:pt idx="186">
                  <c:v>134.93486124999998</c:v>
                </c:pt>
                <c:pt idx="187">
                  <c:v>135.48403125000004</c:v>
                </c:pt>
                <c:pt idx="188">
                  <c:v>136.00735374999999</c:v>
                </c:pt>
                <c:pt idx="189">
                  <c:v>136.49872125000005</c:v>
                </c:pt>
                <c:pt idx="190">
                  <c:v>136.98810375000005</c:v>
                </c:pt>
                <c:pt idx="191">
                  <c:v>137.44357999999994</c:v>
                </c:pt>
                <c:pt idx="192">
                  <c:v>137.96747000000005</c:v>
                </c:pt>
                <c:pt idx="193">
                  <c:v>138.59194000000005</c:v>
                </c:pt>
                <c:pt idx="194">
                  <c:v>139.28870750000004</c:v>
                </c:pt>
                <c:pt idx="195">
                  <c:v>140.01282750000001</c:v>
                </c:pt>
                <c:pt idx="196">
                  <c:v>140.75091125</c:v>
                </c:pt>
                <c:pt idx="197">
                  <c:v>141.49245750000006</c:v>
                </c:pt>
                <c:pt idx="198">
                  <c:v>142.22785000000002</c:v>
                </c:pt>
                <c:pt idx="199">
                  <c:v>142.93206625000005</c:v>
                </c:pt>
                <c:pt idx="200">
                  <c:v>143.64645749999997</c:v>
                </c:pt>
                <c:pt idx="201">
                  <c:v>144.38731250000006</c:v>
                </c:pt>
                <c:pt idx="202">
                  <c:v>145.11912374999997</c:v>
                </c:pt>
                <c:pt idx="203">
                  <c:v>145.81274000000008</c:v>
                </c:pt>
                <c:pt idx="204">
                  <c:v>146.56635625000004</c:v>
                </c:pt>
                <c:pt idx="205">
                  <c:v>147.26117249999999</c:v>
                </c:pt>
                <c:pt idx="206">
                  <c:v>147.97156249999998</c:v>
                </c:pt>
                <c:pt idx="207">
                  <c:v>148.69738250000003</c:v>
                </c:pt>
                <c:pt idx="208">
                  <c:v>149.41760750000003</c:v>
                </c:pt>
                <c:pt idx="209">
                  <c:v>150.13272875000001</c:v>
                </c:pt>
                <c:pt idx="210">
                  <c:v>150.85949625000009</c:v>
                </c:pt>
                <c:pt idx="211">
                  <c:v>151.53682750000004</c:v>
                </c:pt>
                <c:pt idx="212">
                  <c:v>152.21610999999999</c:v>
                </c:pt>
                <c:pt idx="213">
                  <c:v>152.88068000000004</c:v>
                </c:pt>
                <c:pt idx="214">
                  <c:v>153.5022212500001</c:v>
                </c:pt>
                <c:pt idx="215">
                  <c:v>154.14246500000002</c:v>
                </c:pt>
                <c:pt idx="216">
                  <c:v>154.77616499999999</c:v>
                </c:pt>
                <c:pt idx="217">
                  <c:v>155.40252375000006</c:v>
                </c:pt>
                <c:pt idx="218">
                  <c:v>156.05313250000003</c:v>
                </c:pt>
                <c:pt idx="219">
                  <c:v>156.73723625000011</c:v>
                </c:pt>
                <c:pt idx="220">
                  <c:v>157.49195125000003</c:v>
                </c:pt>
                <c:pt idx="221">
                  <c:v>158.22532875000007</c:v>
                </c:pt>
                <c:pt idx="222">
                  <c:v>158.99938750000004</c:v>
                </c:pt>
                <c:pt idx="223">
                  <c:v>159.81017625000004</c:v>
                </c:pt>
              </c:numCache>
            </c:numRef>
          </c:val>
        </c:ser>
        <c:marker val="1"/>
        <c:axId val="227617792"/>
        <c:axId val="227624064"/>
      </c:lineChart>
      <c:dateAx>
        <c:axId val="227617792"/>
        <c:scaling>
          <c:orientation val="minMax"/>
        </c:scaling>
        <c:axPos val="b"/>
        <c:numFmt formatCode="dd/mm/yyyy" sourceLinked="0"/>
        <c:tickLblPos val="nextTo"/>
        <c:spPr>
          <a:ln w="3532">
            <a:solidFill>
              <a:srgbClr val="000000"/>
            </a:solidFill>
            <a:prstDash val="solid"/>
          </a:ln>
        </c:spPr>
        <c:txPr>
          <a:bodyPr rot="-5400000" vert="horz"/>
          <a:lstStyle/>
          <a:p>
            <a:pPr>
              <a:defRPr sz="640" b="0" i="0" u="none" strike="noStrike" baseline="0">
                <a:solidFill>
                  <a:srgbClr val="000000"/>
                </a:solidFill>
                <a:latin typeface="Arial"/>
                <a:ea typeface="Arial"/>
                <a:cs typeface="Arial"/>
              </a:defRPr>
            </a:pPr>
            <a:endParaRPr lang="es-ES"/>
          </a:p>
        </c:txPr>
        <c:crossAx val="227624064"/>
        <c:crosses val="autoZero"/>
        <c:auto val="1"/>
        <c:lblOffset val="100"/>
        <c:baseTimeUnit val="days"/>
        <c:majorUnit val="2"/>
        <c:majorTimeUnit val="months"/>
        <c:minorUnit val="1"/>
        <c:minorTimeUnit val="months"/>
      </c:dateAx>
      <c:valAx>
        <c:axId val="227624064"/>
        <c:scaling>
          <c:orientation val="minMax"/>
        </c:scaling>
        <c:axPos val="l"/>
        <c:numFmt formatCode="##0.00" sourceLinked="1"/>
        <c:tickLblPos val="nextTo"/>
        <c:spPr>
          <a:ln w="3532">
            <a:solidFill>
              <a:srgbClr val="000000"/>
            </a:solidFill>
            <a:prstDash val="solid"/>
          </a:ln>
        </c:spPr>
        <c:txPr>
          <a:bodyPr rot="0" vert="horz"/>
          <a:lstStyle/>
          <a:p>
            <a:pPr>
              <a:defRPr sz="640" b="0" i="0" u="none" strike="noStrike" baseline="0">
                <a:solidFill>
                  <a:srgbClr val="000000"/>
                </a:solidFill>
                <a:latin typeface="Arial"/>
                <a:ea typeface="Arial"/>
                <a:cs typeface="Arial"/>
              </a:defRPr>
            </a:pPr>
            <a:endParaRPr lang="es-ES"/>
          </a:p>
        </c:txPr>
        <c:crossAx val="227617792"/>
        <c:crosses val="autoZero"/>
        <c:crossBetween val="between"/>
      </c:valAx>
      <c:spPr>
        <a:solidFill>
          <a:srgbClr val="C0C0C0"/>
        </a:solidFill>
        <a:ln w="14130">
          <a:solidFill>
            <a:srgbClr val="808080"/>
          </a:solidFill>
          <a:prstDash val="solid"/>
        </a:ln>
      </c:spPr>
    </c:plotArea>
    <c:legend>
      <c:legendPos val="t"/>
      <c:layout>
        <c:manualLayout>
          <c:xMode val="edge"/>
          <c:yMode val="edge"/>
          <c:x val="0"/>
          <c:y val="3.984063745019922E-3"/>
          <c:w val="0.11368421052631579"/>
          <c:h val="0.10756972111553791"/>
        </c:manualLayout>
      </c:layout>
      <c:spPr>
        <a:solidFill>
          <a:srgbClr val="C0C0C0"/>
        </a:solidFill>
        <a:ln w="3532">
          <a:solidFill>
            <a:srgbClr val="000000"/>
          </a:solidFill>
          <a:prstDash val="solid"/>
        </a:ln>
      </c:spPr>
      <c:txPr>
        <a:bodyPr/>
        <a:lstStyle/>
        <a:p>
          <a:pPr>
            <a:defRPr sz="562"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532">
      <a:solidFill>
        <a:srgbClr val="000000"/>
      </a:solidFill>
      <a:prstDash val="solid"/>
    </a:ln>
  </c:spPr>
  <c:txPr>
    <a:bodyPr/>
    <a:lstStyle/>
    <a:p>
      <a:pPr>
        <a:defRPr sz="114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89" b="1" i="0" u="none" strike="noStrike" baseline="0">
                <a:solidFill>
                  <a:srgbClr val="000000"/>
                </a:solidFill>
                <a:latin typeface="Arial"/>
                <a:ea typeface="Arial"/>
                <a:cs typeface="Arial"/>
              </a:defRPr>
            </a:pPr>
            <a:r>
              <a:t>LONGITUD VARIABLE DE LA MEDIA MÓVIL IRECU</a:t>
            </a:r>
          </a:p>
        </c:rich>
      </c:tx>
      <c:layout>
        <c:manualLayout>
          <c:xMode val="edge"/>
          <c:yMode val="edge"/>
          <c:x val="0.24274406332453832"/>
          <c:y val="0"/>
        </c:manualLayout>
      </c:layout>
      <c:spPr>
        <a:noFill/>
        <a:ln w="34584">
          <a:noFill/>
        </a:ln>
      </c:spPr>
    </c:title>
    <c:plotArea>
      <c:layout>
        <c:manualLayout>
          <c:layoutTarget val="inner"/>
          <c:xMode val="edge"/>
          <c:yMode val="edge"/>
          <c:x val="0.13984168865435356"/>
          <c:y val="0.40512820512820535"/>
          <c:w val="0.83377308707124009"/>
          <c:h val="0.26666666666666677"/>
        </c:manualLayout>
      </c:layout>
      <c:lineChart>
        <c:grouping val="standard"/>
        <c:ser>
          <c:idx val="0"/>
          <c:order val="0"/>
          <c:tx>
            <c:strRef>
              <c:f>'IRECUMM5-50 VL'!$F$11</c:f>
              <c:strCache>
                <c:ptCount val="1"/>
                <c:pt idx="0">
                  <c:v>MM5</c:v>
                </c:pt>
              </c:strCache>
            </c:strRef>
          </c:tx>
          <c:spPr>
            <a:ln w="17292">
              <a:solidFill>
                <a:srgbClr val="000080"/>
              </a:solidFill>
              <a:prstDash val="solid"/>
            </a:ln>
          </c:spPr>
          <c:marker>
            <c:symbol val="none"/>
          </c:marker>
          <c:cat>
            <c:numRef>
              <c:f>'IRECUMM5-50 VL'!$D$12:$D$284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'IRECUMM5-50 VL'!$F$61:$F$284</c:f>
              <c:numCache>
                <c:formatCode>##0.00</c:formatCode>
                <c:ptCount val="224"/>
                <c:pt idx="0">
                  <c:v>113.73476000000002</c:v>
                </c:pt>
                <c:pt idx="1">
                  <c:v>113.99652000000002</c:v>
                </c:pt>
                <c:pt idx="2">
                  <c:v>114.38921999999999</c:v>
                </c:pt>
                <c:pt idx="3">
                  <c:v>115.03026000000003</c:v>
                </c:pt>
                <c:pt idx="4">
                  <c:v>115.72266000000002</c:v>
                </c:pt>
                <c:pt idx="5">
                  <c:v>116.87066</c:v>
                </c:pt>
                <c:pt idx="6">
                  <c:v>118.05630000000001</c:v>
                </c:pt>
                <c:pt idx="7">
                  <c:v>119.05188000000001</c:v>
                </c:pt>
                <c:pt idx="8">
                  <c:v>119.3715</c:v>
                </c:pt>
                <c:pt idx="9">
                  <c:v>119.69786000000002</c:v>
                </c:pt>
                <c:pt idx="10">
                  <c:v>119.57728</c:v>
                </c:pt>
                <c:pt idx="11">
                  <c:v>119.16702000000002</c:v>
                </c:pt>
                <c:pt idx="12">
                  <c:v>118.83027999999999</c:v>
                </c:pt>
                <c:pt idx="13">
                  <c:v>118.56886</c:v>
                </c:pt>
                <c:pt idx="14">
                  <c:v>118.21160000000003</c:v>
                </c:pt>
                <c:pt idx="15">
                  <c:v>117.83756000000002</c:v>
                </c:pt>
                <c:pt idx="16">
                  <c:v>118.67746000000001</c:v>
                </c:pt>
                <c:pt idx="17">
                  <c:v>118.99393999999999</c:v>
                </c:pt>
                <c:pt idx="18">
                  <c:v>117.51328000000002</c:v>
                </c:pt>
                <c:pt idx="19">
                  <c:v>116.21984</c:v>
                </c:pt>
                <c:pt idx="20">
                  <c:v>114.95752000000003</c:v>
                </c:pt>
                <c:pt idx="21">
                  <c:v>112.67683999999997</c:v>
                </c:pt>
                <c:pt idx="22">
                  <c:v>111.14380000000001</c:v>
                </c:pt>
                <c:pt idx="23">
                  <c:v>111.50044</c:v>
                </c:pt>
                <c:pt idx="24">
                  <c:v>112.39462000000003</c:v>
                </c:pt>
                <c:pt idx="25">
                  <c:v>112.77708</c:v>
                </c:pt>
                <c:pt idx="26">
                  <c:v>113.31224</c:v>
                </c:pt>
                <c:pt idx="27">
                  <c:v>113.85426000000002</c:v>
                </c:pt>
                <c:pt idx="28">
                  <c:v>114.62036000000001</c:v>
                </c:pt>
                <c:pt idx="29">
                  <c:v>115.07083999999998</c:v>
                </c:pt>
                <c:pt idx="30">
                  <c:v>116.08287999999997</c:v>
                </c:pt>
                <c:pt idx="31">
                  <c:v>116.12467999999998</c:v>
                </c:pt>
                <c:pt idx="32">
                  <c:v>116.41592000000003</c:v>
                </c:pt>
                <c:pt idx="33">
                  <c:v>116.35961999999999</c:v>
                </c:pt>
                <c:pt idx="34">
                  <c:v>115.80339999999998</c:v>
                </c:pt>
                <c:pt idx="35">
                  <c:v>115.7529</c:v>
                </c:pt>
                <c:pt idx="36">
                  <c:v>116.39996000000002</c:v>
                </c:pt>
                <c:pt idx="37">
                  <c:v>116.68039999999998</c:v>
                </c:pt>
                <c:pt idx="38">
                  <c:v>116.89544000000001</c:v>
                </c:pt>
                <c:pt idx="39">
                  <c:v>117.41174000000002</c:v>
                </c:pt>
                <c:pt idx="40">
                  <c:v>118.69746000000002</c:v>
                </c:pt>
                <c:pt idx="41">
                  <c:v>120.08930000000001</c:v>
                </c:pt>
                <c:pt idx="42">
                  <c:v>121.21116000000004</c:v>
                </c:pt>
                <c:pt idx="43">
                  <c:v>123.56796000000003</c:v>
                </c:pt>
                <c:pt idx="44">
                  <c:v>124.21696000000003</c:v>
                </c:pt>
                <c:pt idx="45">
                  <c:v>123.96513999999999</c:v>
                </c:pt>
                <c:pt idx="46">
                  <c:v>123.88148000000001</c:v>
                </c:pt>
                <c:pt idx="47">
                  <c:v>124.12794000000001</c:v>
                </c:pt>
                <c:pt idx="48">
                  <c:v>126.63648000000001</c:v>
                </c:pt>
                <c:pt idx="49">
                  <c:v>129.49238000000005</c:v>
                </c:pt>
                <c:pt idx="50">
                  <c:v>131.87294000000006</c:v>
                </c:pt>
                <c:pt idx="51">
                  <c:v>134.99426</c:v>
                </c:pt>
                <c:pt idx="52">
                  <c:v>137.6567</c:v>
                </c:pt>
                <c:pt idx="53">
                  <c:v>136.86477999999997</c:v>
                </c:pt>
                <c:pt idx="54">
                  <c:v>136.15226000000001</c:v>
                </c:pt>
                <c:pt idx="55">
                  <c:v>135.45778000000001</c:v>
                </c:pt>
                <c:pt idx="56">
                  <c:v>133.64042000000001</c:v>
                </c:pt>
                <c:pt idx="57">
                  <c:v>132.38558</c:v>
                </c:pt>
                <c:pt idx="58">
                  <c:v>131.21037999999999</c:v>
                </c:pt>
                <c:pt idx="59">
                  <c:v>131.54242000000005</c:v>
                </c:pt>
                <c:pt idx="60">
                  <c:v>132.18270000000001</c:v>
                </c:pt>
                <c:pt idx="61">
                  <c:v>134.02342000000004</c:v>
                </c:pt>
                <c:pt idx="62">
                  <c:v>134.59274000000005</c:v>
                </c:pt>
                <c:pt idx="63">
                  <c:v>134.18282000000008</c:v>
                </c:pt>
                <c:pt idx="64">
                  <c:v>133.54594000000003</c:v>
                </c:pt>
                <c:pt idx="65">
                  <c:v>132.71425999999997</c:v>
                </c:pt>
                <c:pt idx="66">
                  <c:v>131.61015999999998</c:v>
                </c:pt>
                <c:pt idx="67">
                  <c:v>131.28355999999997</c:v>
                </c:pt>
                <c:pt idx="68">
                  <c:v>132.51342</c:v>
                </c:pt>
                <c:pt idx="69">
                  <c:v>133.77777999999998</c:v>
                </c:pt>
                <c:pt idx="70">
                  <c:v>134.70775999999998</c:v>
                </c:pt>
                <c:pt idx="71">
                  <c:v>135.02422000000001</c:v>
                </c:pt>
                <c:pt idx="72">
                  <c:v>136.72387999999998</c:v>
                </c:pt>
                <c:pt idx="73">
                  <c:v>136.90808000000001</c:v>
                </c:pt>
                <c:pt idx="74">
                  <c:v>137.02055999999999</c:v>
                </c:pt>
                <c:pt idx="75">
                  <c:v>137.16314</c:v>
                </c:pt>
                <c:pt idx="76">
                  <c:v>136.04411999999999</c:v>
                </c:pt>
                <c:pt idx="77">
                  <c:v>134.75497999999999</c:v>
                </c:pt>
                <c:pt idx="78">
                  <c:v>134.36636000000001</c:v>
                </c:pt>
                <c:pt idx="79">
                  <c:v>133.97961999999998</c:v>
                </c:pt>
                <c:pt idx="80">
                  <c:v>134.29949999999999</c:v>
                </c:pt>
                <c:pt idx="81">
                  <c:v>135.82668000000001</c:v>
                </c:pt>
                <c:pt idx="82">
                  <c:v>136.43684000000007</c:v>
                </c:pt>
                <c:pt idx="83">
                  <c:v>136.85908000000001</c:v>
                </c:pt>
                <c:pt idx="84">
                  <c:v>137.99957999999998</c:v>
                </c:pt>
                <c:pt idx="85">
                  <c:v>138.77641999999997</c:v>
                </c:pt>
                <c:pt idx="86">
                  <c:v>139.41657999999998</c:v>
                </c:pt>
                <c:pt idx="87">
                  <c:v>140.06414000000001</c:v>
                </c:pt>
                <c:pt idx="88">
                  <c:v>141.46848000000006</c:v>
                </c:pt>
                <c:pt idx="89">
                  <c:v>142.52776</c:v>
                </c:pt>
                <c:pt idx="90">
                  <c:v>143.74949999999995</c:v>
                </c:pt>
                <c:pt idx="91">
                  <c:v>144.36760000000001</c:v>
                </c:pt>
                <c:pt idx="92">
                  <c:v>145.62272000000004</c:v>
                </c:pt>
                <c:pt idx="93">
                  <c:v>146.58994000000001</c:v>
                </c:pt>
                <c:pt idx="94">
                  <c:v>147.44736</c:v>
                </c:pt>
                <c:pt idx="95">
                  <c:v>148.36682000000008</c:v>
                </c:pt>
                <c:pt idx="96">
                  <c:v>150.02802000000008</c:v>
                </c:pt>
                <c:pt idx="97">
                  <c:v>151.97758000000002</c:v>
                </c:pt>
                <c:pt idx="98">
                  <c:v>153.62348</c:v>
                </c:pt>
                <c:pt idx="99">
                  <c:v>155.52250000000001</c:v>
                </c:pt>
                <c:pt idx="100">
                  <c:v>157.25264000000001</c:v>
                </c:pt>
                <c:pt idx="101">
                  <c:v>159.16136</c:v>
                </c:pt>
                <c:pt idx="102">
                  <c:v>160.41890000000001</c:v>
                </c:pt>
                <c:pt idx="103">
                  <c:v>161.54104000000001</c:v>
                </c:pt>
                <c:pt idx="104">
                  <c:v>162.3884800000001</c:v>
                </c:pt>
                <c:pt idx="105">
                  <c:v>163.27248</c:v>
                </c:pt>
                <c:pt idx="106">
                  <c:v>164.92452</c:v>
                </c:pt>
                <c:pt idx="107">
                  <c:v>167.6644</c:v>
                </c:pt>
                <c:pt idx="108">
                  <c:v>171.54959999999994</c:v>
                </c:pt>
                <c:pt idx="109">
                  <c:v>176.12454</c:v>
                </c:pt>
                <c:pt idx="110">
                  <c:v>182.09674000000001</c:v>
                </c:pt>
                <c:pt idx="111">
                  <c:v>189.21169999999998</c:v>
                </c:pt>
                <c:pt idx="112">
                  <c:v>194.24951999999996</c:v>
                </c:pt>
                <c:pt idx="113">
                  <c:v>196.64669999999998</c:v>
                </c:pt>
                <c:pt idx="114">
                  <c:v>197.47736</c:v>
                </c:pt>
                <c:pt idx="115">
                  <c:v>196.39460000000003</c:v>
                </c:pt>
                <c:pt idx="116">
                  <c:v>192.90349999999998</c:v>
                </c:pt>
                <c:pt idx="117">
                  <c:v>190.38178000000005</c:v>
                </c:pt>
                <c:pt idx="118">
                  <c:v>189.54317999999998</c:v>
                </c:pt>
                <c:pt idx="119">
                  <c:v>189.86190000000008</c:v>
                </c:pt>
                <c:pt idx="120">
                  <c:v>190.66850000000002</c:v>
                </c:pt>
                <c:pt idx="121">
                  <c:v>192.16074</c:v>
                </c:pt>
                <c:pt idx="122">
                  <c:v>193.29088000000002</c:v>
                </c:pt>
                <c:pt idx="123">
                  <c:v>194.37622000000007</c:v>
                </c:pt>
                <c:pt idx="124">
                  <c:v>193.19508000000002</c:v>
                </c:pt>
                <c:pt idx="125">
                  <c:v>193.21791999999999</c:v>
                </c:pt>
                <c:pt idx="126">
                  <c:v>192.67607999999998</c:v>
                </c:pt>
                <c:pt idx="127">
                  <c:v>191.90324000000001</c:v>
                </c:pt>
                <c:pt idx="128">
                  <c:v>191.34892000000005</c:v>
                </c:pt>
                <c:pt idx="129">
                  <c:v>192.3246</c:v>
                </c:pt>
                <c:pt idx="130">
                  <c:v>191.73132000000001</c:v>
                </c:pt>
                <c:pt idx="131">
                  <c:v>192.23927999999995</c:v>
                </c:pt>
                <c:pt idx="132">
                  <c:v>193.20840000000001</c:v>
                </c:pt>
                <c:pt idx="133">
                  <c:v>194.20457999999996</c:v>
                </c:pt>
                <c:pt idx="134">
                  <c:v>196.36292000000006</c:v>
                </c:pt>
                <c:pt idx="135">
                  <c:v>198.27100000000002</c:v>
                </c:pt>
                <c:pt idx="136">
                  <c:v>199.13834000000008</c:v>
                </c:pt>
                <c:pt idx="137">
                  <c:v>200.36838000000006</c:v>
                </c:pt>
                <c:pt idx="138">
                  <c:v>202.10563999999999</c:v>
                </c:pt>
                <c:pt idx="139">
                  <c:v>204.16085999999999</c:v>
                </c:pt>
                <c:pt idx="140">
                  <c:v>205.17275999999998</c:v>
                </c:pt>
                <c:pt idx="141">
                  <c:v>207.81614000000005</c:v>
                </c:pt>
                <c:pt idx="142">
                  <c:v>210.20485999999994</c:v>
                </c:pt>
                <c:pt idx="143">
                  <c:v>211.78254000000001</c:v>
                </c:pt>
                <c:pt idx="144">
                  <c:v>211.84104000000008</c:v>
                </c:pt>
                <c:pt idx="145">
                  <c:v>213.74409999999995</c:v>
                </c:pt>
                <c:pt idx="146">
                  <c:v>214.04140000000001</c:v>
                </c:pt>
                <c:pt idx="147">
                  <c:v>214.22973999999999</c:v>
                </c:pt>
                <c:pt idx="148">
                  <c:v>214.51477999999992</c:v>
                </c:pt>
                <c:pt idx="149">
                  <c:v>215.05538000000001</c:v>
                </c:pt>
                <c:pt idx="150">
                  <c:v>215.50244000000009</c:v>
                </c:pt>
                <c:pt idx="151">
                  <c:v>215.89406</c:v>
                </c:pt>
                <c:pt idx="152">
                  <c:v>216.58462</c:v>
                </c:pt>
                <c:pt idx="153">
                  <c:v>217.93932000000001</c:v>
                </c:pt>
                <c:pt idx="154">
                  <c:v>218.94450000000001</c:v>
                </c:pt>
                <c:pt idx="155">
                  <c:v>220.77634</c:v>
                </c:pt>
                <c:pt idx="156">
                  <c:v>222.78012000000001</c:v>
                </c:pt>
                <c:pt idx="157">
                  <c:v>224.72325999999998</c:v>
                </c:pt>
                <c:pt idx="158">
                  <c:v>226.08012000000005</c:v>
                </c:pt>
                <c:pt idx="159">
                  <c:v>228.50917999999996</c:v>
                </c:pt>
                <c:pt idx="160">
                  <c:v>229.14571999999998</c:v>
                </c:pt>
                <c:pt idx="161">
                  <c:v>229.08536000000001</c:v>
                </c:pt>
                <c:pt idx="162">
                  <c:v>229.42076000000003</c:v>
                </c:pt>
                <c:pt idx="163">
                  <c:v>229.66120000000001</c:v>
                </c:pt>
                <c:pt idx="164">
                  <c:v>229.18128000000004</c:v>
                </c:pt>
                <c:pt idx="165">
                  <c:v>229.61275999999998</c:v>
                </c:pt>
                <c:pt idx="166">
                  <c:v>230.92462</c:v>
                </c:pt>
                <c:pt idx="167">
                  <c:v>231.63292000000001</c:v>
                </c:pt>
                <c:pt idx="168">
                  <c:v>232.48016000000001</c:v>
                </c:pt>
                <c:pt idx="169">
                  <c:v>234.36226000000008</c:v>
                </c:pt>
                <c:pt idx="170">
                  <c:v>236.02348000000001</c:v>
                </c:pt>
                <c:pt idx="171">
                  <c:v>237.78438</c:v>
                </c:pt>
                <c:pt idx="172">
                  <c:v>239.47838000000004</c:v>
                </c:pt>
                <c:pt idx="173">
                  <c:v>240.89170000000001</c:v>
                </c:pt>
                <c:pt idx="174">
                  <c:v>241.32274000000007</c:v>
                </c:pt>
                <c:pt idx="175">
                  <c:v>242.19375999999991</c:v>
                </c:pt>
                <c:pt idx="176">
                  <c:v>242.59987999999998</c:v>
                </c:pt>
                <c:pt idx="177">
                  <c:v>242.95282000000009</c:v>
                </c:pt>
                <c:pt idx="178">
                  <c:v>243.54208</c:v>
                </c:pt>
                <c:pt idx="179">
                  <c:v>244.23762000000002</c:v>
                </c:pt>
                <c:pt idx="180">
                  <c:v>245.39588000000001</c:v>
                </c:pt>
                <c:pt idx="181">
                  <c:v>247.42052000000001</c:v>
                </c:pt>
                <c:pt idx="182">
                  <c:v>249.45176000000001</c:v>
                </c:pt>
                <c:pt idx="183">
                  <c:v>251.69522000000001</c:v>
                </c:pt>
                <c:pt idx="184">
                  <c:v>253.44940000000003</c:v>
                </c:pt>
                <c:pt idx="185">
                  <c:v>254.40852000000001</c:v>
                </c:pt>
                <c:pt idx="186">
                  <c:v>254.80065999999997</c:v>
                </c:pt>
                <c:pt idx="187">
                  <c:v>255.37405999999999</c:v>
                </c:pt>
                <c:pt idx="188">
                  <c:v>255.99746000000005</c:v>
                </c:pt>
                <c:pt idx="189">
                  <c:v>257.80730000000005</c:v>
                </c:pt>
                <c:pt idx="190">
                  <c:v>260.99103999999983</c:v>
                </c:pt>
                <c:pt idx="191">
                  <c:v>265.3329</c:v>
                </c:pt>
                <c:pt idx="192">
                  <c:v>270.50393999999983</c:v>
                </c:pt>
                <c:pt idx="193">
                  <c:v>276.22251999999975</c:v>
                </c:pt>
                <c:pt idx="194">
                  <c:v>282.31815999999975</c:v>
                </c:pt>
                <c:pt idx="195">
                  <c:v>287.36824000000001</c:v>
                </c:pt>
                <c:pt idx="196">
                  <c:v>291.17632000000003</c:v>
                </c:pt>
                <c:pt idx="197">
                  <c:v>294.29422000000005</c:v>
                </c:pt>
                <c:pt idx="198">
                  <c:v>296.37278000000015</c:v>
                </c:pt>
                <c:pt idx="199">
                  <c:v>296.94238000000007</c:v>
                </c:pt>
                <c:pt idx="200">
                  <c:v>297.53807999999975</c:v>
                </c:pt>
                <c:pt idx="201">
                  <c:v>299.18880000000001</c:v>
                </c:pt>
                <c:pt idx="202">
                  <c:v>300.12633999999974</c:v>
                </c:pt>
                <c:pt idx="203">
                  <c:v>300.17017999999985</c:v>
                </c:pt>
                <c:pt idx="204">
                  <c:v>300.22637999999984</c:v>
                </c:pt>
                <c:pt idx="205">
                  <c:v>299.73347999999987</c:v>
                </c:pt>
                <c:pt idx="206">
                  <c:v>298.35600000000005</c:v>
                </c:pt>
                <c:pt idx="207">
                  <c:v>297.38078000000007</c:v>
                </c:pt>
                <c:pt idx="208">
                  <c:v>297.49766</c:v>
                </c:pt>
                <c:pt idx="209">
                  <c:v>297.51228000000015</c:v>
                </c:pt>
                <c:pt idx="210">
                  <c:v>297.72904000000005</c:v>
                </c:pt>
                <c:pt idx="211">
                  <c:v>297.39281999999986</c:v>
                </c:pt>
                <c:pt idx="212">
                  <c:v>297.18808000000001</c:v>
                </c:pt>
                <c:pt idx="213">
                  <c:v>296.77109999999993</c:v>
                </c:pt>
                <c:pt idx="214">
                  <c:v>296.58098000000001</c:v>
                </c:pt>
                <c:pt idx="215">
                  <c:v>296.4676799999998</c:v>
                </c:pt>
                <c:pt idx="216">
                  <c:v>296.38653999999974</c:v>
                </c:pt>
                <c:pt idx="217">
                  <c:v>296.18191999999988</c:v>
                </c:pt>
                <c:pt idx="218">
                  <c:v>296.52477999999985</c:v>
                </c:pt>
                <c:pt idx="219">
                  <c:v>299.08603999999974</c:v>
                </c:pt>
                <c:pt idx="220">
                  <c:v>301.8116</c:v>
                </c:pt>
                <c:pt idx="221">
                  <c:v>305.57146</c:v>
                </c:pt>
                <c:pt idx="222">
                  <c:v>310.46159999999975</c:v>
                </c:pt>
                <c:pt idx="223">
                  <c:v>315.84589999999997</c:v>
                </c:pt>
              </c:numCache>
            </c:numRef>
          </c:val>
        </c:ser>
        <c:ser>
          <c:idx val="1"/>
          <c:order val="1"/>
          <c:tx>
            <c:strRef>
              <c:f>'IRECUMM5-50 VL'!$G$11</c:f>
              <c:strCache>
                <c:ptCount val="1"/>
                <c:pt idx="0">
                  <c:v>MM50</c:v>
                </c:pt>
              </c:strCache>
            </c:strRef>
          </c:tx>
          <c:spPr>
            <a:ln w="17292">
              <a:solidFill>
                <a:srgbClr val="FF00FF"/>
              </a:solidFill>
              <a:prstDash val="solid"/>
            </a:ln>
          </c:spPr>
          <c:marker>
            <c:symbol val="square"/>
            <c:size val="2"/>
            <c:spPr>
              <a:noFill/>
              <a:ln>
                <a:solidFill>
                  <a:srgbClr val="FFFFFF"/>
                </a:solidFill>
                <a:prstDash val="solid"/>
              </a:ln>
            </c:spPr>
          </c:marker>
          <c:cat>
            <c:numRef>
              <c:f>'IRECUMM5-50 VL'!$D$12:$D$284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'IRECUMM5-50 VL'!$G$61:$G$284</c:f>
              <c:numCache>
                <c:formatCode>##0.00</c:formatCode>
                <c:ptCount val="224"/>
                <c:pt idx="0">
                  <c:v>95.194153478260901</c:v>
                </c:pt>
                <c:pt idx="1">
                  <c:v>95.594203829787261</c:v>
                </c:pt>
                <c:pt idx="2">
                  <c:v>95.985766666666649</c:v>
                </c:pt>
                <c:pt idx="3">
                  <c:v>96.374429795918417</c:v>
                </c:pt>
                <c:pt idx="4">
                  <c:v>96.761394400000043</c:v>
                </c:pt>
                <c:pt idx="5">
                  <c:v>97.459380799999977</c:v>
                </c:pt>
                <c:pt idx="6">
                  <c:v>98.160155599999982</c:v>
                </c:pt>
                <c:pt idx="7">
                  <c:v>98.882034799999957</c:v>
                </c:pt>
                <c:pt idx="8">
                  <c:v>99.612937199999934</c:v>
                </c:pt>
                <c:pt idx="9">
                  <c:v>100.36876799999999</c:v>
                </c:pt>
                <c:pt idx="10">
                  <c:v>101.12433119999996</c:v>
                </c:pt>
                <c:pt idx="11">
                  <c:v>101.87369000000001</c:v>
                </c:pt>
                <c:pt idx="12">
                  <c:v>102.59619760000002</c:v>
                </c:pt>
                <c:pt idx="13">
                  <c:v>103.29336040000005</c:v>
                </c:pt>
                <c:pt idx="14">
                  <c:v>103.96697760000002</c:v>
                </c:pt>
                <c:pt idx="15">
                  <c:v>104.6347648</c:v>
                </c:pt>
                <c:pt idx="16">
                  <c:v>105.31992560000003</c:v>
                </c:pt>
                <c:pt idx="17">
                  <c:v>106.01513120000001</c:v>
                </c:pt>
                <c:pt idx="18">
                  <c:v>106.68443879999998</c:v>
                </c:pt>
                <c:pt idx="19">
                  <c:v>107.3315928</c:v>
                </c:pt>
                <c:pt idx="20">
                  <c:v>107.9695588</c:v>
                </c:pt>
                <c:pt idx="21">
                  <c:v>108.57405560000002</c:v>
                </c:pt>
                <c:pt idx="22">
                  <c:v>109.15619640000001</c:v>
                </c:pt>
                <c:pt idx="23">
                  <c:v>109.74468960000006</c:v>
                </c:pt>
                <c:pt idx="24">
                  <c:v>110.34910959999999</c:v>
                </c:pt>
                <c:pt idx="25">
                  <c:v>110.95861519999998</c:v>
                </c:pt>
                <c:pt idx="26">
                  <c:v>111.58139279999996</c:v>
                </c:pt>
                <c:pt idx="27">
                  <c:v>112.20702439999999</c:v>
                </c:pt>
                <c:pt idx="28">
                  <c:v>112.84817960000002</c:v>
                </c:pt>
                <c:pt idx="29">
                  <c:v>113.48137960000003</c:v>
                </c:pt>
                <c:pt idx="30">
                  <c:v>103.22785375000002</c:v>
                </c:pt>
                <c:pt idx="31">
                  <c:v>103.65768625000001</c:v>
                </c:pt>
                <c:pt idx="32">
                  <c:v>104.11036374999999</c:v>
                </c:pt>
                <c:pt idx="33">
                  <c:v>104.55996874999998</c:v>
                </c:pt>
                <c:pt idx="34">
                  <c:v>104.93222375000003</c:v>
                </c:pt>
                <c:pt idx="35">
                  <c:v>105.33920124999997</c:v>
                </c:pt>
                <c:pt idx="36">
                  <c:v>105.74408625000001</c:v>
                </c:pt>
                <c:pt idx="37">
                  <c:v>106.21801874999998</c:v>
                </c:pt>
                <c:pt idx="38">
                  <c:v>106.689285</c:v>
                </c:pt>
                <c:pt idx="39">
                  <c:v>107.15131249999996</c:v>
                </c:pt>
                <c:pt idx="40">
                  <c:v>107.64534749999996</c:v>
                </c:pt>
                <c:pt idx="41">
                  <c:v>108.143475</c:v>
                </c:pt>
                <c:pt idx="42">
                  <c:v>108.62465999999999</c:v>
                </c:pt>
                <c:pt idx="43">
                  <c:v>109.18036249999997</c:v>
                </c:pt>
                <c:pt idx="44">
                  <c:v>109.63170124999998</c:v>
                </c:pt>
                <c:pt idx="45">
                  <c:v>110.11515624999997</c:v>
                </c:pt>
                <c:pt idx="46">
                  <c:v>110.60985374999998</c:v>
                </c:pt>
                <c:pt idx="47">
                  <c:v>111.11805249999998</c:v>
                </c:pt>
                <c:pt idx="48">
                  <c:v>111.84214874999998</c:v>
                </c:pt>
                <c:pt idx="49">
                  <c:v>112.48359124999999</c:v>
                </c:pt>
                <c:pt idx="50">
                  <c:v>113.16601374999999</c:v>
                </c:pt>
                <c:pt idx="51">
                  <c:v>113.893745</c:v>
                </c:pt>
                <c:pt idx="52">
                  <c:v>114.59429874999999</c:v>
                </c:pt>
                <c:pt idx="53">
                  <c:v>115.26646124999999</c:v>
                </c:pt>
                <c:pt idx="54">
                  <c:v>115.85725624999999</c:v>
                </c:pt>
                <c:pt idx="55">
                  <c:v>116.48826249999999</c:v>
                </c:pt>
                <c:pt idx="56">
                  <c:v>117.11043624999998</c:v>
                </c:pt>
                <c:pt idx="57">
                  <c:v>117.70760500000004</c:v>
                </c:pt>
                <c:pt idx="58">
                  <c:v>118.30694750000001</c:v>
                </c:pt>
                <c:pt idx="59">
                  <c:v>118.86548000000001</c:v>
                </c:pt>
                <c:pt idx="60">
                  <c:v>119.3532125</c:v>
                </c:pt>
                <c:pt idx="61">
                  <c:v>119.8612875</c:v>
                </c:pt>
                <c:pt idx="62">
                  <c:v>120.30006750000003</c:v>
                </c:pt>
                <c:pt idx="63">
                  <c:v>120.60211375000002</c:v>
                </c:pt>
                <c:pt idx="64">
                  <c:v>120.78162375000004</c:v>
                </c:pt>
                <c:pt idx="65">
                  <c:v>120.96183875000001</c:v>
                </c:pt>
                <c:pt idx="66">
                  <c:v>121.12035874999994</c:v>
                </c:pt>
                <c:pt idx="67">
                  <c:v>121.29603874999998</c:v>
                </c:pt>
                <c:pt idx="68">
                  <c:v>121.52869249999998</c:v>
                </c:pt>
                <c:pt idx="69">
                  <c:v>121.76489124999999</c:v>
                </c:pt>
                <c:pt idx="70">
                  <c:v>121.99731249999999</c:v>
                </c:pt>
                <c:pt idx="71">
                  <c:v>122.25500749999998</c:v>
                </c:pt>
                <c:pt idx="72">
                  <c:v>122.57471624999998</c:v>
                </c:pt>
                <c:pt idx="73">
                  <c:v>122.84520000000002</c:v>
                </c:pt>
                <c:pt idx="74">
                  <c:v>123.12373374999997</c:v>
                </c:pt>
                <c:pt idx="75">
                  <c:v>123.39698875000001</c:v>
                </c:pt>
                <c:pt idx="76">
                  <c:v>123.60740000000003</c:v>
                </c:pt>
                <c:pt idx="77">
                  <c:v>123.88101500000002</c:v>
                </c:pt>
                <c:pt idx="78">
                  <c:v>124.13187750000002</c:v>
                </c:pt>
                <c:pt idx="79">
                  <c:v>124.39128000000002</c:v>
                </c:pt>
                <c:pt idx="80">
                  <c:v>124.68228500000005</c:v>
                </c:pt>
                <c:pt idx="81">
                  <c:v>124.97178500000003</c:v>
                </c:pt>
                <c:pt idx="82">
                  <c:v>125.25899125000005</c:v>
                </c:pt>
                <c:pt idx="83">
                  <c:v>125.49617875000004</c:v>
                </c:pt>
                <c:pt idx="84">
                  <c:v>125.78358750000004</c:v>
                </c:pt>
                <c:pt idx="85">
                  <c:v>126.05139500000004</c:v>
                </c:pt>
                <c:pt idx="86">
                  <c:v>126.30680250000005</c:v>
                </c:pt>
                <c:pt idx="87">
                  <c:v>126.57225750000005</c:v>
                </c:pt>
                <c:pt idx="88">
                  <c:v>126.87724000000007</c:v>
                </c:pt>
                <c:pt idx="89">
                  <c:v>127.21045625000006</c:v>
                </c:pt>
                <c:pt idx="90">
                  <c:v>127.56215875000001</c:v>
                </c:pt>
                <c:pt idx="91">
                  <c:v>127.88183875000001</c:v>
                </c:pt>
                <c:pt idx="92">
                  <c:v>128.24678499999999</c:v>
                </c:pt>
                <c:pt idx="93">
                  <c:v>128.62855750000003</c:v>
                </c:pt>
                <c:pt idx="94">
                  <c:v>129.03769125000002</c:v>
                </c:pt>
                <c:pt idx="95">
                  <c:v>129.47023750000005</c:v>
                </c:pt>
                <c:pt idx="96">
                  <c:v>129.84124875000006</c:v>
                </c:pt>
                <c:pt idx="97">
                  <c:v>130.30826250000001</c:v>
                </c:pt>
                <c:pt idx="98">
                  <c:v>130.88544500000006</c:v>
                </c:pt>
                <c:pt idx="99">
                  <c:v>131.49410750000001</c:v>
                </c:pt>
                <c:pt idx="100">
                  <c:v>132.11368249999992</c:v>
                </c:pt>
                <c:pt idx="101">
                  <c:v>132.74653124999998</c:v>
                </c:pt>
                <c:pt idx="102">
                  <c:v>133.38795625000006</c:v>
                </c:pt>
                <c:pt idx="103">
                  <c:v>134.01298250000002</c:v>
                </c:pt>
                <c:pt idx="104">
                  <c:v>134.61872375000002</c:v>
                </c:pt>
                <c:pt idx="105">
                  <c:v>135.26964499999994</c:v>
                </c:pt>
                <c:pt idx="106">
                  <c:v>135.97229875000005</c:v>
                </c:pt>
                <c:pt idx="107">
                  <c:v>136.75109</c:v>
                </c:pt>
                <c:pt idx="108">
                  <c:v>137.57106000000002</c:v>
                </c:pt>
                <c:pt idx="109">
                  <c:v>138.43457999999998</c:v>
                </c:pt>
                <c:pt idx="110">
                  <c:v>139.39551125</c:v>
                </c:pt>
                <c:pt idx="111">
                  <c:v>140.54023750000007</c:v>
                </c:pt>
                <c:pt idx="112">
                  <c:v>141.61568999999997</c:v>
                </c:pt>
                <c:pt idx="113">
                  <c:v>142.58900250000002</c:v>
                </c:pt>
                <c:pt idx="114">
                  <c:v>143.53920250000002</c:v>
                </c:pt>
                <c:pt idx="115">
                  <c:v>144.43561750000003</c:v>
                </c:pt>
                <c:pt idx="116">
                  <c:v>145.32170875000008</c:v>
                </c:pt>
                <c:pt idx="117">
                  <c:v>146.22202625000006</c:v>
                </c:pt>
                <c:pt idx="118">
                  <c:v>147.12948625000001</c:v>
                </c:pt>
                <c:pt idx="119">
                  <c:v>148.06733750000006</c:v>
                </c:pt>
                <c:pt idx="120">
                  <c:v>148.9338075</c:v>
                </c:pt>
                <c:pt idx="121">
                  <c:v>149.82617375000001</c:v>
                </c:pt>
                <c:pt idx="122">
                  <c:v>150.72700875000004</c:v>
                </c:pt>
                <c:pt idx="123">
                  <c:v>151.55500250000003</c:v>
                </c:pt>
                <c:pt idx="124">
                  <c:v>152.37847000000008</c:v>
                </c:pt>
                <c:pt idx="125">
                  <c:v>153.26210625000004</c:v>
                </c:pt>
                <c:pt idx="126">
                  <c:v>154.12583625000002</c:v>
                </c:pt>
                <c:pt idx="127">
                  <c:v>154.962965</c:v>
                </c:pt>
                <c:pt idx="128">
                  <c:v>155.59952999999996</c:v>
                </c:pt>
                <c:pt idx="129">
                  <c:v>156.30548375000001</c:v>
                </c:pt>
                <c:pt idx="130">
                  <c:v>157.00325499999991</c:v>
                </c:pt>
                <c:pt idx="131">
                  <c:v>157.70364999999998</c:v>
                </c:pt>
                <c:pt idx="132">
                  <c:v>158.43494625000002</c:v>
                </c:pt>
                <c:pt idx="133">
                  <c:v>159.18326749999997</c:v>
                </c:pt>
                <c:pt idx="134">
                  <c:v>160.06864999999999</c:v>
                </c:pt>
                <c:pt idx="135">
                  <c:v>160.92908124999991</c:v>
                </c:pt>
                <c:pt idx="136">
                  <c:v>161.79726999999997</c:v>
                </c:pt>
                <c:pt idx="137">
                  <c:v>162.68387124999995</c:v>
                </c:pt>
                <c:pt idx="138">
                  <c:v>163.61422124999996</c:v>
                </c:pt>
                <c:pt idx="139">
                  <c:v>164.60730249999997</c:v>
                </c:pt>
                <c:pt idx="140">
                  <c:v>165.49095999999994</c:v>
                </c:pt>
                <c:pt idx="141">
                  <c:v>166.40931499999994</c:v>
                </c:pt>
                <c:pt idx="142">
                  <c:v>167.40962874999997</c:v>
                </c:pt>
                <c:pt idx="143">
                  <c:v>168.46420374999994</c:v>
                </c:pt>
                <c:pt idx="144">
                  <c:v>169.50074625000002</c:v>
                </c:pt>
                <c:pt idx="145">
                  <c:v>170.55532500000001</c:v>
                </c:pt>
                <c:pt idx="146">
                  <c:v>171.56126750000001</c:v>
                </c:pt>
                <c:pt idx="147">
                  <c:v>172.59376499999993</c:v>
                </c:pt>
                <c:pt idx="148">
                  <c:v>173.58928875000001</c:v>
                </c:pt>
                <c:pt idx="149">
                  <c:v>174.58059625000001</c:v>
                </c:pt>
                <c:pt idx="150">
                  <c:v>175.60499249999992</c:v>
                </c:pt>
                <c:pt idx="151">
                  <c:v>176.61563249999998</c:v>
                </c:pt>
                <c:pt idx="152">
                  <c:v>177.58506124999997</c:v>
                </c:pt>
                <c:pt idx="153">
                  <c:v>178.65374124999997</c:v>
                </c:pt>
                <c:pt idx="154">
                  <c:v>179.70084249999996</c:v>
                </c:pt>
                <c:pt idx="155">
                  <c:v>180.83081750000002</c:v>
                </c:pt>
                <c:pt idx="156">
                  <c:v>182.03663249999994</c:v>
                </c:pt>
                <c:pt idx="157">
                  <c:v>183.20807874999997</c:v>
                </c:pt>
                <c:pt idx="158">
                  <c:v>184.38585124999994</c:v>
                </c:pt>
                <c:pt idx="159">
                  <c:v>185.60894000000002</c:v>
                </c:pt>
                <c:pt idx="160">
                  <c:v>186.75870625000002</c:v>
                </c:pt>
                <c:pt idx="161">
                  <c:v>187.86530000000002</c:v>
                </c:pt>
                <c:pt idx="162">
                  <c:v>189.01957374999992</c:v>
                </c:pt>
                <c:pt idx="163">
                  <c:v>190.18598374999996</c:v>
                </c:pt>
                <c:pt idx="164">
                  <c:v>191.30779625000002</c:v>
                </c:pt>
                <c:pt idx="165">
                  <c:v>192.43597750000001</c:v>
                </c:pt>
                <c:pt idx="166">
                  <c:v>193.58455249999992</c:v>
                </c:pt>
                <c:pt idx="167">
                  <c:v>194.74262249999995</c:v>
                </c:pt>
                <c:pt idx="168">
                  <c:v>195.87421374999997</c:v>
                </c:pt>
                <c:pt idx="169">
                  <c:v>197.04745249999996</c:v>
                </c:pt>
                <c:pt idx="170">
                  <c:v>198.20310124999995</c:v>
                </c:pt>
                <c:pt idx="171">
                  <c:v>199.42310124999997</c:v>
                </c:pt>
                <c:pt idx="172">
                  <c:v>200.60860124999994</c:v>
                </c:pt>
                <c:pt idx="173">
                  <c:v>201.76807374999993</c:v>
                </c:pt>
                <c:pt idx="174">
                  <c:v>202.91466374999987</c:v>
                </c:pt>
                <c:pt idx="175">
                  <c:v>204.06728499999994</c:v>
                </c:pt>
                <c:pt idx="176">
                  <c:v>205.20884249999997</c:v>
                </c:pt>
                <c:pt idx="177">
                  <c:v>206.29455374999984</c:v>
                </c:pt>
                <c:pt idx="178">
                  <c:v>207.38798625000004</c:v>
                </c:pt>
                <c:pt idx="179">
                  <c:v>208.45935875000001</c:v>
                </c:pt>
                <c:pt idx="180">
                  <c:v>209.57623750000005</c:v>
                </c:pt>
                <c:pt idx="181">
                  <c:v>210.72504000000001</c:v>
                </c:pt>
                <c:pt idx="182">
                  <c:v>211.85910749999999</c:v>
                </c:pt>
                <c:pt idx="183">
                  <c:v>213.02262250000001</c:v>
                </c:pt>
                <c:pt idx="184">
                  <c:v>214.15066625</c:v>
                </c:pt>
                <c:pt idx="185">
                  <c:v>215.27224000000001</c:v>
                </c:pt>
                <c:pt idx="186">
                  <c:v>216.34229874999997</c:v>
                </c:pt>
                <c:pt idx="187">
                  <c:v>217.34096124999991</c:v>
                </c:pt>
                <c:pt idx="188">
                  <c:v>218.30061374999985</c:v>
                </c:pt>
                <c:pt idx="189">
                  <c:v>219.25583874999995</c:v>
                </c:pt>
                <c:pt idx="190">
                  <c:v>220.20313374999992</c:v>
                </c:pt>
                <c:pt idx="191">
                  <c:v>221.09987374999992</c:v>
                </c:pt>
                <c:pt idx="192">
                  <c:v>222.10686249999995</c:v>
                </c:pt>
                <c:pt idx="193">
                  <c:v>223.27410249999988</c:v>
                </c:pt>
                <c:pt idx="194">
                  <c:v>224.55838875000003</c:v>
                </c:pt>
                <c:pt idx="195">
                  <c:v>225.88898625000004</c:v>
                </c:pt>
                <c:pt idx="196">
                  <c:v>227.24192499999995</c:v>
                </c:pt>
                <c:pt idx="197">
                  <c:v>228.60138999999995</c:v>
                </c:pt>
                <c:pt idx="198">
                  <c:v>229.95095249999986</c:v>
                </c:pt>
                <c:pt idx="199">
                  <c:v>231.25091874999995</c:v>
                </c:pt>
                <c:pt idx="200">
                  <c:v>232.56833499999993</c:v>
                </c:pt>
                <c:pt idx="201">
                  <c:v>233.93117874999999</c:v>
                </c:pt>
                <c:pt idx="202">
                  <c:v>235.27860624999988</c:v>
                </c:pt>
                <c:pt idx="203">
                  <c:v>236.56307499999983</c:v>
                </c:pt>
                <c:pt idx="204">
                  <c:v>237.9403749999999</c:v>
                </c:pt>
                <c:pt idx="205">
                  <c:v>239.22555749999992</c:v>
                </c:pt>
                <c:pt idx="206">
                  <c:v>240.53617374999993</c:v>
                </c:pt>
                <c:pt idx="207">
                  <c:v>241.87095249999999</c:v>
                </c:pt>
                <c:pt idx="208">
                  <c:v>243.19737124999997</c:v>
                </c:pt>
                <c:pt idx="209">
                  <c:v>244.51460499999988</c:v>
                </c:pt>
                <c:pt idx="210">
                  <c:v>245.850415</c:v>
                </c:pt>
                <c:pt idx="211">
                  <c:v>247.10827</c:v>
                </c:pt>
                <c:pt idx="212">
                  <c:v>248.36968249999998</c:v>
                </c:pt>
                <c:pt idx="213">
                  <c:v>249.60777875000002</c:v>
                </c:pt>
                <c:pt idx="214">
                  <c:v>250.77823375000003</c:v>
                </c:pt>
                <c:pt idx="215">
                  <c:v>251.98770750000008</c:v>
                </c:pt>
                <c:pt idx="216">
                  <c:v>253.1862825</c:v>
                </c:pt>
                <c:pt idx="217">
                  <c:v>254.3580287500001</c:v>
                </c:pt>
                <c:pt idx="218">
                  <c:v>255.50897500000002</c:v>
                </c:pt>
                <c:pt idx="219">
                  <c:v>256.71105749999987</c:v>
                </c:pt>
                <c:pt idx="220">
                  <c:v>258.02763500000003</c:v>
                </c:pt>
                <c:pt idx="221">
                  <c:v>259.2959899999999</c:v>
                </c:pt>
                <c:pt idx="222">
                  <c:v>260.624075</c:v>
                </c:pt>
                <c:pt idx="223">
                  <c:v>262.01293500000003</c:v>
                </c:pt>
              </c:numCache>
            </c:numRef>
          </c:val>
        </c:ser>
        <c:marker val="1"/>
        <c:axId val="218395776"/>
        <c:axId val="218397696"/>
      </c:lineChart>
      <c:dateAx>
        <c:axId val="218395776"/>
        <c:scaling>
          <c:orientation val="minMax"/>
        </c:scaling>
        <c:axPos val="b"/>
        <c:numFmt formatCode="dd/mm/yyyy" sourceLinked="0"/>
        <c:tickLblPos val="nextTo"/>
        <c:spPr>
          <a:ln w="4323">
            <a:solidFill>
              <a:srgbClr val="000000"/>
            </a:solidFill>
            <a:prstDash val="solid"/>
          </a:ln>
        </c:spPr>
        <c:txPr>
          <a:bodyPr rot="-5400000" vert="horz"/>
          <a:lstStyle/>
          <a:p>
            <a:pPr>
              <a:defRPr sz="1089" b="0" i="0" u="none" strike="noStrike" baseline="0">
                <a:solidFill>
                  <a:srgbClr val="000000"/>
                </a:solidFill>
                <a:latin typeface="Arial"/>
                <a:ea typeface="Arial"/>
                <a:cs typeface="Arial"/>
              </a:defRPr>
            </a:pPr>
            <a:endParaRPr lang="es-ES"/>
          </a:p>
        </c:txPr>
        <c:crossAx val="218397696"/>
        <c:crosses val="autoZero"/>
        <c:auto val="1"/>
        <c:lblOffset val="100"/>
        <c:baseTimeUnit val="days"/>
        <c:majorUnit val="4"/>
        <c:majorTimeUnit val="months"/>
        <c:minorUnit val="2"/>
        <c:minorTimeUnit val="months"/>
      </c:dateAx>
      <c:valAx>
        <c:axId val="218397696"/>
        <c:scaling>
          <c:orientation val="minMax"/>
        </c:scaling>
        <c:axPos val="l"/>
        <c:numFmt formatCode="##0.00" sourceLinked="1"/>
        <c:tickLblPos val="nextTo"/>
        <c:spPr>
          <a:ln w="4323">
            <a:solidFill>
              <a:srgbClr val="000000"/>
            </a:solidFill>
            <a:prstDash val="solid"/>
          </a:ln>
        </c:spPr>
        <c:txPr>
          <a:bodyPr rot="0" vert="horz"/>
          <a:lstStyle/>
          <a:p>
            <a:pPr>
              <a:defRPr sz="1089" b="0" i="0" u="none" strike="noStrike" baseline="0">
                <a:solidFill>
                  <a:srgbClr val="000000"/>
                </a:solidFill>
                <a:latin typeface="Arial"/>
                <a:ea typeface="Arial"/>
                <a:cs typeface="Arial"/>
              </a:defRPr>
            </a:pPr>
            <a:endParaRPr lang="es-ES"/>
          </a:p>
        </c:txPr>
        <c:crossAx val="218395776"/>
        <c:crosses val="autoZero"/>
        <c:crossBetween val="between"/>
      </c:valAx>
      <c:spPr>
        <a:solidFill>
          <a:srgbClr val="C0C0C0"/>
        </a:solidFill>
        <a:ln w="17292">
          <a:solidFill>
            <a:srgbClr val="808080"/>
          </a:solidFill>
          <a:prstDash val="solid"/>
        </a:ln>
      </c:spPr>
    </c:plotArea>
    <c:legend>
      <c:legendPos val="t"/>
      <c:layout>
        <c:manualLayout>
          <c:xMode val="edge"/>
          <c:yMode val="edge"/>
          <c:x val="1.0554089709762541E-2"/>
          <c:y val="2.5641025641025654E-2"/>
          <c:w val="0.14248021108179426"/>
          <c:h val="0.13846153846153852"/>
        </c:manualLayout>
      </c:layout>
      <c:spPr>
        <a:solidFill>
          <a:srgbClr val="C0C0C0"/>
        </a:solidFill>
        <a:ln w="4323">
          <a:solidFill>
            <a:srgbClr val="000000"/>
          </a:solidFill>
          <a:prstDash val="solid"/>
        </a:ln>
      </c:spPr>
      <c:txPr>
        <a:bodyPr/>
        <a:lstStyle/>
        <a:p>
          <a:pPr>
            <a:defRPr sz="68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4323">
      <a:solidFill>
        <a:srgbClr val="000000"/>
      </a:solidFill>
      <a:prstDash val="solid"/>
    </a:ln>
  </c:spPr>
  <c:txPr>
    <a:bodyPr/>
    <a:lstStyle/>
    <a:p>
      <a:pPr>
        <a:defRPr sz="1123"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34" b="1" i="0" u="none" strike="noStrike" baseline="0">
                <a:solidFill>
                  <a:srgbClr val="000000"/>
                </a:solidFill>
                <a:latin typeface="Arial"/>
                <a:ea typeface="Arial"/>
                <a:cs typeface="Arial"/>
              </a:defRPr>
            </a:pPr>
            <a:r>
              <a:t>TRADING RANGE BREAK-OUT ECUINDEX</a:t>
            </a:r>
          </a:p>
        </c:rich>
      </c:tx>
      <c:layout>
        <c:manualLayout>
          <c:xMode val="edge"/>
          <c:yMode val="edge"/>
          <c:x val="0.32842105263157895"/>
          <c:y val="0"/>
        </c:manualLayout>
      </c:layout>
      <c:spPr>
        <a:noFill/>
        <a:ln w="28398">
          <a:noFill/>
        </a:ln>
      </c:spPr>
    </c:title>
    <c:plotArea>
      <c:layout>
        <c:manualLayout>
          <c:layoutTarget val="inner"/>
          <c:xMode val="edge"/>
          <c:yMode val="edge"/>
          <c:x val="3.5789473684210552E-2"/>
          <c:y val="0.40358744394618834"/>
          <c:w val="0.95789473684210547"/>
          <c:h val="0.5022421524663675"/>
        </c:manualLayout>
      </c:layout>
      <c:lineChart>
        <c:grouping val="standard"/>
        <c:ser>
          <c:idx val="0"/>
          <c:order val="0"/>
          <c:tx>
            <c:strRef>
              <c:f>'ECUINDEXTRBO +-'!$F$11</c:f>
              <c:strCache>
                <c:ptCount val="1"/>
                <c:pt idx="0">
                  <c:v>Max</c:v>
                </c:pt>
              </c:strCache>
            </c:strRef>
          </c:tx>
          <c:spPr>
            <a:ln w="14199">
              <a:pattFill prst="pct75">
                <a:fgClr>
                  <a:srgbClr val="000080"/>
                </a:fgClr>
                <a:bgClr>
                  <a:srgbClr val="FFFFFF"/>
                </a:bgClr>
              </a:pattFill>
              <a:prstDash val="solid"/>
            </a:ln>
          </c:spPr>
          <c:marker>
            <c:symbol val="square"/>
            <c:size val="2"/>
            <c:spPr>
              <a:noFill/>
              <a:ln>
                <a:solidFill>
                  <a:srgbClr val="000080"/>
                </a:solidFill>
                <a:prstDash val="solid"/>
              </a:ln>
            </c:spPr>
          </c:marker>
          <c:cat>
            <c:numRef>
              <c:f>'ECUINDEXTRBO +-'!$D$12:$D$269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'ECUINDEXTRBO +-'!$F$61:$F$269</c:f>
              <c:numCache>
                <c:formatCode>##0.00</c:formatCode>
                <c:ptCount val="209"/>
                <c:pt idx="1">
                  <c:v>480.01</c:v>
                </c:pt>
                <c:pt idx="2">
                  <c:v>480.01</c:v>
                </c:pt>
                <c:pt idx="3">
                  <c:v>480.01</c:v>
                </c:pt>
                <c:pt idx="4">
                  <c:v>482.2</c:v>
                </c:pt>
                <c:pt idx="5">
                  <c:v>482.2</c:v>
                </c:pt>
                <c:pt idx="6">
                  <c:v>495.28</c:v>
                </c:pt>
                <c:pt idx="7">
                  <c:v>505.85</c:v>
                </c:pt>
                <c:pt idx="8">
                  <c:v>505.85</c:v>
                </c:pt>
                <c:pt idx="9">
                  <c:v>505.85</c:v>
                </c:pt>
                <c:pt idx="10">
                  <c:v>505.85</c:v>
                </c:pt>
                <c:pt idx="11">
                  <c:v>505.85</c:v>
                </c:pt>
                <c:pt idx="12">
                  <c:v>505.85</c:v>
                </c:pt>
                <c:pt idx="13">
                  <c:v>505.85</c:v>
                </c:pt>
                <c:pt idx="14">
                  <c:v>505.85</c:v>
                </c:pt>
                <c:pt idx="15">
                  <c:v>505.85</c:v>
                </c:pt>
                <c:pt idx="16">
                  <c:v>505.85</c:v>
                </c:pt>
                <c:pt idx="17">
                  <c:v>517.91</c:v>
                </c:pt>
                <c:pt idx="18">
                  <c:v>517.91</c:v>
                </c:pt>
                <c:pt idx="19">
                  <c:v>517.91</c:v>
                </c:pt>
                <c:pt idx="20">
                  <c:v>517.91</c:v>
                </c:pt>
                <c:pt idx="21">
                  <c:v>517.91</c:v>
                </c:pt>
                <c:pt idx="22">
                  <c:v>517.91</c:v>
                </c:pt>
                <c:pt idx="23">
                  <c:v>517.91</c:v>
                </c:pt>
                <c:pt idx="24">
                  <c:v>517.91</c:v>
                </c:pt>
                <c:pt idx="25">
                  <c:v>517.91</c:v>
                </c:pt>
                <c:pt idx="26">
                  <c:v>517.91</c:v>
                </c:pt>
                <c:pt idx="27">
                  <c:v>517.91</c:v>
                </c:pt>
                <c:pt idx="28">
                  <c:v>517.91</c:v>
                </c:pt>
                <c:pt idx="29">
                  <c:v>517.91</c:v>
                </c:pt>
                <c:pt idx="30">
                  <c:v>517.91</c:v>
                </c:pt>
                <c:pt idx="31">
                  <c:v>517.91</c:v>
                </c:pt>
                <c:pt idx="32">
                  <c:v>517.91</c:v>
                </c:pt>
                <c:pt idx="33">
                  <c:v>517.91</c:v>
                </c:pt>
                <c:pt idx="34">
                  <c:v>517.91</c:v>
                </c:pt>
                <c:pt idx="35">
                  <c:v>517.91</c:v>
                </c:pt>
                <c:pt idx="36">
                  <c:v>517.91</c:v>
                </c:pt>
                <c:pt idx="37">
                  <c:v>571.47</c:v>
                </c:pt>
                <c:pt idx="38">
                  <c:v>571.47</c:v>
                </c:pt>
                <c:pt idx="39">
                  <c:v>571.47</c:v>
                </c:pt>
                <c:pt idx="40">
                  <c:v>571.47</c:v>
                </c:pt>
                <c:pt idx="41">
                  <c:v>571.47</c:v>
                </c:pt>
                <c:pt idx="42">
                  <c:v>652.77000000000021</c:v>
                </c:pt>
                <c:pt idx="43">
                  <c:v>652.77000000000021</c:v>
                </c:pt>
                <c:pt idx="44">
                  <c:v>652.77000000000021</c:v>
                </c:pt>
                <c:pt idx="45">
                  <c:v>652.77000000000021</c:v>
                </c:pt>
                <c:pt idx="46">
                  <c:v>652.77000000000021</c:v>
                </c:pt>
                <c:pt idx="47">
                  <c:v>652.77000000000021</c:v>
                </c:pt>
                <c:pt idx="48">
                  <c:v>652.77000000000021</c:v>
                </c:pt>
                <c:pt idx="49">
                  <c:v>652.77000000000021</c:v>
                </c:pt>
                <c:pt idx="50">
                  <c:v>652.77000000000021</c:v>
                </c:pt>
                <c:pt idx="51">
                  <c:v>652.77000000000021</c:v>
                </c:pt>
                <c:pt idx="52">
                  <c:v>652.77000000000021</c:v>
                </c:pt>
                <c:pt idx="53">
                  <c:v>652.77000000000021</c:v>
                </c:pt>
                <c:pt idx="54">
                  <c:v>652.77000000000021</c:v>
                </c:pt>
                <c:pt idx="55">
                  <c:v>652.77000000000021</c:v>
                </c:pt>
                <c:pt idx="56">
                  <c:v>652.77000000000021</c:v>
                </c:pt>
                <c:pt idx="57">
                  <c:v>652.77000000000021</c:v>
                </c:pt>
                <c:pt idx="58">
                  <c:v>652.77000000000021</c:v>
                </c:pt>
                <c:pt idx="59">
                  <c:v>653.77000000000021</c:v>
                </c:pt>
                <c:pt idx="60">
                  <c:v>653.77000000000021</c:v>
                </c:pt>
                <c:pt idx="61">
                  <c:v>653.77000000000021</c:v>
                </c:pt>
                <c:pt idx="62">
                  <c:v>653.77000000000021</c:v>
                </c:pt>
                <c:pt idx="63">
                  <c:v>653.77000000000021</c:v>
                </c:pt>
                <c:pt idx="64">
                  <c:v>653.77000000000021</c:v>
                </c:pt>
                <c:pt idx="65">
                  <c:v>653.77000000000021</c:v>
                </c:pt>
                <c:pt idx="66">
                  <c:v>653.77000000000021</c:v>
                </c:pt>
                <c:pt idx="67">
                  <c:v>653.77000000000021</c:v>
                </c:pt>
                <c:pt idx="68">
                  <c:v>653.77000000000021</c:v>
                </c:pt>
                <c:pt idx="69">
                  <c:v>653.77000000000021</c:v>
                </c:pt>
                <c:pt idx="70">
                  <c:v>653.77000000000021</c:v>
                </c:pt>
                <c:pt idx="71">
                  <c:v>653.77000000000021</c:v>
                </c:pt>
                <c:pt idx="72">
                  <c:v>653.77000000000021</c:v>
                </c:pt>
                <c:pt idx="73">
                  <c:v>653.77000000000021</c:v>
                </c:pt>
                <c:pt idx="74">
                  <c:v>653.77000000000021</c:v>
                </c:pt>
                <c:pt idx="75">
                  <c:v>653.77000000000021</c:v>
                </c:pt>
                <c:pt idx="76">
                  <c:v>653.77000000000021</c:v>
                </c:pt>
                <c:pt idx="77">
                  <c:v>653.77000000000021</c:v>
                </c:pt>
                <c:pt idx="78">
                  <c:v>653.77000000000021</c:v>
                </c:pt>
                <c:pt idx="79">
                  <c:v>653.77000000000021</c:v>
                </c:pt>
                <c:pt idx="80">
                  <c:v>653.77000000000021</c:v>
                </c:pt>
                <c:pt idx="81">
                  <c:v>653.77000000000021</c:v>
                </c:pt>
                <c:pt idx="82">
                  <c:v>653.77000000000021</c:v>
                </c:pt>
                <c:pt idx="83">
                  <c:v>653.77000000000021</c:v>
                </c:pt>
                <c:pt idx="84">
                  <c:v>653.77000000000021</c:v>
                </c:pt>
                <c:pt idx="85">
                  <c:v>653.77000000000021</c:v>
                </c:pt>
                <c:pt idx="86">
                  <c:v>656.49</c:v>
                </c:pt>
                <c:pt idx="87">
                  <c:v>669.54</c:v>
                </c:pt>
                <c:pt idx="88">
                  <c:v>672.63</c:v>
                </c:pt>
                <c:pt idx="89">
                  <c:v>672.63</c:v>
                </c:pt>
                <c:pt idx="90">
                  <c:v>672.63</c:v>
                </c:pt>
                <c:pt idx="91">
                  <c:v>676.92</c:v>
                </c:pt>
                <c:pt idx="92">
                  <c:v>720.8</c:v>
                </c:pt>
                <c:pt idx="93">
                  <c:v>783.38</c:v>
                </c:pt>
                <c:pt idx="94">
                  <c:v>818.44999999999982</c:v>
                </c:pt>
                <c:pt idx="95">
                  <c:v>846.57</c:v>
                </c:pt>
                <c:pt idx="96">
                  <c:v>892.52</c:v>
                </c:pt>
                <c:pt idx="97">
                  <c:v>941.24</c:v>
                </c:pt>
                <c:pt idx="98">
                  <c:v>941.24</c:v>
                </c:pt>
                <c:pt idx="99">
                  <c:v>941.24</c:v>
                </c:pt>
                <c:pt idx="100">
                  <c:v>941.24</c:v>
                </c:pt>
                <c:pt idx="101">
                  <c:v>941.24</c:v>
                </c:pt>
                <c:pt idx="102">
                  <c:v>941.24</c:v>
                </c:pt>
                <c:pt idx="103">
                  <c:v>941.24</c:v>
                </c:pt>
                <c:pt idx="104">
                  <c:v>941.24</c:v>
                </c:pt>
                <c:pt idx="105">
                  <c:v>941.24</c:v>
                </c:pt>
                <c:pt idx="106">
                  <c:v>941.24</c:v>
                </c:pt>
                <c:pt idx="107">
                  <c:v>941.24</c:v>
                </c:pt>
                <c:pt idx="108">
                  <c:v>941.24</c:v>
                </c:pt>
                <c:pt idx="109">
                  <c:v>941.24</c:v>
                </c:pt>
                <c:pt idx="110">
                  <c:v>941.24</c:v>
                </c:pt>
                <c:pt idx="111">
                  <c:v>941.24</c:v>
                </c:pt>
                <c:pt idx="112">
                  <c:v>941.24</c:v>
                </c:pt>
                <c:pt idx="113">
                  <c:v>941.24</c:v>
                </c:pt>
                <c:pt idx="114">
                  <c:v>941.24</c:v>
                </c:pt>
                <c:pt idx="115">
                  <c:v>941.24</c:v>
                </c:pt>
                <c:pt idx="116">
                  <c:v>941.24</c:v>
                </c:pt>
                <c:pt idx="117">
                  <c:v>941.24</c:v>
                </c:pt>
                <c:pt idx="118">
                  <c:v>941.24</c:v>
                </c:pt>
                <c:pt idx="119">
                  <c:v>941.24</c:v>
                </c:pt>
                <c:pt idx="120">
                  <c:v>941.24</c:v>
                </c:pt>
                <c:pt idx="121">
                  <c:v>941.24</c:v>
                </c:pt>
                <c:pt idx="122">
                  <c:v>941.24</c:v>
                </c:pt>
                <c:pt idx="123">
                  <c:v>941.24</c:v>
                </c:pt>
                <c:pt idx="124">
                  <c:v>941.24</c:v>
                </c:pt>
                <c:pt idx="125">
                  <c:v>941.24</c:v>
                </c:pt>
                <c:pt idx="126">
                  <c:v>941.24</c:v>
                </c:pt>
                <c:pt idx="127">
                  <c:v>941.24</c:v>
                </c:pt>
                <c:pt idx="128">
                  <c:v>941.24</c:v>
                </c:pt>
                <c:pt idx="129">
                  <c:v>941.24</c:v>
                </c:pt>
                <c:pt idx="130">
                  <c:v>941.24</c:v>
                </c:pt>
                <c:pt idx="131">
                  <c:v>941.24</c:v>
                </c:pt>
                <c:pt idx="132">
                  <c:v>941.24</c:v>
                </c:pt>
                <c:pt idx="133">
                  <c:v>941.24</c:v>
                </c:pt>
                <c:pt idx="134">
                  <c:v>941.24</c:v>
                </c:pt>
                <c:pt idx="135">
                  <c:v>941.24</c:v>
                </c:pt>
                <c:pt idx="136">
                  <c:v>941.24</c:v>
                </c:pt>
                <c:pt idx="137">
                  <c:v>941.24</c:v>
                </c:pt>
                <c:pt idx="138">
                  <c:v>941.24</c:v>
                </c:pt>
                <c:pt idx="139">
                  <c:v>941.24</c:v>
                </c:pt>
                <c:pt idx="140">
                  <c:v>941.24</c:v>
                </c:pt>
                <c:pt idx="141">
                  <c:v>941.24</c:v>
                </c:pt>
                <c:pt idx="142">
                  <c:v>941.24</c:v>
                </c:pt>
                <c:pt idx="143">
                  <c:v>941.24</c:v>
                </c:pt>
                <c:pt idx="144">
                  <c:v>941.24</c:v>
                </c:pt>
                <c:pt idx="145">
                  <c:v>941.24</c:v>
                </c:pt>
                <c:pt idx="146">
                  <c:v>941.24</c:v>
                </c:pt>
                <c:pt idx="147">
                  <c:v>926.13</c:v>
                </c:pt>
                <c:pt idx="148">
                  <c:v>921.29000000000019</c:v>
                </c:pt>
                <c:pt idx="149">
                  <c:v>921.29000000000019</c:v>
                </c:pt>
                <c:pt idx="150">
                  <c:v>921.29000000000019</c:v>
                </c:pt>
                <c:pt idx="151">
                  <c:v>921.29000000000019</c:v>
                </c:pt>
                <c:pt idx="152">
                  <c:v>921.29000000000019</c:v>
                </c:pt>
                <c:pt idx="153">
                  <c:v>921.29000000000019</c:v>
                </c:pt>
                <c:pt idx="154">
                  <c:v>921.52</c:v>
                </c:pt>
                <c:pt idx="155">
                  <c:v>944.8499999999998</c:v>
                </c:pt>
                <c:pt idx="156">
                  <c:v>944.8499999999998</c:v>
                </c:pt>
                <c:pt idx="157">
                  <c:v>944.8499999999998</c:v>
                </c:pt>
                <c:pt idx="158">
                  <c:v>944.8499999999998</c:v>
                </c:pt>
                <c:pt idx="159">
                  <c:v>944.8499999999998</c:v>
                </c:pt>
                <c:pt idx="160">
                  <c:v>944.8499999999998</c:v>
                </c:pt>
                <c:pt idx="161">
                  <c:v>947.75</c:v>
                </c:pt>
                <c:pt idx="162">
                  <c:v>947.75</c:v>
                </c:pt>
                <c:pt idx="163">
                  <c:v>947.75</c:v>
                </c:pt>
                <c:pt idx="164">
                  <c:v>950.22</c:v>
                </c:pt>
                <c:pt idx="165">
                  <c:v>953.17000000000019</c:v>
                </c:pt>
                <c:pt idx="166">
                  <c:v>972.7</c:v>
                </c:pt>
                <c:pt idx="167">
                  <c:v>990.27000000000021</c:v>
                </c:pt>
                <c:pt idx="168">
                  <c:v>990.5</c:v>
                </c:pt>
                <c:pt idx="169">
                  <c:v>990.55</c:v>
                </c:pt>
                <c:pt idx="170">
                  <c:v>991.25</c:v>
                </c:pt>
                <c:pt idx="171">
                  <c:v>993.58</c:v>
                </c:pt>
                <c:pt idx="172">
                  <c:v>998.8499999999998</c:v>
                </c:pt>
                <c:pt idx="173">
                  <c:v>998.8499999999998</c:v>
                </c:pt>
                <c:pt idx="174">
                  <c:v>999.09</c:v>
                </c:pt>
                <c:pt idx="175">
                  <c:v>999.09</c:v>
                </c:pt>
                <c:pt idx="176">
                  <c:v>999.09</c:v>
                </c:pt>
                <c:pt idx="177">
                  <c:v>1009.7800000000002</c:v>
                </c:pt>
                <c:pt idx="178">
                  <c:v>1024.48</c:v>
                </c:pt>
                <c:pt idx="179">
                  <c:v>1042.24</c:v>
                </c:pt>
                <c:pt idx="180">
                  <c:v>1065.83</c:v>
                </c:pt>
                <c:pt idx="181">
                  <c:v>1070.3799999999999</c:v>
                </c:pt>
                <c:pt idx="182">
                  <c:v>1072.6199999999999</c:v>
                </c:pt>
                <c:pt idx="183">
                  <c:v>1078.6499999999999</c:v>
                </c:pt>
                <c:pt idx="184">
                  <c:v>1078.6499999999999</c:v>
                </c:pt>
                <c:pt idx="185">
                  <c:v>1078.6499999999999</c:v>
                </c:pt>
                <c:pt idx="186">
                  <c:v>1081.9000000000001</c:v>
                </c:pt>
                <c:pt idx="187">
                  <c:v>1103.46</c:v>
                </c:pt>
                <c:pt idx="188">
                  <c:v>1103.46</c:v>
                </c:pt>
                <c:pt idx="189">
                  <c:v>1103.46</c:v>
                </c:pt>
                <c:pt idx="190">
                  <c:v>1103.46</c:v>
                </c:pt>
                <c:pt idx="191">
                  <c:v>1103.46</c:v>
                </c:pt>
                <c:pt idx="192">
                  <c:v>1103.46</c:v>
                </c:pt>
                <c:pt idx="193">
                  <c:v>1103.46</c:v>
                </c:pt>
                <c:pt idx="194">
                  <c:v>1103.46</c:v>
                </c:pt>
                <c:pt idx="195">
                  <c:v>1103.46</c:v>
                </c:pt>
                <c:pt idx="196">
                  <c:v>1103.46</c:v>
                </c:pt>
                <c:pt idx="197">
                  <c:v>1103.46</c:v>
                </c:pt>
                <c:pt idx="198">
                  <c:v>1103.46</c:v>
                </c:pt>
                <c:pt idx="199">
                  <c:v>1103.46</c:v>
                </c:pt>
                <c:pt idx="200">
                  <c:v>1103.46</c:v>
                </c:pt>
                <c:pt idx="201">
                  <c:v>1103.46</c:v>
                </c:pt>
                <c:pt idx="202">
                  <c:v>1103.46</c:v>
                </c:pt>
                <c:pt idx="203">
                  <c:v>1103.46</c:v>
                </c:pt>
                <c:pt idx="204">
                  <c:v>1103.46</c:v>
                </c:pt>
                <c:pt idx="205">
                  <c:v>1109.27</c:v>
                </c:pt>
                <c:pt idx="206">
                  <c:v>1115.04</c:v>
                </c:pt>
                <c:pt idx="207">
                  <c:v>1130.79</c:v>
                </c:pt>
                <c:pt idx="208">
                  <c:v>1147.3799999999999</c:v>
                </c:pt>
              </c:numCache>
            </c:numRef>
          </c:val>
        </c:ser>
        <c:ser>
          <c:idx val="1"/>
          <c:order val="1"/>
          <c:tx>
            <c:strRef>
              <c:f>'ECUINDEXTRBO +-'!$G$11</c:f>
              <c:strCache>
                <c:ptCount val="1"/>
                <c:pt idx="0">
                  <c:v>Min</c:v>
                </c:pt>
              </c:strCache>
            </c:strRef>
          </c:tx>
          <c:spPr>
            <a:ln w="14199">
              <a:solidFill>
                <a:srgbClr val="FF00FF"/>
              </a:solidFill>
              <a:prstDash val="lgDash"/>
            </a:ln>
          </c:spPr>
          <c:marker>
            <c:symbol val="square"/>
            <c:size val="2"/>
            <c:spPr>
              <a:noFill/>
              <a:ln>
                <a:solidFill>
                  <a:srgbClr val="FFFFFF"/>
                </a:solidFill>
                <a:prstDash val="solid"/>
              </a:ln>
            </c:spPr>
          </c:marker>
          <c:cat>
            <c:numRef>
              <c:f>'ECUINDEXTRBO +-'!$D$12:$D$269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'ECUINDEXTRBO +-'!$G$61:$G$269</c:f>
              <c:numCache>
                <c:formatCode>##0.00</c:formatCode>
                <c:ptCount val="209"/>
                <c:pt idx="1">
                  <c:v>288.4899999999999</c:v>
                </c:pt>
                <c:pt idx="2">
                  <c:v>288.4899999999999</c:v>
                </c:pt>
                <c:pt idx="3">
                  <c:v>288.4899999999999</c:v>
                </c:pt>
                <c:pt idx="4">
                  <c:v>288.4899999999999</c:v>
                </c:pt>
                <c:pt idx="5">
                  <c:v>288.4899999999999</c:v>
                </c:pt>
                <c:pt idx="6">
                  <c:v>288.4899999999999</c:v>
                </c:pt>
                <c:pt idx="7">
                  <c:v>288.4899999999999</c:v>
                </c:pt>
                <c:pt idx="8">
                  <c:v>288.4899999999999</c:v>
                </c:pt>
                <c:pt idx="9">
                  <c:v>288.4899999999999</c:v>
                </c:pt>
                <c:pt idx="10">
                  <c:v>288.4899999999999</c:v>
                </c:pt>
                <c:pt idx="11">
                  <c:v>288.4899999999999</c:v>
                </c:pt>
                <c:pt idx="12">
                  <c:v>288.4899999999999</c:v>
                </c:pt>
                <c:pt idx="13">
                  <c:v>288.4899999999999</c:v>
                </c:pt>
                <c:pt idx="14">
                  <c:v>288.4899999999999</c:v>
                </c:pt>
                <c:pt idx="15">
                  <c:v>288.4899999999999</c:v>
                </c:pt>
                <c:pt idx="16">
                  <c:v>288.4899999999999</c:v>
                </c:pt>
                <c:pt idx="17">
                  <c:v>288.4899999999999</c:v>
                </c:pt>
                <c:pt idx="18">
                  <c:v>288.4899999999999</c:v>
                </c:pt>
                <c:pt idx="19">
                  <c:v>288.4899999999999</c:v>
                </c:pt>
                <c:pt idx="20">
                  <c:v>288.4899999999999</c:v>
                </c:pt>
                <c:pt idx="21">
                  <c:v>293.22000000000003</c:v>
                </c:pt>
                <c:pt idx="22">
                  <c:v>293.22000000000003</c:v>
                </c:pt>
                <c:pt idx="23">
                  <c:v>293.22000000000003</c:v>
                </c:pt>
                <c:pt idx="24">
                  <c:v>293.22000000000003</c:v>
                </c:pt>
                <c:pt idx="25">
                  <c:v>293.22000000000003</c:v>
                </c:pt>
                <c:pt idx="26">
                  <c:v>293.22000000000003</c:v>
                </c:pt>
                <c:pt idx="27">
                  <c:v>305.39</c:v>
                </c:pt>
                <c:pt idx="28">
                  <c:v>305.39</c:v>
                </c:pt>
                <c:pt idx="29">
                  <c:v>305.39</c:v>
                </c:pt>
                <c:pt idx="30">
                  <c:v>305.39</c:v>
                </c:pt>
                <c:pt idx="31">
                  <c:v>342.37</c:v>
                </c:pt>
                <c:pt idx="32">
                  <c:v>342.37</c:v>
                </c:pt>
                <c:pt idx="33">
                  <c:v>384.4899999999999</c:v>
                </c:pt>
                <c:pt idx="34">
                  <c:v>436.46999999999991</c:v>
                </c:pt>
                <c:pt idx="35">
                  <c:v>436.46999999999991</c:v>
                </c:pt>
                <c:pt idx="36">
                  <c:v>436.46999999999991</c:v>
                </c:pt>
                <c:pt idx="37">
                  <c:v>436.46999999999991</c:v>
                </c:pt>
                <c:pt idx="38">
                  <c:v>436.46999999999991</c:v>
                </c:pt>
                <c:pt idx="39">
                  <c:v>436.46999999999991</c:v>
                </c:pt>
                <c:pt idx="40">
                  <c:v>436.46999999999991</c:v>
                </c:pt>
                <c:pt idx="41">
                  <c:v>436.46999999999991</c:v>
                </c:pt>
                <c:pt idx="42">
                  <c:v>436.46999999999991</c:v>
                </c:pt>
                <c:pt idx="43">
                  <c:v>436.46999999999991</c:v>
                </c:pt>
                <c:pt idx="44">
                  <c:v>436.46999999999991</c:v>
                </c:pt>
                <c:pt idx="45">
                  <c:v>436.46999999999991</c:v>
                </c:pt>
                <c:pt idx="46">
                  <c:v>436.46999999999991</c:v>
                </c:pt>
                <c:pt idx="47">
                  <c:v>436.46999999999991</c:v>
                </c:pt>
                <c:pt idx="48">
                  <c:v>444.76</c:v>
                </c:pt>
                <c:pt idx="49">
                  <c:v>444.76</c:v>
                </c:pt>
                <c:pt idx="50">
                  <c:v>444.76</c:v>
                </c:pt>
                <c:pt idx="51">
                  <c:v>444.76</c:v>
                </c:pt>
                <c:pt idx="52">
                  <c:v>444.76</c:v>
                </c:pt>
                <c:pt idx="53">
                  <c:v>444.76</c:v>
                </c:pt>
                <c:pt idx="54">
                  <c:v>444.76</c:v>
                </c:pt>
                <c:pt idx="55">
                  <c:v>444.76</c:v>
                </c:pt>
                <c:pt idx="56">
                  <c:v>444.76</c:v>
                </c:pt>
                <c:pt idx="57">
                  <c:v>444.76</c:v>
                </c:pt>
                <c:pt idx="58">
                  <c:v>444.76</c:v>
                </c:pt>
                <c:pt idx="59">
                  <c:v>444.76</c:v>
                </c:pt>
                <c:pt idx="60">
                  <c:v>444.76</c:v>
                </c:pt>
                <c:pt idx="61">
                  <c:v>444.76</c:v>
                </c:pt>
                <c:pt idx="62">
                  <c:v>444.76</c:v>
                </c:pt>
                <c:pt idx="63">
                  <c:v>444.76</c:v>
                </c:pt>
                <c:pt idx="64">
                  <c:v>444.76</c:v>
                </c:pt>
                <c:pt idx="65">
                  <c:v>444.76</c:v>
                </c:pt>
                <c:pt idx="66">
                  <c:v>444.76</c:v>
                </c:pt>
                <c:pt idx="67">
                  <c:v>444.76</c:v>
                </c:pt>
                <c:pt idx="68">
                  <c:v>444.76</c:v>
                </c:pt>
                <c:pt idx="69">
                  <c:v>444.76</c:v>
                </c:pt>
                <c:pt idx="70">
                  <c:v>445.51</c:v>
                </c:pt>
                <c:pt idx="71">
                  <c:v>445.57</c:v>
                </c:pt>
                <c:pt idx="72">
                  <c:v>454.59</c:v>
                </c:pt>
                <c:pt idx="73">
                  <c:v>461.28999999999991</c:v>
                </c:pt>
                <c:pt idx="74">
                  <c:v>462.78</c:v>
                </c:pt>
                <c:pt idx="75">
                  <c:v>462.78</c:v>
                </c:pt>
                <c:pt idx="76">
                  <c:v>468.07</c:v>
                </c:pt>
                <c:pt idx="77">
                  <c:v>468.07</c:v>
                </c:pt>
                <c:pt idx="78">
                  <c:v>468.07</c:v>
                </c:pt>
                <c:pt idx="79">
                  <c:v>468.07</c:v>
                </c:pt>
                <c:pt idx="80">
                  <c:v>468.07</c:v>
                </c:pt>
                <c:pt idx="81">
                  <c:v>468.07</c:v>
                </c:pt>
                <c:pt idx="82">
                  <c:v>468.07</c:v>
                </c:pt>
                <c:pt idx="83">
                  <c:v>468.07</c:v>
                </c:pt>
                <c:pt idx="84">
                  <c:v>468.07</c:v>
                </c:pt>
                <c:pt idx="85">
                  <c:v>468.07</c:v>
                </c:pt>
                <c:pt idx="86">
                  <c:v>468.07</c:v>
                </c:pt>
                <c:pt idx="87">
                  <c:v>468.07</c:v>
                </c:pt>
                <c:pt idx="88">
                  <c:v>468.07</c:v>
                </c:pt>
                <c:pt idx="89">
                  <c:v>468.07</c:v>
                </c:pt>
                <c:pt idx="90">
                  <c:v>468.07</c:v>
                </c:pt>
                <c:pt idx="91">
                  <c:v>468.07</c:v>
                </c:pt>
                <c:pt idx="92">
                  <c:v>468.07</c:v>
                </c:pt>
                <c:pt idx="93">
                  <c:v>468.07</c:v>
                </c:pt>
                <c:pt idx="94">
                  <c:v>468.07</c:v>
                </c:pt>
                <c:pt idx="95">
                  <c:v>468.07</c:v>
                </c:pt>
                <c:pt idx="96">
                  <c:v>468.07</c:v>
                </c:pt>
                <c:pt idx="97">
                  <c:v>468.07</c:v>
                </c:pt>
                <c:pt idx="98">
                  <c:v>468.07</c:v>
                </c:pt>
                <c:pt idx="99">
                  <c:v>468.07</c:v>
                </c:pt>
                <c:pt idx="100">
                  <c:v>468.07</c:v>
                </c:pt>
                <c:pt idx="101">
                  <c:v>468.07</c:v>
                </c:pt>
                <c:pt idx="102">
                  <c:v>468.07</c:v>
                </c:pt>
                <c:pt idx="103">
                  <c:v>468.07</c:v>
                </c:pt>
                <c:pt idx="104">
                  <c:v>468.07</c:v>
                </c:pt>
                <c:pt idx="105">
                  <c:v>468.07</c:v>
                </c:pt>
                <c:pt idx="106">
                  <c:v>468.07</c:v>
                </c:pt>
                <c:pt idx="107">
                  <c:v>468.07</c:v>
                </c:pt>
                <c:pt idx="108">
                  <c:v>468.07</c:v>
                </c:pt>
                <c:pt idx="109">
                  <c:v>468.07</c:v>
                </c:pt>
                <c:pt idx="110">
                  <c:v>468.07</c:v>
                </c:pt>
                <c:pt idx="111">
                  <c:v>468.07</c:v>
                </c:pt>
                <c:pt idx="112">
                  <c:v>468.07</c:v>
                </c:pt>
                <c:pt idx="113">
                  <c:v>468.07</c:v>
                </c:pt>
                <c:pt idx="114">
                  <c:v>468.07</c:v>
                </c:pt>
                <c:pt idx="115">
                  <c:v>468.07</c:v>
                </c:pt>
                <c:pt idx="116">
                  <c:v>468.07</c:v>
                </c:pt>
                <c:pt idx="117">
                  <c:v>468.07</c:v>
                </c:pt>
                <c:pt idx="118">
                  <c:v>468.07</c:v>
                </c:pt>
                <c:pt idx="119">
                  <c:v>468.07</c:v>
                </c:pt>
                <c:pt idx="120">
                  <c:v>468.07</c:v>
                </c:pt>
                <c:pt idx="121">
                  <c:v>468.07</c:v>
                </c:pt>
                <c:pt idx="122">
                  <c:v>468.07</c:v>
                </c:pt>
                <c:pt idx="123">
                  <c:v>536.48</c:v>
                </c:pt>
                <c:pt idx="124">
                  <c:v>563.67999999999995</c:v>
                </c:pt>
                <c:pt idx="125">
                  <c:v>563.67999999999995</c:v>
                </c:pt>
                <c:pt idx="126">
                  <c:v>563.67999999999995</c:v>
                </c:pt>
                <c:pt idx="127">
                  <c:v>563.67999999999995</c:v>
                </c:pt>
                <c:pt idx="128">
                  <c:v>565.13</c:v>
                </c:pt>
                <c:pt idx="129">
                  <c:v>589.91</c:v>
                </c:pt>
                <c:pt idx="130">
                  <c:v>589.91</c:v>
                </c:pt>
                <c:pt idx="131">
                  <c:v>589.91</c:v>
                </c:pt>
                <c:pt idx="132">
                  <c:v>625.67999999999995</c:v>
                </c:pt>
                <c:pt idx="133">
                  <c:v>638.8399999999998</c:v>
                </c:pt>
                <c:pt idx="134">
                  <c:v>652</c:v>
                </c:pt>
                <c:pt idx="135">
                  <c:v>656.49</c:v>
                </c:pt>
                <c:pt idx="136">
                  <c:v>666.55</c:v>
                </c:pt>
                <c:pt idx="137">
                  <c:v>666.55</c:v>
                </c:pt>
                <c:pt idx="138">
                  <c:v>666.55</c:v>
                </c:pt>
                <c:pt idx="139">
                  <c:v>672.25</c:v>
                </c:pt>
                <c:pt idx="140">
                  <c:v>676.92</c:v>
                </c:pt>
                <c:pt idx="141">
                  <c:v>720.8</c:v>
                </c:pt>
                <c:pt idx="142">
                  <c:v>783.38</c:v>
                </c:pt>
                <c:pt idx="143">
                  <c:v>811.98</c:v>
                </c:pt>
                <c:pt idx="144">
                  <c:v>811.98</c:v>
                </c:pt>
                <c:pt idx="145">
                  <c:v>811.98</c:v>
                </c:pt>
                <c:pt idx="146">
                  <c:v>811.98</c:v>
                </c:pt>
                <c:pt idx="147">
                  <c:v>811.98</c:v>
                </c:pt>
                <c:pt idx="148">
                  <c:v>811.98</c:v>
                </c:pt>
                <c:pt idx="149">
                  <c:v>811.98</c:v>
                </c:pt>
                <c:pt idx="150">
                  <c:v>811.98</c:v>
                </c:pt>
                <c:pt idx="151">
                  <c:v>811.98</c:v>
                </c:pt>
                <c:pt idx="152">
                  <c:v>811.98</c:v>
                </c:pt>
                <c:pt idx="153">
                  <c:v>811.98</c:v>
                </c:pt>
                <c:pt idx="154">
                  <c:v>811.98</c:v>
                </c:pt>
                <c:pt idx="155">
                  <c:v>811.98</c:v>
                </c:pt>
                <c:pt idx="156">
                  <c:v>811.98</c:v>
                </c:pt>
                <c:pt idx="157">
                  <c:v>811.98</c:v>
                </c:pt>
                <c:pt idx="158">
                  <c:v>811.98</c:v>
                </c:pt>
                <c:pt idx="159">
                  <c:v>811.98</c:v>
                </c:pt>
                <c:pt idx="160">
                  <c:v>811.98</c:v>
                </c:pt>
                <c:pt idx="161">
                  <c:v>811.98</c:v>
                </c:pt>
                <c:pt idx="162">
                  <c:v>811.98</c:v>
                </c:pt>
                <c:pt idx="163">
                  <c:v>811.98</c:v>
                </c:pt>
                <c:pt idx="164">
                  <c:v>811.98</c:v>
                </c:pt>
                <c:pt idx="165">
                  <c:v>811.98</c:v>
                </c:pt>
                <c:pt idx="166">
                  <c:v>811.98</c:v>
                </c:pt>
                <c:pt idx="167">
                  <c:v>811.98</c:v>
                </c:pt>
                <c:pt idx="168">
                  <c:v>811.98</c:v>
                </c:pt>
                <c:pt idx="169">
                  <c:v>811.98</c:v>
                </c:pt>
                <c:pt idx="170">
                  <c:v>811.98</c:v>
                </c:pt>
                <c:pt idx="171">
                  <c:v>811.98</c:v>
                </c:pt>
                <c:pt idx="172">
                  <c:v>811.98</c:v>
                </c:pt>
                <c:pt idx="173">
                  <c:v>811.98</c:v>
                </c:pt>
                <c:pt idx="174">
                  <c:v>811.98</c:v>
                </c:pt>
                <c:pt idx="175">
                  <c:v>811.98</c:v>
                </c:pt>
                <c:pt idx="176">
                  <c:v>821.58</c:v>
                </c:pt>
                <c:pt idx="177">
                  <c:v>821.58</c:v>
                </c:pt>
                <c:pt idx="178">
                  <c:v>821.58</c:v>
                </c:pt>
                <c:pt idx="179">
                  <c:v>821.58</c:v>
                </c:pt>
                <c:pt idx="180">
                  <c:v>833.18000000000018</c:v>
                </c:pt>
                <c:pt idx="181">
                  <c:v>833.69</c:v>
                </c:pt>
                <c:pt idx="182">
                  <c:v>833.69</c:v>
                </c:pt>
                <c:pt idx="183">
                  <c:v>833.69</c:v>
                </c:pt>
                <c:pt idx="184">
                  <c:v>837.38</c:v>
                </c:pt>
                <c:pt idx="185">
                  <c:v>838.93</c:v>
                </c:pt>
                <c:pt idx="186">
                  <c:v>838.93</c:v>
                </c:pt>
                <c:pt idx="187">
                  <c:v>838.93</c:v>
                </c:pt>
                <c:pt idx="188">
                  <c:v>838.93</c:v>
                </c:pt>
                <c:pt idx="189">
                  <c:v>838.93</c:v>
                </c:pt>
                <c:pt idx="190">
                  <c:v>838.93</c:v>
                </c:pt>
                <c:pt idx="191">
                  <c:v>838.93</c:v>
                </c:pt>
                <c:pt idx="192">
                  <c:v>838.93</c:v>
                </c:pt>
                <c:pt idx="193">
                  <c:v>838.93</c:v>
                </c:pt>
                <c:pt idx="194">
                  <c:v>838.93</c:v>
                </c:pt>
                <c:pt idx="195">
                  <c:v>838.93</c:v>
                </c:pt>
                <c:pt idx="196">
                  <c:v>838.93</c:v>
                </c:pt>
                <c:pt idx="197">
                  <c:v>838.93</c:v>
                </c:pt>
                <c:pt idx="198">
                  <c:v>906.16</c:v>
                </c:pt>
                <c:pt idx="199">
                  <c:v>906.16</c:v>
                </c:pt>
                <c:pt idx="200">
                  <c:v>908.63</c:v>
                </c:pt>
                <c:pt idx="201">
                  <c:v>917.16</c:v>
                </c:pt>
                <c:pt idx="202">
                  <c:v>919.93999999999983</c:v>
                </c:pt>
                <c:pt idx="203">
                  <c:v>921.52</c:v>
                </c:pt>
                <c:pt idx="204">
                  <c:v>937.37</c:v>
                </c:pt>
                <c:pt idx="205">
                  <c:v>937.37</c:v>
                </c:pt>
                <c:pt idx="206">
                  <c:v>937.37</c:v>
                </c:pt>
                <c:pt idx="207">
                  <c:v>937.37</c:v>
                </c:pt>
                <c:pt idx="208">
                  <c:v>937.37</c:v>
                </c:pt>
              </c:numCache>
            </c:numRef>
          </c:val>
        </c:ser>
        <c:ser>
          <c:idx val="2"/>
          <c:order val="2"/>
          <c:tx>
            <c:strRef>
              <c:f>'ECUINDEXTRBO +-'!$E$11</c:f>
              <c:strCache>
                <c:ptCount val="1"/>
                <c:pt idx="0">
                  <c:v>Precio de cierre</c:v>
                </c:pt>
              </c:strCache>
            </c:strRef>
          </c:tx>
          <c:spPr>
            <a:ln w="14199">
              <a:solidFill>
                <a:srgbClr val="FFFF00"/>
              </a:solidFill>
              <a:prstDash val="solid"/>
            </a:ln>
          </c:spPr>
          <c:marker>
            <c:symbol val="none"/>
          </c:marker>
          <c:cat>
            <c:numRef>
              <c:f>'ECUINDEXTRBO +-'!$D$12:$D$269</c:f>
              <c:numCache>
                <c:formatCode>dd/mm/yyyy</c:formatCode>
                <c:ptCount val="258"/>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numCache>
            </c:numRef>
          </c:cat>
          <c:val>
            <c:numRef>
              <c:f>'ECUINDEXTRBO +-'!$E$61:$E$269</c:f>
              <c:numCache>
                <c:formatCode>##0.00</c:formatCode>
                <c:ptCount val="209"/>
                <c:pt idx="0">
                  <c:v>449.32</c:v>
                </c:pt>
                <c:pt idx="1">
                  <c:v>449.90999999999991</c:v>
                </c:pt>
                <c:pt idx="2">
                  <c:v>452.2299999999999</c:v>
                </c:pt>
                <c:pt idx="3">
                  <c:v>482.2</c:v>
                </c:pt>
                <c:pt idx="4">
                  <c:v>478.13</c:v>
                </c:pt>
                <c:pt idx="5">
                  <c:v>495.28</c:v>
                </c:pt>
                <c:pt idx="6">
                  <c:v>505.85</c:v>
                </c:pt>
                <c:pt idx="7">
                  <c:v>495.1</c:v>
                </c:pt>
                <c:pt idx="8">
                  <c:v>494.04</c:v>
                </c:pt>
                <c:pt idx="9">
                  <c:v>490.3</c:v>
                </c:pt>
                <c:pt idx="10">
                  <c:v>488.9899999999999</c:v>
                </c:pt>
                <c:pt idx="11">
                  <c:v>484.04</c:v>
                </c:pt>
                <c:pt idx="12">
                  <c:v>478.42999999999989</c:v>
                </c:pt>
                <c:pt idx="13">
                  <c:v>481.05</c:v>
                </c:pt>
                <c:pt idx="14">
                  <c:v>465.74</c:v>
                </c:pt>
                <c:pt idx="15">
                  <c:v>464.2299999999999</c:v>
                </c:pt>
                <c:pt idx="16">
                  <c:v>517.91</c:v>
                </c:pt>
                <c:pt idx="17">
                  <c:v>486.92999999999989</c:v>
                </c:pt>
                <c:pt idx="18">
                  <c:v>480.19</c:v>
                </c:pt>
                <c:pt idx="19">
                  <c:v>444.76</c:v>
                </c:pt>
                <c:pt idx="20">
                  <c:v>445.51</c:v>
                </c:pt>
                <c:pt idx="21">
                  <c:v>445.57</c:v>
                </c:pt>
                <c:pt idx="22">
                  <c:v>454.59</c:v>
                </c:pt>
                <c:pt idx="23">
                  <c:v>461.28999999999991</c:v>
                </c:pt>
                <c:pt idx="24">
                  <c:v>467.8</c:v>
                </c:pt>
                <c:pt idx="25">
                  <c:v>462.78</c:v>
                </c:pt>
                <c:pt idx="26">
                  <c:v>473.7299999999999</c:v>
                </c:pt>
                <c:pt idx="27">
                  <c:v>497.8</c:v>
                </c:pt>
                <c:pt idx="28">
                  <c:v>497.68</c:v>
                </c:pt>
                <c:pt idx="29">
                  <c:v>506.71</c:v>
                </c:pt>
                <c:pt idx="30">
                  <c:v>505.03</c:v>
                </c:pt>
                <c:pt idx="31">
                  <c:v>503.2299999999999</c:v>
                </c:pt>
                <c:pt idx="32">
                  <c:v>491.6400000000001</c:v>
                </c:pt>
                <c:pt idx="33">
                  <c:v>491.09</c:v>
                </c:pt>
                <c:pt idx="34">
                  <c:v>488.85</c:v>
                </c:pt>
                <c:pt idx="35">
                  <c:v>477.32</c:v>
                </c:pt>
                <c:pt idx="36">
                  <c:v>571.47</c:v>
                </c:pt>
                <c:pt idx="37">
                  <c:v>520.94999999999982</c:v>
                </c:pt>
                <c:pt idx="38">
                  <c:v>520.11</c:v>
                </c:pt>
                <c:pt idx="39">
                  <c:v>515.9</c:v>
                </c:pt>
                <c:pt idx="40">
                  <c:v>518.20000000000005</c:v>
                </c:pt>
                <c:pt idx="41">
                  <c:v>652.77000000000021</c:v>
                </c:pt>
                <c:pt idx="42">
                  <c:v>602.16999999999996</c:v>
                </c:pt>
                <c:pt idx="43">
                  <c:v>634</c:v>
                </c:pt>
                <c:pt idx="44">
                  <c:v>577.89</c:v>
                </c:pt>
                <c:pt idx="45">
                  <c:v>622.09</c:v>
                </c:pt>
                <c:pt idx="46">
                  <c:v>624.63</c:v>
                </c:pt>
                <c:pt idx="47">
                  <c:v>576.05999999999972</c:v>
                </c:pt>
                <c:pt idx="48">
                  <c:v>575.54999999999973</c:v>
                </c:pt>
                <c:pt idx="49">
                  <c:v>571.92999999999972</c:v>
                </c:pt>
                <c:pt idx="50">
                  <c:v>586</c:v>
                </c:pt>
                <c:pt idx="51">
                  <c:v>567.8499999999998</c:v>
                </c:pt>
                <c:pt idx="52">
                  <c:v>586.04999999999973</c:v>
                </c:pt>
                <c:pt idx="53">
                  <c:v>573.30999999999972</c:v>
                </c:pt>
                <c:pt idx="54">
                  <c:v>611.2800000000002</c:v>
                </c:pt>
                <c:pt idx="55">
                  <c:v>614.95999999999981</c:v>
                </c:pt>
                <c:pt idx="56">
                  <c:v>606.63</c:v>
                </c:pt>
                <c:pt idx="57">
                  <c:v>611.44999999999982</c:v>
                </c:pt>
                <c:pt idx="58">
                  <c:v>653.77000000000021</c:v>
                </c:pt>
                <c:pt idx="59">
                  <c:v>612.13</c:v>
                </c:pt>
                <c:pt idx="60">
                  <c:v>612.13</c:v>
                </c:pt>
                <c:pt idx="61">
                  <c:v>589.41</c:v>
                </c:pt>
                <c:pt idx="62">
                  <c:v>549.16999999999996</c:v>
                </c:pt>
                <c:pt idx="63">
                  <c:v>581.77000000000021</c:v>
                </c:pt>
                <c:pt idx="64">
                  <c:v>583.31999999999982</c:v>
                </c:pt>
                <c:pt idx="65">
                  <c:v>589.62</c:v>
                </c:pt>
                <c:pt idx="66">
                  <c:v>601.17999999999995</c:v>
                </c:pt>
                <c:pt idx="67">
                  <c:v>605.57000000000005</c:v>
                </c:pt>
                <c:pt idx="68">
                  <c:v>604.24</c:v>
                </c:pt>
                <c:pt idx="69">
                  <c:v>598.87</c:v>
                </c:pt>
                <c:pt idx="70">
                  <c:v>533.88</c:v>
                </c:pt>
                <c:pt idx="71">
                  <c:v>468.53</c:v>
                </c:pt>
                <c:pt idx="72">
                  <c:v>468.07</c:v>
                </c:pt>
                <c:pt idx="73">
                  <c:v>536.48</c:v>
                </c:pt>
                <c:pt idx="74">
                  <c:v>565.05999999999972</c:v>
                </c:pt>
                <c:pt idx="75">
                  <c:v>577.98</c:v>
                </c:pt>
                <c:pt idx="76">
                  <c:v>578.79000000000019</c:v>
                </c:pt>
                <c:pt idx="77">
                  <c:v>563.67999999999995</c:v>
                </c:pt>
                <c:pt idx="78">
                  <c:v>565.13</c:v>
                </c:pt>
                <c:pt idx="79">
                  <c:v>594.17999999999995</c:v>
                </c:pt>
                <c:pt idx="80">
                  <c:v>598.15</c:v>
                </c:pt>
                <c:pt idx="81">
                  <c:v>589.91</c:v>
                </c:pt>
                <c:pt idx="82">
                  <c:v>625.67999999999995</c:v>
                </c:pt>
                <c:pt idx="83">
                  <c:v>638.8399999999998</c:v>
                </c:pt>
                <c:pt idx="84">
                  <c:v>652</c:v>
                </c:pt>
                <c:pt idx="85">
                  <c:v>656.49</c:v>
                </c:pt>
                <c:pt idx="86">
                  <c:v>669.54</c:v>
                </c:pt>
                <c:pt idx="87">
                  <c:v>672.63</c:v>
                </c:pt>
                <c:pt idx="88">
                  <c:v>666.55</c:v>
                </c:pt>
                <c:pt idx="89">
                  <c:v>672.25</c:v>
                </c:pt>
                <c:pt idx="90">
                  <c:v>676.92</c:v>
                </c:pt>
                <c:pt idx="91">
                  <c:v>720.8</c:v>
                </c:pt>
                <c:pt idx="92">
                  <c:v>783.38</c:v>
                </c:pt>
                <c:pt idx="93">
                  <c:v>818.44999999999982</c:v>
                </c:pt>
                <c:pt idx="94">
                  <c:v>846.57</c:v>
                </c:pt>
                <c:pt idx="95">
                  <c:v>892.52</c:v>
                </c:pt>
                <c:pt idx="96">
                  <c:v>941.24</c:v>
                </c:pt>
                <c:pt idx="97">
                  <c:v>926.13</c:v>
                </c:pt>
                <c:pt idx="98">
                  <c:v>888.98</c:v>
                </c:pt>
                <c:pt idx="99">
                  <c:v>871.24</c:v>
                </c:pt>
                <c:pt idx="100">
                  <c:v>864.97</c:v>
                </c:pt>
                <c:pt idx="101">
                  <c:v>860.39</c:v>
                </c:pt>
                <c:pt idx="102">
                  <c:v>866.93</c:v>
                </c:pt>
                <c:pt idx="103">
                  <c:v>865.3399999999998</c:v>
                </c:pt>
                <c:pt idx="104">
                  <c:v>885.93</c:v>
                </c:pt>
                <c:pt idx="105">
                  <c:v>884.11</c:v>
                </c:pt>
                <c:pt idx="106">
                  <c:v>894.69</c:v>
                </c:pt>
                <c:pt idx="107">
                  <c:v>889.19</c:v>
                </c:pt>
                <c:pt idx="108">
                  <c:v>893.99</c:v>
                </c:pt>
                <c:pt idx="109">
                  <c:v>834.98</c:v>
                </c:pt>
                <c:pt idx="110">
                  <c:v>883.1</c:v>
                </c:pt>
                <c:pt idx="111">
                  <c:v>880.69</c:v>
                </c:pt>
                <c:pt idx="112">
                  <c:v>869.17000000000019</c:v>
                </c:pt>
                <c:pt idx="113">
                  <c:v>873.98</c:v>
                </c:pt>
                <c:pt idx="114">
                  <c:v>853.63</c:v>
                </c:pt>
                <c:pt idx="115">
                  <c:v>857.85999999999979</c:v>
                </c:pt>
                <c:pt idx="116">
                  <c:v>890.87</c:v>
                </c:pt>
                <c:pt idx="117">
                  <c:v>894.17000000000019</c:v>
                </c:pt>
                <c:pt idx="118">
                  <c:v>896.3</c:v>
                </c:pt>
                <c:pt idx="119">
                  <c:v>921.29000000000019</c:v>
                </c:pt>
                <c:pt idx="120">
                  <c:v>901.71</c:v>
                </c:pt>
                <c:pt idx="121">
                  <c:v>901.26</c:v>
                </c:pt>
                <c:pt idx="122">
                  <c:v>830.6</c:v>
                </c:pt>
                <c:pt idx="123">
                  <c:v>820.95999999999981</c:v>
                </c:pt>
                <c:pt idx="124">
                  <c:v>843.49</c:v>
                </c:pt>
                <c:pt idx="125">
                  <c:v>811.98</c:v>
                </c:pt>
                <c:pt idx="126">
                  <c:v>830.38</c:v>
                </c:pt>
                <c:pt idx="127">
                  <c:v>836.21</c:v>
                </c:pt>
                <c:pt idx="128">
                  <c:v>836.21</c:v>
                </c:pt>
                <c:pt idx="129">
                  <c:v>821.58</c:v>
                </c:pt>
                <c:pt idx="130">
                  <c:v>833.18000000000018</c:v>
                </c:pt>
                <c:pt idx="131">
                  <c:v>835.13</c:v>
                </c:pt>
                <c:pt idx="132">
                  <c:v>836.23</c:v>
                </c:pt>
                <c:pt idx="133">
                  <c:v>833.69</c:v>
                </c:pt>
                <c:pt idx="134">
                  <c:v>837.38</c:v>
                </c:pt>
                <c:pt idx="135">
                  <c:v>843.94999999999982</c:v>
                </c:pt>
                <c:pt idx="136">
                  <c:v>844.81</c:v>
                </c:pt>
                <c:pt idx="137">
                  <c:v>850.22</c:v>
                </c:pt>
                <c:pt idx="138">
                  <c:v>862.89</c:v>
                </c:pt>
                <c:pt idx="139">
                  <c:v>861.24</c:v>
                </c:pt>
                <c:pt idx="140">
                  <c:v>884.32999999999981</c:v>
                </c:pt>
                <c:pt idx="141">
                  <c:v>884.98</c:v>
                </c:pt>
                <c:pt idx="142">
                  <c:v>889.51</c:v>
                </c:pt>
                <c:pt idx="143">
                  <c:v>893.21</c:v>
                </c:pt>
                <c:pt idx="144">
                  <c:v>918.21</c:v>
                </c:pt>
                <c:pt idx="145">
                  <c:v>899.1</c:v>
                </c:pt>
                <c:pt idx="146">
                  <c:v>903.4</c:v>
                </c:pt>
                <c:pt idx="147">
                  <c:v>838.93</c:v>
                </c:pt>
                <c:pt idx="148">
                  <c:v>909.61</c:v>
                </c:pt>
                <c:pt idx="149">
                  <c:v>906.16</c:v>
                </c:pt>
                <c:pt idx="150">
                  <c:v>908.63</c:v>
                </c:pt>
                <c:pt idx="151">
                  <c:v>917.16</c:v>
                </c:pt>
                <c:pt idx="152">
                  <c:v>919.93999999999983</c:v>
                </c:pt>
                <c:pt idx="153">
                  <c:v>921.52</c:v>
                </c:pt>
                <c:pt idx="154">
                  <c:v>944.8499999999998</c:v>
                </c:pt>
                <c:pt idx="155">
                  <c:v>944.8499999999998</c:v>
                </c:pt>
                <c:pt idx="156">
                  <c:v>938.18000000000018</c:v>
                </c:pt>
                <c:pt idx="157">
                  <c:v>939.43999999999983</c:v>
                </c:pt>
                <c:pt idx="158">
                  <c:v>937.37</c:v>
                </c:pt>
                <c:pt idx="159">
                  <c:v>938.43</c:v>
                </c:pt>
                <c:pt idx="160">
                  <c:v>947.75</c:v>
                </c:pt>
                <c:pt idx="161">
                  <c:v>946.47</c:v>
                </c:pt>
                <c:pt idx="162">
                  <c:v>947.19</c:v>
                </c:pt>
                <c:pt idx="163">
                  <c:v>950.22</c:v>
                </c:pt>
                <c:pt idx="164">
                  <c:v>953.17000000000019</c:v>
                </c:pt>
                <c:pt idx="165">
                  <c:v>972.7</c:v>
                </c:pt>
                <c:pt idx="166">
                  <c:v>990.27000000000021</c:v>
                </c:pt>
                <c:pt idx="167">
                  <c:v>990.5</c:v>
                </c:pt>
                <c:pt idx="168">
                  <c:v>990.55</c:v>
                </c:pt>
                <c:pt idx="169">
                  <c:v>991.25</c:v>
                </c:pt>
                <c:pt idx="170">
                  <c:v>993.58</c:v>
                </c:pt>
                <c:pt idx="171">
                  <c:v>998.8499999999998</c:v>
                </c:pt>
                <c:pt idx="172">
                  <c:v>997.55</c:v>
                </c:pt>
                <c:pt idx="173">
                  <c:v>999.09</c:v>
                </c:pt>
                <c:pt idx="174">
                  <c:v>958.27000000000021</c:v>
                </c:pt>
                <c:pt idx="175">
                  <c:v>982.9</c:v>
                </c:pt>
                <c:pt idx="176">
                  <c:v>1009.7800000000002</c:v>
                </c:pt>
                <c:pt idx="177">
                  <c:v>1024.48</c:v>
                </c:pt>
                <c:pt idx="178">
                  <c:v>1042.24</c:v>
                </c:pt>
                <c:pt idx="179">
                  <c:v>1065.83</c:v>
                </c:pt>
                <c:pt idx="180">
                  <c:v>1070.3799999999999</c:v>
                </c:pt>
                <c:pt idx="181">
                  <c:v>1072.6199999999999</c:v>
                </c:pt>
                <c:pt idx="182">
                  <c:v>1078.6499999999999</c:v>
                </c:pt>
                <c:pt idx="183">
                  <c:v>1076.01</c:v>
                </c:pt>
                <c:pt idx="184">
                  <c:v>1073.23</c:v>
                </c:pt>
                <c:pt idx="185">
                  <c:v>1081.9000000000001</c:v>
                </c:pt>
                <c:pt idx="186">
                  <c:v>1103.46</c:v>
                </c:pt>
                <c:pt idx="187">
                  <c:v>1093.73</c:v>
                </c:pt>
                <c:pt idx="188">
                  <c:v>1071.52</c:v>
                </c:pt>
                <c:pt idx="189">
                  <c:v>1066.1599999999999</c:v>
                </c:pt>
                <c:pt idx="190">
                  <c:v>1063.72</c:v>
                </c:pt>
                <c:pt idx="191">
                  <c:v>1074.1199999999999</c:v>
                </c:pt>
                <c:pt idx="192">
                  <c:v>1073.6299999999999</c:v>
                </c:pt>
                <c:pt idx="193">
                  <c:v>1083.9100000000001</c:v>
                </c:pt>
                <c:pt idx="194">
                  <c:v>1072.1199999999999</c:v>
                </c:pt>
                <c:pt idx="195">
                  <c:v>1075.6199999999999</c:v>
                </c:pt>
                <c:pt idx="196">
                  <c:v>1071.8399999999999</c:v>
                </c:pt>
                <c:pt idx="197">
                  <c:v>1074.51</c:v>
                </c:pt>
                <c:pt idx="198">
                  <c:v>1072.8</c:v>
                </c:pt>
                <c:pt idx="199">
                  <c:v>1077.1899999999998</c:v>
                </c:pt>
                <c:pt idx="200">
                  <c:v>1072.43</c:v>
                </c:pt>
                <c:pt idx="201">
                  <c:v>1067.02</c:v>
                </c:pt>
                <c:pt idx="202">
                  <c:v>1066.0999999999999</c:v>
                </c:pt>
                <c:pt idx="203">
                  <c:v>1097.3899999999999</c:v>
                </c:pt>
                <c:pt idx="204">
                  <c:v>1109.27</c:v>
                </c:pt>
                <c:pt idx="205">
                  <c:v>1115.04</c:v>
                </c:pt>
                <c:pt idx="206">
                  <c:v>1130.79</c:v>
                </c:pt>
                <c:pt idx="207">
                  <c:v>1147.3799999999999</c:v>
                </c:pt>
                <c:pt idx="208">
                  <c:v>1159.1599999999999</c:v>
                </c:pt>
              </c:numCache>
            </c:numRef>
          </c:val>
        </c:ser>
        <c:marker val="1"/>
        <c:axId val="222880128"/>
        <c:axId val="222881664"/>
      </c:lineChart>
      <c:dateAx>
        <c:axId val="222880128"/>
        <c:scaling>
          <c:orientation val="minMax"/>
        </c:scaling>
        <c:axPos val="b"/>
        <c:numFmt formatCode="dd/mm/yyyy" sourceLinked="0"/>
        <c:tickLblPos val="nextTo"/>
        <c:spPr>
          <a:ln w="3550">
            <a:solidFill>
              <a:srgbClr val="000000"/>
            </a:solidFill>
            <a:prstDash val="solid"/>
          </a:ln>
        </c:spPr>
        <c:txPr>
          <a:bodyPr rot="-2700000" vert="horz"/>
          <a:lstStyle/>
          <a:p>
            <a:pPr>
              <a:defRPr sz="252" b="0" i="0" u="none" strike="noStrike" baseline="0">
                <a:solidFill>
                  <a:srgbClr val="000000"/>
                </a:solidFill>
                <a:latin typeface="Arial"/>
                <a:ea typeface="Arial"/>
                <a:cs typeface="Arial"/>
              </a:defRPr>
            </a:pPr>
            <a:endParaRPr lang="es-ES"/>
          </a:p>
        </c:txPr>
        <c:crossAx val="222881664"/>
        <c:crosses val="autoZero"/>
        <c:auto val="1"/>
        <c:lblOffset val="100"/>
        <c:baseTimeUnit val="days"/>
        <c:majorUnit val="2"/>
        <c:majorTimeUnit val="months"/>
        <c:minorUnit val="1"/>
        <c:minorTimeUnit val="months"/>
      </c:dateAx>
      <c:valAx>
        <c:axId val="222881664"/>
        <c:scaling>
          <c:orientation val="minMax"/>
        </c:scaling>
        <c:axPos val="l"/>
        <c:numFmt formatCode="General" sourceLinked="1"/>
        <c:tickLblPos val="nextTo"/>
        <c:spPr>
          <a:ln w="3550">
            <a:solidFill>
              <a:srgbClr val="000000"/>
            </a:solidFill>
            <a:prstDash val="solid"/>
          </a:ln>
        </c:spPr>
        <c:txPr>
          <a:bodyPr rot="0" vert="horz"/>
          <a:lstStyle/>
          <a:p>
            <a:pPr>
              <a:defRPr sz="252" b="0" i="0" u="none" strike="noStrike" baseline="0">
                <a:solidFill>
                  <a:srgbClr val="000000"/>
                </a:solidFill>
                <a:latin typeface="Arial"/>
                <a:ea typeface="Arial"/>
                <a:cs typeface="Arial"/>
              </a:defRPr>
            </a:pPr>
            <a:endParaRPr lang="es-ES"/>
          </a:p>
        </c:txPr>
        <c:crossAx val="222880128"/>
        <c:crosses val="autoZero"/>
        <c:crossBetween val="between"/>
      </c:valAx>
      <c:spPr>
        <a:solidFill>
          <a:srgbClr val="C0C0C0"/>
        </a:solidFill>
        <a:ln w="3550">
          <a:solidFill>
            <a:srgbClr val="000000"/>
          </a:solidFill>
          <a:prstDash val="solid"/>
        </a:ln>
      </c:spPr>
    </c:plotArea>
    <c:legend>
      <c:legendPos val="t"/>
      <c:layout>
        <c:manualLayout>
          <c:xMode val="edge"/>
          <c:yMode val="edge"/>
          <c:x val="0"/>
          <c:y val="0"/>
          <c:w val="0.23578947368421058"/>
          <c:h val="0.18385650224215247"/>
        </c:manualLayout>
      </c:layout>
      <c:spPr>
        <a:solidFill>
          <a:srgbClr val="FFFFFF"/>
        </a:solidFill>
        <a:ln w="3550">
          <a:solidFill>
            <a:srgbClr val="000000"/>
          </a:solidFill>
          <a:prstDash val="solid"/>
        </a:ln>
      </c:spPr>
      <c:txPr>
        <a:bodyPr/>
        <a:lstStyle/>
        <a:p>
          <a:pPr>
            <a:defRPr sz="716"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550">
      <a:solidFill>
        <a:srgbClr val="000000"/>
      </a:solidFill>
      <a:prstDash val="solid"/>
    </a:ln>
  </c:spPr>
  <c:txPr>
    <a:bodyPr/>
    <a:lstStyle/>
    <a:p>
      <a:pPr>
        <a:defRPr sz="1146"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86" b="1" i="0" u="none" strike="noStrike" baseline="0">
                <a:solidFill>
                  <a:srgbClr val="000000"/>
                </a:solidFill>
                <a:latin typeface="Arial"/>
                <a:ea typeface="Arial"/>
                <a:cs typeface="Arial"/>
              </a:defRPr>
            </a:pPr>
            <a:r>
              <a:t>TRADINGRANGE BREAK-OUT IPECU</a:t>
            </a:r>
          </a:p>
        </c:rich>
      </c:tx>
      <c:layout>
        <c:manualLayout>
          <c:xMode val="edge"/>
          <c:yMode val="edge"/>
          <c:x val="0.31174089068825922"/>
          <c:y val="4.1322314049586813E-3"/>
        </c:manualLayout>
      </c:layout>
      <c:spPr>
        <a:noFill/>
        <a:ln w="27839">
          <a:noFill/>
        </a:ln>
      </c:spPr>
    </c:title>
    <c:plotArea>
      <c:layout>
        <c:manualLayout>
          <c:layoutTarget val="inner"/>
          <c:xMode val="edge"/>
          <c:yMode val="edge"/>
          <c:x val="8.7044534412955427E-2"/>
          <c:y val="0.34710743801652877"/>
          <c:w val="0.89676113360323884"/>
          <c:h val="0.45454545454545453"/>
        </c:manualLayout>
      </c:layout>
      <c:lineChart>
        <c:grouping val="standard"/>
        <c:ser>
          <c:idx val="0"/>
          <c:order val="0"/>
          <c:tx>
            <c:strRef>
              <c:f>'ipecuTRBO +-'!$F$11</c:f>
              <c:strCache>
                <c:ptCount val="1"/>
                <c:pt idx="0">
                  <c:v>Max</c:v>
                </c:pt>
              </c:strCache>
            </c:strRef>
          </c:tx>
          <c:spPr>
            <a:ln w="13919">
              <a:pattFill prst="pct75">
                <a:fgClr>
                  <a:srgbClr val="000080"/>
                </a:fgClr>
                <a:bgClr>
                  <a:srgbClr val="FFFFFF"/>
                </a:bgClr>
              </a:pattFill>
              <a:prstDash val="solid"/>
            </a:ln>
          </c:spPr>
          <c:marker>
            <c:symbol val="square"/>
            <c:size val="2"/>
            <c:spPr>
              <a:noFill/>
              <a:ln>
                <a:solidFill>
                  <a:srgbClr val="333333"/>
                </a:solidFill>
                <a:prstDash val="solid"/>
              </a:ln>
            </c:spPr>
          </c:marker>
          <c:cat>
            <c:numRef>
              <c:f>'ipecuTRBO +-'!$D$12:$D$284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'ipecuTRBO +-'!$F$61:$F$284</c:f>
              <c:numCache>
                <c:formatCode>##0.00</c:formatCode>
                <c:ptCount val="224"/>
                <c:pt idx="1">
                  <c:v>83.472999999999999</c:v>
                </c:pt>
                <c:pt idx="2">
                  <c:v>83.472999999999999</c:v>
                </c:pt>
                <c:pt idx="3">
                  <c:v>83.472999999999999</c:v>
                </c:pt>
                <c:pt idx="4">
                  <c:v>83.472999999999999</c:v>
                </c:pt>
                <c:pt idx="5">
                  <c:v>83.472999999999999</c:v>
                </c:pt>
                <c:pt idx="6">
                  <c:v>83.472999999999999</c:v>
                </c:pt>
                <c:pt idx="7">
                  <c:v>83.472999999999999</c:v>
                </c:pt>
                <c:pt idx="8">
                  <c:v>83.472999999999999</c:v>
                </c:pt>
                <c:pt idx="9">
                  <c:v>83.472999999999999</c:v>
                </c:pt>
                <c:pt idx="10">
                  <c:v>83.472999999999999</c:v>
                </c:pt>
                <c:pt idx="11">
                  <c:v>83.472999999999999</c:v>
                </c:pt>
                <c:pt idx="12">
                  <c:v>83.472999999999999</c:v>
                </c:pt>
                <c:pt idx="13">
                  <c:v>83.472999999999999</c:v>
                </c:pt>
                <c:pt idx="14">
                  <c:v>83.472999999999999</c:v>
                </c:pt>
                <c:pt idx="15">
                  <c:v>83.472999999999999</c:v>
                </c:pt>
                <c:pt idx="16">
                  <c:v>83.472999999999999</c:v>
                </c:pt>
                <c:pt idx="17">
                  <c:v>83.810400000000001</c:v>
                </c:pt>
                <c:pt idx="18">
                  <c:v>83.810400000000001</c:v>
                </c:pt>
                <c:pt idx="19">
                  <c:v>83.810400000000001</c:v>
                </c:pt>
                <c:pt idx="20">
                  <c:v>83.810400000000001</c:v>
                </c:pt>
                <c:pt idx="21">
                  <c:v>83.810400000000001</c:v>
                </c:pt>
                <c:pt idx="22">
                  <c:v>83.810400000000001</c:v>
                </c:pt>
                <c:pt idx="23">
                  <c:v>83.810400000000001</c:v>
                </c:pt>
                <c:pt idx="24">
                  <c:v>83.810400000000001</c:v>
                </c:pt>
                <c:pt idx="25">
                  <c:v>83.810400000000001</c:v>
                </c:pt>
                <c:pt idx="26">
                  <c:v>83.810400000000001</c:v>
                </c:pt>
                <c:pt idx="27">
                  <c:v>83.810400000000001</c:v>
                </c:pt>
                <c:pt idx="28">
                  <c:v>83.810400000000001</c:v>
                </c:pt>
                <c:pt idx="29">
                  <c:v>83.810400000000001</c:v>
                </c:pt>
                <c:pt idx="30">
                  <c:v>83.810400000000001</c:v>
                </c:pt>
                <c:pt idx="31">
                  <c:v>83.810400000000001</c:v>
                </c:pt>
                <c:pt idx="32">
                  <c:v>83.810400000000001</c:v>
                </c:pt>
                <c:pt idx="33">
                  <c:v>83.810400000000001</c:v>
                </c:pt>
                <c:pt idx="34">
                  <c:v>83.810400000000001</c:v>
                </c:pt>
                <c:pt idx="35">
                  <c:v>83.810400000000001</c:v>
                </c:pt>
                <c:pt idx="36">
                  <c:v>83.810400000000001</c:v>
                </c:pt>
                <c:pt idx="37">
                  <c:v>83.810400000000001</c:v>
                </c:pt>
                <c:pt idx="38">
                  <c:v>83.810400000000001</c:v>
                </c:pt>
                <c:pt idx="39">
                  <c:v>83.810400000000001</c:v>
                </c:pt>
                <c:pt idx="40">
                  <c:v>83.810400000000001</c:v>
                </c:pt>
                <c:pt idx="41">
                  <c:v>84.548900000000003</c:v>
                </c:pt>
                <c:pt idx="42">
                  <c:v>84.796499999999995</c:v>
                </c:pt>
                <c:pt idx="43">
                  <c:v>84.796499999999995</c:v>
                </c:pt>
                <c:pt idx="44">
                  <c:v>87.936499999999995</c:v>
                </c:pt>
                <c:pt idx="45">
                  <c:v>87.936499999999995</c:v>
                </c:pt>
                <c:pt idx="46">
                  <c:v>87.936499999999995</c:v>
                </c:pt>
                <c:pt idx="47">
                  <c:v>87.936499999999995</c:v>
                </c:pt>
                <c:pt idx="48">
                  <c:v>87.936499999999995</c:v>
                </c:pt>
                <c:pt idx="49">
                  <c:v>96.486900000000006</c:v>
                </c:pt>
                <c:pt idx="50">
                  <c:v>96.486900000000006</c:v>
                </c:pt>
                <c:pt idx="51">
                  <c:v>96.486900000000006</c:v>
                </c:pt>
                <c:pt idx="52">
                  <c:v>96.486900000000006</c:v>
                </c:pt>
                <c:pt idx="53">
                  <c:v>96.486900000000006</c:v>
                </c:pt>
                <c:pt idx="54">
                  <c:v>96.486900000000006</c:v>
                </c:pt>
                <c:pt idx="55">
                  <c:v>96.486900000000006</c:v>
                </c:pt>
                <c:pt idx="56">
                  <c:v>96.486900000000006</c:v>
                </c:pt>
                <c:pt idx="57">
                  <c:v>96.486900000000006</c:v>
                </c:pt>
                <c:pt idx="58">
                  <c:v>96.486900000000006</c:v>
                </c:pt>
                <c:pt idx="59">
                  <c:v>96.486900000000006</c:v>
                </c:pt>
                <c:pt idx="60">
                  <c:v>96.486900000000006</c:v>
                </c:pt>
                <c:pt idx="61">
                  <c:v>96.486900000000006</c:v>
                </c:pt>
                <c:pt idx="62">
                  <c:v>96.486900000000006</c:v>
                </c:pt>
                <c:pt idx="63">
                  <c:v>96.486900000000006</c:v>
                </c:pt>
                <c:pt idx="64">
                  <c:v>96.486900000000006</c:v>
                </c:pt>
                <c:pt idx="65">
                  <c:v>96.486900000000006</c:v>
                </c:pt>
                <c:pt idx="66">
                  <c:v>96.486900000000006</c:v>
                </c:pt>
                <c:pt idx="67">
                  <c:v>96.486900000000006</c:v>
                </c:pt>
                <c:pt idx="68">
                  <c:v>96.486900000000006</c:v>
                </c:pt>
                <c:pt idx="69">
                  <c:v>96.486900000000006</c:v>
                </c:pt>
                <c:pt idx="70">
                  <c:v>96.486900000000006</c:v>
                </c:pt>
                <c:pt idx="71">
                  <c:v>96.486900000000006</c:v>
                </c:pt>
                <c:pt idx="72">
                  <c:v>96.486900000000006</c:v>
                </c:pt>
                <c:pt idx="73">
                  <c:v>96.486900000000006</c:v>
                </c:pt>
                <c:pt idx="74">
                  <c:v>96.486900000000006</c:v>
                </c:pt>
                <c:pt idx="75">
                  <c:v>96.486900000000006</c:v>
                </c:pt>
                <c:pt idx="76">
                  <c:v>96.486900000000006</c:v>
                </c:pt>
                <c:pt idx="77">
                  <c:v>96.486900000000006</c:v>
                </c:pt>
                <c:pt idx="78">
                  <c:v>96.486900000000006</c:v>
                </c:pt>
                <c:pt idx="79">
                  <c:v>96.486900000000006</c:v>
                </c:pt>
                <c:pt idx="80">
                  <c:v>96.486900000000006</c:v>
                </c:pt>
                <c:pt idx="81">
                  <c:v>96.486900000000006</c:v>
                </c:pt>
                <c:pt idx="82">
                  <c:v>96.486900000000006</c:v>
                </c:pt>
                <c:pt idx="83">
                  <c:v>96.486900000000006</c:v>
                </c:pt>
                <c:pt idx="84">
                  <c:v>96.486900000000006</c:v>
                </c:pt>
                <c:pt idx="85">
                  <c:v>96.486900000000006</c:v>
                </c:pt>
                <c:pt idx="86">
                  <c:v>96.486900000000006</c:v>
                </c:pt>
                <c:pt idx="87">
                  <c:v>96.486900000000006</c:v>
                </c:pt>
                <c:pt idx="88">
                  <c:v>96.486900000000006</c:v>
                </c:pt>
                <c:pt idx="89">
                  <c:v>96.486900000000006</c:v>
                </c:pt>
                <c:pt idx="90">
                  <c:v>96.486900000000006</c:v>
                </c:pt>
                <c:pt idx="91">
                  <c:v>96.486900000000006</c:v>
                </c:pt>
                <c:pt idx="92">
                  <c:v>96.486900000000006</c:v>
                </c:pt>
                <c:pt idx="93">
                  <c:v>96.486900000000006</c:v>
                </c:pt>
                <c:pt idx="94">
                  <c:v>96.486900000000006</c:v>
                </c:pt>
                <c:pt idx="95">
                  <c:v>96.597899999999996</c:v>
                </c:pt>
                <c:pt idx="96">
                  <c:v>97.703400000000002</c:v>
                </c:pt>
                <c:pt idx="97">
                  <c:v>98.090500000000006</c:v>
                </c:pt>
                <c:pt idx="98">
                  <c:v>100.9794</c:v>
                </c:pt>
                <c:pt idx="99">
                  <c:v>101.04120000000003</c:v>
                </c:pt>
                <c:pt idx="100">
                  <c:v>102.70959999999999</c:v>
                </c:pt>
                <c:pt idx="101">
                  <c:v>103.2715</c:v>
                </c:pt>
                <c:pt idx="102">
                  <c:v>104.2334</c:v>
                </c:pt>
                <c:pt idx="103">
                  <c:v>105.0265</c:v>
                </c:pt>
                <c:pt idx="104">
                  <c:v>105.0265</c:v>
                </c:pt>
                <c:pt idx="105">
                  <c:v>105.43700000000003</c:v>
                </c:pt>
                <c:pt idx="106">
                  <c:v>106.1165</c:v>
                </c:pt>
                <c:pt idx="107">
                  <c:v>109.5502</c:v>
                </c:pt>
                <c:pt idx="108">
                  <c:v>113.84439999999999</c:v>
                </c:pt>
                <c:pt idx="109">
                  <c:v>117.15649999999998</c:v>
                </c:pt>
                <c:pt idx="110">
                  <c:v>120.16070000000001</c:v>
                </c:pt>
                <c:pt idx="111">
                  <c:v>124.8094</c:v>
                </c:pt>
                <c:pt idx="112">
                  <c:v>131.7672</c:v>
                </c:pt>
                <c:pt idx="113">
                  <c:v>131.7672</c:v>
                </c:pt>
                <c:pt idx="114">
                  <c:v>131.7672</c:v>
                </c:pt>
                <c:pt idx="115">
                  <c:v>131.7672</c:v>
                </c:pt>
                <c:pt idx="116">
                  <c:v>131.7672</c:v>
                </c:pt>
                <c:pt idx="117">
                  <c:v>131.7672</c:v>
                </c:pt>
                <c:pt idx="118">
                  <c:v>131.7672</c:v>
                </c:pt>
                <c:pt idx="119">
                  <c:v>131.7672</c:v>
                </c:pt>
                <c:pt idx="120">
                  <c:v>131.7672</c:v>
                </c:pt>
                <c:pt idx="121">
                  <c:v>131.7672</c:v>
                </c:pt>
                <c:pt idx="122">
                  <c:v>131.7672</c:v>
                </c:pt>
                <c:pt idx="123">
                  <c:v>131.7672</c:v>
                </c:pt>
                <c:pt idx="124">
                  <c:v>131.7672</c:v>
                </c:pt>
                <c:pt idx="125">
                  <c:v>131.7672</c:v>
                </c:pt>
                <c:pt idx="126">
                  <c:v>131.7672</c:v>
                </c:pt>
                <c:pt idx="127">
                  <c:v>131.7672</c:v>
                </c:pt>
                <c:pt idx="128">
                  <c:v>131.7672</c:v>
                </c:pt>
                <c:pt idx="129">
                  <c:v>131.7672</c:v>
                </c:pt>
                <c:pt idx="130">
                  <c:v>131.7672</c:v>
                </c:pt>
                <c:pt idx="131">
                  <c:v>131.7672</c:v>
                </c:pt>
                <c:pt idx="132">
                  <c:v>131.7672</c:v>
                </c:pt>
                <c:pt idx="133">
                  <c:v>131.7672</c:v>
                </c:pt>
                <c:pt idx="134">
                  <c:v>131.7672</c:v>
                </c:pt>
                <c:pt idx="135">
                  <c:v>131.7672</c:v>
                </c:pt>
                <c:pt idx="136">
                  <c:v>131.7672</c:v>
                </c:pt>
                <c:pt idx="137">
                  <c:v>131.7672</c:v>
                </c:pt>
                <c:pt idx="138">
                  <c:v>131.7672</c:v>
                </c:pt>
                <c:pt idx="139">
                  <c:v>131.7672</c:v>
                </c:pt>
                <c:pt idx="140">
                  <c:v>131.7672</c:v>
                </c:pt>
                <c:pt idx="141">
                  <c:v>131.7672</c:v>
                </c:pt>
                <c:pt idx="142">
                  <c:v>131.7672</c:v>
                </c:pt>
                <c:pt idx="143">
                  <c:v>131.7672</c:v>
                </c:pt>
                <c:pt idx="144">
                  <c:v>131.7672</c:v>
                </c:pt>
                <c:pt idx="145">
                  <c:v>131.7672</c:v>
                </c:pt>
                <c:pt idx="146">
                  <c:v>131.87359999999998</c:v>
                </c:pt>
                <c:pt idx="147">
                  <c:v>131.8998</c:v>
                </c:pt>
                <c:pt idx="148">
                  <c:v>132.1875</c:v>
                </c:pt>
                <c:pt idx="149">
                  <c:v>132.38810000000007</c:v>
                </c:pt>
                <c:pt idx="150">
                  <c:v>132.40120000000005</c:v>
                </c:pt>
                <c:pt idx="151">
                  <c:v>133.24709999999999</c:v>
                </c:pt>
                <c:pt idx="152">
                  <c:v>133.24709999999999</c:v>
                </c:pt>
                <c:pt idx="153">
                  <c:v>134.3092</c:v>
                </c:pt>
                <c:pt idx="154">
                  <c:v>136.55030000000005</c:v>
                </c:pt>
                <c:pt idx="155">
                  <c:v>136.55030000000005</c:v>
                </c:pt>
                <c:pt idx="156">
                  <c:v>138.87540000000001</c:v>
                </c:pt>
                <c:pt idx="157">
                  <c:v>139.25959999999998</c:v>
                </c:pt>
                <c:pt idx="158">
                  <c:v>140.27939999999998</c:v>
                </c:pt>
                <c:pt idx="159">
                  <c:v>140.71919999999994</c:v>
                </c:pt>
                <c:pt idx="160">
                  <c:v>142.95270000000005</c:v>
                </c:pt>
                <c:pt idx="161">
                  <c:v>142.95270000000005</c:v>
                </c:pt>
                <c:pt idx="162">
                  <c:v>142.95270000000005</c:v>
                </c:pt>
                <c:pt idx="163">
                  <c:v>142.95270000000005</c:v>
                </c:pt>
                <c:pt idx="164">
                  <c:v>142.95270000000005</c:v>
                </c:pt>
                <c:pt idx="165">
                  <c:v>142.95270000000005</c:v>
                </c:pt>
                <c:pt idx="166">
                  <c:v>142.95270000000005</c:v>
                </c:pt>
                <c:pt idx="167">
                  <c:v>143.10469999999998</c:v>
                </c:pt>
                <c:pt idx="168">
                  <c:v>143.48620000000005</c:v>
                </c:pt>
                <c:pt idx="169">
                  <c:v>144.06110000000001</c:v>
                </c:pt>
                <c:pt idx="170">
                  <c:v>147.26089999999999</c:v>
                </c:pt>
                <c:pt idx="171">
                  <c:v>147.26089999999999</c:v>
                </c:pt>
                <c:pt idx="172">
                  <c:v>148.51499999999999</c:v>
                </c:pt>
                <c:pt idx="173">
                  <c:v>148.691</c:v>
                </c:pt>
                <c:pt idx="174">
                  <c:v>148.691</c:v>
                </c:pt>
                <c:pt idx="175">
                  <c:v>148.691</c:v>
                </c:pt>
                <c:pt idx="176">
                  <c:v>149.93710000000004</c:v>
                </c:pt>
                <c:pt idx="177">
                  <c:v>149.93710000000004</c:v>
                </c:pt>
                <c:pt idx="178">
                  <c:v>149.93710000000004</c:v>
                </c:pt>
                <c:pt idx="179">
                  <c:v>150.21399999999994</c:v>
                </c:pt>
                <c:pt idx="180">
                  <c:v>150.72230000000005</c:v>
                </c:pt>
                <c:pt idx="181">
                  <c:v>153.4958</c:v>
                </c:pt>
                <c:pt idx="182">
                  <c:v>155.98350000000002</c:v>
                </c:pt>
                <c:pt idx="183">
                  <c:v>156.0163</c:v>
                </c:pt>
                <c:pt idx="184">
                  <c:v>157.1069</c:v>
                </c:pt>
                <c:pt idx="185">
                  <c:v>157.1069</c:v>
                </c:pt>
                <c:pt idx="186">
                  <c:v>157.1069</c:v>
                </c:pt>
                <c:pt idx="187">
                  <c:v>157.18830000000005</c:v>
                </c:pt>
                <c:pt idx="188">
                  <c:v>157.77799999999999</c:v>
                </c:pt>
                <c:pt idx="189">
                  <c:v>159.02230000000006</c:v>
                </c:pt>
                <c:pt idx="190">
                  <c:v>159.4701</c:v>
                </c:pt>
                <c:pt idx="191">
                  <c:v>163.96</c:v>
                </c:pt>
                <c:pt idx="192">
                  <c:v>168.20529999999999</c:v>
                </c:pt>
                <c:pt idx="193">
                  <c:v>171.29989999999998</c:v>
                </c:pt>
                <c:pt idx="194">
                  <c:v>174.1867</c:v>
                </c:pt>
                <c:pt idx="195">
                  <c:v>177.94349999999997</c:v>
                </c:pt>
                <c:pt idx="196">
                  <c:v>179.15520000000001</c:v>
                </c:pt>
                <c:pt idx="197">
                  <c:v>179.6362</c:v>
                </c:pt>
                <c:pt idx="198">
                  <c:v>180.63850000000002</c:v>
                </c:pt>
                <c:pt idx="199">
                  <c:v>180.63850000000002</c:v>
                </c:pt>
                <c:pt idx="200">
                  <c:v>180.63850000000002</c:v>
                </c:pt>
                <c:pt idx="201">
                  <c:v>180.95940000000004</c:v>
                </c:pt>
                <c:pt idx="202">
                  <c:v>184.63569999999999</c:v>
                </c:pt>
                <c:pt idx="203">
                  <c:v>184.63569999999999</c:v>
                </c:pt>
                <c:pt idx="204">
                  <c:v>184.63569999999999</c:v>
                </c:pt>
                <c:pt idx="205">
                  <c:v>184.63569999999999</c:v>
                </c:pt>
                <c:pt idx="206">
                  <c:v>184.63569999999999</c:v>
                </c:pt>
                <c:pt idx="207">
                  <c:v>184.63569999999999</c:v>
                </c:pt>
                <c:pt idx="208">
                  <c:v>184.63569999999999</c:v>
                </c:pt>
                <c:pt idx="209">
                  <c:v>184.63569999999999</c:v>
                </c:pt>
                <c:pt idx="210">
                  <c:v>184.63569999999999</c:v>
                </c:pt>
                <c:pt idx="211">
                  <c:v>184.63569999999999</c:v>
                </c:pt>
                <c:pt idx="212">
                  <c:v>184.63569999999999</c:v>
                </c:pt>
                <c:pt idx="213">
                  <c:v>184.63569999999999</c:v>
                </c:pt>
                <c:pt idx="214">
                  <c:v>184.63569999999999</c:v>
                </c:pt>
                <c:pt idx="215">
                  <c:v>184.63569999999999</c:v>
                </c:pt>
                <c:pt idx="216">
                  <c:v>184.63569999999999</c:v>
                </c:pt>
                <c:pt idx="217">
                  <c:v>184.63569999999999</c:v>
                </c:pt>
                <c:pt idx="218">
                  <c:v>184.63569999999999</c:v>
                </c:pt>
                <c:pt idx="219">
                  <c:v>184.63569999999999</c:v>
                </c:pt>
                <c:pt idx="220">
                  <c:v>186.41469999999998</c:v>
                </c:pt>
                <c:pt idx="221">
                  <c:v>187.4905</c:v>
                </c:pt>
                <c:pt idx="222">
                  <c:v>190.03559999999999</c:v>
                </c:pt>
                <c:pt idx="223">
                  <c:v>193.53359999999998</c:v>
                </c:pt>
              </c:numCache>
            </c:numRef>
          </c:val>
        </c:ser>
        <c:ser>
          <c:idx val="1"/>
          <c:order val="1"/>
          <c:tx>
            <c:strRef>
              <c:f>'ipecuTRBO +-'!$G$11</c:f>
              <c:strCache>
                <c:ptCount val="1"/>
                <c:pt idx="0">
                  <c:v>Min</c:v>
                </c:pt>
              </c:strCache>
            </c:strRef>
          </c:tx>
          <c:spPr>
            <a:ln w="13919">
              <a:solidFill>
                <a:srgbClr val="FF00FF"/>
              </a:solidFill>
              <a:prstDash val="solid"/>
            </a:ln>
          </c:spPr>
          <c:marker>
            <c:symbol val="square"/>
            <c:size val="2"/>
            <c:spPr>
              <a:noFill/>
              <a:ln>
                <a:solidFill>
                  <a:srgbClr val="FFFFFF"/>
                </a:solidFill>
                <a:prstDash val="solid"/>
              </a:ln>
            </c:spPr>
          </c:marker>
          <c:cat>
            <c:numRef>
              <c:f>'ipecuTRBO +-'!$D$12:$D$284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'ipecuTRBO +-'!$G$61:$G$284</c:f>
              <c:numCache>
                <c:formatCode>##0.00</c:formatCode>
                <c:ptCount val="224"/>
                <c:pt idx="1">
                  <c:v>57.054499999999997</c:v>
                </c:pt>
                <c:pt idx="2">
                  <c:v>57.054499999999997</c:v>
                </c:pt>
                <c:pt idx="3">
                  <c:v>57.054499999999997</c:v>
                </c:pt>
                <c:pt idx="4">
                  <c:v>57.054499999999997</c:v>
                </c:pt>
                <c:pt idx="5">
                  <c:v>57.054499999999997</c:v>
                </c:pt>
                <c:pt idx="6">
                  <c:v>57.054499999999997</c:v>
                </c:pt>
                <c:pt idx="7">
                  <c:v>57.054499999999997</c:v>
                </c:pt>
                <c:pt idx="8">
                  <c:v>57.054499999999997</c:v>
                </c:pt>
                <c:pt idx="9">
                  <c:v>57.460700000000003</c:v>
                </c:pt>
                <c:pt idx="10">
                  <c:v>57.460700000000003</c:v>
                </c:pt>
                <c:pt idx="11">
                  <c:v>57.460700000000003</c:v>
                </c:pt>
                <c:pt idx="12">
                  <c:v>57.460700000000003</c:v>
                </c:pt>
                <c:pt idx="13">
                  <c:v>57.460700000000003</c:v>
                </c:pt>
                <c:pt idx="14">
                  <c:v>57.460700000000003</c:v>
                </c:pt>
                <c:pt idx="15">
                  <c:v>57.460700000000003</c:v>
                </c:pt>
                <c:pt idx="16">
                  <c:v>57.460700000000003</c:v>
                </c:pt>
                <c:pt idx="17">
                  <c:v>57.460700000000003</c:v>
                </c:pt>
                <c:pt idx="18">
                  <c:v>57.460700000000003</c:v>
                </c:pt>
                <c:pt idx="19">
                  <c:v>57.460700000000003</c:v>
                </c:pt>
                <c:pt idx="20">
                  <c:v>57.460700000000003</c:v>
                </c:pt>
                <c:pt idx="21">
                  <c:v>57.920500000000011</c:v>
                </c:pt>
                <c:pt idx="22">
                  <c:v>57.920500000000011</c:v>
                </c:pt>
                <c:pt idx="23">
                  <c:v>57.920500000000011</c:v>
                </c:pt>
                <c:pt idx="24">
                  <c:v>57.920500000000011</c:v>
                </c:pt>
                <c:pt idx="25">
                  <c:v>57.920500000000011</c:v>
                </c:pt>
                <c:pt idx="26">
                  <c:v>57.920500000000011</c:v>
                </c:pt>
                <c:pt idx="27">
                  <c:v>59.939700000000002</c:v>
                </c:pt>
                <c:pt idx="28">
                  <c:v>60.1006</c:v>
                </c:pt>
                <c:pt idx="29">
                  <c:v>62.615900000000003</c:v>
                </c:pt>
                <c:pt idx="30">
                  <c:v>66.961700000000022</c:v>
                </c:pt>
                <c:pt idx="31">
                  <c:v>69.536900000000003</c:v>
                </c:pt>
                <c:pt idx="32">
                  <c:v>69.536900000000003</c:v>
                </c:pt>
                <c:pt idx="33">
                  <c:v>72.477700000000013</c:v>
                </c:pt>
                <c:pt idx="34">
                  <c:v>75.665599999999998</c:v>
                </c:pt>
                <c:pt idx="35">
                  <c:v>75.665599999999998</c:v>
                </c:pt>
                <c:pt idx="36">
                  <c:v>75.665599999999998</c:v>
                </c:pt>
                <c:pt idx="37">
                  <c:v>75.665599999999998</c:v>
                </c:pt>
                <c:pt idx="38">
                  <c:v>75.665599999999998</c:v>
                </c:pt>
                <c:pt idx="39">
                  <c:v>75.665599999999998</c:v>
                </c:pt>
                <c:pt idx="40">
                  <c:v>75.665599999999998</c:v>
                </c:pt>
                <c:pt idx="41">
                  <c:v>75.665599999999998</c:v>
                </c:pt>
                <c:pt idx="42">
                  <c:v>75.665599999999998</c:v>
                </c:pt>
                <c:pt idx="43">
                  <c:v>75.665599999999998</c:v>
                </c:pt>
                <c:pt idx="44">
                  <c:v>75.665599999999998</c:v>
                </c:pt>
                <c:pt idx="45">
                  <c:v>75.665599999999998</c:v>
                </c:pt>
                <c:pt idx="46">
                  <c:v>75.665599999999998</c:v>
                </c:pt>
                <c:pt idx="47">
                  <c:v>75.665599999999998</c:v>
                </c:pt>
                <c:pt idx="48">
                  <c:v>75.665599999999998</c:v>
                </c:pt>
                <c:pt idx="49">
                  <c:v>75.665599999999998</c:v>
                </c:pt>
                <c:pt idx="50">
                  <c:v>75.665599999999998</c:v>
                </c:pt>
                <c:pt idx="51">
                  <c:v>75.665599999999998</c:v>
                </c:pt>
                <c:pt idx="52">
                  <c:v>75.665599999999998</c:v>
                </c:pt>
                <c:pt idx="53">
                  <c:v>75.665599999999998</c:v>
                </c:pt>
                <c:pt idx="54">
                  <c:v>75.665599999999998</c:v>
                </c:pt>
                <c:pt idx="55">
                  <c:v>75.665599999999998</c:v>
                </c:pt>
                <c:pt idx="56">
                  <c:v>75.665599999999998</c:v>
                </c:pt>
                <c:pt idx="57">
                  <c:v>75.665599999999998</c:v>
                </c:pt>
                <c:pt idx="58">
                  <c:v>75.665599999999998</c:v>
                </c:pt>
                <c:pt idx="59">
                  <c:v>75.665599999999998</c:v>
                </c:pt>
                <c:pt idx="60">
                  <c:v>75.665599999999998</c:v>
                </c:pt>
                <c:pt idx="61">
                  <c:v>75.665599999999998</c:v>
                </c:pt>
                <c:pt idx="62">
                  <c:v>75.665599999999998</c:v>
                </c:pt>
                <c:pt idx="63">
                  <c:v>75.665599999999998</c:v>
                </c:pt>
                <c:pt idx="64">
                  <c:v>75.665599999999998</c:v>
                </c:pt>
                <c:pt idx="65">
                  <c:v>75.665599999999998</c:v>
                </c:pt>
                <c:pt idx="66">
                  <c:v>75.665599999999998</c:v>
                </c:pt>
                <c:pt idx="67">
                  <c:v>75.665599999999998</c:v>
                </c:pt>
                <c:pt idx="68">
                  <c:v>75.665599999999998</c:v>
                </c:pt>
                <c:pt idx="69">
                  <c:v>75.715999999999994</c:v>
                </c:pt>
                <c:pt idx="70">
                  <c:v>75.715999999999994</c:v>
                </c:pt>
                <c:pt idx="71">
                  <c:v>76.011300000000006</c:v>
                </c:pt>
                <c:pt idx="72">
                  <c:v>76.384200000000007</c:v>
                </c:pt>
                <c:pt idx="73">
                  <c:v>76.88339999999998</c:v>
                </c:pt>
                <c:pt idx="74">
                  <c:v>77.021799999999999</c:v>
                </c:pt>
                <c:pt idx="75">
                  <c:v>77.021799999999999</c:v>
                </c:pt>
                <c:pt idx="76">
                  <c:v>77.838499999999982</c:v>
                </c:pt>
                <c:pt idx="77">
                  <c:v>78.234899999999996</c:v>
                </c:pt>
                <c:pt idx="78">
                  <c:v>78.272799999999989</c:v>
                </c:pt>
                <c:pt idx="79">
                  <c:v>78.272799999999989</c:v>
                </c:pt>
                <c:pt idx="80">
                  <c:v>78.272799999999989</c:v>
                </c:pt>
                <c:pt idx="81">
                  <c:v>78.272799999999989</c:v>
                </c:pt>
                <c:pt idx="82">
                  <c:v>78.272799999999989</c:v>
                </c:pt>
                <c:pt idx="83">
                  <c:v>78.272799999999989</c:v>
                </c:pt>
                <c:pt idx="84">
                  <c:v>78.272799999999989</c:v>
                </c:pt>
                <c:pt idx="85">
                  <c:v>79.903200000000027</c:v>
                </c:pt>
                <c:pt idx="86">
                  <c:v>79.903200000000027</c:v>
                </c:pt>
                <c:pt idx="87">
                  <c:v>79.903200000000027</c:v>
                </c:pt>
                <c:pt idx="88">
                  <c:v>79.903200000000027</c:v>
                </c:pt>
                <c:pt idx="89">
                  <c:v>80.032699999999991</c:v>
                </c:pt>
                <c:pt idx="90">
                  <c:v>82.244800000000026</c:v>
                </c:pt>
                <c:pt idx="91">
                  <c:v>82.244800000000026</c:v>
                </c:pt>
                <c:pt idx="92">
                  <c:v>82.244800000000026</c:v>
                </c:pt>
                <c:pt idx="93">
                  <c:v>82.244800000000026</c:v>
                </c:pt>
                <c:pt idx="94">
                  <c:v>82.244800000000026</c:v>
                </c:pt>
                <c:pt idx="95">
                  <c:v>83.690600000000003</c:v>
                </c:pt>
                <c:pt idx="96">
                  <c:v>84.511300000000006</c:v>
                </c:pt>
                <c:pt idx="97">
                  <c:v>84.712599999999995</c:v>
                </c:pt>
                <c:pt idx="98">
                  <c:v>87.653799999999976</c:v>
                </c:pt>
                <c:pt idx="99">
                  <c:v>87.653799999999976</c:v>
                </c:pt>
                <c:pt idx="100">
                  <c:v>87.653799999999976</c:v>
                </c:pt>
                <c:pt idx="101">
                  <c:v>87.653799999999976</c:v>
                </c:pt>
                <c:pt idx="102">
                  <c:v>87.653799999999976</c:v>
                </c:pt>
                <c:pt idx="103">
                  <c:v>87.653799999999976</c:v>
                </c:pt>
                <c:pt idx="104">
                  <c:v>87.653799999999976</c:v>
                </c:pt>
                <c:pt idx="105">
                  <c:v>87.653799999999976</c:v>
                </c:pt>
                <c:pt idx="106">
                  <c:v>87.653799999999976</c:v>
                </c:pt>
                <c:pt idx="107">
                  <c:v>87.653799999999976</c:v>
                </c:pt>
                <c:pt idx="108">
                  <c:v>87.653799999999976</c:v>
                </c:pt>
                <c:pt idx="109">
                  <c:v>87.653799999999976</c:v>
                </c:pt>
                <c:pt idx="110">
                  <c:v>87.653799999999976</c:v>
                </c:pt>
                <c:pt idx="111">
                  <c:v>87.653799999999976</c:v>
                </c:pt>
                <c:pt idx="112">
                  <c:v>87.653799999999976</c:v>
                </c:pt>
                <c:pt idx="113">
                  <c:v>87.653799999999976</c:v>
                </c:pt>
                <c:pt idx="114">
                  <c:v>87.653799999999976</c:v>
                </c:pt>
                <c:pt idx="115">
                  <c:v>87.653799999999976</c:v>
                </c:pt>
                <c:pt idx="116">
                  <c:v>87.653799999999976</c:v>
                </c:pt>
                <c:pt idx="117">
                  <c:v>87.653799999999976</c:v>
                </c:pt>
                <c:pt idx="118">
                  <c:v>87.653799999999976</c:v>
                </c:pt>
                <c:pt idx="119">
                  <c:v>87.653799999999976</c:v>
                </c:pt>
                <c:pt idx="120">
                  <c:v>87.653799999999976</c:v>
                </c:pt>
                <c:pt idx="121">
                  <c:v>87.653799999999976</c:v>
                </c:pt>
                <c:pt idx="122">
                  <c:v>87.653799999999976</c:v>
                </c:pt>
                <c:pt idx="123">
                  <c:v>87.653799999999976</c:v>
                </c:pt>
                <c:pt idx="124">
                  <c:v>87.653799999999976</c:v>
                </c:pt>
                <c:pt idx="125">
                  <c:v>87.653799999999976</c:v>
                </c:pt>
                <c:pt idx="126">
                  <c:v>87.653799999999976</c:v>
                </c:pt>
                <c:pt idx="127">
                  <c:v>90.623199999999983</c:v>
                </c:pt>
                <c:pt idx="128">
                  <c:v>90.764399999999995</c:v>
                </c:pt>
                <c:pt idx="129">
                  <c:v>90.770699999999991</c:v>
                </c:pt>
                <c:pt idx="130">
                  <c:v>91.114999999999995</c:v>
                </c:pt>
                <c:pt idx="131">
                  <c:v>91.114999999999995</c:v>
                </c:pt>
                <c:pt idx="132">
                  <c:v>91.114999999999995</c:v>
                </c:pt>
                <c:pt idx="133">
                  <c:v>91.114999999999995</c:v>
                </c:pt>
                <c:pt idx="134">
                  <c:v>91.114999999999995</c:v>
                </c:pt>
                <c:pt idx="135">
                  <c:v>91.114999999999995</c:v>
                </c:pt>
                <c:pt idx="136">
                  <c:v>91.114999999999995</c:v>
                </c:pt>
                <c:pt idx="137">
                  <c:v>91.114999999999995</c:v>
                </c:pt>
                <c:pt idx="138">
                  <c:v>92.744200000000035</c:v>
                </c:pt>
                <c:pt idx="139">
                  <c:v>92.744200000000035</c:v>
                </c:pt>
                <c:pt idx="140">
                  <c:v>92.744200000000035</c:v>
                </c:pt>
                <c:pt idx="141">
                  <c:v>92.744200000000035</c:v>
                </c:pt>
                <c:pt idx="142">
                  <c:v>94.705000000000013</c:v>
                </c:pt>
                <c:pt idx="143">
                  <c:v>95.744100000000032</c:v>
                </c:pt>
                <c:pt idx="144">
                  <c:v>96.597899999999996</c:v>
                </c:pt>
                <c:pt idx="145">
                  <c:v>97.703400000000002</c:v>
                </c:pt>
                <c:pt idx="146">
                  <c:v>98.090500000000006</c:v>
                </c:pt>
                <c:pt idx="147">
                  <c:v>100.9794</c:v>
                </c:pt>
                <c:pt idx="148">
                  <c:v>101.04120000000003</c:v>
                </c:pt>
                <c:pt idx="149">
                  <c:v>102.70959999999999</c:v>
                </c:pt>
                <c:pt idx="150">
                  <c:v>103.2715</c:v>
                </c:pt>
                <c:pt idx="151">
                  <c:v>104.2334</c:v>
                </c:pt>
                <c:pt idx="152">
                  <c:v>104.65260000000001</c:v>
                </c:pt>
                <c:pt idx="153">
                  <c:v>104.65260000000001</c:v>
                </c:pt>
                <c:pt idx="154">
                  <c:v>105.43700000000003</c:v>
                </c:pt>
                <c:pt idx="155">
                  <c:v>106.1165</c:v>
                </c:pt>
                <c:pt idx="156">
                  <c:v>109.5502</c:v>
                </c:pt>
                <c:pt idx="157">
                  <c:v>113.84439999999999</c:v>
                </c:pt>
                <c:pt idx="158">
                  <c:v>117.15649999999998</c:v>
                </c:pt>
                <c:pt idx="159">
                  <c:v>119.44080000000002</c:v>
                </c:pt>
                <c:pt idx="160">
                  <c:v>119.44080000000002</c:v>
                </c:pt>
                <c:pt idx="161">
                  <c:v>119.44080000000002</c:v>
                </c:pt>
                <c:pt idx="162">
                  <c:v>119.44080000000002</c:v>
                </c:pt>
                <c:pt idx="163">
                  <c:v>119.44080000000002</c:v>
                </c:pt>
                <c:pt idx="164">
                  <c:v>119.44080000000002</c:v>
                </c:pt>
                <c:pt idx="165">
                  <c:v>119.44080000000002</c:v>
                </c:pt>
                <c:pt idx="166">
                  <c:v>119.44080000000002</c:v>
                </c:pt>
                <c:pt idx="167">
                  <c:v>119.44080000000002</c:v>
                </c:pt>
                <c:pt idx="168">
                  <c:v>119.44080000000002</c:v>
                </c:pt>
                <c:pt idx="169">
                  <c:v>119.44080000000002</c:v>
                </c:pt>
                <c:pt idx="170">
                  <c:v>119.44080000000002</c:v>
                </c:pt>
                <c:pt idx="171">
                  <c:v>119.44080000000002</c:v>
                </c:pt>
                <c:pt idx="172">
                  <c:v>119.44080000000002</c:v>
                </c:pt>
                <c:pt idx="173">
                  <c:v>119.44080000000002</c:v>
                </c:pt>
                <c:pt idx="174">
                  <c:v>119.44080000000002</c:v>
                </c:pt>
                <c:pt idx="175">
                  <c:v>121.9817</c:v>
                </c:pt>
                <c:pt idx="176">
                  <c:v>121.9817</c:v>
                </c:pt>
                <c:pt idx="177">
                  <c:v>121.9817</c:v>
                </c:pt>
                <c:pt idx="178">
                  <c:v>121.9817</c:v>
                </c:pt>
                <c:pt idx="179">
                  <c:v>121.9817</c:v>
                </c:pt>
                <c:pt idx="180">
                  <c:v>121.9817</c:v>
                </c:pt>
                <c:pt idx="181">
                  <c:v>125.2589</c:v>
                </c:pt>
                <c:pt idx="182">
                  <c:v>125.5617</c:v>
                </c:pt>
                <c:pt idx="183">
                  <c:v>126.43380000000002</c:v>
                </c:pt>
                <c:pt idx="184">
                  <c:v>127.1133</c:v>
                </c:pt>
                <c:pt idx="185">
                  <c:v>127.1133</c:v>
                </c:pt>
                <c:pt idx="186">
                  <c:v>127.1133</c:v>
                </c:pt>
                <c:pt idx="187">
                  <c:v>127.1133</c:v>
                </c:pt>
                <c:pt idx="188">
                  <c:v>127.1133</c:v>
                </c:pt>
                <c:pt idx="189">
                  <c:v>127.1133</c:v>
                </c:pt>
                <c:pt idx="190">
                  <c:v>127.1133</c:v>
                </c:pt>
                <c:pt idx="191">
                  <c:v>130.74019999999999</c:v>
                </c:pt>
                <c:pt idx="192">
                  <c:v>130.74019999999999</c:v>
                </c:pt>
                <c:pt idx="193">
                  <c:v>130.74019999999999</c:v>
                </c:pt>
                <c:pt idx="194">
                  <c:v>130.74019999999999</c:v>
                </c:pt>
                <c:pt idx="195">
                  <c:v>131.87359999999998</c:v>
                </c:pt>
                <c:pt idx="196">
                  <c:v>131.8998</c:v>
                </c:pt>
                <c:pt idx="197">
                  <c:v>132.1875</c:v>
                </c:pt>
                <c:pt idx="198">
                  <c:v>132.38810000000007</c:v>
                </c:pt>
                <c:pt idx="199">
                  <c:v>132.40120000000005</c:v>
                </c:pt>
                <c:pt idx="200">
                  <c:v>133.10300000000001</c:v>
                </c:pt>
                <c:pt idx="201">
                  <c:v>133.10300000000001</c:v>
                </c:pt>
                <c:pt idx="202">
                  <c:v>134.3092</c:v>
                </c:pt>
                <c:pt idx="203">
                  <c:v>135.48950000000002</c:v>
                </c:pt>
                <c:pt idx="204">
                  <c:v>135.48950000000002</c:v>
                </c:pt>
                <c:pt idx="205">
                  <c:v>138.87540000000001</c:v>
                </c:pt>
                <c:pt idx="206">
                  <c:v>139.07409999999999</c:v>
                </c:pt>
                <c:pt idx="207">
                  <c:v>139.07409999999999</c:v>
                </c:pt>
                <c:pt idx="208">
                  <c:v>139.07409999999999</c:v>
                </c:pt>
                <c:pt idx="209">
                  <c:v>139.07409999999999</c:v>
                </c:pt>
                <c:pt idx="210">
                  <c:v>139.07409999999999</c:v>
                </c:pt>
                <c:pt idx="211">
                  <c:v>139.07409999999999</c:v>
                </c:pt>
                <c:pt idx="212">
                  <c:v>141.15690000000001</c:v>
                </c:pt>
                <c:pt idx="213">
                  <c:v>141.15690000000001</c:v>
                </c:pt>
                <c:pt idx="214">
                  <c:v>141.15690000000001</c:v>
                </c:pt>
                <c:pt idx="215">
                  <c:v>141.15690000000001</c:v>
                </c:pt>
                <c:pt idx="216">
                  <c:v>143.10469999999998</c:v>
                </c:pt>
                <c:pt idx="217">
                  <c:v>143.48620000000005</c:v>
                </c:pt>
                <c:pt idx="218">
                  <c:v>144.06110000000001</c:v>
                </c:pt>
                <c:pt idx="219">
                  <c:v>147.26089999999999</c:v>
                </c:pt>
                <c:pt idx="220">
                  <c:v>147.26089999999999</c:v>
                </c:pt>
                <c:pt idx="221">
                  <c:v>148.40350000000001</c:v>
                </c:pt>
                <c:pt idx="222">
                  <c:v>148.40350000000001</c:v>
                </c:pt>
                <c:pt idx="223">
                  <c:v>148.40350000000001</c:v>
                </c:pt>
              </c:numCache>
            </c:numRef>
          </c:val>
        </c:ser>
        <c:ser>
          <c:idx val="2"/>
          <c:order val="2"/>
          <c:tx>
            <c:strRef>
              <c:f>'ipecuTRBO +-'!$E$11</c:f>
              <c:strCache>
                <c:ptCount val="1"/>
                <c:pt idx="0">
                  <c:v>Precio de cierre</c:v>
                </c:pt>
              </c:strCache>
            </c:strRef>
          </c:tx>
          <c:spPr>
            <a:ln w="13919">
              <a:solidFill>
                <a:srgbClr val="FFFF00"/>
              </a:solidFill>
              <a:prstDash val="solid"/>
            </a:ln>
          </c:spPr>
          <c:marker>
            <c:symbol val="none"/>
          </c:marker>
          <c:cat>
            <c:numRef>
              <c:f>'ipecuTRBO +-'!$D$12:$D$284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'ipecuTRBO +-'!$E$61:$E$284</c:f>
              <c:numCache>
                <c:formatCode>##0.00</c:formatCode>
                <c:ptCount val="224"/>
                <c:pt idx="0">
                  <c:v>78.271799999999999</c:v>
                </c:pt>
                <c:pt idx="1">
                  <c:v>78.762900000000002</c:v>
                </c:pt>
                <c:pt idx="2">
                  <c:v>78.768199999999993</c:v>
                </c:pt>
                <c:pt idx="3">
                  <c:v>81.016000000000005</c:v>
                </c:pt>
                <c:pt idx="4">
                  <c:v>80.729500000000002</c:v>
                </c:pt>
                <c:pt idx="5">
                  <c:v>82.215599999999995</c:v>
                </c:pt>
                <c:pt idx="6">
                  <c:v>82.835999999999999</c:v>
                </c:pt>
                <c:pt idx="7">
                  <c:v>82.188399999999973</c:v>
                </c:pt>
                <c:pt idx="8">
                  <c:v>82.114000000000004</c:v>
                </c:pt>
                <c:pt idx="9">
                  <c:v>81.8506</c:v>
                </c:pt>
                <c:pt idx="10">
                  <c:v>81.801400000000001</c:v>
                </c:pt>
                <c:pt idx="11">
                  <c:v>81.426599999999993</c:v>
                </c:pt>
                <c:pt idx="12">
                  <c:v>81.031599999999997</c:v>
                </c:pt>
                <c:pt idx="13">
                  <c:v>81.215999999999994</c:v>
                </c:pt>
                <c:pt idx="14">
                  <c:v>80.138799999999989</c:v>
                </c:pt>
                <c:pt idx="15">
                  <c:v>80.032399999999981</c:v>
                </c:pt>
                <c:pt idx="16">
                  <c:v>83.810400000000001</c:v>
                </c:pt>
                <c:pt idx="17">
                  <c:v>81.62739999999998</c:v>
                </c:pt>
                <c:pt idx="18">
                  <c:v>75.665599999999998</c:v>
                </c:pt>
                <c:pt idx="19">
                  <c:v>75.715999999999994</c:v>
                </c:pt>
                <c:pt idx="20">
                  <c:v>75.715999999999994</c:v>
                </c:pt>
                <c:pt idx="21">
                  <c:v>76.011300000000006</c:v>
                </c:pt>
                <c:pt idx="22">
                  <c:v>76.384200000000007</c:v>
                </c:pt>
                <c:pt idx="23">
                  <c:v>76.88339999999998</c:v>
                </c:pt>
                <c:pt idx="24">
                  <c:v>78.769099999999995</c:v>
                </c:pt>
                <c:pt idx="25">
                  <c:v>77.021799999999999</c:v>
                </c:pt>
                <c:pt idx="26">
                  <c:v>77.838499999999982</c:v>
                </c:pt>
                <c:pt idx="27">
                  <c:v>78.234899999999996</c:v>
                </c:pt>
                <c:pt idx="28">
                  <c:v>79.49920000000003</c:v>
                </c:pt>
                <c:pt idx="29">
                  <c:v>80.307199999999995</c:v>
                </c:pt>
                <c:pt idx="30">
                  <c:v>80.477400000000003</c:v>
                </c:pt>
                <c:pt idx="31">
                  <c:v>78.690399999999983</c:v>
                </c:pt>
                <c:pt idx="32">
                  <c:v>79.949799999999996</c:v>
                </c:pt>
                <c:pt idx="33">
                  <c:v>79.44610000000003</c:v>
                </c:pt>
                <c:pt idx="34">
                  <c:v>78.272799999999989</c:v>
                </c:pt>
                <c:pt idx="35">
                  <c:v>80.166399999999982</c:v>
                </c:pt>
                <c:pt idx="36">
                  <c:v>80.052300000000002</c:v>
                </c:pt>
                <c:pt idx="37">
                  <c:v>80.048599999999993</c:v>
                </c:pt>
                <c:pt idx="38">
                  <c:v>79.903200000000027</c:v>
                </c:pt>
                <c:pt idx="39">
                  <c:v>80.032699999999991</c:v>
                </c:pt>
                <c:pt idx="40">
                  <c:v>84.548900000000003</c:v>
                </c:pt>
                <c:pt idx="41">
                  <c:v>84.796499999999995</c:v>
                </c:pt>
                <c:pt idx="42">
                  <c:v>83.872499999999988</c:v>
                </c:pt>
                <c:pt idx="43">
                  <c:v>87.936499999999995</c:v>
                </c:pt>
                <c:pt idx="44">
                  <c:v>82.244800000000026</c:v>
                </c:pt>
                <c:pt idx="45">
                  <c:v>83.690600000000003</c:v>
                </c:pt>
                <c:pt idx="46">
                  <c:v>84.511300000000006</c:v>
                </c:pt>
                <c:pt idx="47">
                  <c:v>84.712599999999995</c:v>
                </c:pt>
                <c:pt idx="48">
                  <c:v>96.486900000000006</c:v>
                </c:pt>
                <c:pt idx="49">
                  <c:v>91.979200000000006</c:v>
                </c:pt>
                <c:pt idx="50">
                  <c:v>91.8048</c:v>
                </c:pt>
                <c:pt idx="51">
                  <c:v>92.15049999999998</c:v>
                </c:pt>
                <c:pt idx="52">
                  <c:v>93.787600000000026</c:v>
                </c:pt>
                <c:pt idx="53">
                  <c:v>93.787600000000026</c:v>
                </c:pt>
                <c:pt idx="54">
                  <c:v>89.550600000000003</c:v>
                </c:pt>
                <c:pt idx="55">
                  <c:v>89.437700000000007</c:v>
                </c:pt>
                <c:pt idx="56">
                  <c:v>88.9559</c:v>
                </c:pt>
                <c:pt idx="57">
                  <c:v>89.510400000000004</c:v>
                </c:pt>
                <c:pt idx="58">
                  <c:v>89.781899999999993</c:v>
                </c:pt>
                <c:pt idx="59">
                  <c:v>90.682399999999973</c:v>
                </c:pt>
                <c:pt idx="60">
                  <c:v>91.620099999999979</c:v>
                </c:pt>
                <c:pt idx="61">
                  <c:v>90.458100000000002</c:v>
                </c:pt>
                <c:pt idx="62">
                  <c:v>91.450999999999993</c:v>
                </c:pt>
                <c:pt idx="63">
                  <c:v>88.384600000000006</c:v>
                </c:pt>
                <c:pt idx="64">
                  <c:v>88.511500000000026</c:v>
                </c:pt>
                <c:pt idx="65">
                  <c:v>88.785200000000003</c:v>
                </c:pt>
                <c:pt idx="66">
                  <c:v>90.356200000000001</c:v>
                </c:pt>
                <c:pt idx="67">
                  <c:v>89.240899999999996</c:v>
                </c:pt>
                <c:pt idx="68">
                  <c:v>91.452600000000004</c:v>
                </c:pt>
                <c:pt idx="69">
                  <c:v>91.694100000000006</c:v>
                </c:pt>
                <c:pt idx="70">
                  <c:v>90.8386</c:v>
                </c:pt>
                <c:pt idx="71">
                  <c:v>91.421800000000005</c:v>
                </c:pt>
                <c:pt idx="72">
                  <c:v>94.963899999999995</c:v>
                </c:pt>
                <c:pt idx="73">
                  <c:v>92.072899999999976</c:v>
                </c:pt>
                <c:pt idx="74">
                  <c:v>92.072899999999976</c:v>
                </c:pt>
                <c:pt idx="75">
                  <c:v>91.318699999999993</c:v>
                </c:pt>
                <c:pt idx="76">
                  <c:v>87.653799999999976</c:v>
                </c:pt>
                <c:pt idx="77">
                  <c:v>90.623199999999983</c:v>
                </c:pt>
                <c:pt idx="78">
                  <c:v>90.764399999999995</c:v>
                </c:pt>
                <c:pt idx="79">
                  <c:v>90.770699999999991</c:v>
                </c:pt>
                <c:pt idx="80">
                  <c:v>92.39579999999998</c:v>
                </c:pt>
                <c:pt idx="81">
                  <c:v>92.796099999999996</c:v>
                </c:pt>
                <c:pt idx="82">
                  <c:v>92.669999999999987</c:v>
                </c:pt>
                <c:pt idx="83">
                  <c:v>92.19</c:v>
                </c:pt>
                <c:pt idx="84">
                  <c:v>94.610900000000001</c:v>
                </c:pt>
                <c:pt idx="85">
                  <c:v>93.013200000000026</c:v>
                </c:pt>
                <c:pt idx="86">
                  <c:v>92.954499999999996</c:v>
                </c:pt>
                <c:pt idx="87">
                  <c:v>91.114999999999995</c:v>
                </c:pt>
                <c:pt idx="88">
                  <c:v>92.972799999999978</c:v>
                </c:pt>
                <c:pt idx="89">
                  <c:v>93.838399999999979</c:v>
                </c:pt>
                <c:pt idx="90">
                  <c:v>94.744200000000035</c:v>
                </c:pt>
                <c:pt idx="91">
                  <c:v>92.744200000000035</c:v>
                </c:pt>
                <c:pt idx="92">
                  <c:v>94.705000000000013</c:v>
                </c:pt>
                <c:pt idx="93">
                  <c:v>95.744100000000032</c:v>
                </c:pt>
                <c:pt idx="94">
                  <c:v>96.597899999999996</c:v>
                </c:pt>
                <c:pt idx="95">
                  <c:v>97.703400000000002</c:v>
                </c:pt>
                <c:pt idx="96">
                  <c:v>98.090500000000006</c:v>
                </c:pt>
                <c:pt idx="97">
                  <c:v>100.9794</c:v>
                </c:pt>
                <c:pt idx="98">
                  <c:v>101.04120000000003</c:v>
                </c:pt>
                <c:pt idx="99">
                  <c:v>102.70959999999999</c:v>
                </c:pt>
                <c:pt idx="100">
                  <c:v>103.2715</c:v>
                </c:pt>
                <c:pt idx="101">
                  <c:v>104.2334</c:v>
                </c:pt>
                <c:pt idx="102">
                  <c:v>105.0265</c:v>
                </c:pt>
                <c:pt idx="103">
                  <c:v>104.65260000000001</c:v>
                </c:pt>
                <c:pt idx="104">
                  <c:v>105.43700000000003</c:v>
                </c:pt>
                <c:pt idx="105">
                  <c:v>106.1165</c:v>
                </c:pt>
                <c:pt idx="106">
                  <c:v>109.5502</c:v>
                </c:pt>
                <c:pt idx="107">
                  <c:v>113.84439999999999</c:v>
                </c:pt>
                <c:pt idx="108">
                  <c:v>117.15649999999998</c:v>
                </c:pt>
                <c:pt idx="109">
                  <c:v>120.16070000000001</c:v>
                </c:pt>
                <c:pt idx="110">
                  <c:v>124.8094</c:v>
                </c:pt>
                <c:pt idx="111">
                  <c:v>131.7672</c:v>
                </c:pt>
                <c:pt idx="112">
                  <c:v>129.38870000000006</c:v>
                </c:pt>
                <c:pt idx="113">
                  <c:v>124.2291</c:v>
                </c:pt>
                <c:pt idx="114">
                  <c:v>122.2021</c:v>
                </c:pt>
                <c:pt idx="115">
                  <c:v>121.2256</c:v>
                </c:pt>
                <c:pt idx="116">
                  <c:v>120.5895</c:v>
                </c:pt>
                <c:pt idx="117">
                  <c:v>121.31480000000002</c:v>
                </c:pt>
                <c:pt idx="118">
                  <c:v>121.54410000000003</c:v>
                </c:pt>
                <c:pt idx="119">
                  <c:v>123.2226</c:v>
                </c:pt>
                <c:pt idx="120">
                  <c:v>123.8081</c:v>
                </c:pt>
                <c:pt idx="121">
                  <c:v>125.3673</c:v>
                </c:pt>
                <c:pt idx="122">
                  <c:v>124.93320000000003</c:v>
                </c:pt>
                <c:pt idx="123">
                  <c:v>125.01909999999999</c:v>
                </c:pt>
                <c:pt idx="124">
                  <c:v>119.44080000000002</c:v>
                </c:pt>
                <c:pt idx="125">
                  <c:v>123.88120000000002</c:v>
                </c:pt>
                <c:pt idx="126">
                  <c:v>123.63249999999998</c:v>
                </c:pt>
                <c:pt idx="127">
                  <c:v>122.4588</c:v>
                </c:pt>
                <c:pt idx="128">
                  <c:v>123.24430000000002</c:v>
                </c:pt>
                <c:pt idx="129">
                  <c:v>122.5647</c:v>
                </c:pt>
                <c:pt idx="130">
                  <c:v>121.9817</c:v>
                </c:pt>
                <c:pt idx="131">
                  <c:v>125.2589</c:v>
                </c:pt>
                <c:pt idx="132">
                  <c:v>125.5617</c:v>
                </c:pt>
                <c:pt idx="133">
                  <c:v>126.43380000000002</c:v>
                </c:pt>
                <c:pt idx="134">
                  <c:v>129.4753</c:v>
                </c:pt>
                <c:pt idx="135">
                  <c:v>128.03989999999999</c:v>
                </c:pt>
                <c:pt idx="136">
                  <c:v>127.98480000000002</c:v>
                </c:pt>
                <c:pt idx="137">
                  <c:v>128.6568</c:v>
                </c:pt>
                <c:pt idx="138">
                  <c:v>128.06610000000001</c:v>
                </c:pt>
                <c:pt idx="139">
                  <c:v>131.68640000000005</c:v>
                </c:pt>
                <c:pt idx="140">
                  <c:v>127.1133</c:v>
                </c:pt>
                <c:pt idx="141">
                  <c:v>131.36540000000005</c:v>
                </c:pt>
                <c:pt idx="142">
                  <c:v>131.60890000000001</c:v>
                </c:pt>
                <c:pt idx="143">
                  <c:v>131.51230000000001</c:v>
                </c:pt>
                <c:pt idx="144">
                  <c:v>130.74019999999999</c:v>
                </c:pt>
                <c:pt idx="145">
                  <c:v>131.87359999999998</c:v>
                </c:pt>
                <c:pt idx="146">
                  <c:v>131.8998</c:v>
                </c:pt>
                <c:pt idx="147">
                  <c:v>132.1875</c:v>
                </c:pt>
                <c:pt idx="148">
                  <c:v>132.38810000000007</c:v>
                </c:pt>
                <c:pt idx="149">
                  <c:v>132.40120000000005</c:v>
                </c:pt>
                <c:pt idx="150">
                  <c:v>133.24709999999999</c:v>
                </c:pt>
                <c:pt idx="151">
                  <c:v>133.10300000000001</c:v>
                </c:pt>
                <c:pt idx="152">
                  <c:v>134.3092</c:v>
                </c:pt>
                <c:pt idx="153">
                  <c:v>136.55030000000005</c:v>
                </c:pt>
                <c:pt idx="154">
                  <c:v>135.48950000000002</c:v>
                </c:pt>
                <c:pt idx="155">
                  <c:v>138.87540000000001</c:v>
                </c:pt>
                <c:pt idx="156">
                  <c:v>139.25959999999998</c:v>
                </c:pt>
                <c:pt idx="157">
                  <c:v>140.27939999999998</c:v>
                </c:pt>
                <c:pt idx="158">
                  <c:v>140.71919999999994</c:v>
                </c:pt>
                <c:pt idx="159">
                  <c:v>142.95270000000005</c:v>
                </c:pt>
                <c:pt idx="160">
                  <c:v>140.83120000000005</c:v>
                </c:pt>
                <c:pt idx="161">
                  <c:v>139.07409999999999</c:v>
                </c:pt>
                <c:pt idx="162">
                  <c:v>141.3099</c:v>
                </c:pt>
                <c:pt idx="163">
                  <c:v>141.98730000000006</c:v>
                </c:pt>
                <c:pt idx="164">
                  <c:v>141.47820000000004</c:v>
                </c:pt>
                <c:pt idx="165">
                  <c:v>141.15690000000001</c:v>
                </c:pt>
                <c:pt idx="166">
                  <c:v>143.10469999999998</c:v>
                </c:pt>
                <c:pt idx="167">
                  <c:v>143.48620000000005</c:v>
                </c:pt>
                <c:pt idx="168">
                  <c:v>144.06110000000001</c:v>
                </c:pt>
                <c:pt idx="169">
                  <c:v>147.26089999999999</c:v>
                </c:pt>
                <c:pt idx="170">
                  <c:v>147.26089999999999</c:v>
                </c:pt>
                <c:pt idx="171">
                  <c:v>148.51499999999999</c:v>
                </c:pt>
                <c:pt idx="172">
                  <c:v>148.691</c:v>
                </c:pt>
                <c:pt idx="173">
                  <c:v>148.40350000000001</c:v>
                </c:pt>
                <c:pt idx="174">
                  <c:v>148.58530000000005</c:v>
                </c:pt>
                <c:pt idx="175">
                  <c:v>149.93710000000004</c:v>
                </c:pt>
                <c:pt idx="176">
                  <c:v>149.7628</c:v>
                </c:pt>
                <c:pt idx="177">
                  <c:v>149.77529999999999</c:v>
                </c:pt>
                <c:pt idx="178">
                  <c:v>150.21399999999994</c:v>
                </c:pt>
                <c:pt idx="179">
                  <c:v>150.72230000000005</c:v>
                </c:pt>
                <c:pt idx="180">
                  <c:v>153.4958</c:v>
                </c:pt>
                <c:pt idx="181">
                  <c:v>155.98350000000002</c:v>
                </c:pt>
                <c:pt idx="182">
                  <c:v>156.0163</c:v>
                </c:pt>
                <c:pt idx="183">
                  <c:v>157.1069</c:v>
                </c:pt>
                <c:pt idx="184">
                  <c:v>156.11189999999999</c:v>
                </c:pt>
                <c:pt idx="185">
                  <c:v>156.4427</c:v>
                </c:pt>
                <c:pt idx="186">
                  <c:v>157.18830000000005</c:v>
                </c:pt>
                <c:pt idx="187">
                  <c:v>157.77799999999999</c:v>
                </c:pt>
                <c:pt idx="188">
                  <c:v>159.02230000000006</c:v>
                </c:pt>
                <c:pt idx="189">
                  <c:v>159.4701</c:v>
                </c:pt>
                <c:pt idx="190">
                  <c:v>163.96</c:v>
                </c:pt>
                <c:pt idx="191">
                  <c:v>168.20529999999999</c:v>
                </c:pt>
                <c:pt idx="192">
                  <c:v>171.29989999999998</c:v>
                </c:pt>
                <c:pt idx="193">
                  <c:v>174.1867</c:v>
                </c:pt>
                <c:pt idx="194">
                  <c:v>177.94349999999997</c:v>
                </c:pt>
                <c:pt idx="195">
                  <c:v>179.15520000000001</c:v>
                </c:pt>
                <c:pt idx="196">
                  <c:v>179.6362</c:v>
                </c:pt>
                <c:pt idx="197">
                  <c:v>180.63850000000002</c:v>
                </c:pt>
                <c:pt idx="198">
                  <c:v>180.37550000000002</c:v>
                </c:pt>
                <c:pt idx="199">
                  <c:v>179.5599</c:v>
                </c:pt>
                <c:pt idx="200">
                  <c:v>180.95940000000004</c:v>
                </c:pt>
                <c:pt idx="201">
                  <c:v>184.63569999999999</c:v>
                </c:pt>
                <c:pt idx="202">
                  <c:v>183.47810000000001</c:v>
                </c:pt>
                <c:pt idx="203">
                  <c:v>180.50840000000005</c:v>
                </c:pt>
                <c:pt idx="204">
                  <c:v>179.73009999999999</c:v>
                </c:pt>
                <c:pt idx="205">
                  <c:v>179.4665</c:v>
                </c:pt>
                <c:pt idx="206">
                  <c:v>180.46369999999999</c:v>
                </c:pt>
                <c:pt idx="207">
                  <c:v>180.52440000000001</c:v>
                </c:pt>
                <c:pt idx="208">
                  <c:v>180.86230000000006</c:v>
                </c:pt>
                <c:pt idx="209">
                  <c:v>179.77439999999999</c:v>
                </c:pt>
                <c:pt idx="210">
                  <c:v>180.12309999999999</c:v>
                </c:pt>
                <c:pt idx="211">
                  <c:v>179.44540000000001</c:v>
                </c:pt>
                <c:pt idx="212">
                  <c:v>179.90430000000001</c:v>
                </c:pt>
                <c:pt idx="213">
                  <c:v>179.5994</c:v>
                </c:pt>
                <c:pt idx="214">
                  <c:v>179.1986</c:v>
                </c:pt>
                <c:pt idx="215">
                  <c:v>179.2594</c:v>
                </c:pt>
                <c:pt idx="216">
                  <c:v>178.6808</c:v>
                </c:pt>
                <c:pt idx="217">
                  <c:v>178.76549999999997</c:v>
                </c:pt>
                <c:pt idx="218">
                  <c:v>180.11479999999995</c:v>
                </c:pt>
                <c:pt idx="219">
                  <c:v>186.41469999999998</c:v>
                </c:pt>
                <c:pt idx="220">
                  <c:v>187.4905</c:v>
                </c:pt>
                <c:pt idx="221">
                  <c:v>190.03559999999999</c:v>
                </c:pt>
                <c:pt idx="222">
                  <c:v>193.53359999999998</c:v>
                </c:pt>
                <c:pt idx="223">
                  <c:v>196.37540000000001</c:v>
                </c:pt>
              </c:numCache>
            </c:numRef>
          </c:val>
        </c:ser>
        <c:marker val="1"/>
        <c:axId val="213163008"/>
        <c:axId val="213164800"/>
      </c:lineChart>
      <c:dateAx>
        <c:axId val="213163008"/>
        <c:scaling>
          <c:orientation val="minMax"/>
        </c:scaling>
        <c:axPos val="b"/>
        <c:numFmt formatCode="dd/mm/yyyy" sourceLinked="0"/>
        <c:tickLblPos val="nextTo"/>
        <c:spPr>
          <a:ln w="3480">
            <a:solidFill>
              <a:srgbClr val="000000"/>
            </a:solidFill>
            <a:prstDash val="solid"/>
          </a:ln>
        </c:spPr>
        <c:txPr>
          <a:bodyPr rot="-5400000" vert="horz"/>
          <a:lstStyle/>
          <a:p>
            <a:pPr>
              <a:defRPr sz="630" b="0" i="0" u="none" strike="noStrike" baseline="0">
                <a:solidFill>
                  <a:srgbClr val="000000"/>
                </a:solidFill>
                <a:latin typeface="Arial"/>
                <a:ea typeface="Arial"/>
                <a:cs typeface="Arial"/>
              </a:defRPr>
            </a:pPr>
            <a:endParaRPr lang="es-ES"/>
          </a:p>
        </c:txPr>
        <c:crossAx val="213164800"/>
        <c:crosses val="autoZero"/>
        <c:auto val="1"/>
        <c:lblOffset val="100"/>
        <c:baseTimeUnit val="days"/>
        <c:majorUnit val="2"/>
        <c:majorTimeUnit val="months"/>
        <c:minorUnit val="1"/>
        <c:minorTimeUnit val="months"/>
      </c:dateAx>
      <c:valAx>
        <c:axId val="213164800"/>
        <c:scaling>
          <c:orientation val="minMax"/>
        </c:scaling>
        <c:axPos val="l"/>
        <c:numFmt formatCode="General" sourceLinked="1"/>
        <c:tickLblPos val="nextTo"/>
        <c:spPr>
          <a:ln w="3480">
            <a:solidFill>
              <a:srgbClr val="000000"/>
            </a:solidFill>
            <a:prstDash val="solid"/>
          </a:ln>
        </c:spPr>
        <c:txPr>
          <a:bodyPr rot="0" vert="horz"/>
          <a:lstStyle/>
          <a:p>
            <a:pPr>
              <a:defRPr sz="630" b="0" i="0" u="none" strike="noStrike" baseline="0">
                <a:solidFill>
                  <a:srgbClr val="000000"/>
                </a:solidFill>
                <a:latin typeface="Arial"/>
                <a:ea typeface="Arial"/>
                <a:cs typeface="Arial"/>
              </a:defRPr>
            </a:pPr>
            <a:endParaRPr lang="es-ES"/>
          </a:p>
        </c:txPr>
        <c:crossAx val="213163008"/>
        <c:crosses val="autoZero"/>
        <c:crossBetween val="between"/>
      </c:valAx>
      <c:spPr>
        <a:solidFill>
          <a:srgbClr val="C0C0C0"/>
        </a:solidFill>
        <a:ln w="13919">
          <a:solidFill>
            <a:srgbClr val="808080"/>
          </a:solidFill>
          <a:prstDash val="solid"/>
        </a:ln>
      </c:spPr>
    </c:plotArea>
    <c:legend>
      <c:legendPos val="t"/>
      <c:layout>
        <c:manualLayout>
          <c:xMode val="edge"/>
          <c:yMode val="edge"/>
          <c:x val="0"/>
          <c:y val="0"/>
          <c:w val="0.2004048582995952"/>
          <c:h val="0.13223140495867769"/>
        </c:manualLayout>
      </c:layout>
      <c:spPr>
        <a:solidFill>
          <a:srgbClr val="C0C0C0"/>
        </a:solidFill>
        <a:ln w="3480">
          <a:solidFill>
            <a:srgbClr val="FFFFFF"/>
          </a:solidFill>
          <a:prstDash val="solid"/>
        </a:ln>
      </c:spPr>
      <c:txPr>
        <a:bodyPr/>
        <a:lstStyle/>
        <a:p>
          <a:pPr>
            <a:defRPr sz="553"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480">
      <a:solidFill>
        <a:srgbClr val="000000"/>
      </a:solidFill>
      <a:prstDash val="solid"/>
    </a:ln>
  </c:spPr>
  <c:txPr>
    <a:bodyPr/>
    <a:lstStyle/>
    <a:p>
      <a:pPr>
        <a:defRPr sz="1178"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11" b="1" i="0" u="none" strike="noStrike" baseline="0">
                <a:solidFill>
                  <a:srgbClr val="000000"/>
                </a:solidFill>
                <a:latin typeface="Arial"/>
                <a:ea typeface="Arial"/>
                <a:cs typeface="Arial"/>
              </a:defRPr>
            </a:pPr>
            <a:r>
              <a:t>TRADING RANGE BREAK-OUT IRECU</a:t>
            </a:r>
          </a:p>
        </c:rich>
      </c:tx>
      <c:layout>
        <c:manualLayout>
          <c:xMode val="edge"/>
          <c:yMode val="edge"/>
          <c:x val="0.34564643799472305"/>
          <c:y val="5.1282051282051282E-3"/>
        </c:manualLayout>
      </c:layout>
      <c:spPr>
        <a:noFill/>
        <a:ln w="35286">
          <a:noFill/>
        </a:ln>
      </c:spPr>
    </c:title>
    <c:plotArea>
      <c:layout>
        <c:manualLayout>
          <c:layoutTarget val="inner"/>
          <c:xMode val="edge"/>
          <c:yMode val="edge"/>
          <c:x val="0.11609498680738786"/>
          <c:y val="0.44615384615384618"/>
          <c:w val="0.84432717678100266"/>
          <c:h val="3.5897435897435895E-2"/>
        </c:manualLayout>
      </c:layout>
      <c:lineChart>
        <c:grouping val="standard"/>
        <c:ser>
          <c:idx val="0"/>
          <c:order val="0"/>
          <c:tx>
            <c:strRef>
              <c:f>'IRECUTRBO +-'!$F$11</c:f>
              <c:strCache>
                <c:ptCount val="1"/>
                <c:pt idx="0">
                  <c:v>Max</c:v>
                </c:pt>
              </c:strCache>
            </c:strRef>
          </c:tx>
          <c:spPr>
            <a:ln w="17643">
              <a:pattFill prst="pct75">
                <a:fgClr>
                  <a:srgbClr val="000080"/>
                </a:fgClr>
                <a:bgClr>
                  <a:srgbClr val="FFFFFF"/>
                </a:bgClr>
              </a:pattFill>
              <a:prstDash val="solid"/>
            </a:ln>
          </c:spPr>
          <c:marker>
            <c:symbol val="square"/>
            <c:size val="2"/>
            <c:spPr>
              <a:noFill/>
              <a:ln>
                <a:solidFill>
                  <a:srgbClr val="0000FF"/>
                </a:solidFill>
                <a:prstDash val="solid"/>
              </a:ln>
            </c:spPr>
          </c:marker>
          <c:cat>
            <c:numRef>
              <c:f>'IRECUTRBO +-'!$D$12:$D$284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'IRECUTRBO +-'!$F$61:$F$284</c:f>
              <c:numCache>
                <c:formatCode>##0.00</c:formatCode>
                <c:ptCount val="224"/>
                <c:pt idx="1">
                  <c:v>121.49110000000003</c:v>
                </c:pt>
                <c:pt idx="2">
                  <c:v>121.49110000000003</c:v>
                </c:pt>
                <c:pt idx="3">
                  <c:v>121.49110000000003</c:v>
                </c:pt>
                <c:pt idx="4">
                  <c:v>121.49110000000003</c:v>
                </c:pt>
                <c:pt idx="5">
                  <c:v>121.49110000000003</c:v>
                </c:pt>
                <c:pt idx="6">
                  <c:v>121.49110000000003</c:v>
                </c:pt>
                <c:pt idx="7">
                  <c:v>121.49110000000003</c:v>
                </c:pt>
                <c:pt idx="8">
                  <c:v>121.49110000000003</c:v>
                </c:pt>
                <c:pt idx="9">
                  <c:v>121.49110000000003</c:v>
                </c:pt>
                <c:pt idx="10">
                  <c:v>121.49110000000003</c:v>
                </c:pt>
                <c:pt idx="11">
                  <c:v>121.49110000000003</c:v>
                </c:pt>
                <c:pt idx="12">
                  <c:v>121.49110000000003</c:v>
                </c:pt>
                <c:pt idx="13">
                  <c:v>121.49110000000003</c:v>
                </c:pt>
                <c:pt idx="14">
                  <c:v>121.49110000000003</c:v>
                </c:pt>
                <c:pt idx="15">
                  <c:v>121.49110000000003</c:v>
                </c:pt>
                <c:pt idx="16">
                  <c:v>121.49110000000003</c:v>
                </c:pt>
                <c:pt idx="17">
                  <c:v>122.71220000000002</c:v>
                </c:pt>
                <c:pt idx="18">
                  <c:v>122.71220000000002</c:v>
                </c:pt>
                <c:pt idx="19">
                  <c:v>122.71220000000002</c:v>
                </c:pt>
                <c:pt idx="20">
                  <c:v>122.71220000000002</c:v>
                </c:pt>
                <c:pt idx="21">
                  <c:v>122.71220000000002</c:v>
                </c:pt>
                <c:pt idx="22">
                  <c:v>122.71220000000002</c:v>
                </c:pt>
                <c:pt idx="23">
                  <c:v>122.71220000000002</c:v>
                </c:pt>
                <c:pt idx="24">
                  <c:v>122.71220000000002</c:v>
                </c:pt>
                <c:pt idx="25">
                  <c:v>122.71220000000002</c:v>
                </c:pt>
                <c:pt idx="26">
                  <c:v>122.71220000000002</c:v>
                </c:pt>
                <c:pt idx="27">
                  <c:v>122.71220000000002</c:v>
                </c:pt>
                <c:pt idx="28">
                  <c:v>122.71220000000002</c:v>
                </c:pt>
                <c:pt idx="29">
                  <c:v>122.71220000000002</c:v>
                </c:pt>
                <c:pt idx="30">
                  <c:v>122.71220000000002</c:v>
                </c:pt>
                <c:pt idx="31">
                  <c:v>122.71220000000002</c:v>
                </c:pt>
                <c:pt idx="32">
                  <c:v>122.71220000000002</c:v>
                </c:pt>
                <c:pt idx="33">
                  <c:v>122.71220000000002</c:v>
                </c:pt>
                <c:pt idx="34">
                  <c:v>122.71220000000002</c:v>
                </c:pt>
                <c:pt idx="35">
                  <c:v>122.71220000000002</c:v>
                </c:pt>
                <c:pt idx="36">
                  <c:v>122.71220000000002</c:v>
                </c:pt>
                <c:pt idx="37">
                  <c:v>122.71220000000002</c:v>
                </c:pt>
                <c:pt idx="38">
                  <c:v>122.71220000000002</c:v>
                </c:pt>
                <c:pt idx="39">
                  <c:v>122.71220000000002</c:v>
                </c:pt>
                <c:pt idx="40">
                  <c:v>122.71220000000002</c:v>
                </c:pt>
                <c:pt idx="41">
                  <c:v>124.0249</c:v>
                </c:pt>
                <c:pt idx="42">
                  <c:v>124.38809999999998</c:v>
                </c:pt>
                <c:pt idx="43">
                  <c:v>124.38809999999998</c:v>
                </c:pt>
                <c:pt idx="44">
                  <c:v>128.9941</c:v>
                </c:pt>
                <c:pt idx="45">
                  <c:v>128.9941</c:v>
                </c:pt>
                <c:pt idx="46">
                  <c:v>128.9941</c:v>
                </c:pt>
                <c:pt idx="47">
                  <c:v>128.9941</c:v>
                </c:pt>
                <c:pt idx="48">
                  <c:v>128.9941</c:v>
                </c:pt>
                <c:pt idx="49">
                  <c:v>141.5368</c:v>
                </c:pt>
                <c:pt idx="50">
                  <c:v>141.5368</c:v>
                </c:pt>
                <c:pt idx="51">
                  <c:v>141.5368</c:v>
                </c:pt>
                <c:pt idx="52">
                  <c:v>141.5368</c:v>
                </c:pt>
                <c:pt idx="53">
                  <c:v>141.5368</c:v>
                </c:pt>
                <c:pt idx="54">
                  <c:v>141.5368</c:v>
                </c:pt>
                <c:pt idx="55">
                  <c:v>141.5368</c:v>
                </c:pt>
                <c:pt idx="56">
                  <c:v>141.5368</c:v>
                </c:pt>
                <c:pt idx="57">
                  <c:v>141.5368</c:v>
                </c:pt>
                <c:pt idx="58">
                  <c:v>141.5368</c:v>
                </c:pt>
                <c:pt idx="59">
                  <c:v>141.5368</c:v>
                </c:pt>
                <c:pt idx="60">
                  <c:v>141.5368</c:v>
                </c:pt>
                <c:pt idx="61">
                  <c:v>141.5368</c:v>
                </c:pt>
                <c:pt idx="62">
                  <c:v>141.5368</c:v>
                </c:pt>
                <c:pt idx="63">
                  <c:v>141.5368</c:v>
                </c:pt>
                <c:pt idx="64">
                  <c:v>141.5368</c:v>
                </c:pt>
                <c:pt idx="65">
                  <c:v>141.5368</c:v>
                </c:pt>
                <c:pt idx="66">
                  <c:v>141.5368</c:v>
                </c:pt>
                <c:pt idx="67">
                  <c:v>141.5368</c:v>
                </c:pt>
                <c:pt idx="68">
                  <c:v>141.5368</c:v>
                </c:pt>
                <c:pt idx="69">
                  <c:v>141.5368</c:v>
                </c:pt>
                <c:pt idx="70">
                  <c:v>141.5368</c:v>
                </c:pt>
                <c:pt idx="71">
                  <c:v>141.5368</c:v>
                </c:pt>
                <c:pt idx="72">
                  <c:v>141.5368</c:v>
                </c:pt>
                <c:pt idx="73">
                  <c:v>141.5368</c:v>
                </c:pt>
                <c:pt idx="74">
                  <c:v>141.5368</c:v>
                </c:pt>
                <c:pt idx="75">
                  <c:v>141.5368</c:v>
                </c:pt>
                <c:pt idx="76">
                  <c:v>141.5368</c:v>
                </c:pt>
                <c:pt idx="77">
                  <c:v>141.5368</c:v>
                </c:pt>
                <c:pt idx="78">
                  <c:v>141.5368</c:v>
                </c:pt>
                <c:pt idx="79">
                  <c:v>141.5368</c:v>
                </c:pt>
                <c:pt idx="80">
                  <c:v>141.5368</c:v>
                </c:pt>
                <c:pt idx="81">
                  <c:v>141.5368</c:v>
                </c:pt>
                <c:pt idx="82">
                  <c:v>141.5368</c:v>
                </c:pt>
                <c:pt idx="83">
                  <c:v>141.5368</c:v>
                </c:pt>
                <c:pt idx="84">
                  <c:v>141.5368</c:v>
                </c:pt>
                <c:pt idx="85">
                  <c:v>141.5368</c:v>
                </c:pt>
                <c:pt idx="86">
                  <c:v>141.5368</c:v>
                </c:pt>
                <c:pt idx="87">
                  <c:v>141.5368</c:v>
                </c:pt>
                <c:pt idx="88">
                  <c:v>141.5368</c:v>
                </c:pt>
                <c:pt idx="89">
                  <c:v>143.9117</c:v>
                </c:pt>
                <c:pt idx="90">
                  <c:v>145.78710000000001</c:v>
                </c:pt>
                <c:pt idx="91">
                  <c:v>147.1943</c:v>
                </c:pt>
                <c:pt idx="92">
                  <c:v>147.1943</c:v>
                </c:pt>
                <c:pt idx="93">
                  <c:v>147.1943</c:v>
                </c:pt>
                <c:pt idx="94">
                  <c:v>148.74779999999998</c:v>
                </c:pt>
                <c:pt idx="95">
                  <c:v>150.07419999999999</c:v>
                </c:pt>
                <c:pt idx="96">
                  <c:v>151.79159999999999</c:v>
                </c:pt>
                <c:pt idx="97">
                  <c:v>152.3931</c:v>
                </c:pt>
                <c:pt idx="98">
                  <c:v>156.88120000000006</c:v>
                </c:pt>
                <c:pt idx="99">
                  <c:v>156.97730000000001</c:v>
                </c:pt>
                <c:pt idx="100">
                  <c:v>159.5693</c:v>
                </c:pt>
                <c:pt idx="101">
                  <c:v>160.44230000000005</c:v>
                </c:pt>
                <c:pt idx="102">
                  <c:v>161.9367</c:v>
                </c:pt>
                <c:pt idx="103">
                  <c:v>163.16890000000001</c:v>
                </c:pt>
                <c:pt idx="104">
                  <c:v>163.16890000000001</c:v>
                </c:pt>
                <c:pt idx="105">
                  <c:v>163.8065</c:v>
                </c:pt>
                <c:pt idx="106">
                  <c:v>164.86230000000006</c:v>
                </c:pt>
                <c:pt idx="107">
                  <c:v>170.1969</c:v>
                </c:pt>
                <c:pt idx="108">
                  <c:v>176.86830000000006</c:v>
                </c:pt>
                <c:pt idx="109">
                  <c:v>182.01399999999998</c:v>
                </c:pt>
                <c:pt idx="110">
                  <c:v>186.68120000000005</c:v>
                </c:pt>
                <c:pt idx="111">
                  <c:v>194.72329999999999</c:v>
                </c:pt>
                <c:pt idx="112">
                  <c:v>205.77169999999998</c:v>
                </c:pt>
                <c:pt idx="113">
                  <c:v>205.77169999999998</c:v>
                </c:pt>
                <c:pt idx="114">
                  <c:v>205.77169999999998</c:v>
                </c:pt>
                <c:pt idx="115">
                  <c:v>205.77169999999998</c:v>
                </c:pt>
                <c:pt idx="116">
                  <c:v>205.77169999999998</c:v>
                </c:pt>
                <c:pt idx="117">
                  <c:v>205.77169999999998</c:v>
                </c:pt>
                <c:pt idx="118">
                  <c:v>205.77169999999998</c:v>
                </c:pt>
                <c:pt idx="119">
                  <c:v>205.77169999999998</c:v>
                </c:pt>
                <c:pt idx="120">
                  <c:v>205.77169999999998</c:v>
                </c:pt>
                <c:pt idx="121">
                  <c:v>205.77169999999998</c:v>
                </c:pt>
                <c:pt idx="122">
                  <c:v>205.77169999999998</c:v>
                </c:pt>
                <c:pt idx="123">
                  <c:v>205.77169999999998</c:v>
                </c:pt>
                <c:pt idx="124">
                  <c:v>205.77169999999998</c:v>
                </c:pt>
                <c:pt idx="125">
                  <c:v>205.77169999999998</c:v>
                </c:pt>
                <c:pt idx="126">
                  <c:v>205.77169999999998</c:v>
                </c:pt>
                <c:pt idx="127">
                  <c:v>205.77169999999998</c:v>
                </c:pt>
                <c:pt idx="128">
                  <c:v>205.77169999999998</c:v>
                </c:pt>
                <c:pt idx="129">
                  <c:v>205.77169999999998</c:v>
                </c:pt>
                <c:pt idx="130">
                  <c:v>205.77169999999998</c:v>
                </c:pt>
                <c:pt idx="131">
                  <c:v>205.77169999999998</c:v>
                </c:pt>
                <c:pt idx="132">
                  <c:v>205.77169999999998</c:v>
                </c:pt>
                <c:pt idx="133">
                  <c:v>205.77169999999998</c:v>
                </c:pt>
                <c:pt idx="134">
                  <c:v>205.77169999999998</c:v>
                </c:pt>
                <c:pt idx="135">
                  <c:v>205.77169999999998</c:v>
                </c:pt>
                <c:pt idx="136">
                  <c:v>205.77169999999998</c:v>
                </c:pt>
                <c:pt idx="137">
                  <c:v>205.77169999999998</c:v>
                </c:pt>
                <c:pt idx="138">
                  <c:v>205.77169999999998</c:v>
                </c:pt>
                <c:pt idx="139">
                  <c:v>206.1292</c:v>
                </c:pt>
                <c:pt idx="140">
                  <c:v>212.46860000000001</c:v>
                </c:pt>
                <c:pt idx="141">
                  <c:v>212.46860000000001</c:v>
                </c:pt>
                <c:pt idx="142">
                  <c:v>213.16159999999999</c:v>
                </c:pt>
                <c:pt idx="143">
                  <c:v>214.17469999999994</c:v>
                </c:pt>
                <c:pt idx="144">
                  <c:v>214.17469999999994</c:v>
                </c:pt>
                <c:pt idx="145">
                  <c:v>214.17469999999994</c:v>
                </c:pt>
                <c:pt idx="146">
                  <c:v>214.60550000000001</c:v>
                </c:pt>
                <c:pt idx="147">
                  <c:v>214.6481</c:v>
                </c:pt>
                <c:pt idx="148">
                  <c:v>215.1164</c:v>
                </c:pt>
                <c:pt idx="149">
                  <c:v>215.44280000000001</c:v>
                </c:pt>
                <c:pt idx="150">
                  <c:v>215.4641</c:v>
                </c:pt>
                <c:pt idx="151">
                  <c:v>216.8408</c:v>
                </c:pt>
                <c:pt idx="152">
                  <c:v>216.8408</c:v>
                </c:pt>
                <c:pt idx="153">
                  <c:v>218.5692</c:v>
                </c:pt>
                <c:pt idx="154">
                  <c:v>222.21629999999999</c:v>
                </c:pt>
                <c:pt idx="155">
                  <c:v>222.21629999999999</c:v>
                </c:pt>
                <c:pt idx="156">
                  <c:v>226</c:v>
                </c:pt>
                <c:pt idx="157">
                  <c:v>226.6251</c:v>
                </c:pt>
                <c:pt idx="158">
                  <c:v>228.28489999999999</c:v>
                </c:pt>
                <c:pt idx="159">
                  <c:v>229.00059999999999</c:v>
                </c:pt>
                <c:pt idx="160">
                  <c:v>232.6353</c:v>
                </c:pt>
                <c:pt idx="161">
                  <c:v>232.6353</c:v>
                </c:pt>
                <c:pt idx="162">
                  <c:v>232.6353</c:v>
                </c:pt>
                <c:pt idx="163">
                  <c:v>232.6353</c:v>
                </c:pt>
                <c:pt idx="164">
                  <c:v>232.6353</c:v>
                </c:pt>
                <c:pt idx="165">
                  <c:v>232.6353</c:v>
                </c:pt>
                <c:pt idx="166">
                  <c:v>232.6353</c:v>
                </c:pt>
                <c:pt idx="167">
                  <c:v>232.88260000000005</c:v>
                </c:pt>
                <c:pt idx="168">
                  <c:v>233.5034</c:v>
                </c:pt>
                <c:pt idx="169">
                  <c:v>234.43900000000002</c:v>
                </c:pt>
                <c:pt idx="170">
                  <c:v>239.64619999999999</c:v>
                </c:pt>
                <c:pt idx="171">
                  <c:v>239.64619999999999</c:v>
                </c:pt>
                <c:pt idx="172">
                  <c:v>241.68710000000004</c:v>
                </c:pt>
                <c:pt idx="173">
                  <c:v>241.9734</c:v>
                </c:pt>
                <c:pt idx="174">
                  <c:v>241.9734</c:v>
                </c:pt>
                <c:pt idx="175">
                  <c:v>241.9734</c:v>
                </c:pt>
                <c:pt idx="176">
                  <c:v>244.00130000000001</c:v>
                </c:pt>
                <c:pt idx="177">
                  <c:v>244.00130000000001</c:v>
                </c:pt>
                <c:pt idx="178">
                  <c:v>244.00130000000001</c:v>
                </c:pt>
                <c:pt idx="179">
                  <c:v>244.45190000000005</c:v>
                </c:pt>
                <c:pt idx="180">
                  <c:v>245.27909999999994</c:v>
                </c:pt>
                <c:pt idx="181">
                  <c:v>249.79259999999999</c:v>
                </c:pt>
                <c:pt idx="182">
                  <c:v>253.8409</c:v>
                </c:pt>
                <c:pt idx="183">
                  <c:v>253.89430000000004</c:v>
                </c:pt>
                <c:pt idx="184">
                  <c:v>255.66919999999999</c:v>
                </c:pt>
                <c:pt idx="185">
                  <c:v>255.66919999999999</c:v>
                </c:pt>
                <c:pt idx="186">
                  <c:v>255.66919999999999</c:v>
                </c:pt>
                <c:pt idx="187">
                  <c:v>255.80160000000001</c:v>
                </c:pt>
                <c:pt idx="188">
                  <c:v>256.76129999999989</c:v>
                </c:pt>
                <c:pt idx="189">
                  <c:v>258.78619999999984</c:v>
                </c:pt>
                <c:pt idx="190">
                  <c:v>263.0992</c:v>
                </c:pt>
                <c:pt idx="191">
                  <c:v>270.50689999999986</c:v>
                </c:pt>
                <c:pt idx="192">
                  <c:v>277.51089999999999</c:v>
                </c:pt>
                <c:pt idx="193">
                  <c:v>282.61649999999986</c:v>
                </c:pt>
                <c:pt idx="194">
                  <c:v>287.37909999999999</c:v>
                </c:pt>
                <c:pt idx="195">
                  <c:v>293.57740000000001</c:v>
                </c:pt>
                <c:pt idx="196">
                  <c:v>295.75729999999999</c:v>
                </c:pt>
                <c:pt idx="197">
                  <c:v>296.55130000000003</c:v>
                </c:pt>
                <c:pt idx="198">
                  <c:v>298.2059999999999</c:v>
                </c:pt>
                <c:pt idx="199">
                  <c:v>298.2059999999999</c:v>
                </c:pt>
                <c:pt idx="200">
                  <c:v>298.2059999999999</c:v>
                </c:pt>
                <c:pt idx="201">
                  <c:v>298.73579999999976</c:v>
                </c:pt>
                <c:pt idx="202">
                  <c:v>304.80489999999998</c:v>
                </c:pt>
                <c:pt idx="203">
                  <c:v>304.80489999999998</c:v>
                </c:pt>
                <c:pt idx="204">
                  <c:v>304.80489999999998</c:v>
                </c:pt>
                <c:pt idx="205">
                  <c:v>304.80489999999998</c:v>
                </c:pt>
                <c:pt idx="206">
                  <c:v>304.80489999999998</c:v>
                </c:pt>
                <c:pt idx="207">
                  <c:v>304.80489999999998</c:v>
                </c:pt>
                <c:pt idx="208">
                  <c:v>304.80489999999998</c:v>
                </c:pt>
                <c:pt idx="209">
                  <c:v>304.80489999999998</c:v>
                </c:pt>
                <c:pt idx="210">
                  <c:v>304.80489999999998</c:v>
                </c:pt>
                <c:pt idx="211">
                  <c:v>304.80489999999998</c:v>
                </c:pt>
                <c:pt idx="212">
                  <c:v>304.80489999999998</c:v>
                </c:pt>
                <c:pt idx="213">
                  <c:v>304.80489999999998</c:v>
                </c:pt>
                <c:pt idx="214">
                  <c:v>304.80489999999998</c:v>
                </c:pt>
                <c:pt idx="215">
                  <c:v>304.80489999999998</c:v>
                </c:pt>
                <c:pt idx="216">
                  <c:v>304.80489999999998</c:v>
                </c:pt>
                <c:pt idx="217">
                  <c:v>304.80489999999998</c:v>
                </c:pt>
                <c:pt idx="218">
                  <c:v>304.80489999999998</c:v>
                </c:pt>
                <c:pt idx="219">
                  <c:v>304.80489999999998</c:v>
                </c:pt>
                <c:pt idx="220">
                  <c:v>308.6352</c:v>
                </c:pt>
                <c:pt idx="221">
                  <c:v>310.41639999999984</c:v>
                </c:pt>
                <c:pt idx="222">
                  <c:v>314.63</c:v>
                </c:pt>
                <c:pt idx="223">
                  <c:v>320.42149999999975</c:v>
                </c:pt>
              </c:numCache>
            </c:numRef>
          </c:val>
        </c:ser>
        <c:ser>
          <c:idx val="1"/>
          <c:order val="1"/>
          <c:tx>
            <c:strRef>
              <c:f>'IRECUTRBO +-'!$G$11</c:f>
              <c:strCache>
                <c:ptCount val="1"/>
                <c:pt idx="0">
                  <c:v>Min</c:v>
                </c:pt>
              </c:strCache>
            </c:strRef>
          </c:tx>
          <c:spPr>
            <a:ln w="17643">
              <a:solidFill>
                <a:srgbClr val="FF00FF"/>
              </a:solidFill>
              <a:prstDash val="solid"/>
            </a:ln>
          </c:spPr>
          <c:marker>
            <c:symbol val="square"/>
            <c:size val="2"/>
            <c:spPr>
              <a:noFill/>
              <a:ln>
                <a:solidFill>
                  <a:srgbClr val="FFFFFF"/>
                </a:solidFill>
                <a:prstDash val="solid"/>
              </a:ln>
            </c:spPr>
          </c:marker>
          <c:cat>
            <c:numRef>
              <c:f>'IRECUTRBO +-'!$D$12:$D$284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'IRECUTRBO +-'!$G$61:$G$284</c:f>
              <c:numCache>
                <c:formatCode>##0.00</c:formatCode>
                <c:ptCount val="224"/>
                <c:pt idx="1">
                  <c:v>79.508799999999979</c:v>
                </c:pt>
                <c:pt idx="2">
                  <c:v>79.508799999999979</c:v>
                </c:pt>
                <c:pt idx="3">
                  <c:v>79.508799999999979</c:v>
                </c:pt>
                <c:pt idx="4">
                  <c:v>79.508799999999979</c:v>
                </c:pt>
                <c:pt idx="5">
                  <c:v>79.508799999999979</c:v>
                </c:pt>
                <c:pt idx="6">
                  <c:v>79.508799999999979</c:v>
                </c:pt>
                <c:pt idx="7">
                  <c:v>79.508799999999979</c:v>
                </c:pt>
                <c:pt idx="8">
                  <c:v>79.508799999999979</c:v>
                </c:pt>
                <c:pt idx="9">
                  <c:v>80.074799999999982</c:v>
                </c:pt>
                <c:pt idx="10">
                  <c:v>80.074799999999982</c:v>
                </c:pt>
                <c:pt idx="11">
                  <c:v>80.074799999999982</c:v>
                </c:pt>
                <c:pt idx="12">
                  <c:v>80.074799999999982</c:v>
                </c:pt>
                <c:pt idx="13">
                  <c:v>80.074799999999982</c:v>
                </c:pt>
                <c:pt idx="14">
                  <c:v>80.074799999999982</c:v>
                </c:pt>
                <c:pt idx="15">
                  <c:v>80.074799999999982</c:v>
                </c:pt>
                <c:pt idx="16">
                  <c:v>80.074799999999982</c:v>
                </c:pt>
                <c:pt idx="17">
                  <c:v>80.074799999999982</c:v>
                </c:pt>
                <c:pt idx="18">
                  <c:v>80.074799999999982</c:v>
                </c:pt>
                <c:pt idx="19">
                  <c:v>80.074799999999982</c:v>
                </c:pt>
                <c:pt idx="20">
                  <c:v>80.074799999999982</c:v>
                </c:pt>
                <c:pt idx="21">
                  <c:v>80.715700000000012</c:v>
                </c:pt>
                <c:pt idx="22">
                  <c:v>80.715700000000012</c:v>
                </c:pt>
                <c:pt idx="23">
                  <c:v>80.715700000000012</c:v>
                </c:pt>
                <c:pt idx="24">
                  <c:v>80.715700000000012</c:v>
                </c:pt>
                <c:pt idx="25">
                  <c:v>80.715700000000012</c:v>
                </c:pt>
                <c:pt idx="26">
                  <c:v>80.715700000000012</c:v>
                </c:pt>
                <c:pt idx="27">
                  <c:v>83.529499999999999</c:v>
                </c:pt>
                <c:pt idx="28">
                  <c:v>83.753799999999998</c:v>
                </c:pt>
                <c:pt idx="29">
                  <c:v>88.339500000000001</c:v>
                </c:pt>
                <c:pt idx="30">
                  <c:v>95.378999999999976</c:v>
                </c:pt>
                <c:pt idx="31">
                  <c:v>99.047200000000046</c:v>
                </c:pt>
                <c:pt idx="32">
                  <c:v>99.047200000000046</c:v>
                </c:pt>
                <c:pt idx="33">
                  <c:v>105.48790000000002</c:v>
                </c:pt>
                <c:pt idx="34">
                  <c:v>110.80269999999999</c:v>
                </c:pt>
                <c:pt idx="35">
                  <c:v>110.80269999999999</c:v>
                </c:pt>
                <c:pt idx="36">
                  <c:v>110.80269999999999</c:v>
                </c:pt>
                <c:pt idx="37">
                  <c:v>110.80269999999999</c:v>
                </c:pt>
                <c:pt idx="38">
                  <c:v>110.80269999999999</c:v>
                </c:pt>
                <c:pt idx="39">
                  <c:v>110.80269999999999</c:v>
                </c:pt>
                <c:pt idx="40">
                  <c:v>110.80269999999999</c:v>
                </c:pt>
                <c:pt idx="41">
                  <c:v>110.80269999999999</c:v>
                </c:pt>
                <c:pt idx="42">
                  <c:v>110.80269999999999</c:v>
                </c:pt>
                <c:pt idx="43">
                  <c:v>110.80269999999999</c:v>
                </c:pt>
                <c:pt idx="44">
                  <c:v>110.80269999999999</c:v>
                </c:pt>
                <c:pt idx="45">
                  <c:v>110.80269999999999</c:v>
                </c:pt>
                <c:pt idx="46">
                  <c:v>110.80269999999999</c:v>
                </c:pt>
                <c:pt idx="47">
                  <c:v>110.80269999999999</c:v>
                </c:pt>
                <c:pt idx="48">
                  <c:v>110.80269999999999</c:v>
                </c:pt>
                <c:pt idx="49">
                  <c:v>110.80269999999999</c:v>
                </c:pt>
                <c:pt idx="50">
                  <c:v>110.80269999999999</c:v>
                </c:pt>
                <c:pt idx="51">
                  <c:v>110.80269999999999</c:v>
                </c:pt>
                <c:pt idx="52">
                  <c:v>110.80269999999999</c:v>
                </c:pt>
                <c:pt idx="53">
                  <c:v>110.80269999999999</c:v>
                </c:pt>
                <c:pt idx="54">
                  <c:v>110.80269999999999</c:v>
                </c:pt>
                <c:pt idx="55">
                  <c:v>110.80269999999999</c:v>
                </c:pt>
                <c:pt idx="56">
                  <c:v>110.80269999999999</c:v>
                </c:pt>
                <c:pt idx="57">
                  <c:v>110.80269999999999</c:v>
                </c:pt>
                <c:pt idx="58">
                  <c:v>110.80269999999999</c:v>
                </c:pt>
                <c:pt idx="59">
                  <c:v>110.80269999999999</c:v>
                </c:pt>
                <c:pt idx="60">
                  <c:v>110.80269999999999</c:v>
                </c:pt>
                <c:pt idx="61">
                  <c:v>110.80269999999999</c:v>
                </c:pt>
                <c:pt idx="62">
                  <c:v>110.80269999999999</c:v>
                </c:pt>
                <c:pt idx="63">
                  <c:v>110.80269999999999</c:v>
                </c:pt>
                <c:pt idx="64">
                  <c:v>110.80269999999999</c:v>
                </c:pt>
                <c:pt idx="65">
                  <c:v>110.80269999999999</c:v>
                </c:pt>
                <c:pt idx="66">
                  <c:v>110.80269999999999</c:v>
                </c:pt>
                <c:pt idx="67">
                  <c:v>110.80269999999999</c:v>
                </c:pt>
                <c:pt idx="68">
                  <c:v>110.80269999999999</c:v>
                </c:pt>
                <c:pt idx="69">
                  <c:v>110.87629999999999</c:v>
                </c:pt>
                <c:pt idx="70">
                  <c:v>110.87629999999999</c:v>
                </c:pt>
                <c:pt idx="71">
                  <c:v>111.30880000000001</c:v>
                </c:pt>
                <c:pt idx="72">
                  <c:v>111.8549</c:v>
                </c:pt>
                <c:pt idx="73">
                  <c:v>112.5859</c:v>
                </c:pt>
                <c:pt idx="74">
                  <c:v>112.7886</c:v>
                </c:pt>
                <c:pt idx="75">
                  <c:v>112.7886</c:v>
                </c:pt>
                <c:pt idx="76">
                  <c:v>113.98460000000003</c:v>
                </c:pt>
                <c:pt idx="77">
                  <c:v>114.1936</c:v>
                </c:pt>
                <c:pt idx="78">
                  <c:v>114.1936</c:v>
                </c:pt>
                <c:pt idx="79">
                  <c:v>114.1936</c:v>
                </c:pt>
                <c:pt idx="80">
                  <c:v>114.1936</c:v>
                </c:pt>
                <c:pt idx="81">
                  <c:v>114.1936</c:v>
                </c:pt>
                <c:pt idx="82">
                  <c:v>114.8185</c:v>
                </c:pt>
                <c:pt idx="83">
                  <c:v>114.8185</c:v>
                </c:pt>
                <c:pt idx="84">
                  <c:v>114.8185</c:v>
                </c:pt>
                <c:pt idx="85">
                  <c:v>117.21010000000003</c:v>
                </c:pt>
                <c:pt idx="86">
                  <c:v>117.21010000000003</c:v>
                </c:pt>
                <c:pt idx="87">
                  <c:v>117.21010000000003</c:v>
                </c:pt>
                <c:pt idx="88">
                  <c:v>117.21010000000003</c:v>
                </c:pt>
                <c:pt idx="89">
                  <c:v>117.4</c:v>
                </c:pt>
                <c:pt idx="90">
                  <c:v>120.645</c:v>
                </c:pt>
                <c:pt idx="91">
                  <c:v>120.645</c:v>
                </c:pt>
                <c:pt idx="92">
                  <c:v>120.645</c:v>
                </c:pt>
                <c:pt idx="93">
                  <c:v>120.645</c:v>
                </c:pt>
                <c:pt idx="94">
                  <c:v>120.645</c:v>
                </c:pt>
                <c:pt idx="95">
                  <c:v>122.7658</c:v>
                </c:pt>
                <c:pt idx="96">
                  <c:v>123.96980000000002</c:v>
                </c:pt>
                <c:pt idx="97">
                  <c:v>124.265</c:v>
                </c:pt>
                <c:pt idx="98">
                  <c:v>129.6516</c:v>
                </c:pt>
                <c:pt idx="99">
                  <c:v>129.6516</c:v>
                </c:pt>
                <c:pt idx="100">
                  <c:v>129.6516</c:v>
                </c:pt>
                <c:pt idx="101">
                  <c:v>129.6516</c:v>
                </c:pt>
                <c:pt idx="102">
                  <c:v>129.6516</c:v>
                </c:pt>
                <c:pt idx="103">
                  <c:v>129.6516</c:v>
                </c:pt>
                <c:pt idx="104">
                  <c:v>129.6516</c:v>
                </c:pt>
                <c:pt idx="105">
                  <c:v>129.6516</c:v>
                </c:pt>
                <c:pt idx="106">
                  <c:v>129.6516</c:v>
                </c:pt>
                <c:pt idx="107">
                  <c:v>129.6516</c:v>
                </c:pt>
                <c:pt idx="108">
                  <c:v>129.6516</c:v>
                </c:pt>
                <c:pt idx="109">
                  <c:v>129.6516</c:v>
                </c:pt>
                <c:pt idx="110">
                  <c:v>129.6516</c:v>
                </c:pt>
                <c:pt idx="111">
                  <c:v>129.6516</c:v>
                </c:pt>
                <c:pt idx="112">
                  <c:v>129.6516</c:v>
                </c:pt>
                <c:pt idx="113">
                  <c:v>129.6516</c:v>
                </c:pt>
                <c:pt idx="114">
                  <c:v>129.83770000000001</c:v>
                </c:pt>
                <c:pt idx="115">
                  <c:v>130.15989999999999</c:v>
                </c:pt>
                <c:pt idx="116">
                  <c:v>130.15989999999999</c:v>
                </c:pt>
                <c:pt idx="117">
                  <c:v>130.15989999999999</c:v>
                </c:pt>
                <c:pt idx="118">
                  <c:v>130.15989999999999</c:v>
                </c:pt>
                <c:pt idx="119">
                  <c:v>130.15989999999999</c:v>
                </c:pt>
                <c:pt idx="120">
                  <c:v>130.15989999999999</c:v>
                </c:pt>
                <c:pt idx="121">
                  <c:v>130.15989999999999</c:v>
                </c:pt>
                <c:pt idx="122">
                  <c:v>130.15989999999999</c:v>
                </c:pt>
                <c:pt idx="123">
                  <c:v>130.15989999999999</c:v>
                </c:pt>
                <c:pt idx="124">
                  <c:v>130.15989999999999</c:v>
                </c:pt>
                <c:pt idx="125">
                  <c:v>130.15989999999999</c:v>
                </c:pt>
                <c:pt idx="126">
                  <c:v>130.15989999999999</c:v>
                </c:pt>
                <c:pt idx="127">
                  <c:v>134.5692</c:v>
                </c:pt>
                <c:pt idx="128">
                  <c:v>134.77879999999999</c:v>
                </c:pt>
                <c:pt idx="129">
                  <c:v>134.78820000000005</c:v>
                </c:pt>
                <c:pt idx="130">
                  <c:v>136.89000000000001</c:v>
                </c:pt>
                <c:pt idx="131">
                  <c:v>136.89000000000001</c:v>
                </c:pt>
                <c:pt idx="132">
                  <c:v>136.89000000000001</c:v>
                </c:pt>
                <c:pt idx="133">
                  <c:v>136.89000000000001</c:v>
                </c:pt>
                <c:pt idx="134">
                  <c:v>140.4907</c:v>
                </c:pt>
                <c:pt idx="135">
                  <c:v>140.85780000000005</c:v>
                </c:pt>
                <c:pt idx="136">
                  <c:v>140.85780000000005</c:v>
                </c:pt>
                <c:pt idx="137">
                  <c:v>140.85780000000005</c:v>
                </c:pt>
                <c:pt idx="138">
                  <c:v>143.9117</c:v>
                </c:pt>
                <c:pt idx="139">
                  <c:v>144.08710000000005</c:v>
                </c:pt>
                <c:pt idx="140">
                  <c:v>144.08710000000005</c:v>
                </c:pt>
                <c:pt idx="141">
                  <c:v>144.08710000000005</c:v>
                </c:pt>
                <c:pt idx="142">
                  <c:v>147.13339999999999</c:v>
                </c:pt>
                <c:pt idx="143">
                  <c:v>148.74779999999998</c:v>
                </c:pt>
                <c:pt idx="144">
                  <c:v>150.07419999999999</c:v>
                </c:pt>
                <c:pt idx="145">
                  <c:v>151.79159999999999</c:v>
                </c:pt>
                <c:pt idx="146">
                  <c:v>152.3931</c:v>
                </c:pt>
                <c:pt idx="147">
                  <c:v>156.88120000000006</c:v>
                </c:pt>
                <c:pt idx="148">
                  <c:v>156.97730000000001</c:v>
                </c:pt>
                <c:pt idx="149">
                  <c:v>159.5693</c:v>
                </c:pt>
                <c:pt idx="150">
                  <c:v>160.44230000000005</c:v>
                </c:pt>
                <c:pt idx="151">
                  <c:v>161.9367</c:v>
                </c:pt>
                <c:pt idx="152">
                  <c:v>162.58800000000005</c:v>
                </c:pt>
                <c:pt idx="153">
                  <c:v>162.58800000000005</c:v>
                </c:pt>
                <c:pt idx="154">
                  <c:v>163.8065</c:v>
                </c:pt>
                <c:pt idx="155">
                  <c:v>164.86230000000006</c:v>
                </c:pt>
                <c:pt idx="156">
                  <c:v>170.1969</c:v>
                </c:pt>
                <c:pt idx="157">
                  <c:v>176.86830000000006</c:v>
                </c:pt>
                <c:pt idx="158">
                  <c:v>182.01399999999998</c:v>
                </c:pt>
                <c:pt idx="159">
                  <c:v>186.52240000000006</c:v>
                </c:pt>
                <c:pt idx="160">
                  <c:v>186.52240000000006</c:v>
                </c:pt>
                <c:pt idx="161">
                  <c:v>186.52240000000006</c:v>
                </c:pt>
                <c:pt idx="162">
                  <c:v>186.52240000000006</c:v>
                </c:pt>
                <c:pt idx="163">
                  <c:v>186.52240000000006</c:v>
                </c:pt>
                <c:pt idx="164">
                  <c:v>186.52240000000006</c:v>
                </c:pt>
                <c:pt idx="165">
                  <c:v>186.52240000000006</c:v>
                </c:pt>
                <c:pt idx="166">
                  <c:v>186.52240000000006</c:v>
                </c:pt>
                <c:pt idx="167">
                  <c:v>186.52240000000006</c:v>
                </c:pt>
                <c:pt idx="168">
                  <c:v>186.52240000000006</c:v>
                </c:pt>
                <c:pt idx="169">
                  <c:v>186.52240000000006</c:v>
                </c:pt>
                <c:pt idx="170">
                  <c:v>186.52240000000006</c:v>
                </c:pt>
                <c:pt idx="171">
                  <c:v>186.52240000000006</c:v>
                </c:pt>
                <c:pt idx="172">
                  <c:v>186.52240000000006</c:v>
                </c:pt>
                <c:pt idx="173">
                  <c:v>186.52240000000006</c:v>
                </c:pt>
                <c:pt idx="174">
                  <c:v>186.52240000000006</c:v>
                </c:pt>
                <c:pt idx="175">
                  <c:v>190.49030000000005</c:v>
                </c:pt>
                <c:pt idx="176">
                  <c:v>190.49030000000005</c:v>
                </c:pt>
                <c:pt idx="177">
                  <c:v>190.49030000000005</c:v>
                </c:pt>
                <c:pt idx="178">
                  <c:v>190.49030000000005</c:v>
                </c:pt>
                <c:pt idx="179">
                  <c:v>190.49030000000005</c:v>
                </c:pt>
                <c:pt idx="180">
                  <c:v>190.49030000000005</c:v>
                </c:pt>
                <c:pt idx="181">
                  <c:v>195.608</c:v>
                </c:pt>
                <c:pt idx="182">
                  <c:v>196.08090000000001</c:v>
                </c:pt>
                <c:pt idx="183">
                  <c:v>197.44290000000001</c:v>
                </c:pt>
                <c:pt idx="184">
                  <c:v>199.94469999999998</c:v>
                </c:pt>
                <c:pt idx="185">
                  <c:v>199.94469999999998</c:v>
                </c:pt>
                <c:pt idx="186">
                  <c:v>199.94469999999998</c:v>
                </c:pt>
                <c:pt idx="187">
                  <c:v>202.2311</c:v>
                </c:pt>
                <c:pt idx="188">
                  <c:v>205.09020000000001</c:v>
                </c:pt>
                <c:pt idx="189">
                  <c:v>205.09020000000001</c:v>
                </c:pt>
                <c:pt idx="190">
                  <c:v>205.09020000000001</c:v>
                </c:pt>
                <c:pt idx="191">
                  <c:v>212.7611</c:v>
                </c:pt>
                <c:pt idx="192">
                  <c:v>212.7611</c:v>
                </c:pt>
                <c:pt idx="193">
                  <c:v>212.7611</c:v>
                </c:pt>
                <c:pt idx="194">
                  <c:v>212.7611</c:v>
                </c:pt>
                <c:pt idx="195">
                  <c:v>214.60550000000001</c:v>
                </c:pt>
                <c:pt idx="196">
                  <c:v>214.6481</c:v>
                </c:pt>
                <c:pt idx="197">
                  <c:v>215.1164</c:v>
                </c:pt>
                <c:pt idx="198">
                  <c:v>215.44280000000001</c:v>
                </c:pt>
                <c:pt idx="199">
                  <c:v>215.4641</c:v>
                </c:pt>
                <c:pt idx="200">
                  <c:v>216.6062</c:v>
                </c:pt>
                <c:pt idx="201">
                  <c:v>216.6062</c:v>
                </c:pt>
                <c:pt idx="202">
                  <c:v>218.5692</c:v>
                </c:pt>
                <c:pt idx="203">
                  <c:v>220.49</c:v>
                </c:pt>
                <c:pt idx="204">
                  <c:v>220.49</c:v>
                </c:pt>
                <c:pt idx="205">
                  <c:v>226</c:v>
                </c:pt>
                <c:pt idx="206">
                  <c:v>226.32330000000005</c:v>
                </c:pt>
                <c:pt idx="207">
                  <c:v>226.32330000000005</c:v>
                </c:pt>
                <c:pt idx="208">
                  <c:v>226.32330000000005</c:v>
                </c:pt>
                <c:pt idx="209">
                  <c:v>226.32330000000005</c:v>
                </c:pt>
                <c:pt idx="210">
                  <c:v>226.32330000000005</c:v>
                </c:pt>
                <c:pt idx="211">
                  <c:v>226.32330000000005</c:v>
                </c:pt>
                <c:pt idx="212">
                  <c:v>229.96190000000001</c:v>
                </c:pt>
                <c:pt idx="213">
                  <c:v>230.2028</c:v>
                </c:pt>
                <c:pt idx="214">
                  <c:v>230.23569999999998</c:v>
                </c:pt>
                <c:pt idx="215">
                  <c:v>231.34010000000001</c:v>
                </c:pt>
                <c:pt idx="216">
                  <c:v>232.88260000000005</c:v>
                </c:pt>
                <c:pt idx="217">
                  <c:v>233.5034</c:v>
                </c:pt>
                <c:pt idx="218">
                  <c:v>234.43900000000002</c:v>
                </c:pt>
                <c:pt idx="219">
                  <c:v>239.64619999999999</c:v>
                </c:pt>
                <c:pt idx="220">
                  <c:v>239.64619999999999</c:v>
                </c:pt>
                <c:pt idx="221">
                  <c:v>241.50559999999999</c:v>
                </c:pt>
                <c:pt idx="222">
                  <c:v>241.50559999999999</c:v>
                </c:pt>
                <c:pt idx="223">
                  <c:v>241.50559999999999</c:v>
                </c:pt>
              </c:numCache>
            </c:numRef>
          </c:val>
        </c:ser>
        <c:ser>
          <c:idx val="2"/>
          <c:order val="2"/>
          <c:tx>
            <c:strRef>
              <c:f>'IRECUTRBO +-'!$E$11</c:f>
              <c:strCache>
                <c:ptCount val="1"/>
                <c:pt idx="0">
                  <c:v>Precio de cierre</c:v>
                </c:pt>
              </c:strCache>
            </c:strRef>
          </c:tx>
          <c:spPr>
            <a:ln w="17643">
              <a:solidFill>
                <a:srgbClr val="333333"/>
              </a:solidFill>
              <a:prstDash val="solid"/>
            </a:ln>
          </c:spPr>
          <c:marker>
            <c:symbol val="none"/>
          </c:marker>
          <c:cat>
            <c:numRef>
              <c:f>'IRECUTRBO +-'!$D$12:$D$284</c:f>
              <c:numCache>
                <c:formatCode>dd/mm/yyyy</c:formatCode>
                <c:ptCount val="273"/>
                <c:pt idx="0">
                  <c:v>37143</c:v>
                </c:pt>
                <c:pt idx="1">
                  <c:v>37150</c:v>
                </c:pt>
                <c:pt idx="2">
                  <c:v>37157</c:v>
                </c:pt>
                <c:pt idx="3">
                  <c:v>37164</c:v>
                </c:pt>
                <c:pt idx="4">
                  <c:v>37171</c:v>
                </c:pt>
                <c:pt idx="5">
                  <c:v>37178</c:v>
                </c:pt>
                <c:pt idx="6">
                  <c:v>37185</c:v>
                </c:pt>
                <c:pt idx="7">
                  <c:v>37192</c:v>
                </c:pt>
                <c:pt idx="8">
                  <c:v>37199</c:v>
                </c:pt>
                <c:pt idx="9">
                  <c:v>37206</c:v>
                </c:pt>
                <c:pt idx="10">
                  <c:v>37213</c:v>
                </c:pt>
                <c:pt idx="11">
                  <c:v>37220</c:v>
                </c:pt>
                <c:pt idx="12">
                  <c:v>37227</c:v>
                </c:pt>
                <c:pt idx="13">
                  <c:v>37234</c:v>
                </c:pt>
                <c:pt idx="14">
                  <c:v>37241</c:v>
                </c:pt>
                <c:pt idx="15">
                  <c:v>37248</c:v>
                </c:pt>
                <c:pt idx="16">
                  <c:v>37255</c:v>
                </c:pt>
                <c:pt idx="17">
                  <c:v>37262</c:v>
                </c:pt>
                <c:pt idx="18">
                  <c:v>37269</c:v>
                </c:pt>
                <c:pt idx="19">
                  <c:v>37276</c:v>
                </c:pt>
                <c:pt idx="20">
                  <c:v>37283</c:v>
                </c:pt>
                <c:pt idx="21">
                  <c:v>37290</c:v>
                </c:pt>
                <c:pt idx="22">
                  <c:v>37297</c:v>
                </c:pt>
                <c:pt idx="23">
                  <c:v>37304</c:v>
                </c:pt>
                <c:pt idx="24">
                  <c:v>37311</c:v>
                </c:pt>
                <c:pt idx="25">
                  <c:v>37318</c:v>
                </c:pt>
                <c:pt idx="26">
                  <c:v>37325</c:v>
                </c:pt>
                <c:pt idx="27">
                  <c:v>37332</c:v>
                </c:pt>
                <c:pt idx="28">
                  <c:v>37339</c:v>
                </c:pt>
                <c:pt idx="29">
                  <c:v>37346</c:v>
                </c:pt>
                <c:pt idx="30">
                  <c:v>37353</c:v>
                </c:pt>
                <c:pt idx="31">
                  <c:v>37360</c:v>
                </c:pt>
                <c:pt idx="32">
                  <c:v>37367</c:v>
                </c:pt>
                <c:pt idx="33">
                  <c:v>37374</c:v>
                </c:pt>
                <c:pt idx="34">
                  <c:v>37381</c:v>
                </c:pt>
                <c:pt idx="35">
                  <c:v>37388</c:v>
                </c:pt>
                <c:pt idx="36">
                  <c:v>37395</c:v>
                </c:pt>
                <c:pt idx="37">
                  <c:v>37402</c:v>
                </c:pt>
                <c:pt idx="38">
                  <c:v>37409</c:v>
                </c:pt>
                <c:pt idx="39">
                  <c:v>37416</c:v>
                </c:pt>
                <c:pt idx="40">
                  <c:v>37423</c:v>
                </c:pt>
                <c:pt idx="41">
                  <c:v>37430</c:v>
                </c:pt>
                <c:pt idx="42">
                  <c:v>37437</c:v>
                </c:pt>
                <c:pt idx="43">
                  <c:v>37444</c:v>
                </c:pt>
                <c:pt idx="44">
                  <c:v>37451</c:v>
                </c:pt>
                <c:pt idx="45">
                  <c:v>37458</c:v>
                </c:pt>
                <c:pt idx="46">
                  <c:v>37465</c:v>
                </c:pt>
                <c:pt idx="47">
                  <c:v>37472</c:v>
                </c:pt>
                <c:pt idx="48">
                  <c:v>37479</c:v>
                </c:pt>
                <c:pt idx="49">
                  <c:v>37486</c:v>
                </c:pt>
                <c:pt idx="50">
                  <c:v>37493</c:v>
                </c:pt>
                <c:pt idx="51">
                  <c:v>37500</c:v>
                </c:pt>
                <c:pt idx="52">
                  <c:v>37507</c:v>
                </c:pt>
                <c:pt idx="53">
                  <c:v>37514</c:v>
                </c:pt>
                <c:pt idx="54">
                  <c:v>37521</c:v>
                </c:pt>
                <c:pt idx="55">
                  <c:v>37528</c:v>
                </c:pt>
                <c:pt idx="56">
                  <c:v>37535</c:v>
                </c:pt>
                <c:pt idx="57">
                  <c:v>37542</c:v>
                </c:pt>
                <c:pt idx="58">
                  <c:v>37549</c:v>
                </c:pt>
                <c:pt idx="59">
                  <c:v>37556</c:v>
                </c:pt>
                <c:pt idx="60">
                  <c:v>37563</c:v>
                </c:pt>
                <c:pt idx="61">
                  <c:v>37570</c:v>
                </c:pt>
                <c:pt idx="62">
                  <c:v>37577</c:v>
                </c:pt>
                <c:pt idx="63">
                  <c:v>37584</c:v>
                </c:pt>
                <c:pt idx="64">
                  <c:v>37591</c:v>
                </c:pt>
                <c:pt idx="65">
                  <c:v>37598</c:v>
                </c:pt>
                <c:pt idx="66">
                  <c:v>37605</c:v>
                </c:pt>
                <c:pt idx="67">
                  <c:v>37612</c:v>
                </c:pt>
                <c:pt idx="68">
                  <c:v>37619</c:v>
                </c:pt>
                <c:pt idx="69">
                  <c:v>37626</c:v>
                </c:pt>
                <c:pt idx="70">
                  <c:v>37633</c:v>
                </c:pt>
                <c:pt idx="71">
                  <c:v>37640</c:v>
                </c:pt>
                <c:pt idx="72">
                  <c:v>37647</c:v>
                </c:pt>
                <c:pt idx="73">
                  <c:v>37654</c:v>
                </c:pt>
                <c:pt idx="74">
                  <c:v>37661</c:v>
                </c:pt>
                <c:pt idx="75">
                  <c:v>37668</c:v>
                </c:pt>
                <c:pt idx="76">
                  <c:v>37675</c:v>
                </c:pt>
                <c:pt idx="77">
                  <c:v>37682</c:v>
                </c:pt>
                <c:pt idx="78">
                  <c:v>37689</c:v>
                </c:pt>
                <c:pt idx="79">
                  <c:v>37696</c:v>
                </c:pt>
                <c:pt idx="80">
                  <c:v>37703</c:v>
                </c:pt>
                <c:pt idx="81">
                  <c:v>37710</c:v>
                </c:pt>
                <c:pt idx="82">
                  <c:v>37717</c:v>
                </c:pt>
                <c:pt idx="83">
                  <c:v>37724</c:v>
                </c:pt>
                <c:pt idx="84">
                  <c:v>37731</c:v>
                </c:pt>
                <c:pt idx="85">
                  <c:v>37738</c:v>
                </c:pt>
                <c:pt idx="86">
                  <c:v>37745</c:v>
                </c:pt>
                <c:pt idx="87">
                  <c:v>37752</c:v>
                </c:pt>
                <c:pt idx="88">
                  <c:v>37759</c:v>
                </c:pt>
                <c:pt idx="89">
                  <c:v>37766</c:v>
                </c:pt>
                <c:pt idx="90">
                  <c:v>37773</c:v>
                </c:pt>
                <c:pt idx="91">
                  <c:v>37780</c:v>
                </c:pt>
                <c:pt idx="92">
                  <c:v>37787</c:v>
                </c:pt>
                <c:pt idx="93">
                  <c:v>37794</c:v>
                </c:pt>
                <c:pt idx="94">
                  <c:v>37801</c:v>
                </c:pt>
                <c:pt idx="95">
                  <c:v>37808</c:v>
                </c:pt>
                <c:pt idx="96">
                  <c:v>37815</c:v>
                </c:pt>
                <c:pt idx="97">
                  <c:v>37822</c:v>
                </c:pt>
                <c:pt idx="98">
                  <c:v>37829</c:v>
                </c:pt>
                <c:pt idx="99">
                  <c:v>37836</c:v>
                </c:pt>
                <c:pt idx="100">
                  <c:v>37843</c:v>
                </c:pt>
                <c:pt idx="101">
                  <c:v>37850</c:v>
                </c:pt>
                <c:pt idx="102">
                  <c:v>37857</c:v>
                </c:pt>
                <c:pt idx="103">
                  <c:v>37864</c:v>
                </c:pt>
                <c:pt idx="104">
                  <c:v>37871</c:v>
                </c:pt>
                <c:pt idx="105">
                  <c:v>37878</c:v>
                </c:pt>
                <c:pt idx="106">
                  <c:v>37885</c:v>
                </c:pt>
                <c:pt idx="107">
                  <c:v>37892</c:v>
                </c:pt>
                <c:pt idx="108">
                  <c:v>37899</c:v>
                </c:pt>
                <c:pt idx="109">
                  <c:v>37906</c:v>
                </c:pt>
                <c:pt idx="110">
                  <c:v>37913</c:v>
                </c:pt>
                <c:pt idx="111">
                  <c:v>37920</c:v>
                </c:pt>
                <c:pt idx="112">
                  <c:v>37927</c:v>
                </c:pt>
                <c:pt idx="113">
                  <c:v>37934</c:v>
                </c:pt>
                <c:pt idx="114">
                  <c:v>37941</c:v>
                </c:pt>
                <c:pt idx="115">
                  <c:v>37948</c:v>
                </c:pt>
                <c:pt idx="116">
                  <c:v>37955</c:v>
                </c:pt>
                <c:pt idx="117">
                  <c:v>37962</c:v>
                </c:pt>
                <c:pt idx="118">
                  <c:v>37969</c:v>
                </c:pt>
                <c:pt idx="119">
                  <c:v>37976</c:v>
                </c:pt>
                <c:pt idx="120">
                  <c:v>37983</c:v>
                </c:pt>
                <c:pt idx="121">
                  <c:v>37990</c:v>
                </c:pt>
                <c:pt idx="122">
                  <c:v>37997</c:v>
                </c:pt>
                <c:pt idx="123">
                  <c:v>38004</c:v>
                </c:pt>
                <c:pt idx="124">
                  <c:v>38011</c:v>
                </c:pt>
                <c:pt idx="125">
                  <c:v>38018</c:v>
                </c:pt>
                <c:pt idx="126">
                  <c:v>38025</c:v>
                </c:pt>
                <c:pt idx="127">
                  <c:v>38032</c:v>
                </c:pt>
                <c:pt idx="128">
                  <c:v>38039</c:v>
                </c:pt>
                <c:pt idx="129">
                  <c:v>38046</c:v>
                </c:pt>
                <c:pt idx="130">
                  <c:v>38053</c:v>
                </c:pt>
                <c:pt idx="131">
                  <c:v>38060</c:v>
                </c:pt>
                <c:pt idx="132">
                  <c:v>38067</c:v>
                </c:pt>
                <c:pt idx="133">
                  <c:v>38074</c:v>
                </c:pt>
                <c:pt idx="134">
                  <c:v>38081</c:v>
                </c:pt>
                <c:pt idx="135">
                  <c:v>38088</c:v>
                </c:pt>
                <c:pt idx="136">
                  <c:v>38095</c:v>
                </c:pt>
                <c:pt idx="137">
                  <c:v>38102</c:v>
                </c:pt>
                <c:pt idx="138">
                  <c:v>38109</c:v>
                </c:pt>
                <c:pt idx="139">
                  <c:v>38116</c:v>
                </c:pt>
                <c:pt idx="140">
                  <c:v>38123</c:v>
                </c:pt>
                <c:pt idx="141">
                  <c:v>38130</c:v>
                </c:pt>
                <c:pt idx="142">
                  <c:v>38137</c:v>
                </c:pt>
                <c:pt idx="143">
                  <c:v>38144</c:v>
                </c:pt>
                <c:pt idx="144">
                  <c:v>38151</c:v>
                </c:pt>
                <c:pt idx="145">
                  <c:v>38158</c:v>
                </c:pt>
                <c:pt idx="146">
                  <c:v>38165</c:v>
                </c:pt>
                <c:pt idx="147">
                  <c:v>38172</c:v>
                </c:pt>
                <c:pt idx="148">
                  <c:v>38179</c:v>
                </c:pt>
                <c:pt idx="149">
                  <c:v>38186</c:v>
                </c:pt>
                <c:pt idx="150">
                  <c:v>38193</c:v>
                </c:pt>
                <c:pt idx="151">
                  <c:v>38200</c:v>
                </c:pt>
                <c:pt idx="152">
                  <c:v>38207</c:v>
                </c:pt>
                <c:pt idx="153">
                  <c:v>38214</c:v>
                </c:pt>
                <c:pt idx="154">
                  <c:v>38221</c:v>
                </c:pt>
                <c:pt idx="155">
                  <c:v>38228</c:v>
                </c:pt>
                <c:pt idx="156">
                  <c:v>38235</c:v>
                </c:pt>
                <c:pt idx="157">
                  <c:v>38242</c:v>
                </c:pt>
                <c:pt idx="158">
                  <c:v>38249</c:v>
                </c:pt>
                <c:pt idx="159">
                  <c:v>38256</c:v>
                </c:pt>
                <c:pt idx="160">
                  <c:v>38263</c:v>
                </c:pt>
                <c:pt idx="161">
                  <c:v>38270</c:v>
                </c:pt>
                <c:pt idx="162">
                  <c:v>38277</c:v>
                </c:pt>
                <c:pt idx="163">
                  <c:v>38284</c:v>
                </c:pt>
                <c:pt idx="164">
                  <c:v>38291</c:v>
                </c:pt>
                <c:pt idx="165">
                  <c:v>38298</c:v>
                </c:pt>
                <c:pt idx="166">
                  <c:v>38305</c:v>
                </c:pt>
                <c:pt idx="167">
                  <c:v>38312</c:v>
                </c:pt>
                <c:pt idx="168">
                  <c:v>38319</c:v>
                </c:pt>
                <c:pt idx="169">
                  <c:v>38326</c:v>
                </c:pt>
                <c:pt idx="170">
                  <c:v>38333</c:v>
                </c:pt>
                <c:pt idx="171">
                  <c:v>38340</c:v>
                </c:pt>
                <c:pt idx="172">
                  <c:v>38347</c:v>
                </c:pt>
                <c:pt idx="173">
                  <c:v>38354</c:v>
                </c:pt>
                <c:pt idx="174">
                  <c:v>38361</c:v>
                </c:pt>
                <c:pt idx="175">
                  <c:v>38368</c:v>
                </c:pt>
                <c:pt idx="176">
                  <c:v>38375</c:v>
                </c:pt>
                <c:pt idx="177">
                  <c:v>38382</c:v>
                </c:pt>
                <c:pt idx="178">
                  <c:v>38389</c:v>
                </c:pt>
                <c:pt idx="179">
                  <c:v>38396</c:v>
                </c:pt>
                <c:pt idx="180">
                  <c:v>38403</c:v>
                </c:pt>
                <c:pt idx="181">
                  <c:v>38410</c:v>
                </c:pt>
                <c:pt idx="182">
                  <c:v>38417</c:v>
                </c:pt>
                <c:pt idx="183">
                  <c:v>38424</c:v>
                </c:pt>
                <c:pt idx="184">
                  <c:v>38431</c:v>
                </c:pt>
                <c:pt idx="185">
                  <c:v>38438</c:v>
                </c:pt>
                <c:pt idx="186">
                  <c:v>38445</c:v>
                </c:pt>
                <c:pt idx="187">
                  <c:v>38452</c:v>
                </c:pt>
                <c:pt idx="188">
                  <c:v>38459</c:v>
                </c:pt>
                <c:pt idx="189">
                  <c:v>38466</c:v>
                </c:pt>
                <c:pt idx="190">
                  <c:v>38473</c:v>
                </c:pt>
                <c:pt idx="191">
                  <c:v>38480</c:v>
                </c:pt>
                <c:pt idx="192">
                  <c:v>38487</c:v>
                </c:pt>
                <c:pt idx="193">
                  <c:v>38494</c:v>
                </c:pt>
                <c:pt idx="194">
                  <c:v>38501</c:v>
                </c:pt>
                <c:pt idx="195">
                  <c:v>38508</c:v>
                </c:pt>
                <c:pt idx="196">
                  <c:v>38515</c:v>
                </c:pt>
                <c:pt idx="197">
                  <c:v>38522</c:v>
                </c:pt>
                <c:pt idx="198">
                  <c:v>38529</c:v>
                </c:pt>
                <c:pt idx="199">
                  <c:v>38536</c:v>
                </c:pt>
                <c:pt idx="200">
                  <c:v>38543</c:v>
                </c:pt>
                <c:pt idx="201">
                  <c:v>38550</c:v>
                </c:pt>
                <c:pt idx="202">
                  <c:v>38557</c:v>
                </c:pt>
                <c:pt idx="203">
                  <c:v>38564</c:v>
                </c:pt>
                <c:pt idx="204">
                  <c:v>38571</c:v>
                </c:pt>
                <c:pt idx="205">
                  <c:v>38578</c:v>
                </c:pt>
                <c:pt idx="206">
                  <c:v>38585</c:v>
                </c:pt>
                <c:pt idx="207">
                  <c:v>38592</c:v>
                </c:pt>
                <c:pt idx="208">
                  <c:v>38599</c:v>
                </c:pt>
                <c:pt idx="209">
                  <c:v>38606</c:v>
                </c:pt>
                <c:pt idx="210">
                  <c:v>38613</c:v>
                </c:pt>
                <c:pt idx="211">
                  <c:v>38620</c:v>
                </c:pt>
                <c:pt idx="212">
                  <c:v>38627</c:v>
                </c:pt>
                <c:pt idx="213">
                  <c:v>38634</c:v>
                </c:pt>
                <c:pt idx="214">
                  <c:v>38641</c:v>
                </c:pt>
                <c:pt idx="215">
                  <c:v>38648</c:v>
                </c:pt>
                <c:pt idx="216">
                  <c:v>38655</c:v>
                </c:pt>
                <c:pt idx="217">
                  <c:v>38662</c:v>
                </c:pt>
                <c:pt idx="218">
                  <c:v>38669</c:v>
                </c:pt>
                <c:pt idx="219">
                  <c:v>38676</c:v>
                </c:pt>
                <c:pt idx="220">
                  <c:v>38683</c:v>
                </c:pt>
                <c:pt idx="221">
                  <c:v>38690</c:v>
                </c:pt>
                <c:pt idx="222">
                  <c:v>38697</c:v>
                </c:pt>
                <c:pt idx="223">
                  <c:v>38704</c:v>
                </c:pt>
                <c:pt idx="224">
                  <c:v>38711</c:v>
                </c:pt>
                <c:pt idx="225">
                  <c:v>38718</c:v>
                </c:pt>
                <c:pt idx="226">
                  <c:v>38725</c:v>
                </c:pt>
                <c:pt idx="227">
                  <c:v>38732</c:v>
                </c:pt>
                <c:pt idx="228">
                  <c:v>38739</c:v>
                </c:pt>
                <c:pt idx="229">
                  <c:v>38746</c:v>
                </c:pt>
                <c:pt idx="230">
                  <c:v>38753</c:v>
                </c:pt>
                <c:pt idx="231">
                  <c:v>38760</c:v>
                </c:pt>
                <c:pt idx="232">
                  <c:v>38767</c:v>
                </c:pt>
                <c:pt idx="233">
                  <c:v>38774</c:v>
                </c:pt>
                <c:pt idx="234">
                  <c:v>38781</c:v>
                </c:pt>
                <c:pt idx="235">
                  <c:v>38788</c:v>
                </c:pt>
                <c:pt idx="236">
                  <c:v>38795</c:v>
                </c:pt>
                <c:pt idx="237">
                  <c:v>38802</c:v>
                </c:pt>
                <c:pt idx="238">
                  <c:v>38809</c:v>
                </c:pt>
                <c:pt idx="239">
                  <c:v>38816</c:v>
                </c:pt>
                <c:pt idx="240">
                  <c:v>38823</c:v>
                </c:pt>
                <c:pt idx="241">
                  <c:v>38830</c:v>
                </c:pt>
                <c:pt idx="242">
                  <c:v>38837</c:v>
                </c:pt>
                <c:pt idx="243">
                  <c:v>38844</c:v>
                </c:pt>
                <c:pt idx="244">
                  <c:v>38851</c:v>
                </c:pt>
                <c:pt idx="245">
                  <c:v>38858</c:v>
                </c:pt>
                <c:pt idx="246">
                  <c:v>38865</c:v>
                </c:pt>
                <c:pt idx="247">
                  <c:v>38872</c:v>
                </c:pt>
                <c:pt idx="248">
                  <c:v>38879</c:v>
                </c:pt>
                <c:pt idx="249">
                  <c:v>38886</c:v>
                </c:pt>
                <c:pt idx="250">
                  <c:v>38893</c:v>
                </c:pt>
                <c:pt idx="251">
                  <c:v>38900</c:v>
                </c:pt>
                <c:pt idx="252">
                  <c:v>38907</c:v>
                </c:pt>
                <c:pt idx="253">
                  <c:v>38914</c:v>
                </c:pt>
                <c:pt idx="254">
                  <c:v>38921</c:v>
                </c:pt>
                <c:pt idx="255">
                  <c:v>38928</c:v>
                </c:pt>
                <c:pt idx="256">
                  <c:v>38935</c:v>
                </c:pt>
                <c:pt idx="257">
                  <c:v>38942</c:v>
                </c:pt>
                <c:pt idx="258">
                  <c:v>38949</c:v>
                </c:pt>
                <c:pt idx="259">
                  <c:v>38956</c:v>
                </c:pt>
                <c:pt idx="260">
                  <c:v>38963</c:v>
                </c:pt>
                <c:pt idx="261">
                  <c:v>38970</c:v>
                </c:pt>
                <c:pt idx="262">
                  <c:v>38977</c:v>
                </c:pt>
                <c:pt idx="263">
                  <c:v>38984</c:v>
                </c:pt>
                <c:pt idx="264">
                  <c:v>38991</c:v>
                </c:pt>
                <c:pt idx="265">
                  <c:v>38998</c:v>
                </c:pt>
                <c:pt idx="266">
                  <c:v>39005</c:v>
                </c:pt>
                <c:pt idx="267">
                  <c:v>39012</c:v>
                </c:pt>
                <c:pt idx="268">
                  <c:v>39019</c:v>
                </c:pt>
                <c:pt idx="269">
                  <c:v>39026</c:v>
                </c:pt>
                <c:pt idx="270">
                  <c:v>39033</c:v>
                </c:pt>
                <c:pt idx="271">
                  <c:v>39040</c:v>
                </c:pt>
                <c:pt idx="272">
                  <c:v>39047</c:v>
                </c:pt>
              </c:numCache>
            </c:numRef>
          </c:cat>
          <c:val>
            <c:numRef>
              <c:f>'IRECUTRBO +-'!$E$61:$E$284</c:f>
              <c:numCache>
                <c:formatCode>##0.00</c:formatCode>
                <c:ptCount val="224"/>
                <c:pt idx="0">
                  <c:v>113.92100000000002</c:v>
                </c:pt>
                <c:pt idx="1">
                  <c:v>114.63579999999997</c:v>
                </c:pt>
                <c:pt idx="2">
                  <c:v>114.6435</c:v>
                </c:pt>
                <c:pt idx="3">
                  <c:v>117.91500000000002</c:v>
                </c:pt>
                <c:pt idx="4">
                  <c:v>117.498</c:v>
                </c:pt>
                <c:pt idx="5">
                  <c:v>119.661</c:v>
                </c:pt>
                <c:pt idx="6">
                  <c:v>120.56399999999999</c:v>
                </c:pt>
                <c:pt idx="7">
                  <c:v>119.62139999999998</c:v>
                </c:pt>
                <c:pt idx="8">
                  <c:v>119.51309999999999</c:v>
                </c:pt>
                <c:pt idx="9">
                  <c:v>119.12979999999997</c:v>
                </c:pt>
                <c:pt idx="10">
                  <c:v>119.0581</c:v>
                </c:pt>
                <c:pt idx="11">
                  <c:v>118.5127</c:v>
                </c:pt>
                <c:pt idx="12">
                  <c:v>117.93770000000002</c:v>
                </c:pt>
                <c:pt idx="13">
                  <c:v>118.206</c:v>
                </c:pt>
                <c:pt idx="14">
                  <c:v>117.34350000000002</c:v>
                </c:pt>
                <c:pt idx="15">
                  <c:v>117.1879</c:v>
                </c:pt>
                <c:pt idx="16">
                  <c:v>122.71220000000002</c:v>
                </c:pt>
                <c:pt idx="17">
                  <c:v>119.5201</c:v>
                </c:pt>
                <c:pt idx="18">
                  <c:v>110.80269999999999</c:v>
                </c:pt>
                <c:pt idx="19">
                  <c:v>110.87629999999999</c:v>
                </c:pt>
                <c:pt idx="20">
                  <c:v>110.87629999999999</c:v>
                </c:pt>
                <c:pt idx="21">
                  <c:v>111.30880000000001</c:v>
                </c:pt>
                <c:pt idx="22">
                  <c:v>111.8549</c:v>
                </c:pt>
                <c:pt idx="23">
                  <c:v>112.5859</c:v>
                </c:pt>
                <c:pt idx="24">
                  <c:v>115.34720000000003</c:v>
                </c:pt>
                <c:pt idx="25">
                  <c:v>112.7886</c:v>
                </c:pt>
                <c:pt idx="26">
                  <c:v>113.98460000000003</c:v>
                </c:pt>
                <c:pt idx="27">
                  <c:v>114.565</c:v>
                </c:pt>
                <c:pt idx="28">
                  <c:v>116.41640000000002</c:v>
                </c:pt>
                <c:pt idx="29">
                  <c:v>117.59960000000002</c:v>
                </c:pt>
                <c:pt idx="30">
                  <c:v>117.8488</c:v>
                </c:pt>
                <c:pt idx="31">
                  <c:v>114.1936</c:v>
                </c:pt>
                <c:pt idx="32">
                  <c:v>116.02119999999999</c:v>
                </c:pt>
                <c:pt idx="33">
                  <c:v>116.1349</c:v>
                </c:pt>
                <c:pt idx="34">
                  <c:v>114.8185</c:v>
                </c:pt>
                <c:pt idx="35">
                  <c:v>117.5963</c:v>
                </c:pt>
                <c:pt idx="36">
                  <c:v>117.4289</c:v>
                </c:pt>
                <c:pt idx="37">
                  <c:v>117.4234</c:v>
                </c:pt>
                <c:pt idx="38">
                  <c:v>117.21010000000003</c:v>
                </c:pt>
                <c:pt idx="39">
                  <c:v>117.4</c:v>
                </c:pt>
                <c:pt idx="40">
                  <c:v>124.0249</c:v>
                </c:pt>
                <c:pt idx="41">
                  <c:v>124.38809999999998</c:v>
                </c:pt>
                <c:pt idx="42">
                  <c:v>123.03270000000001</c:v>
                </c:pt>
                <c:pt idx="43">
                  <c:v>128.9941</c:v>
                </c:pt>
                <c:pt idx="44">
                  <c:v>120.645</c:v>
                </c:pt>
                <c:pt idx="45">
                  <c:v>122.7658</c:v>
                </c:pt>
                <c:pt idx="46">
                  <c:v>123.96980000000002</c:v>
                </c:pt>
                <c:pt idx="47">
                  <c:v>124.265</c:v>
                </c:pt>
                <c:pt idx="48">
                  <c:v>141.5368</c:v>
                </c:pt>
                <c:pt idx="49">
                  <c:v>134.92450000000002</c:v>
                </c:pt>
                <c:pt idx="50">
                  <c:v>134.6686</c:v>
                </c:pt>
                <c:pt idx="51">
                  <c:v>139.57640000000001</c:v>
                </c:pt>
                <c:pt idx="52">
                  <c:v>137.5772</c:v>
                </c:pt>
                <c:pt idx="53">
                  <c:v>137.5772</c:v>
                </c:pt>
                <c:pt idx="54">
                  <c:v>131.36190000000005</c:v>
                </c:pt>
                <c:pt idx="55">
                  <c:v>131.1962</c:v>
                </c:pt>
                <c:pt idx="56">
                  <c:v>130.4896</c:v>
                </c:pt>
                <c:pt idx="57">
                  <c:v>131.303</c:v>
                </c:pt>
                <c:pt idx="58">
                  <c:v>131.7012</c:v>
                </c:pt>
                <c:pt idx="59">
                  <c:v>133.02210000000005</c:v>
                </c:pt>
                <c:pt idx="60">
                  <c:v>134.39760000000001</c:v>
                </c:pt>
                <c:pt idx="61">
                  <c:v>139.69319999999999</c:v>
                </c:pt>
                <c:pt idx="62">
                  <c:v>134.14959999999994</c:v>
                </c:pt>
                <c:pt idx="63">
                  <c:v>129.6516</c:v>
                </c:pt>
                <c:pt idx="64">
                  <c:v>129.83770000000001</c:v>
                </c:pt>
                <c:pt idx="65">
                  <c:v>130.23919999999998</c:v>
                </c:pt>
                <c:pt idx="66">
                  <c:v>134.17269999999999</c:v>
                </c:pt>
                <c:pt idx="67">
                  <c:v>132.51659999999998</c:v>
                </c:pt>
                <c:pt idx="68">
                  <c:v>135.80090000000001</c:v>
                </c:pt>
                <c:pt idx="69">
                  <c:v>136.15950000000001</c:v>
                </c:pt>
                <c:pt idx="70">
                  <c:v>134.88910000000001</c:v>
                </c:pt>
                <c:pt idx="71">
                  <c:v>135.755</c:v>
                </c:pt>
                <c:pt idx="72">
                  <c:v>141.01489999999998</c:v>
                </c:pt>
                <c:pt idx="73">
                  <c:v>136.72190000000001</c:v>
                </c:pt>
                <c:pt idx="74">
                  <c:v>136.72190000000001</c:v>
                </c:pt>
                <c:pt idx="75">
                  <c:v>135.602</c:v>
                </c:pt>
                <c:pt idx="76">
                  <c:v>130.15989999999999</c:v>
                </c:pt>
                <c:pt idx="77">
                  <c:v>134.5692</c:v>
                </c:pt>
                <c:pt idx="78">
                  <c:v>134.77879999999999</c:v>
                </c:pt>
                <c:pt idx="79">
                  <c:v>134.78820000000005</c:v>
                </c:pt>
                <c:pt idx="80">
                  <c:v>137.20140000000001</c:v>
                </c:pt>
                <c:pt idx="81">
                  <c:v>137.79579999999999</c:v>
                </c:pt>
                <c:pt idx="82">
                  <c:v>137.62</c:v>
                </c:pt>
                <c:pt idx="83">
                  <c:v>136.89000000000001</c:v>
                </c:pt>
                <c:pt idx="84">
                  <c:v>140.4907</c:v>
                </c:pt>
                <c:pt idx="85">
                  <c:v>141.0856</c:v>
                </c:pt>
                <c:pt idx="86">
                  <c:v>140.9966</c:v>
                </c:pt>
                <c:pt idx="87">
                  <c:v>140.85780000000005</c:v>
                </c:pt>
                <c:pt idx="88">
                  <c:v>143.9117</c:v>
                </c:pt>
                <c:pt idx="89">
                  <c:v>145.78710000000001</c:v>
                </c:pt>
                <c:pt idx="90">
                  <c:v>147.1943</c:v>
                </c:pt>
                <c:pt idx="91">
                  <c:v>144.08710000000005</c:v>
                </c:pt>
                <c:pt idx="92">
                  <c:v>147.13339999999999</c:v>
                </c:pt>
                <c:pt idx="93">
                  <c:v>148.74779999999998</c:v>
                </c:pt>
                <c:pt idx="94">
                  <c:v>150.07419999999999</c:v>
                </c:pt>
                <c:pt idx="95">
                  <c:v>151.79159999999999</c:v>
                </c:pt>
                <c:pt idx="96">
                  <c:v>152.3931</c:v>
                </c:pt>
                <c:pt idx="97">
                  <c:v>156.88120000000006</c:v>
                </c:pt>
                <c:pt idx="98">
                  <c:v>156.97730000000001</c:v>
                </c:pt>
                <c:pt idx="99">
                  <c:v>159.5693</c:v>
                </c:pt>
                <c:pt idx="100">
                  <c:v>160.44230000000005</c:v>
                </c:pt>
                <c:pt idx="101">
                  <c:v>161.9367</c:v>
                </c:pt>
                <c:pt idx="102">
                  <c:v>163.16890000000001</c:v>
                </c:pt>
                <c:pt idx="103">
                  <c:v>162.58800000000005</c:v>
                </c:pt>
                <c:pt idx="104">
                  <c:v>163.8065</c:v>
                </c:pt>
                <c:pt idx="105">
                  <c:v>164.86230000000006</c:v>
                </c:pt>
                <c:pt idx="106">
                  <c:v>170.1969</c:v>
                </c:pt>
                <c:pt idx="107">
                  <c:v>176.86830000000006</c:v>
                </c:pt>
                <c:pt idx="108">
                  <c:v>182.01399999999998</c:v>
                </c:pt>
                <c:pt idx="109">
                  <c:v>186.68120000000005</c:v>
                </c:pt>
                <c:pt idx="110">
                  <c:v>194.72329999999999</c:v>
                </c:pt>
                <c:pt idx="111">
                  <c:v>205.77169999999998</c:v>
                </c:pt>
                <c:pt idx="112">
                  <c:v>202.05740000000006</c:v>
                </c:pt>
                <c:pt idx="113">
                  <c:v>193.9999</c:v>
                </c:pt>
                <c:pt idx="114">
                  <c:v>190.83450000000002</c:v>
                </c:pt>
                <c:pt idx="115">
                  <c:v>189.30950000000001</c:v>
                </c:pt>
                <c:pt idx="116">
                  <c:v>188.31620000000001</c:v>
                </c:pt>
                <c:pt idx="117">
                  <c:v>189.44880000000001</c:v>
                </c:pt>
                <c:pt idx="118">
                  <c:v>189.80690000000001</c:v>
                </c:pt>
                <c:pt idx="119">
                  <c:v>192.42810000000006</c:v>
                </c:pt>
                <c:pt idx="120">
                  <c:v>193.3425</c:v>
                </c:pt>
                <c:pt idx="121">
                  <c:v>195.7774</c:v>
                </c:pt>
                <c:pt idx="122">
                  <c:v>195.09950000000001</c:v>
                </c:pt>
                <c:pt idx="123">
                  <c:v>195.23359999999994</c:v>
                </c:pt>
                <c:pt idx="124">
                  <c:v>186.52240000000006</c:v>
                </c:pt>
                <c:pt idx="125">
                  <c:v>193.45670000000001</c:v>
                </c:pt>
                <c:pt idx="126">
                  <c:v>193.06820000000005</c:v>
                </c:pt>
                <c:pt idx="127">
                  <c:v>191.2353</c:v>
                </c:pt>
                <c:pt idx="128">
                  <c:v>192.46200000000005</c:v>
                </c:pt>
                <c:pt idx="129">
                  <c:v>191.4008</c:v>
                </c:pt>
                <c:pt idx="130">
                  <c:v>190.49030000000005</c:v>
                </c:pt>
                <c:pt idx="131">
                  <c:v>195.608</c:v>
                </c:pt>
                <c:pt idx="132">
                  <c:v>196.08090000000001</c:v>
                </c:pt>
                <c:pt idx="133">
                  <c:v>197.44290000000001</c:v>
                </c:pt>
                <c:pt idx="134">
                  <c:v>202.1925</c:v>
                </c:pt>
                <c:pt idx="135">
                  <c:v>200.0307</c:v>
                </c:pt>
                <c:pt idx="136">
                  <c:v>199.94469999999998</c:v>
                </c:pt>
                <c:pt idx="137">
                  <c:v>202.2311</c:v>
                </c:pt>
                <c:pt idx="138">
                  <c:v>206.1292</c:v>
                </c:pt>
                <c:pt idx="139">
                  <c:v>212.46860000000001</c:v>
                </c:pt>
                <c:pt idx="140">
                  <c:v>205.09020000000001</c:v>
                </c:pt>
                <c:pt idx="141">
                  <c:v>213.16159999999999</c:v>
                </c:pt>
                <c:pt idx="142">
                  <c:v>214.17469999999994</c:v>
                </c:pt>
                <c:pt idx="143">
                  <c:v>214.01759999999999</c:v>
                </c:pt>
                <c:pt idx="144">
                  <c:v>212.7611</c:v>
                </c:pt>
                <c:pt idx="145">
                  <c:v>214.60550000000001</c:v>
                </c:pt>
                <c:pt idx="146">
                  <c:v>214.6481</c:v>
                </c:pt>
                <c:pt idx="147">
                  <c:v>215.1164</c:v>
                </c:pt>
                <c:pt idx="148">
                  <c:v>215.44280000000001</c:v>
                </c:pt>
                <c:pt idx="149">
                  <c:v>215.4641</c:v>
                </c:pt>
                <c:pt idx="150">
                  <c:v>216.8408</c:v>
                </c:pt>
                <c:pt idx="151">
                  <c:v>216.6062</c:v>
                </c:pt>
                <c:pt idx="152">
                  <c:v>218.5692</c:v>
                </c:pt>
                <c:pt idx="153">
                  <c:v>222.21629999999999</c:v>
                </c:pt>
                <c:pt idx="154">
                  <c:v>220.49</c:v>
                </c:pt>
                <c:pt idx="155">
                  <c:v>226</c:v>
                </c:pt>
                <c:pt idx="156">
                  <c:v>226.6251</c:v>
                </c:pt>
                <c:pt idx="157">
                  <c:v>228.28489999999999</c:v>
                </c:pt>
                <c:pt idx="158">
                  <c:v>229.00059999999999</c:v>
                </c:pt>
                <c:pt idx="159">
                  <c:v>232.6353</c:v>
                </c:pt>
                <c:pt idx="160">
                  <c:v>229.18270000000001</c:v>
                </c:pt>
                <c:pt idx="161">
                  <c:v>226.32330000000005</c:v>
                </c:pt>
                <c:pt idx="162">
                  <c:v>229.96190000000001</c:v>
                </c:pt>
                <c:pt idx="163">
                  <c:v>230.2028</c:v>
                </c:pt>
                <c:pt idx="164">
                  <c:v>230.23569999999998</c:v>
                </c:pt>
                <c:pt idx="165">
                  <c:v>231.34010000000001</c:v>
                </c:pt>
                <c:pt idx="166">
                  <c:v>232.88260000000005</c:v>
                </c:pt>
                <c:pt idx="167">
                  <c:v>233.5034</c:v>
                </c:pt>
                <c:pt idx="168">
                  <c:v>234.43900000000002</c:v>
                </c:pt>
                <c:pt idx="169">
                  <c:v>239.64619999999999</c:v>
                </c:pt>
                <c:pt idx="170">
                  <c:v>239.64619999999999</c:v>
                </c:pt>
                <c:pt idx="171">
                  <c:v>241.68710000000004</c:v>
                </c:pt>
                <c:pt idx="172">
                  <c:v>241.9734</c:v>
                </c:pt>
                <c:pt idx="173">
                  <c:v>241.50559999999999</c:v>
                </c:pt>
                <c:pt idx="174">
                  <c:v>241.80140000000006</c:v>
                </c:pt>
                <c:pt idx="175">
                  <c:v>244.00130000000001</c:v>
                </c:pt>
                <c:pt idx="176">
                  <c:v>243.71769999999998</c:v>
                </c:pt>
                <c:pt idx="177">
                  <c:v>243.7381</c:v>
                </c:pt>
                <c:pt idx="178">
                  <c:v>244.45190000000005</c:v>
                </c:pt>
                <c:pt idx="179">
                  <c:v>245.27909999999994</c:v>
                </c:pt>
                <c:pt idx="180">
                  <c:v>249.79259999999999</c:v>
                </c:pt>
                <c:pt idx="181">
                  <c:v>253.8409</c:v>
                </c:pt>
                <c:pt idx="182">
                  <c:v>253.89430000000004</c:v>
                </c:pt>
                <c:pt idx="183">
                  <c:v>255.66919999999999</c:v>
                </c:pt>
                <c:pt idx="184">
                  <c:v>254.05</c:v>
                </c:pt>
                <c:pt idx="185">
                  <c:v>254.58820000000006</c:v>
                </c:pt>
                <c:pt idx="186">
                  <c:v>255.80160000000001</c:v>
                </c:pt>
                <c:pt idx="187">
                  <c:v>256.76129999999989</c:v>
                </c:pt>
                <c:pt idx="188">
                  <c:v>258.78619999999984</c:v>
                </c:pt>
                <c:pt idx="189">
                  <c:v>263.0992</c:v>
                </c:pt>
                <c:pt idx="190">
                  <c:v>270.50689999999986</c:v>
                </c:pt>
                <c:pt idx="191">
                  <c:v>277.51089999999999</c:v>
                </c:pt>
                <c:pt idx="192">
                  <c:v>282.61649999999986</c:v>
                </c:pt>
                <c:pt idx="193">
                  <c:v>287.37909999999999</c:v>
                </c:pt>
                <c:pt idx="194">
                  <c:v>293.57740000000001</c:v>
                </c:pt>
                <c:pt idx="195">
                  <c:v>295.75729999999999</c:v>
                </c:pt>
                <c:pt idx="196">
                  <c:v>296.55130000000003</c:v>
                </c:pt>
                <c:pt idx="197">
                  <c:v>298.2059999999999</c:v>
                </c:pt>
                <c:pt idx="198">
                  <c:v>297.7718999999999</c:v>
                </c:pt>
                <c:pt idx="199">
                  <c:v>296.42539999999985</c:v>
                </c:pt>
                <c:pt idx="200">
                  <c:v>298.73579999999976</c:v>
                </c:pt>
                <c:pt idx="201">
                  <c:v>304.80489999999998</c:v>
                </c:pt>
                <c:pt idx="202">
                  <c:v>302.89369999999991</c:v>
                </c:pt>
                <c:pt idx="203">
                  <c:v>297.99109999999979</c:v>
                </c:pt>
                <c:pt idx="204">
                  <c:v>296.70639999999975</c:v>
                </c:pt>
                <c:pt idx="205">
                  <c:v>296.27129999999988</c:v>
                </c:pt>
                <c:pt idx="206">
                  <c:v>297.9174999999999</c:v>
                </c:pt>
                <c:pt idx="207">
                  <c:v>298.01760000000002</c:v>
                </c:pt>
                <c:pt idx="208">
                  <c:v>298.57549999999986</c:v>
                </c:pt>
                <c:pt idx="209">
                  <c:v>296.77949999999993</c:v>
                </c:pt>
                <c:pt idx="210">
                  <c:v>297.35509999999999</c:v>
                </c:pt>
                <c:pt idx="211">
                  <c:v>296.23639999999983</c:v>
                </c:pt>
                <c:pt idx="212">
                  <c:v>296.99389999999988</c:v>
                </c:pt>
                <c:pt idx="213">
                  <c:v>296.49059999999974</c:v>
                </c:pt>
                <c:pt idx="214">
                  <c:v>295.82889999999986</c:v>
                </c:pt>
                <c:pt idx="215">
                  <c:v>296.78859999999975</c:v>
                </c:pt>
                <c:pt idx="216">
                  <c:v>295.83069999999987</c:v>
                </c:pt>
                <c:pt idx="217">
                  <c:v>295.9708</c:v>
                </c:pt>
                <c:pt idx="218">
                  <c:v>298.20490000000001</c:v>
                </c:pt>
                <c:pt idx="219">
                  <c:v>308.6352</c:v>
                </c:pt>
                <c:pt idx="220">
                  <c:v>310.41639999999984</c:v>
                </c:pt>
                <c:pt idx="221">
                  <c:v>314.63</c:v>
                </c:pt>
                <c:pt idx="222">
                  <c:v>320.42149999999975</c:v>
                </c:pt>
                <c:pt idx="223">
                  <c:v>325.12639999999988</c:v>
                </c:pt>
              </c:numCache>
            </c:numRef>
          </c:val>
        </c:ser>
        <c:marker val="1"/>
        <c:axId val="208226176"/>
        <c:axId val="208227712"/>
      </c:lineChart>
      <c:dateAx>
        <c:axId val="208226176"/>
        <c:scaling>
          <c:orientation val="minMax"/>
        </c:scaling>
        <c:axPos val="b"/>
        <c:numFmt formatCode="dd/mm/yyyy" sourceLinked="0"/>
        <c:tickLblPos val="nextTo"/>
        <c:spPr>
          <a:ln w="4411">
            <a:solidFill>
              <a:srgbClr val="000000"/>
            </a:solidFill>
            <a:prstDash val="solid"/>
          </a:ln>
        </c:spPr>
        <c:txPr>
          <a:bodyPr rot="-5400000" vert="horz"/>
          <a:lstStyle/>
          <a:p>
            <a:pPr>
              <a:defRPr sz="834" b="0" i="0" u="none" strike="noStrike" baseline="0">
                <a:solidFill>
                  <a:srgbClr val="000000"/>
                </a:solidFill>
                <a:latin typeface="Arial"/>
                <a:ea typeface="Arial"/>
                <a:cs typeface="Arial"/>
              </a:defRPr>
            </a:pPr>
            <a:endParaRPr lang="es-ES"/>
          </a:p>
        </c:txPr>
        <c:crossAx val="208227712"/>
        <c:crosses val="autoZero"/>
        <c:auto val="1"/>
        <c:lblOffset val="100"/>
        <c:baseTimeUnit val="days"/>
        <c:majorUnit val="3"/>
        <c:majorTimeUnit val="months"/>
        <c:minorUnit val="1"/>
        <c:minorTimeUnit val="months"/>
      </c:dateAx>
      <c:valAx>
        <c:axId val="208227712"/>
        <c:scaling>
          <c:orientation val="minMax"/>
        </c:scaling>
        <c:axPos val="l"/>
        <c:numFmt formatCode="General" sourceLinked="1"/>
        <c:tickLblPos val="nextTo"/>
        <c:spPr>
          <a:ln w="4411">
            <a:solidFill>
              <a:srgbClr val="000000"/>
            </a:solidFill>
            <a:prstDash val="solid"/>
          </a:ln>
        </c:spPr>
        <c:txPr>
          <a:bodyPr rot="0" vert="horz"/>
          <a:lstStyle/>
          <a:p>
            <a:pPr>
              <a:defRPr sz="834" b="0" i="0" u="none" strike="noStrike" baseline="0">
                <a:solidFill>
                  <a:srgbClr val="000000"/>
                </a:solidFill>
                <a:latin typeface="Arial"/>
                <a:ea typeface="Arial"/>
                <a:cs typeface="Arial"/>
              </a:defRPr>
            </a:pPr>
            <a:endParaRPr lang="es-ES"/>
          </a:p>
        </c:txPr>
        <c:crossAx val="208226176"/>
        <c:crosses val="autoZero"/>
        <c:crossBetween val="between"/>
      </c:valAx>
      <c:spPr>
        <a:solidFill>
          <a:srgbClr val="C0C0C0"/>
        </a:solidFill>
        <a:ln w="17643">
          <a:solidFill>
            <a:srgbClr val="808080"/>
          </a:solidFill>
          <a:prstDash val="solid"/>
        </a:ln>
      </c:spPr>
    </c:plotArea>
    <c:legend>
      <c:legendPos val="t"/>
      <c:layout>
        <c:manualLayout>
          <c:xMode val="edge"/>
          <c:yMode val="edge"/>
          <c:x val="0"/>
          <c:y val="0"/>
          <c:w val="0.25065963060686014"/>
          <c:h val="0.17435897435897435"/>
        </c:manualLayout>
      </c:layout>
      <c:spPr>
        <a:solidFill>
          <a:srgbClr val="C0C0C0"/>
        </a:solidFill>
        <a:ln w="4411">
          <a:solidFill>
            <a:srgbClr val="000000"/>
          </a:solidFill>
          <a:prstDash val="solid"/>
        </a:ln>
      </c:spPr>
      <c:txPr>
        <a:bodyPr/>
        <a:lstStyle/>
        <a:p>
          <a:pPr>
            <a:defRPr sz="63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4411">
      <a:solidFill>
        <a:srgbClr val="000000"/>
      </a:solidFill>
      <a:prstDash val="solid"/>
    </a:ln>
  </c:spPr>
  <c:txPr>
    <a:bodyPr/>
    <a:lstStyle/>
    <a:p>
      <a:pPr>
        <a:defRPr sz="1146"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~wd07.tmp</Template>
  <TotalTime>0</TotalTime>
  <Pages>2</Pages>
  <Words>19195</Words>
  <Characters>105573</Characters>
  <Application>Microsoft Office Word</Application>
  <DocSecurity>0</DocSecurity>
  <Lines>879</Lines>
  <Paragraphs>249</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RCH</Company>
  <LinksUpToDate>false</LinksUpToDate>
  <CharactersWithSpaces>124519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Carla</dc:creator>
  <cp:keywords/>
  <cp:lastModifiedBy>Administrador</cp:lastModifiedBy>
  <cp:revision>2</cp:revision>
  <cp:lastPrinted>2007-09-04T21:29:00Z</cp:lastPrinted>
  <dcterms:created xsi:type="dcterms:W3CDTF">2009-11-10T16:04:00Z</dcterms:created>
  <dcterms:modified xsi:type="dcterms:W3CDTF">2009-11-10T16:04:00Z</dcterms:modified>
</cp:coreProperties>
</file>