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19DD">
      <w:pPr>
        <w:pStyle w:val="Ttulo"/>
      </w:pPr>
      <w:r>
        <w:t>LOS GLACIARES  ESTÁN DESAPARECIENDO</w:t>
      </w:r>
    </w:p>
    <w:p w:rsidR="00000000" w:rsidRDefault="00AF19DD">
      <w:pPr>
        <w:jc w:val="right"/>
        <w:rPr>
          <w:sz w:val="20"/>
        </w:rPr>
      </w:pPr>
      <w:r>
        <w:rPr>
          <w:sz w:val="20"/>
        </w:rPr>
        <w:t xml:space="preserve">EL </w:t>
      </w:r>
      <w:r>
        <w:rPr>
          <w:sz w:val="20"/>
        </w:rPr>
        <w:t>TELÉGRAFO</w:t>
      </w:r>
      <w:r>
        <w:rPr>
          <w:sz w:val="20"/>
        </w:rPr>
        <w:t xml:space="preserve">, mayo 4 del 2002                                  </w:t>
      </w:r>
      <w:r>
        <w:rPr>
          <w:sz w:val="20"/>
        </w:rPr>
        <w:t>Por Hugo Tobar vega</w:t>
      </w:r>
    </w:p>
    <w:p w:rsidR="00000000" w:rsidRDefault="00AF19DD">
      <w:pPr>
        <w:pStyle w:val="Sangradetextonormal"/>
        <w:rPr>
          <w:sz w:val="20"/>
        </w:rPr>
      </w:pPr>
      <w:r>
        <w:rPr>
          <w:sz w:val="20"/>
        </w:rPr>
        <w:t>En estos días, diarios del país ratifican un hecho alarmante; el deshielo de los glaciares de montañas y volcanes nuestros, que es casi la única fuente de abastecimiento de agua a las poblaciones veci</w:t>
      </w:r>
      <w:r>
        <w:rPr>
          <w:sz w:val="20"/>
        </w:rPr>
        <w:t>nas.</w:t>
      </w:r>
    </w:p>
    <w:p w:rsidR="00000000" w:rsidRDefault="00AF19DD">
      <w:pPr>
        <w:pStyle w:val="Sangradetextonormal"/>
        <w:rPr>
          <w:sz w:val="20"/>
        </w:rPr>
      </w:pPr>
      <w:r>
        <w:rPr>
          <w:sz w:val="20"/>
        </w:rPr>
        <w:t xml:space="preserve">Esta catástrofe, una de las causas del “Calentamiento del Globo” (Global </w:t>
      </w:r>
      <w:proofErr w:type="spellStart"/>
      <w:r>
        <w:rPr>
          <w:sz w:val="20"/>
        </w:rPr>
        <w:t>Warming</w:t>
      </w:r>
      <w:proofErr w:type="spellEnd"/>
      <w:r>
        <w:rPr>
          <w:sz w:val="20"/>
        </w:rPr>
        <w:t xml:space="preserve">); ha sido analizada al nivel mundial como un fenómeno que afecta directamente a la supervivencia de toda la humanidad. </w:t>
      </w:r>
    </w:p>
    <w:p w:rsidR="00000000" w:rsidRDefault="00AF19DD">
      <w:pPr>
        <w:pStyle w:val="Sangra2detindependiente"/>
      </w:pPr>
      <w:r>
        <w:t>A nivel nacional esta noticia, es el resultado  de</w:t>
      </w:r>
      <w:r>
        <w:t xml:space="preserve"> estudios hechos por el Instituto de Investigaciones para el Desarrollo de Francia (IRD) y el Instituto Nacional de Hidrología.  En particular, encuentran que el Antisana y Carihuairazo tienen una pérdida casi total de sus glaciares.  Este deshielo, es sol</w:t>
      </w:r>
      <w:r>
        <w:t>o uno de los tantos efectos  del calentamiento del globo; como lo son el aumento de las frecuencias e intensidad de los fenómenos de El Niño; y la actual condición de lluvias excesivas e inundaciones en todo el litoral ecuatoriano.</w:t>
      </w:r>
    </w:p>
    <w:p w:rsidR="00000000" w:rsidRDefault="00AF19DD">
      <w:pPr>
        <w:pStyle w:val="Textoindependiente"/>
        <w:ind w:firstLine="708"/>
        <w:rPr>
          <w:sz w:val="20"/>
        </w:rPr>
      </w:pPr>
      <w:r>
        <w:rPr>
          <w:sz w:val="20"/>
        </w:rPr>
        <w:t>Los últimos fenómenos El</w:t>
      </w:r>
      <w:r>
        <w:rPr>
          <w:sz w:val="20"/>
        </w:rPr>
        <w:t xml:space="preserve"> Niño, de 1982 y 1997; fueron los más grandes en intensidad y duración. Pero estos fenómenos sólo afectaron con sus lluvias  e inundaciones al Litoral.  Esta vez el efecto de las lluvias e inundaciones, ya llegaron hasta la Sierra, como es el caso de Tanda</w:t>
      </w:r>
      <w:r>
        <w:rPr>
          <w:sz w:val="20"/>
        </w:rPr>
        <w:t>pi y Guayllabamba en la provincia del Pichincha. Esta acción destructiva de las lluvias, es otra causa del calentamiento del globo; por cuanto, la temperatura promedio del Planeta Tierra va en incremento; y como pasa el tiempo, los estragos serán más frecu</w:t>
      </w:r>
      <w:r>
        <w:rPr>
          <w:sz w:val="20"/>
        </w:rPr>
        <w:t>entes y más intensos.</w:t>
      </w:r>
    </w:p>
    <w:p w:rsidR="00000000" w:rsidRDefault="00AF19DD">
      <w:pPr>
        <w:ind w:firstLine="708"/>
        <w:jc w:val="both"/>
        <w:rPr>
          <w:sz w:val="20"/>
        </w:rPr>
      </w:pPr>
      <w:r>
        <w:rPr>
          <w:sz w:val="20"/>
        </w:rPr>
        <w:t>En mi artículo: “Llegaron las lluvias” del pasado 9 de marzo; en este importante Diario EL TELÉGRAFO, traté con detenimiento este asunto. En esa oportunidad indiqué que para este efecto, la ONU creó el Panel Internacional de Cambios C</w:t>
      </w:r>
      <w:r>
        <w:rPr>
          <w:sz w:val="20"/>
        </w:rPr>
        <w:t xml:space="preserve">limáticos, el IPCC. Este organismo ha estado trabajando por más de diez años; sus conclusiones fundamentales son: </w:t>
      </w:r>
    </w:p>
    <w:p w:rsidR="00000000" w:rsidRDefault="00AF19DD">
      <w:pPr>
        <w:pStyle w:val="Textoindependiente"/>
        <w:rPr>
          <w:sz w:val="20"/>
        </w:rPr>
      </w:pPr>
      <w:r>
        <w:rPr>
          <w:sz w:val="20"/>
        </w:rPr>
        <w:t xml:space="preserve">-La década de los años 1990s fue la más caliente de toda la historia. </w:t>
      </w:r>
    </w:p>
    <w:p w:rsidR="00000000" w:rsidRDefault="00AF19DD">
      <w:pPr>
        <w:pStyle w:val="Textoindependiente"/>
        <w:rPr>
          <w:sz w:val="20"/>
        </w:rPr>
      </w:pPr>
      <w:r>
        <w:rPr>
          <w:sz w:val="20"/>
        </w:rPr>
        <w:t xml:space="preserve">-Las nieves legendarias del Monte Kilimanjaro en Kennia África, están </w:t>
      </w:r>
      <w:r>
        <w:rPr>
          <w:sz w:val="20"/>
        </w:rPr>
        <w:t xml:space="preserve">desapareciendo.  A fines del año pasado viajé a Latacunga y Quito por Guaranda; y con horror pude observar que los Illinisas no tiene casi nieve. El Chimborazo y  otros nevados como hoy son noticia el Antisana y el Carihuairazo, también. </w:t>
      </w:r>
    </w:p>
    <w:p w:rsidR="00000000" w:rsidRDefault="00AF19DD">
      <w:pPr>
        <w:pStyle w:val="Textoindependiente"/>
        <w:rPr>
          <w:sz w:val="20"/>
        </w:rPr>
      </w:pPr>
      <w:r>
        <w:rPr>
          <w:sz w:val="20"/>
        </w:rPr>
        <w:t>-Los lagos y ríos</w:t>
      </w:r>
      <w:r>
        <w:rPr>
          <w:sz w:val="20"/>
        </w:rPr>
        <w:t xml:space="preserve"> durante el invierno se están helando más tarde y descongelando más temprano.  </w:t>
      </w:r>
    </w:p>
    <w:p w:rsidR="00000000" w:rsidRDefault="00AF19DD">
      <w:pPr>
        <w:pStyle w:val="Textoindependiente"/>
        <w:rPr>
          <w:sz w:val="20"/>
        </w:rPr>
      </w:pPr>
      <w:r>
        <w:rPr>
          <w:sz w:val="20"/>
        </w:rPr>
        <w:t xml:space="preserve">-Pero el mayor efecto que este Panel teme es, el deshielo de los casquetes polares del Ártico y Antártico. Este efecto puede ser desastroso ya que el nivel de las aguas de los </w:t>
      </w:r>
      <w:r>
        <w:rPr>
          <w:sz w:val="20"/>
        </w:rPr>
        <w:t>mares se incrementaría casi un metro. Muchas áreas de la Florida y Lusiana en Estados Unidos, el Delta del Nilo, Bangladesh; y otras zonas bajas se inundarían permanentemente.</w:t>
      </w:r>
    </w:p>
    <w:p w:rsidR="00000000" w:rsidRDefault="00AF19DD">
      <w:pPr>
        <w:pStyle w:val="Textoindependiente"/>
        <w:rPr>
          <w:sz w:val="20"/>
        </w:rPr>
      </w:pPr>
      <w:r>
        <w:rPr>
          <w:sz w:val="20"/>
        </w:rPr>
        <w:t>-Los trópicos tanto de Cáncer como de Capricornio se incrementarían aumentando e</w:t>
      </w:r>
      <w:r>
        <w:rPr>
          <w:sz w:val="20"/>
        </w:rPr>
        <w:t>l clima tropical en el mundo; y por último,</w:t>
      </w:r>
    </w:p>
    <w:p w:rsidR="00000000" w:rsidRDefault="00AF19DD">
      <w:pPr>
        <w:pStyle w:val="Textoindependiente"/>
        <w:rPr>
          <w:sz w:val="20"/>
        </w:rPr>
      </w:pPr>
      <w:r>
        <w:rPr>
          <w:sz w:val="20"/>
        </w:rPr>
        <w:t>-La única forma de parar o aliviar en algo este Calentamiento  que lo llaman “el efecto invernadero”; porque el dióxido de carbono y el metano  atrapan el calor de la atmósfera; es controlar la emisión de estos g</w:t>
      </w:r>
      <w:r>
        <w:rPr>
          <w:sz w:val="20"/>
        </w:rPr>
        <w:t>ases producto de la combustión del petróleo y carbón,  especialmente por los países industrializados.</w:t>
      </w:r>
    </w:p>
    <w:p w:rsidR="00000000" w:rsidRDefault="00AF19DD">
      <w:pPr>
        <w:ind w:firstLine="708"/>
        <w:jc w:val="both"/>
        <w:rPr>
          <w:sz w:val="20"/>
        </w:rPr>
      </w:pPr>
      <w:r>
        <w:rPr>
          <w:sz w:val="20"/>
        </w:rPr>
        <w:t xml:space="preserve">La revista TIMES, en una edición dedicada al calentamiento del globo hace un año; detalló los catastróficos efectos causadas por las emisiones de gases a </w:t>
      </w:r>
      <w:r>
        <w:rPr>
          <w:sz w:val="20"/>
        </w:rPr>
        <w:t>la atmósfera.  Así encontró que el mayor emisor de estos gases son los Estados Unidos; que con una población del 4 por ciento del total  mundial, emite el 25% de gases.</w:t>
      </w:r>
    </w:p>
    <w:p w:rsidR="00000000" w:rsidRDefault="00AF19DD">
      <w:pPr>
        <w:ind w:firstLine="708"/>
        <w:jc w:val="both"/>
        <w:rPr>
          <w:sz w:val="20"/>
        </w:rPr>
      </w:pPr>
      <w:r>
        <w:rPr>
          <w:sz w:val="20"/>
        </w:rPr>
        <w:t xml:space="preserve"> La cantidad desde 1950 de gases  en </w:t>
      </w:r>
      <w:r>
        <w:rPr>
          <w:b/>
          <w:bCs/>
          <w:sz w:val="20"/>
        </w:rPr>
        <w:t>MILES DE MILLONES DE TONELADAS</w:t>
      </w:r>
      <w:r>
        <w:rPr>
          <w:sz w:val="20"/>
        </w:rPr>
        <w:t>, emitidos por los p</w:t>
      </w:r>
      <w:r>
        <w:rPr>
          <w:sz w:val="20"/>
        </w:rPr>
        <w:t>rincipales países, es  como se indica a continuación:</w:t>
      </w:r>
    </w:p>
    <w:p w:rsidR="00000000" w:rsidRDefault="00AF19DD">
      <w:pPr>
        <w:jc w:val="both"/>
        <w:rPr>
          <w:sz w:val="20"/>
        </w:rPr>
      </w:pPr>
    </w:p>
    <w:tbl>
      <w:tblPr>
        <w:tblW w:w="0" w:type="auto"/>
        <w:tblInd w:w="2276" w:type="dxa"/>
        <w:tblCellMar>
          <w:left w:w="70" w:type="dxa"/>
          <w:right w:w="70" w:type="dxa"/>
        </w:tblCellMar>
        <w:tblLook w:val="0000"/>
      </w:tblPr>
      <w:tblGrid>
        <w:gridCol w:w="573"/>
        <w:gridCol w:w="2301"/>
        <w:gridCol w:w="1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Estados Unidos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186.1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Toda Unión Europea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127.8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Rusia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China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57.6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Japón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Ucrania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India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Canadá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Polonia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Kasakistán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Sudáfrica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Méxic</w:t>
            </w:r>
            <w:r>
              <w:rPr>
                <w:sz w:val="20"/>
              </w:rPr>
              <w:t>o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01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Australia</w:t>
            </w:r>
          </w:p>
        </w:tc>
        <w:tc>
          <w:tcPr>
            <w:tcW w:w="1005" w:type="dxa"/>
          </w:tcPr>
          <w:p w:rsidR="00000000" w:rsidRDefault="00AF19DD">
            <w:pPr>
              <w:jc w:val="both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</w:tr>
    </w:tbl>
    <w:p w:rsidR="00000000" w:rsidRDefault="00AF19DD">
      <w:pPr>
        <w:jc w:val="both"/>
        <w:rPr>
          <w:sz w:val="20"/>
        </w:rPr>
      </w:pPr>
    </w:p>
    <w:p w:rsidR="00000000" w:rsidRDefault="00AF19DD">
      <w:pPr>
        <w:ind w:firstLine="708"/>
        <w:jc w:val="both"/>
        <w:rPr>
          <w:sz w:val="20"/>
        </w:rPr>
      </w:pPr>
      <w:r>
        <w:rPr>
          <w:sz w:val="20"/>
        </w:rPr>
        <w:t>El Protocolo de Kyoto de 1997, demanda que los 83 países que firmaron este acuerdo deben para 2010, bajar su emisión de gases un 7% debajo de los niveles de 1990. Muchos países del mundo son concientes de y están tratando de cumpl</w:t>
      </w:r>
      <w:r>
        <w:rPr>
          <w:sz w:val="20"/>
        </w:rPr>
        <w:t>ir. Pero el actual Presidente Bush, por defender los intereses de sus empresas consumidoras de petróleo y  carbón; ha desconocido los acuerdos firmados por su país.</w:t>
      </w:r>
    </w:p>
    <w:p w:rsidR="00000000" w:rsidRDefault="00AF19DD">
      <w:pPr>
        <w:ind w:firstLine="708"/>
        <w:jc w:val="both"/>
        <w:rPr>
          <w:sz w:val="20"/>
        </w:rPr>
      </w:pPr>
      <w:r>
        <w:rPr>
          <w:sz w:val="20"/>
        </w:rPr>
        <w:t>Ecuatorianos; las noticias de prensa que detallan el deshielo de nuestras montañas, son una</w:t>
      </w:r>
      <w:r>
        <w:rPr>
          <w:sz w:val="20"/>
        </w:rPr>
        <w:t xml:space="preserve"> sola consecuencia del calentamiento del globo; como lo son los más frecuentes e intensos fenómenos El Niño.  Muchas poblaciones de la Sierra, se quedarán sin agua y deberán buscar fuentes alternas.</w:t>
      </w:r>
    </w:p>
    <w:p w:rsidR="00000000" w:rsidRDefault="00AF19DD">
      <w:pPr>
        <w:ind w:firstLine="708"/>
        <w:jc w:val="both"/>
        <w:rPr>
          <w:sz w:val="20"/>
        </w:rPr>
      </w:pPr>
      <w:r>
        <w:rPr>
          <w:sz w:val="20"/>
        </w:rPr>
        <w:t>El mundo entero debe cambiar el uso de energía de combust</w:t>
      </w:r>
      <w:r>
        <w:rPr>
          <w:sz w:val="20"/>
        </w:rPr>
        <w:t>ibles fósiles como el carbón y el petróleo cuyos residuos son estos gases; con el uso de  fuentes de energía alterna como: la energía del viento; de las mareas y olas de los océanos; la energía solar; la energía nuclear, si logra resolver el problema de su</w:t>
      </w:r>
      <w:r>
        <w:rPr>
          <w:sz w:val="20"/>
        </w:rPr>
        <w:t xml:space="preserve">s residuos radioactivos; y además economizar y almacenar energía. </w:t>
      </w:r>
    </w:p>
    <w:p w:rsidR="00AF19DD" w:rsidRDefault="00AF19DD">
      <w:pPr>
        <w:ind w:firstLine="708"/>
        <w:jc w:val="both"/>
        <w:rPr>
          <w:sz w:val="20"/>
        </w:rPr>
      </w:pPr>
      <w:r>
        <w:rPr>
          <w:sz w:val="20"/>
        </w:rPr>
        <w:t>Esta noticia de los deshielos, debe servir a los ecuatorianos para discutir con profundidad este asunto. Así en este contexto el importante Canal de Televisión TV MAS, me invitó a una entre</w:t>
      </w:r>
      <w:r>
        <w:rPr>
          <w:sz w:val="20"/>
        </w:rPr>
        <w:t>vista sobre este asunto; por la preocupación cierta de sus Directivos, de este gran problema que nos afecta y nos afectará para siempre. El ejemplo de TV MAS, debe servir para seguir tratando este tema; para así encontrar soluciones y  prevenir y no tratar</w:t>
      </w:r>
      <w:r>
        <w:rPr>
          <w:sz w:val="20"/>
        </w:rPr>
        <w:t xml:space="preserve"> de solucionar siempre la CRISIS; y poder enfrentar esta realidad que hace rato  está  en nuestro horizonte.  </w:t>
      </w:r>
    </w:p>
    <w:sectPr w:rsidR="00AF19DD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517DB2"/>
    <w:rsid w:val="00517DB2"/>
    <w:rsid w:val="00AF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Sangra2detindependiente">
    <w:name w:val="Body Text Indent 2"/>
    <w:basedOn w:val="Normal"/>
    <w:semiHidden/>
    <w:pPr>
      <w:ind w:firstLine="708"/>
      <w:jc w:val="both"/>
    </w:pPr>
    <w:rPr>
      <w:sz w:val="20"/>
    </w:rPr>
  </w:style>
  <w:style w:type="paragraph" w:styleId="Ttulo">
    <w:name w:val="Title"/>
    <w:basedOn w:val="Normal"/>
    <w:qFormat/>
    <w:pPr>
      <w:jc w:val="center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glaciares de nuestras montañas están desapareciendo</vt:lpstr>
    </vt:vector>
  </TitlesOfParts>
  <Company>tacti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glaciares de nuestras montañas están desapareciendo</dc:title>
  <dc:subject/>
  <dc:creator>Administrador</dc:creator>
  <cp:keywords/>
  <dc:description/>
  <cp:lastModifiedBy>Administrador</cp:lastModifiedBy>
  <cp:revision>2</cp:revision>
  <cp:lastPrinted>2002-04-01T10:40:00Z</cp:lastPrinted>
  <dcterms:created xsi:type="dcterms:W3CDTF">2009-08-18T17:06:00Z</dcterms:created>
  <dcterms:modified xsi:type="dcterms:W3CDTF">2009-08-18T17:06:00Z</dcterms:modified>
</cp:coreProperties>
</file>