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F01E3">
      <w:pPr>
        <w:pStyle w:val="Ttulo"/>
        <w:rPr>
          <w:rFonts w:ascii="Times New Roman" w:hAnsi="Times New Roman"/>
        </w:rPr>
      </w:pPr>
    </w:p>
    <w:p w:rsidR="00000000" w:rsidRDefault="007F01E3">
      <w:pPr>
        <w:pStyle w:val="Ttulo"/>
        <w:rPr>
          <w:rFonts w:ascii="Times New Roman" w:hAnsi="Times New Roman"/>
        </w:rPr>
      </w:pPr>
    </w:p>
    <w:p w:rsidR="00000000" w:rsidRDefault="007F01E3">
      <w:pPr>
        <w:pStyle w:val="Ttulo"/>
        <w:rPr>
          <w:rFonts w:ascii="Times New Roman" w:hAnsi="Times New Roman"/>
        </w:rPr>
      </w:pPr>
    </w:p>
    <w:p w:rsidR="00000000" w:rsidRDefault="007F01E3">
      <w:pPr>
        <w:pStyle w:val="Ttulo"/>
        <w:rPr>
          <w:rFonts w:ascii="Times New Roman" w:hAnsi="Times New Roman"/>
        </w:rPr>
      </w:pPr>
    </w:p>
    <w:p w:rsidR="00000000" w:rsidRDefault="007F01E3">
      <w:pPr>
        <w:pStyle w:val="Ttulo"/>
        <w:rPr>
          <w:rFonts w:ascii="Times New Roman" w:hAnsi="Times New Roman"/>
        </w:rPr>
      </w:pPr>
    </w:p>
    <w:p w:rsidR="00000000" w:rsidRDefault="007F01E3">
      <w:pPr>
        <w:pStyle w:val="Ttulo"/>
        <w:rPr>
          <w:rFonts w:ascii="Times New Roman" w:hAnsi="Times New Roman"/>
        </w:rPr>
      </w:pPr>
    </w:p>
    <w:p w:rsidR="00000000" w:rsidRDefault="007F01E3">
      <w:pPr>
        <w:pStyle w:val="Ttulo"/>
        <w:rPr>
          <w:rFonts w:ascii="Times New Roman" w:hAnsi="Times New Roman"/>
        </w:rPr>
      </w:pPr>
      <w:r>
        <w:rPr>
          <w:rFonts w:ascii="Times New Roman" w:hAnsi="Times New Roman"/>
        </w:rPr>
        <w:t>CAPÍTULO VI</w:t>
      </w:r>
    </w:p>
    <w:p w:rsidR="00000000" w:rsidRDefault="007F01E3">
      <w:pPr>
        <w:pStyle w:val="Ttulo"/>
        <w:rPr>
          <w:rFonts w:ascii="Times New Roman" w:hAnsi="Times New Roman"/>
        </w:rPr>
      </w:pPr>
      <w:r>
        <w:rPr>
          <w:rFonts w:ascii="Times New Roman" w:hAnsi="Times New Roman"/>
        </w:rPr>
        <w:t>CONCLUSIONES Y RECOMENDACIONES</w:t>
      </w:r>
    </w:p>
    <w:p w:rsidR="00000000" w:rsidRDefault="007F01E3">
      <w:pPr>
        <w:spacing w:line="480" w:lineRule="auto"/>
        <w:jc w:val="both"/>
      </w:pPr>
    </w:p>
    <w:p w:rsidR="00000000" w:rsidRDefault="007F01E3">
      <w:pPr>
        <w:pStyle w:val="Subttul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6.1.  CONCLUSIONES</w:t>
      </w:r>
    </w:p>
    <w:p w:rsidR="00000000" w:rsidRDefault="007F01E3">
      <w:pPr>
        <w:numPr>
          <w:ilvl w:val="0"/>
          <w:numId w:val="1"/>
        </w:numPr>
        <w:tabs>
          <w:tab w:val="clear" w:pos="720"/>
          <w:tab w:val="left" w:pos="900"/>
        </w:tabs>
        <w:spacing w:line="480" w:lineRule="auto"/>
        <w:ind w:left="0" w:firstLine="567"/>
        <w:jc w:val="both"/>
      </w:pPr>
      <w:r>
        <w:t>El coeficiente de elasticidad del servicio del transporte público urbano es de –0.34 lo que indica que es inelástica; es decir, que los consumidores asumen cualquier incremento de tarifas</w:t>
      </w:r>
      <w:r>
        <w:t>, reduciendo así su bienestar y el bienestar social en general.  En Economías como las nuestras con una pobreza extrema del 60% (INEC,1999) El Estado debe velar por los efectos sociales de este servicio.  Desde este punto de vista una deregulación, unido a</w:t>
      </w:r>
      <w:r>
        <w:t xml:space="preserve"> los problemas de cartelización, no funcionaría a favor del bienestar popular.  </w:t>
      </w:r>
    </w:p>
    <w:p w:rsidR="00000000" w:rsidRDefault="007F01E3">
      <w:pPr>
        <w:numPr>
          <w:ilvl w:val="0"/>
          <w:numId w:val="1"/>
        </w:numPr>
        <w:tabs>
          <w:tab w:val="left" w:pos="900"/>
        </w:tabs>
        <w:spacing w:line="480" w:lineRule="auto"/>
        <w:ind w:left="0" w:firstLine="567"/>
        <w:jc w:val="both"/>
      </w:pPr>
      <w:r>
        <w:t xml:space="preserve">La propuesta establecida para la ciudad de Guayaquil: recorridos mixtos y regulación, mejora la situación actual en dos aspectos importantes: el tiempo de viaje y las tarifas </w:t>
      </w:r>
      <w:r>
        <w:t>tal como se observó en los ejemplos del capítulo 5, del cual extraemos el siguiente cuadro:</w:t>
      </w:r>
    </w:p>
    <w:p w:rsidR="00000000" w:rsidRDefault="007F01E3">
      <w:pPr>
        <w:tabs>
          <w:tab w:val="left" w:pos="900"/>
        </w:tabs>
        <w:spacing w:line="480" w:lineRule="auto"/>
        <w:jc w:val="both"/>
      </w:pPr>
    </w:p>
    <w:p w:rsidR="00000000" w:rsidRDefault="007F01E3">
      <w:pPr>
        <w:tabs>
          <w:tab w:val="left" w:pos="900"/>
        </w:tabs>
        <w:spacing w:line="480" w:lineRule="auto"/>
        <w:jc w:val="both"/>
      </w:pPr>
    </w:p>
    <w:tbl>
      <w:tblPr>
        <w:tblW w:w="800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0"/>
        <w:gridCol w:w="1200"/>
        <w:gridCol w:w="992"/>
        <w:gridCol w:w="1308"/>
        <w:gridCol w:w="1000"/>
        <w:gridCol w:w="140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3300" w:type="dxa"/>
            <w:gridSpan w:val="2"/>
            <w:tcBorders>
              <w:top w:val="nil"/>
              <w:left w:val="nil"/>
            </w:tcBorders>
          </w:tcPr>
          <w:p w:rsidR="00000000" w:rsidRDefault="007F01E3">
            <w:pPr>
              <w:pStyle w:val="BodyText2"/>
              <w:spacing w:line="240" w:lineRule="auto"/>
              <w:ind w:left="113" w:right="113" w:firstLine="0"/>
              <w:jc w:val="center"/>
              <w:rPr>
                <w:b/>
                <w:bCs/>
                <w:sz w:val="18"/>
                <w:lang w:val="es-EC"/>
              </w:rPr>
            </w:pPr>
          </w:p>
        </w:tc>
        <w:tc>
          <w:tcPr>
            <w:tcW w:w="2300" w:type="dxa"/>
            <w:gridSpan w:val="2"/>
            <w:shd w:val="clear" w:color="auto" w:fill="E6E6E6"/>
            <w:vAlign w:val="center"/>
          </w:tcPr>
          <w:p w:rsidR="00000000" w:rsidRDefault="007F01E3">
            <w:pPr>
              <w:pStyle w:val="BodyText2"/>
              <w:spacing w:line="240" w:lineRule="auto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TIEMPO DE VIAJE</w:t>
            </w:r>
          </w:p>
          <w:p w:rsidR="00000000" w:rsidRDefault="007F01E3">
            <w:pPr>
              <w:pStyle w:val="BodyText2"/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/>
                <w:sz w:val="20"/>
              </w:rPr>
              <w:t>(minutos)</w:t>
            </w:r>
          </w:p>
        </w:tc>
        <w:tc>
          <w:tcPr>
            <w:tcW w:w="2400" w:type="dxa"/>
            <w:gridSpan w:val="2"/>
            <w:shd w:val="clear" w:color="auto" w:fill="E6E6E6"/>
            <w:vAlign w:val="center"/>
          </w:tcPr>
          <w:p w:rsidR="00000000" w:rsidRDefault="007F01E3">
            <w:pPr>
              <w:pStyle w:val="BodyText2"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TARIFA POR VIAJE</w:t>
            </w:r>
          </w:p>
          <w:p w:rsidR="00000000" w:rsidRDefault="007F01E3">
            <w:pPr>
              <w:pStyle w:val="BodyText2"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(USD)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71"/>
        </w:trPr>
        <w:tc>
          <w:tcPr>
            <w:tcW w:w="2100" w:type="dxa"/>
            <w:shd w:val="clear" w:color="auto" w:fill="E6E6E6"/>
            <w:vAlign w:val="center"/>
          </w:tcPr>
          <w:p w:rsidR="00000000" w:rsidRDefault="007F01E3">
            <w:pPr>
              <w:pStyle w:val="BodyText2"/>
              <w:spacing w:line="240" w:lineRule="auto"/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RECORRIDO</w:t>
            </w:r>
          </w:p>
        </w:tc>
        <w:tc>
          <w:tcPr>
            <w:tcW w:w="1200" w:type="dxa"/>
            <w:shd w:val="clear" w:color="auto" w:fill="E6E6E6"/>
            <w:vAlign w:val="center"/>
          </w:tcPr>
          <w:p w:rsidR="00000000" w:rsidRDefault="007F01E3">
            <w:pPr>
              <w:pStyle w:val="BodyText2"/>
              <w:spacing w:line="240" w:lineRule="auto"/>
              <w:ind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DISTANCIA</w:t>
            </w:r>
          </w:p>
          <w:p w:rsidR="00000000" w:rsidRDefault="007F01E3">
            <w:pPr>
              <w:pStyle w:val="BodyText2"/>
              <w:spacing w:line="240" w:lineRule="auto"/>
              <w:ind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(Km.)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000000" w:rsidRDefault="007F01E3">
            <w:pPr>
              <w:pStyle w:val="BodyText2"/>
              <w:spacing w:line="240" w:lineRule="auto"/>
              <w:ind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0"/>
              </w:rPr>
              <w:t>ACTUAL</w:t>
            </w:r>
          </w:p>
        </w:tc>
        <w:tc>
          <w:tcPr>
            <w:tcW w:w="1308" w:type="dxa"/>
            <w:shd w:val="clear" w:color="auto" w:fill="E0E0E0"/>
            <w:vAlign w:val="center"/>
          </w:tcPr>
          <w:p w:rsidR="00000000" w:rsidRDefault="007F01E3">
            <w:pPr>
              <w:pStyle w:val="BodyText2"/>
              <w:spacing w:line="240" w:lineRule="auto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PROPUESTO</w:t>
            </w:r>
          </w:p>
        </w:tc>
        <w:tc>
          <w:tcPr>
            <w:tcW w:w="1000" w:type="dxa"/>
            <w:shd w:val="clear" w:color="auto" w:fill="F3F3F3"/>
            <w:vAlign w:val="center"/>
          </w:tcPr>
          <w:p w:rsidR="00000000" w:rsidRDefault="007F01E3">
            <w:pPr>
              <w:pStyle w:val="BodyText2"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ACTUAL</w:t>
            </w:r>
          </w:p>
        </w:tc>
        <w:tc>
          <w:tcPr>
            <w:tcW w:w="1400" w:type="dxa"/>
            <w:shd w:val="clear" w:color="auto" w:fill="E0E0E0"/>
            <w:vAlign w:val="center"/>
          </w:tcPr>
          <w:p w:rsidR="00000000" w:rsidRDefault="007F01E3">
            <w:pPr>
              <w:pStyle w:val="BodyText2"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PROPUESTO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shd w:val="clear" w:color="auto" w:fill="E6E6E6"/>
          </w:tcPr>
          <w:p w:rsidR="00000000" w:rsidRDefault="007F01E3">
            <w:pPr>
              <w:pStyle w:val="BodyText2"/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GUASMO-CENTRO</w:t>
            </w:r>
          </w:p>
        </w:tc>
        <w:tc>
          <w:tcPr>
            <w:tcW w:w="1200" w:type="dxa"/>
            <w:shd w:val="clear" w:color="auto" w:fill="E6E6E6"/>
          </w:tcPr>
          <w:p w:rsidR="00000000" w:rsidRDefault="007F01E3">
            <w:pPr>
              <w:pStyle w:val="BodyText2"/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992" w:type="dxa"/>
            <w:shd w:val="clear" w:color="auto" w:fill="F3F3F3"/>
          </w:tcPr>
          <w:p w:rsidR="00000000" w:rsidRDefault="007F01E3">
            <w:pPr>
              <w:pStyle w:val="BodyText2"/>
              <w:spacing w:line="240" w:lineRule="auto"/>
              <w:ind w:firstLine="0"/>
              <w:jc w:val="center"/>
            </w:pPr>
            <w:r>
              <w:t>50</w:t>
            </w:r>
          </w:p>
        </w:tc>
        <w:tc>
          <w:tcPr>
            <w:tcW w:w="1308" w:type="dxa"/>
            <w:shd w:val="clear" w:color="auto" w:fill="E0E0E0"/>
          </w:tcPr>
          <w:p w:rsidR="00000000" w:rsidRDefault="007F01E3">
            <w:pPr>
              <w:pStyle w:val="BodyText2"/>
              <w:spacing w:line="240" w:lineRule="auto"/>
              <w:ind w:firstLine="0"/>
              <w:jc w:val="center"/>
            </w:pPr>
            <w:r>
              <w:t>24</w:t>
            </w:r>
          </w:p>
        </w:tc>
        <w:tc>
          <w:tcPr>
            <w:tcW w:w="1000" w:type="dxa"/>
            <w:shd w:val="clear" w:color="auto" w:fill="F3F3F3"/>
          </w:tcPr>
          <w:p w:rsidR="00000000" w:rsidRDefault="007F01E3">
            <w:pPr>
              <w:pStyle w:val="BodyText2"/>
              <w:spacing w:line="240" w:lineRule="auto"/>
              <w:ind w:firstLine="0"/>
              <w:jc w:val="center"/>
            </w:pPr>
            <w:r>
              <w:t>0.20</w:t>
            </w:r>
          </w:p>
        </w:tc>
        <w:tc>
          <w:tcPr>
            <w:tcW w:w="1400" w:type="dxa"/>
            <w:shd w:val="clear" w:color="auto" w:fill="E0E0E0"/>
          </w:tcPr>
          <w:p w:rsidR="00000000" w:rsidRDefault="007F01E3">
            <w:pPr>
              <w:pStyle w:val="BodyText2"/>
              <w:spacing w:line="240" w:lineRule="auto"/>
              <w:ind w:firstLine="0"/>
              <w:jc w:val="center"/>
            </w:pPr>
            <w:r>
              <w:t>0.09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shd w:val="clear" w:color="auto" w:fill="E6E6E6"/>
          </w:tcPr>
          <w:p w:rsidR="00000000" w:rsidRDefault="007F01E3">
            <w:pPr>
              <w:pStyle w:val="BodyText2"/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GUASMO-VÍA DAUL</w:t>
            </w:r>
            <w:r>
              <w:rPr>
                <w:b/>
                <w:bCs/>
                <w:sz w:val="20"/>
              </w:rPr>
              <w:t>E</w:t>
            </w:r>
          </w:p>
        </w:tc>
        <w:tc>
          <w:tcPr>
            <w:tcW w:w="1200" w:type="dxa"/>
            <w:shd w:val="clear" w:color="auto" w:fill="E6E6E6"/>
          </w:tcPr>
          <w:p w:rsidR="00000000" w:rsidRDefault="007F01E3">
            <w:pPr>
              <w:pStyle w:val="BodyText2"/>
              <w:spacing w:line="240" w:lineRule="auto"/>
              <w:ind w:firstLine="0"/>
              <w:jc w:val="center"/>
            </w:pPr>
            <w:r>
              <w:t>24</w:t>
            </w:r>
          </w:p>
        </w:tc>
        <w:tc>
          <w:tcPr>
            <w:tcW w:w="992" w:type="dxa"/>
            <w:shd w:val="clear" w:color="auto" w:fill="F3F3F3"/>
          </w:tcPr>
          <w:p w:rsidR="00000000" w:rsidRDefault="007F01E3">
            <w:pPr>
              <w:pStyle w:val="BodyText2"/>
              <w:spacing w:line="240" w:lineRule="auto"/>
              <w:ind w:firstLine="0"/>
              <w:jc w:val="center"/>
            </w:pPr>
            <w:r>
              <w:t>125</w:t>
            </w:r>
          </w:p>
        </w:tc>
        <w:tc>
          <w:tcPr>
            <w:tcW w:w="1308" w:type="dxa"/>
            <w:shd w:val="clear" w:color="auto" w:fill="E0E0E0"/>
          </w:tcPr>
          <w:p w:rsidR="00000000" w:rsidRDefault="007F01E3">
            <w:pPr>
              <w:pStyle w:val="BodyText2"/>
              <w:spacing w:line="240" w:lineRule="auto"/>
              <w:ind w:firstLine="0"/>
              <w:jc w:val="center"/>
            </w:pPr>
            <w:r>
              <w:t>58</w:t>
            </w:r>
          </w:p>
        </w:tc>
        <w:tc>
          <w:tcPr>
            <w:tcW w:w="1000" w:type="dxa"/>
            <w:shd w:val="clear" w:color="auto" w:fill="F3F3F3"/>
          </w:tcPr>
          <w:p w:rsidR="00000000" w:rsidRDefault="007F01E3">
            <w:pPr>
              <w:pStyle w:val="BodyText2"/>
              <w:spacing w:line="240" w:lineRule="auto"/>
              <w:ind w:firstLine="0"/>
              <w:jc w:val="center"/>
            </w:pPr>
            <w:r>
              <w:t>0.34</w:t>
            </w:r>
          </w:p>
        </w:tc>
        <w:tc>
          <w:tcPr>
            <w:tcW w:w="1400" w:type="dxa"/>
            <w:shd w:val="clear" w:color="auto" w:fill="E0E0E0"/>
          </w:tcPr>
          <w:p w:rsidR="00000000" w:rsidRDefault="007F01E3">
            <w:pPr>
              <w:pStyle w:val="BodyText2"/>
              <w:spacing w:line="240" w:lineRule="auto"/>
              <w:ind w:firstLine="0"/>
              <w:jc w:val="center"/>
            </w:pPr>
            <w:r>
              <w:t>0.30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shd w:val="clear" w:color="auto" w:fill="E6E6E6"/>
          </w:tcPr>
          <w:p w:rsidR="00000000" w:rsidRDefault="007F01E3">
            <w:pPr>
              <w:pStyle w:val="BodyText2"/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SUBURBIO OESTE-CENTRO</w:t>
            </w:r>
          </w:p>
        </w:tc>
        <w:tc>
          <w:tcPr>
            <w:tcW w:w="1200" w:type="dxa"/>
            <w:shd w:val="clear" w:color="auto" w:fill="E6E6E6"/>
          </w:tcPr>
          <w:p w:rsidR="00000000" w:rsidRDefault="007F01E3">
            <w:pPr>
              <w:pStyle w:val="BodyText2"/>
              <w:spacing w:line="240" w:lineRule="auto"/>
              <w:ind w:firstLine="0"/>
              <w:jc w:val="center"/>
            </w:pPr>
            <w:r>
              <w:t>10.5</w:t>
            </w:r>
          </w:p>
        </w:tc>
        <w:tc>
          <w:tcPr>
            <w:tcW w:w="992" w:type="dxa"/>
            <w:shd w:val="clear" w:color="auto" w:fill="F3F3F3"/>
          </w:tcPr>
          <w:p w:rsidR="00000000" w:rsidRDefault="007F01E3">
            <w:pPr>
              <w:pStyle w:val="BodyText2"/>
              <w:spacing w:line="240" w:lineRule="auto"/>
              <w:ind w:firstLine="0"/>
              <w:jc w:val="center"/>
            </w:pPr>
            <w:r>
              <w:t>50</w:t>
            </w:r>
          </w:p>
        </w:tc>
        <w:tc>
          <w:tcPr>
            <w:tcW w:w="1308" w:type="dxa"/>
            <w:shd w:val="clear" w:color="auto" w:fill="E0E0E0"/>
          </w:tcPr>
          <w:p w:rsidR="00000000" w:rsidRDefault="007F01E3">
            <w:pPr>
              <w:pStyle w:val="BodyText2"/>
              <w:spacing w:line="240" w:lineRule="auto"/>
              <w:ind w:firstLine="0"/>
              <w:jc w:val="center"/>
            </w:pPr>
            <w:r>
              <w:t>24</w:t>
            </w:r>
          </w:p>
        </w:tc>
        <w:tc>
          <w:tcPr>
            <w:tcW w:w="1000" w:type="dxa"/>
            <w:shd w:val="clear" w:color="auto" w:fill="F3F3F3"/>
          </w:tcPr>
          <w:p w:rsidR="00000000" w:rsidRDefault="007F01E3">
            <w:pPr>
              <w:pStyle w:val="BodyText2"/>
              <w:spacing w:line="240" w:lineRule="auto"/>
              <w:ind w:firstLine="0"/>
              <w:jc w:val="center"/>
            </w:pPr>
            <w:r>
              <w:t>0.20</w:t>
            </w:r>
          </w:p>
        </w:tc>
        <w:tc>
          <w:tcPr>
            <w:tcW w:w="1400" w:type="dxa"/>
            <w:shd w:val="clear" w:color="auto" w:fill="E0E0E0"/>
          </w:tcPr>
          <w:p w:rsidR="00000000" w:rsidRDefault="007F01E3">
            <w:pPr>
              <w:pStyle w:val="BodyText2"/>
              <w:spacing w:line="240" w:lineRule="auto"/>
              <w:ind w:firstLine="0"/>
              <w:jc w:val="center"/>
            </w:pPr>
            <w:r>
              <w:t>0.09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shd w:val="clear" w:color="auto" w:fill="E6E6E6"/>
          </w:tcPr>
          <w:p w:rsidR="00000000" w:rsidRDefault="007F01E3">
            <w:pPr>
              <w:pStyle w:val="BodyText2"/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SUBURBIO OESTE-VÍA  DAULE</w:t>
            </w:r>
          </w:p>
        </w:tc>
        <w:tc>
          <w:tcPr>
            <w:tcW w:w="1200" w:type="dxa"/>
            <w:shd w:val="clear" w:color="auto" w:fill="E6E6E6"/>
          </w:tcPr>
          <w:p w:rsidR="00000000" w:rsidRDefault="007F01E3">
            <w:pPr>
              <w:pStyle w:val="BodyText2"/>
              <w:spacing w:line="240" w:lineRule="auto"/>
              <w:ind w:firstLine="0"/>
              <w:jc w:val="center"/>
            </w:pPr>
            <w:r>
              <w:t>17</w:t>
            </w:r>
          </w:p>
        </w:tc>
        <w:tc>
          <w:tcPr>
            <w:tcW w:w="992" w:type="dxa"/>
            <w:shd w:val="clear" w:color="auto" w:fill="F3F3F3"/>
          </w:tcPr>
          <w:p w:rsidR="00000000" w:rsidRDefault="007F01E3">
            <w:pPr>
              <w:pStyle w:val="BodyText2"/>
              <w:spacing w:line="240" w:lineRule="auto"/>
              <w:ind w:firstLine="0"/>
              <w:jc w:val="center"/>
            </w:pPr>
            <w:r>
              <w:t>70</w:t>
            </w:r>
          </w:p>
        </w:tc>
        <w:tc>
          <w:tcPr>
            <w:tcW w:w="1308" w:type="dxa"/>
            <w:shd w:val="clear" w:color="auto" w:fill="E0E0E0"/>
          </w:tcPr>
          <w:p w:rsidR="00000000" w:rsidRDefault="007F01E3">
            <w:pPr>
              <w:pStyle w:val="BodyText2"/>
              <w:spacing w:line="240" w:lineRule="auto"/>
              <w:ind w:firstLine="0"/>
              <w:jc w:val="center"/>
            </w:pPr>
            <w:r>
              <w:t>58</w:t>
            </w:r>
          </w:p>
        </w:tc>
        <w:tc>
          <w:tcPr>
            <w:tcW w:w="1000" w:type="dxa"/>
            <w:shd w:val="clear" w:color="auto" w:fill="F3F3F3"/>
          </w:tcPr>
          <w:p w:rsidR="00000000" w:rsidRDefault="007F01E3">
            <w:pPr>
              <w:pStyle w:val="BodyText2"/>
              <w:spacing w:line="240" w:lineRule="auto"/>
              <w:ind w:firstLine="0"/>
              <w:jc w:val="center"/>
            </w:pPr>
            <w:r>
              <w:t>0.40</w:t>
            </w:r>
          </w:p>
        </w:tc>
        <w:tc>
          <w:tcPr>
            <w:tcW w:w="1400" w:type="dxa"/>
            <w:shd w:val="clear" w:color="auto" w:fill="E0E0E0"/>
          </w:tcPr>
          <w:p w:rsidR="00000000" w:rsidRDefault="007F01E3">
            <w:pPr>
              <w:pStyle w:val="BodyText2"/>
              <w:spacing w:line="240" w:lineRule="auto"/>
              <w:ind w:firstLine="0"/>
              <w:jc w:val="center"/>
            </w:pPr>
            <w:r>
              <w:t>0.30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shd w:val="clear" w:color="auto" w:fill="E6E6E6"/>
          </w:tcPr>
          <w:p w:rsidR="00000000" w:rsidRDefault="007F01E3">
            <w:pPr>
              <w:pStyle w:val="BodyText2"/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BASTIÓN POPULAR-CENTRO</w:t>
            </w:r>
          </w:p>
        </w:tc>
        <w:tc>
          <w:tcPr>
            <w:tcW w:w="1200" w:type="dxa"/>
            <w:shd w:val="clear" w:color="auto" w:fill="E6E6E6"/>
          </w:tcPr>
          <w:p w:rsidR="00000000" w:rsidRDefault="007F01E3">
            <w:pPr>
              <w:pStyle w:val="BodyText2"/>
              <w:spacing w:line="240" w:lineRule="auto"/>
              <w:ind w:firstLine="0"/>
              <w:jc w:val="center"/>
            </w:pPr>
            <w:r>
              <w:t>15</w:t>
            </w:r>
          </w:p>
        </w:tc>
        <w:tc>
          <w:tcPr>
            <w:tcW w:w="992" w:type="dxa"/>
            <w:shd w:val="clear" w:color="auto" w:fill="F3F3F3"/>
          </w:tcPr>
          <w:p w:rsidR="00000000" w:rsidRDefault="007F01E3">
            <w:pPr>
              <w:pStyle w:val="BodyText2"/>
              <w:spacing w:line="240" w:lineRule="auto"/>
              <w:ind w:firstLine="0"/>
              <w:jc w:val="center"/>
            </w:pPr>
            <w:r>
              <w:t>70</w:t>
            </w:r>
          </w:p>
        </w:tc>
        <w:tc>
          <w:tcPr>
            <w:tcW w:w="1308" w:type="dxa"/>
            <w:shd w:val="clear" w:color="auto" w:fill="E0E0E0"/>
          </w:tcPr>
          <w:p w:rsidR="00000000" w:rsidRDefault="007F01E3">
            <w:pPr>
              <w:pStyle w:val="BodyText2"/>
              <w:spacing w:line="240" w:lineRule="auto"/>
              <w:ind w:firstLine="0"/>
              <w:jc w:val="center"/>
            </w:pPr>
            <w:r>
              <w:t>58</w:t>
            </w:r>
          </w:p>
        </w:tc>
        <w:tc>
          <w:tcPr>
            <w:tcW w:w="1000" w:type="dxa"/>
            <w:shd w:val="clear" w:color="auto" w:fill="F3F3F3"/>
          </w:tcPr>
          <w:p w:rsidR="00000000" w:rsidRDefault="007F01E3">
            <w:pPr>
              <w:pStyle w:val="BodyText2"/>
              <w:spacing w:line="240" w:lineRule="auto"/>
              <w:ind w:firstLine="0"/>
              <w:jc w:val="center"/>
            </w:pPr>
            <w:r>
              <w:t>0.34</w:t>
            </w:r>
          </w:p>
        </w:tc>
        <w:tc>
          <w:tcPr>
            <w:tcW w:w="1400" w:type="dxa"/>
            <w:shd w:val="clear" w:color="auto" w:fill="E0E0E0"/>
          </w:tcPr>
          <w:p w:rsidR="00000000" w:rsidRDefault="007F01E3">
            <w:pPr>
              <w:pStyle w:val="BodyText2"/>
              <w:spacing w:line="240" w:lineRule="auto"/>
              <w:ind w:firstLine="0"/>
              <w:jc w:val="center"/>
            </w:pPr>
            <w:r>
              <w:t>0.30</w:t>
            </w:r>
          </w:p>
        </w:tc>
      </w:tr>
    </w:tbl>
    <w:p w:rsidR="00000000" w:rsidRDefault="007F01E3">
      <w:pPr>
        <w:spacing w:line="480" w:lineRule="auto"/>
        <w:ind w:left="207"/>
        <w:jc w:val="both"/>
      </w:pPr>
    </w:p>
    <w:p w:rsidR="00000000" w:rsidRDefault="007F01E3">
      <w:pPr>
        <w:pStyle w:val="Sangradetextonormal"/>
      </w:pPr>
      <w:r>
        <w:t>Cabe destacar que actualmente no hay diferenciación de tarifas en cuanto a distancias de viajes mie</w:t>
      </w:r>
      <w:r>
        <w:t>ntras que en nuestra propuesta sí, la tarifa de 20 ctvs. correspondería a una distancia larga y la de 9 ctvs.  a una distancia corta.</w:t>
      </w:r>
    </w:p>
    <w:p w:rsidR="00000000" w:rsidRDefault="007F01E3">
      <w:pPr>
        <w:numPr>
          <w:ilvl w:val="0"/>
          <w:numId w:val="1"/>
        </w:numPr>
        <w:tabs>
          <w:tab w:val="left" w:pos="900"/>
        </w:tabs>
        <w:spacing w:line="480" w:lineRule="auto"/>
        <w:ind w:left="0" w:firstLine="567"/>
        <w:jc w:val="both"/>
      </w:pPr>
      <w:r>
        <w:t>Es necesaria la regulación de este mercado en los siguientes parámetros:</w:t>
      </w:r>
    </w:p>
    <w:p w:rsidR="00000000" w:rsidRDefault="007F01E3">
      <w:pPr>
        <w:pStyle w:val="BodyText2"/>
        <w:numPr>
          <w:ilvl w:val="1"/>
          <w:numId w:val="6"/>
        </w:numPr>
        <w:tabs>
          <w:tab w:val="clear" w:pos="2433"/>
          <w:tab w:val="left" w:pos="900"/>
        </w:tabs>
        <w:ind w:left="600" w:firstLine="0"/>
      </w:pPr>
      <w:r>
        <w:t>Frecuencias y operación de nuevas rutas. Debido a</w:t>
      </w:r>
      <w:r>
        <w:t>l enorme impacto en congestión y en contaminación que ocasionaría un sistema desregulado, en el cual nadie asumiría los costos, el llamado problema de externalidad que apoya la intervención estatal para mejora los errores del mercado</w:t>
      </w:r>
    </w:p>
    <w:p w:rsidR="00000000" w:rsidRDefault="007F01E3">
      <w:pPr>
        <w:pStyle w:val="BodyText2"/>
        <w:numPr>
          <w:ilvl w:val="1"/>
          <w:numId w:val="6"/>
        </w:numPr>
        <w:tabs>
          <w:tab w:val="clear" w:pos="2433"/>
          <w:tab w:val="left" w:pos="900"/>
        </w:tabs>
        <w:ind w:left="600" w:firstLine="0"/>
      </w:pPr>
      <w:r>
        <w:t xml:space="preserve">Tarifa. Para mantener </w:t>
      </w:r>
      <w:r>
        <w:t>un equilibrio entre los intereses de los operadores y consumidores y que no ocurra lo que en Santiago.</w:t>
      </w:r>
    </w:p>
    <w:p w:rsidR="00000000" w:rsidRDefault="007F01E3">
      <w:pPr>
        <w:tabs>
          <w:tab w:val="left" w:pos="900"/>
        </w:tabs>
        <w:spacing w:line="480" w:lineRule="auto"/>
        <w:ind w:firstLine="567"/>
        <w:jc w:val="both"/>
        <w:rPr>
          <w:lang w:val="es-ES"/>
        </w:rPr>
      </w:pPr>
    </w:p>
    <w:p w:rsidR="00000000" w:rsidRDefault="007F01E3">
      <w:pPr>
        <w:pStyle w:val="Ttulo1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6.2.  RECOMENDACIONES</w:t>
      </w:r>
    </w:p>
    <w:p w:rsidR="00000000" w:rsidRDefault="007F01E3">
      <w:pPr>
        <w:pStyle w:val="Sangradetextonormal"/>
      </w:pPr>
      <w:r>
        <w:t>Se recomienda:</w:t>
      </w:r>
    </w:p>
    <w:p w:rsidR="00000000" w:rsidRDefault="007F01E3">
      <w:pPr>
        <w:numPr>
          <w:ilvl w:val="0"/>
          <w:numId w:val="3"/>
        </w:numPr>
        <w:tabs>
          <w:tab w:val="clear" w:pos="1120"/>
          <w:tab w:val="num" w:pos="900"/>
        </w:tabs>
        <w:spacing w:line="480" w:lineRule="auto"/>
        <w:ind w:left="0" w:firstLine="567"/>
        <w:jc w:val="both"/>
      </w:pPr>
      <w:r>
        <w:t>Incrementar el período de años de vida útil considerados para la  depreciación de las unidades; ya que al hacerlo e</w:t>
      </w:r>
      <w:r>
        <w:t xml:space="preserve">l costo anual se reduce y con ello se </w:t>
      </w:r>
      <w:r>
        <w:lastRenderedPageBreak/>
        <w:t>mantiene una tarifa menor y más eficiente.  Recomendamos incrementar este período a 8 ó 10 años de vida útil.</w:t>
      </w:r>
    </w:p>
    <w:p w:rsidR="00000000" w:rsidRDefault="007F01E3">
      <w:pPr>
        <w:numPr>
          <w:ilvl w:val="0"/>
          <w:numId w:val="3"/>
        </w:numPr>
        <w:tabs>
          <w:tab w:val="clear" w:pos="1120"/>
          <w:tab w:val="num" w:pos="900"/>
        </w:tabs>
        <w:spacing w:line="480" w:lineRule="auto"/>
        <w:ind w:left="0" w:firstLine="567"/>
        <w:jc w:val="both"/>
      </w:pPr>
      <w:r>
        <w:t xml:space="preserve"> La asesoría externa de un organismo técnico que organice y planifique las necesidades de la ciudad en cuant</w:t>
      </w:r>
      <w:r>
        <w:t>o a este servicio para determinar rutas y frecuencias óptimas, parámetros de las bases de licitación y revisión periódica de los costos.</w:t>
      </w:r>
    </w:p>
    <w:p w:rsidR="007F01E3" w:rsidRDefault="007F01E3">
      <w:pPr>
        <w:numPr>
          <w:ilvl w:val="0"/>
          <w:numId w:val="3"/>
        </w:numPr>
        <w:tabs>
          <w:tab w:val="clear" w:pos="1120"/>
          <w:tab w:val="num" w:pos="900"/>
        </w:tabs>
        <w:spacing w:line="480" w:lineRule="auto"/>
        <w:ind w:left="0" w:firstLine="567"/>
        <w:jc w:val="both"/>
      </w:pPr>
      <w:r>
        <w:t xml:space="preserve"> Que el Municipio se haga cargo de la planificación del transporte tal como lo han hecho otras ciudades de nuestro país</w:t>
      </w:r>
      <w:r>
        <w:t>. Entre sus funciones estarán la determinación de las rutas óptimas y creación de una Comisión de licitación que se encargue de evaluar las propuestas y asigne la concesión al mejor oferente.  Como antecedente a esta autonomía municipal, se tienen los muni</w:t>
      </w:r>
      <w:r>
        <w:t xml:space="preserve">cipios de Quito, Cuenca y Loja que legalmente están autorizados por el Consejo Nacional de Tránsito y Transporte Terrestre para que fijen la tarifa de transporte público en su respectivo territorio y jurisdicción, aunque todavía no hayan hecho uso de este </w:t>
      </w:r>
      <w:r>
        <w:t>privilegio.</w:t>
      </w:r>
    </w:p>
    <w:sectPr w:rsidR="007F01E3">
      <w:headerReference w:type="even" r:id="rId7"/>
      <w:headerReference w:type="default" r:id="rId8"/>
      <w:pgSz w:w="11907" w:h="16840" w:code="9"/>
      <w:pgMar w:top="2268" w:right="1418" w:bottom="1134" w:left="2268" w:header="1418" w:footer="0" w:gutter="0"/>
      <w:pgNumType w:start="93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1E3" w:rsidRDefault="007F01E3">
      <w:r>
        <w:separator/>
      </w:r>
    </w:p>
  </w:endnote>
  <w:endnote w:type="continuationSeparator" w:id="1">
    <w:p w:rsidR="007F01E3" w:rsidRDefault="007F0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1E3" w:rsidRDefault="007F01E3">
      <w:r>
        <w:separator/>
      </w:r>
    </w:p>
  </w:footnote>
  <w:footnote w:type="continuationSeparator" w:id="1">
    <w:p w:rsidR="007F01E3" w:rsidRDefault="007F01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F01E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00000" w:rsidRDefault="007F01E3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F01E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11F7B">
      <w:rPr>
        <w:rStyle w:val="Nmerodepgina"/>
        <w:noProof/>
      </w:rPr>
      <w:t>95</w:t>
    </w:r>
    <w:r>
      <w:rPr>
        <w:rStyle w:val="Nmerodepgina"/>
      </w:rPr>
      <w:fldChar w:fldCharType="end"/>
    </w:r>
  </w:p>
  <w:p w:rsidR="00000000" w:rsidRDefault="007F01E3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244"/>
    <w:multiLevelType w:val="hybridMultilevel"/>
    <w:tmpl w:val="160E8F4C"/>
    <w:lvl w:ilvl="0" w:tplc="DECAA932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E6325"/>
    <w:multiLevelType w:val="hybridMultilevel"/>
    <w:tmpl w:val="7A6C05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067896"/>
    <w:multiLevelType w:val="hybridMultilevel"/>
    <w:tmpl w:val="A8E61CA0"/>
    <w:lvl w:ilvl="0" w:tplc="353451F0">
      <w:start w:val="3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B4A80674">
      <w:start w:val="1"/>
      <w:numFmt w:val="bullet"/>
      <w:lvlText w:val=""/>
      <w:lvlJc w:val="left"/>
      <w:pPr>
        <w:tabs>
          <w:tab w:val="num" w:pos="2433"/>
        </w:tabs>
        <w:ind w:left="2413" w:hanging="34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3">
    <w:nsid w:val="5D485ABA"/>
    <w:multiLevelType w:val="hybridMultilevel"/>
    <w:tmpl w:val="B61AAB1A"/>
    <w:lvl w:ilvl="0" w:tplc="0C0A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63697890"/>
    <w:multiLevelType w:val="hybridMultilevel"/>
    <w:tmpl w:val="FAC4B6DE"/>
    <w:lvl w:ilvl="0" w:tplc="353451F0">
      <w:start w:val="3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CD1079"/>
    <w:multiLevelType w:val="hybridMultilevel"/>
    <w:tmpl w:val="4950F7F0"/>
    <w:lvl w:ilvl="0" w:tplc="0C0A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7764A68"/>
    <w:multiLevelType w:val="hybridMultilevel"/>
    <w:tmpl w:val="6A28DA74"/>
    <w:lvl w:ilvl="0" w:tplc="176CFEB4">
      <w:start w:val="3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1F7B"/>
    <w:rsid w:val="007F01E3"/>
    <w:rsid w:val="00D11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C"/>
    </w:rPr>
  </w:style>
  <w:style w:type="paragraph" w:styleId="Ttulo1">
    <w:name w:val="heading 1"/>
    <w:basedOn w:val="Normal"/>
    <w:next w:val="Normal"/>
    <w:qFormat/>
    <w:pPr>
      <w:keepNext/>
      <w:spacing w:line="480" w:lineRule="auto"/>
      <w:jc w:val="both"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spacing w:line="480" w:lineRule="auto"/>
      <w:jc w:val="center"/>
    </w:pPr>
    <w:rPr>
      <w:rFonts w:ascii="Arial" w:hAnsi="Arial" w:cs="Arial"/>
      <w:b/>
      <w:bCs/>
    </w:rPr>
  </w:style>
  <w:style w:type="paragraph" w:styleId="Subttulo">
    <w:name w:val="Subtitle"/>
    <w:basedOn w:val="Normal"/>
    <w:qFormat/>
    <w:pPr>
      <w:spacing w:line="480" w:lineRule="auto"/>
      <w:jc w:val="both"/>
    </w:pPr>
    <w:rPr>
      <w:rFonts w:ascii="Arial" w:hAnsi="Arial" w:cs="Arial"/>
      <w:b/>
      <w:bCs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customStyle="1" w:styleId="BodyText2">
    <w:name w:val="Body Text 2"/>
    <w:basedOn w:val="Normal"/>
    <w:pPr>
      <w:widowControl w:val="0"/>
      <w:spacing w:line="480" w:lineRule="auto"/>
      <w:ind w:firstLine="709"/>
      <w:jc w:val="both"/>
    </w:pPr>
    <w:rPr>
      <w:szCs w:val="20"/>
      <w:lang w:val="es-ES"/>
    </w:rPr>
  </w:style>
  <w:style w:type="paragraph" w:styleId="Sangradetextonormal">
    <w:name w:val="Body Text Indent"/>
    <w:basedOn w:val="Normal"/>
    <w:semiHidden/>
    <w:pPr>
      <w:spacing w:line="480" w:lineRule="auto"/>
      <w:ind w:firstLine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CONLCUSIONES Y RECOMENDACIONES</vt:lpstr>
    </vt:vector>
  </TitlesOfParts>
  <Company>CIEC - ESPOL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CONLCUSIONES Y RECOMENDACIONES</dc:title>
  <dc:subject/>
  <dc:creator>CIEC-ICHE</dc:creator>
  <cp:keywords/>
  <dc:description/>
  <cp:lastModifiedBy>bbarrera</cp:lastModifiedBy>
  <cp:revision>2</cp:revision>
  <cp:lastPrinted>2001-07-02T15:13:00Z</cp:lastPrinted>
  <dcterms:created xsi:type="dcterms:W3CDTF">2009-10-12T17:36:00Z</dcterms:created>
  <dcterms:modified xsi:type="dcterms:W3CDTF">2009-10-12T17:36:00Z</dcterms:modified>
</cp:coreProperties>
</file>