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70" w:rsidRDefault="00C93970">
      <w:pPr>
        <w:pStyle w:val="Ttulo1"/>
        <w:jc w:val="center"/>
      </w:pPr>
      <w:r>
        <w:t>Sector Camaronero</w:t>
      </w:r>
    </w:p>
    <w:p w:rsidR="00C93970" w:rsidRDefault="00C93970">
      <w:pPr>
        <w:pStyle w:val="Ttulo1"/>
        <w:jc w:val="center"/>
      </w:pPr>
      <w:r>
        <w:t>Crisis por la Mancha Blanca y Su Recuperación Actual</w:t>
      </w:r>
    </w:p>
    <w:p w:rsidR="00C93970" w:rsidRDefault="00C93970">
      <w:pPr>
        <w:pStyle w:val="Ttulo2"/>
        <w:jc w:val="center"/>
      </w:pPr>
      <w:r>
        <w:t>F</w:t>
      </w:r>
      <w:r w:rsidR="00CC0B4E">
        <w:t>abrizio Marcillo</w:t>
      </w:r>
    </w:p>
    <w:p w:rsidR="00C93970" w:rsidRDefault="00C93970"/>
    <w:p w:rsidR="00C93970" w:rsidRDefault="00C93970">
      <w:pPr>
        <w:spacing w:line="360" w:lineRule="auto"/>
      </w:pPr>
      <w:r>
        <w:t xml:space="preserve">Con exportaciones que llegaron a </w:t>
      </w:r>
      <w:r w:rsidRPr="0006098E">
        <w:rPr>
          <w:color w:val="000000"/>
          <w:szCs w:val="20"/>
          <w:lang w:val="es-ES"/>
        </w:rPr>
        <w:t xml:space="preserve">114,994 </w:t>
      </w:r>
      <w:r>
        <w:t>TM correspondientes a 875 mill</w:t>
      </w:r>
      <w:r>
        <w:t>o</w:t>
      </w:r>
      <w:r>
        <w:t>nes de dólares en 1998,  la industria camaronera representaba uno de los princip</w:t>
      </w:r>
      <w:r>
        <w:t>a</w:t>
      </w:r>
      <w:r>
        <w:t>les rubros de exportación para el Ecuador, a la vez que representaba fue</w:t>
      </w:r>
      <w:r>
        <w:t>n</w:t>
      </w:r>
      <w:r>
        <w:t xml:space="preserve">tes de trabajo directa e indirecta para cientos de miles de personas en el país. </w:t>
      </w:r>
    </w:p>
    <w:p w:rsidR="00C93970" w:rsidRDefault="00C93970">
      <w:pPr>
        <w:spacing w:line="360" w:lineRule="auto"/>
      </w:pPr>
    </w:p>
    <w:p w:rsidR="00C93970" w:rsidRDefault="0006098E">
      <w:pPr>
        <w:spacing w:line="360" w:lineRule="auto"/>
      </w:pPr>
      <w:r>
        <w:rPr>
          <w:noProof/>
          <w:sz w:val="20"/>
          <w:lang w:val="es-ES" w:eastAsia="es-ES"/>
        </w:rPr>
        <w:drawing>
          <wp:anchor distT="0" distB="0" distL="114300" distR="114300" simplePos="0" relativeHeight="251657216" behindDoc="0" locked="0" layoutInCell="1" allowOverlap="1">
            <wp:simplePos x="0" y="0"/>
            <wp:positionH relativeFrom="column">
              <wp:posOffset>0</wp:posOffset>
            </wp:positionH>
            <wp:positionV relativeFrom="paragraph">
              <wp:posOffset>314960</wp:posOffset>
            </wp:positionV>
            <wp:extent cx="1460500" cy="2118995"/>
            <wp:effectExtent l="19050" t="0" r="6350" b="0"/>
            <wp:wrapTight wrapText="bothSides">
              <wp:wrapPolygon edited="0">
                <wp:start x="-282" y="0"/>
                <wp:lineTo x="-282" y="21361"/>
                <wp:lineTo x="21694" y="21361"/>
                <wp:lineTo x="21694" y="0"/>
                <wp:lineTo x="-282" y="0"/>
              </wp:wrapPolygon>
            </wp:wrapTight>
            <wp:docPr id="3" name="Imagen 3" descr="WSSVelec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SVelectron"/>
                    <pic:cNvPicPr>
                      <a:picLocks noChangeAspect="1" noChangeArrowheads="1"/>
                    </pic:cNvPicPr>
                  </pic:nvPicPr>
                  <pic:blipFill>
                    <a:blip r:embed="rId4"/>
                    <a:srcRect/>
                    <a:stretch>
                      <a:fillRect/>
                    </a:stretch>
                  </pic:blipFill>
                  <pic:spPr bwMode="auto">
                    <a:xfrm>
                      <a:off x="0" y="0"/>
                      <a:ext cx="1460500" cy="2118995"/>
                    </a:xfrm>
                    <a:prstGeom prst="rect">
                      <a:avLst/>
                    </a:prstGeom>
                    <a:noFill/>
                    <a:ln w="9525">
                      <a:noFill/>
                      <a:miter lim="800000"/>
                      <a:headEnd/>
                      <a:tailEnd/>
                    </a:ln>
                  </pic:spPr>
                </pic:pic>
              </a:graphicData>
            </a:graphic>
          </wp:anchor>
        </w:drawing>
      </w:r>
      <w:r w:rsidR="00C93970">
        <w:t>A mediados de 1999 se presentó en el país el síndrome de la mancha blanca (WSS, White Spot Syndrome). El agente patógeno de esta enfermedad es un virus (WSSV) en forma de bastón que ataca a todos los tejidos del camarón y es transmitido por la mayoría de los crustáceos(fig 1). Este síndrome se pr</w:t>
      </w:r>
      <w:r w:rsidR="00C93970">
        <w:t>e</w:t>
      </w:r>
      <w:r w:rsidR="00C93970">
        <w:t>sentó por primera vez en 1992 en Asia, donde causó grandes mortalidades en los animales de cultivo. Por ser una enfermedad de origen viral, no exi</w:t>
      </w:r>
      <w:r w:rsidR="00C93970">
        <w:t>s</w:t>
      </w:r>
      <w:r w:rsidR="00C93970">
        <w:t>te cura para la misma. Además, al carecer el camarón de un sistema inmunológico con anticuerpos, el des</w:t>
      </w:r>
      <w:r w:rsidR="00C93970">
        <w:t>a</w:t>
      </w:r>
      <w:r w:rsidR="00C93970">
        <w:t>rrollo de vacunas es imposible.  Las características de esta enfermedad son manchas blancas que se presentan en el exoesqueleto (carapacho) del c</w:t>
      </w:r>
      <w:r w:rsidR="00C93970">
        <w:t>a</w:t>
      </w:r>
      <w:r w:rsidR="00C93970">
        <w:t>marón, y de donde t</w:t>
      </w:r>
      <w:r w:rsidR="00C93970">
        <w:t>o</w:t>
      </w:r>
      <w:r w:rsidR="00C93970">
        <w:t xml:space="preserve">ma su nombre (fig 2). </w:t>
      </w:r>
      <w:r>
        <w:rPr>
          <w:noProof/>
          <w:sz w:val="20"/>
          <w:lang w:val="es-ES" w:eastAsia="es-ES"/>
        </w:rPr>
        <w:drawing>
          <wp:anchor distT="0" distB="0" distL="114300" distR="114300" simplePos="0" relativeHeight="251658240" behindDoc="0" locked="0" layoutInCell="1" allowOverlap="1">
            <wp:simplePos x="0" y="0"/>
            <wp:positionH relativeFrom="column">
              <wp:align>right</wp:align>
            </wp:positionH>
            <wp:positionV relativeFrom="paragraph">
              <wp:posOffset>3411220</wp:posOffset>
            </wp:positionV>
            <wp:extent cx="2397760" cy="1728470"/>
            <wp:effectExtent l="19050" t="0" r="2540" b="0"/>
            <wp:wrapTight wrapText="bothSides">
              <wp:wrapPolygon edited="0">
                <wp:start x="-172" y="0"/>
                <wp:lineTo x="-172" y="21425"/>
                <wp:lineTo x="21623" y="21425"/>
                <wp:lineTo x="21623" y="0"/>
                <wp:lineTo x="-172" y="0"/>
              </wp:wrapPolygon>
            </wp:wrapTight>
            <wp:docPr id="4" name="Imagen 4" descr="WSS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SV01"/>
                    <pic:cNvPicPr>
                      <a:picLocks noChangeAspect="1" noChangeArrowheads="1"/>
                    </pic:cNvPicPr>
                  </pic:nvPicPr>
                  <pic:blipFill>
                    <a:blip r:embed="rId5"/>
                    <a:srcRect/>
                    <a:stretch>
                      <a:fillRect/>
                    </a:stretch>
                  </pic:blipFill>
                  <pic:spPr bwMode="auto">
                    <a:xfrm>
                      <a:off x="0" y="0"/>
                      <a:ext cx="2397760" cy="1728470"/>
                    </a:xfrm>
                    <a:prstGeom prst="rect">
                      <a:avLst/>
                    </a:prstGeom>
                    <a:noFill/>
                    <a:ln w="9525">
                      <a:noFill/>
                      <a:miter lim="800000"/>
                      <a:headEnd/>
                      <a:tailEnd/>
                    </a:ln>
                  </pic:spPr>
                </pic:pic>
              </a:graphicData>
            </a:graphic>
          </wp:anchor>
        </w:drawing>
      </w:r>
    </w:p>
    <w:p w:rsidR="00C93970" w:rsidRDefault="00C93970">
      <w:pPr>
        <w:spacing w:line="360" w:lineRule="auto"/>
      </w:pPr>
      <w:r>
        <w:t>A inicios de 1999 se reportaron casos de WSS en Panamá y Honduras supuest</w:t>
      </w:r>
      <w:r>
        <w:t>a</w:t>
      </w:r>
      <w:r>
        <w:t>mente introducidos con camarón asiático congelado que fue procesado en Centr</w:t>
      </w:r>
      <w:r>
        <w:t>o</w:t>
      </w:r>
      <w:r>
        <w:t>américa. Se cree que el virus entró al Ecuador con la importación de larva co</w:t>
      </w:r>
      <w:r>
        <w:t>n</w:t>
      </w:r>
      <w:r>
        <w:t>taminada de Panamá, de donde se regó al medio natural y contaminó a todas las fincas de cultivo, siendo actua</w:t>
      </w:r>
      <w:r>
        <w:t>l</w:t>
      </w:r>
      <w:r>
        <w:t>mente este virus endémico en el p</w:t>
      </w:r>
      <w:r>
        <w:t>a</w:t>
      </w:r>
      <w:r>
        <w:t>ís.</w:t>
      </w:r>
    </w:p>
    <w:p w:rsidR="00C93970" w:rsidRDefault="00C93970">
      <w:pPr>
        <w:spacing w:line="360" w:lineRule="auto"/>
      </w:pPr>
    </w:p>
    <w:p w:rsidR="00C93970" w:rsidRDefault="00C93970">
      <w:pPr>
        <w:spacing w:line="360" w:lineRule="auto"/>
      </w:pPr>
      <w:r>
        <w:lastRenderedPageBreak/>
        <w:t xml:space="preserve">El efecto de esta enfermedad en la industria camaronera fue inmediato. Con  exportaciones de camarón de </w:t>
      </w:r>
      <w:r>
        <w:rPr>
          <w:color w:val="000000"/>
          <w:szCs w:val="20"/>
          <w:lang w:val="en-US"/>
        </w:rPr>
        <w:t xml:space="preserve">95,018 </w:t>
      </w:r>
      <w:r>
        <w:t>TM y 617 millones de dólares en 1999 y 37,707 toneladas métricas y 297 millones de dólares en el año 2000, lo que r</w:t>
      </w:r>
      <w:r>
        <w:t>e</w:t>
      </w:r>
      <w:r>
        <w:t>presentó una disminución del 60% en volumen y 52% en dólares con respecto a 1999 y una disminución del 67% en v</w:t>
      </w:r>
      <w:r>
        <w:t>o</w:t>
      </w:r>
      <w:r>
        <w:t>lumen y 66% en valor respecto a las de 1998 (Tabla 1). Calderón et al (1999) encontraron que el 70% de las cam</w:t>
      </w:r>
      <w:r>
        <w:t>a</w:t>
      </w:r>
      <w:r>
        <w:t>roneras muestreadas entre septiembre y octubre de 1999 resultaron pos</w:t>
      </w:r>
      <w:r>
        <w:t>i</w:t>
      </w:r>
      <w:r>
        <w:t>tivas para virus de la mancha blanca y estimaron que el 50% de las camaroneras se encontraban paralizadas. Esto no solo afecta a las fincas c</w:t>
      </w:r>
      <w:r>
        <w:t>a</w:t>
      </w:r>
      <w:r>
        <w:t>maroneras, si no a toda la cadena de producción relacionada con las mismas que incluye pero no se limita a laboratorios, empacadoras, fabricas de bala</w:t>
      </w:r>
      <w:r>
        <w:t>n</w:t>
      </w:r>
      <w:r>
        <w:t>ceado, transportistas y otros proveed</w:t>
      </w:r>
      <w:r>
        <w:t>o</w:t>
      </w:r>
      <w:r>
        <w:t>res de materiales y servicios.  Ortiz, (2001) estimó que para el año 2000 hubo una reducción del número de labor</w:t>
      </w:r>
      <w:r>
        <w:t>a</w:t>
      </w:r>
      <w:r>
        <w:t>torios de mas del 70%, que el 40% del área de piscinas camaroneras se enco</w:t>
      </w:r>
      <w:r>
        <w:t>n</w:t>
      </w:r>
      <w:r>
        <w:t>traba inactiva y que 90,000 personas perdieron sus fuentes de trabajo relaci</w:t>
      </w:r>
      <w:r>
        <w:t>o</w:t>
      </w:r>
      <w:r>
        <w:t>nados con el sector en dicho año. Con cerca de 45,000 TM en los años 2001 y 2002, se vislumbró un p</w:t>
      </w:r>
      <w:r>
        <w:t>e</w:t>
      </w:r>
      <w:r>
        <w:t>queño repunte en el volumen de las exportaciones, sin embargo, el valor de las exportaciones han seguido bajando, debido a la caída del precio del camarón en el mercado internacional.</w:t>
      </w:r>
    </w:p>
    <w:p w:rsidR="00C93970" w:rsidRDefault="00C93970">
      <w:pPr>
        <w:spacing w:line="360" w:lineRule="auto"/>
      </w:pPr>
    </w:p>
    <w:p w:rsidR="00C93970" w:rsidRDefault="00C93970">
      <w:pPr>
        <w:ind w:firstLine="720"/>
      </w:pPr>
      <w:r>
        <w:t>Tabla 1. Exportaciones Ecuatorianas de Camarón</w:t>
      </w:r>
    </w:p>
    <w:tbl>
      <w:tblPr>
        <w:tblW w:w="0" w:type="auto"/>
        <w:jc w:val="center"/>
        <w:tblLayout w:type="fixed"/>
        <w:tblCellMar>
          <w:left w:w="30" w:type="dxa"/>
          <w:right w:w="30" w:type="dxa"/>
        </w:tblCellMar>
        <w:tblLook w:val="0000"/>
      </w:tblPr>
      <w:tblGrid>
        <w:gridCol w:w="1290"/>
        <w:gridCol w:w="1440"/>
        <w:gridCol w:w="1440"/>
        <w:gridCol w:w="1620"/>
        <w:gridCol w:w="1440"/>
      </w:tblGrid>
      <w:tr w:rsidR="00C93970">
        <w:tblPrEx>
          <w:tblCellMar>
            <w:top w:w="0" w:type="dxa"/>
            <w:bottom w:w="0" w:type="dxa"/>
          </w:tblCellMar>
        </w:tblPrEx>
        <w:trPr>
          <w:trHeight w:val="432"/>
          <w:jc w:val="center"/>
        </w:trPr>
        <w:tc>
          <w:tcPr>
            <w:tcW w:w="1290" w:type="dxa"/>
            <w:tcBorders>
              <w:top w:val="single" w:sz="4" w:space="0" w:color="auto"/>
              <w:left w:val="single" w:sz="4" w:space="0" w:color="auto"/>
              <w:bottom w:val="single" w:sz="4" w:space="0" w:color="auto"/>
              <w:right w:val="single" w:sz="4" w:space="0" w:color="auto"/>
            </w:tcBorders>
          </w:tcPr>
          <w:p w:rsidR="00C93970" w:rsidRDefault="00C93970">
            <w:pPr>
              <w:pStyle w:val="Ttulo3"/>
            </w:pPr>
            <w:r>
              <w:t>Año</w:t>
            </w:r>
          </w:p>
        </w:tc>
        <w:tc>
          <w:tcPr>
            <w:tcW w:w="1440" w:type="dxa"/>
            <w:tcBorders>
              <w:top w:val="single" w:sz="4" w:space="0" w:color="auto"/>
              <w:left w:val="single" w:sz="4" w:space="0" w:color="auto"/>
              <w:bottom w:val="single" w:sz="4" w:space="0" w:color="auto"/>
              <w:right w:val="nil"/>
            </w:tcBorders>
          </w:tcPr>
          <w:p w:rsidR="00C93970" w:rsidRDefault="00C93970">
            <w:pPr>
              <w:pStyle w:val="Ttulo4"/>
            </w:pPr>
            <w:r>
              <w:t>TM</w:t>
            </w:r>
          </w:p>
        </w:tc>
        <w:tc>
          <w:tcPr>
            <w:tcW w:w="1440" w:type="dxa"/>
            <w:tcBorders>
              <w:top w:val="single" w:sz="4" w:space="0" w:color="auto"/>
              <w:left w:val="nil"/>
              <w:bottom w:val="single" w:sz="4" w:space="0" w:color="auto"/>
              <w:right w:val="single" w:sz="4" w:space="0" w:color="auto"/>
            </w:tcBorders>
          </w:tcPr>
          <w:p w:rsidR="00C93970" w:rsidRDefault="00C93970">
            <w:pPr>
              <w:jc w:val="center"/>
              <w:rPr>
                <w:b/>
                <w:bCs/>
                <w:color w:val="000000"/>
                <w:szCs w:val="20"/>
                <w:lang w:val="en-US"/>
              </w:rPr>
            </w:pPr>
            <w:r>
              <w:rPr>
                <w:b/>
                <w:bCs/>
                <w:color w:val="000000"/>
                <w:szCs w:val="20"/>
                <w:lang w:val="en-US"/>
              </w:rPr>
              <w:t>% Var TM</w:t>
            </w:r>
          </w:p>
        </w:tc>
        <w:tc>
          <w:tcPr>
            <w:tcW w:w="1620" w:type="dxa"/>
            <w:tcBorders>
              <w:top w:val="single" w:sz="4" w:space="0" w:color="auto"/>
              <w:left w:val="single" w:sz="4" w:space="0" w:color="auto"/>
              <w:bottom w:val="single" w:sz="4" w:space="0" w:color="auto"/>
              <w:right w:val="nil"/>
            </w:tcBorders>
          </w:tcPr>
          <w:p w:rsidR="00C93970" w:rsidRDefault="00C93970">
            <w:pPr>
              <w:jc w:val="center"/>
              <w:rPr>
                <w:b/>
                <w:bCs/>
                <w:color w:val="000000"/>
                <w:szCs w:val="20"/>
                <w:lang w:val="en-US"/>
              </w:rPr>
            </w:pPr>
            <w:r>
              <w:rPr>
                <w:b/>
                <w:bCs/>
                <w:color w:val="000000"/>
                <w:szCs w:val="20"/>
                <w:lang w:val="en-US"/>
              </w:rPr>
              <w:t>US$</w:t>
            </w:r>
          </w:p>
        </w:tc>
        <w:tc>
          <w:tcPr>
            <w:tcW w:w="1440" w:type="dxa"/>
            <w:tcBorders>
              <w:top w:val="single" w:sz="4" w:space="0" w:color="auto"/>
              <w:left w:val="nil"/>
              <w:bottom w:val="single" w:sz="4" w:space="0" w:color="auto"/>
              <w:right w:val="single" w:sz="4" w:space="0" w:color="auto"/>
            </w:tcBorders>
          </w:tcPr>
          <w:p w:rsidR="00C93970" w:rsidRDefault="00C93970">
            <w:pPr>
              <w:jc w:val="center"/>
              <w:rPr>
                <w:b/>
                <w:bCs/>
                <w:color w:val="000000"/>
                <w:szCs w:val="20"/>
                <w:lang w:val="en-US"/>
              </w:rPr>
            </w:pPr>
            <w:r>
              <w:rPr>
                <w:b/>
                <w:bCs/>
                <w:color w:val="000000"/>
                <w:szCs w:val="20"/>
                <w:lang w:val="en-US"/>
              </w:rPr>
              <w:t>% Var US$</w:t>
            </w:r>
          </w:p>
        </w:tc>
      </w:tr>
      <w:tr w:rsidR="00C93970">
        <w:tblPrEx>
          <w:tblCellMar>
            <w:top w:w="0" w:type="dxa"/>
            <w:bottom w:w="0" w:type="dxa"/>
          </w:tblCellMar>
        </w:tblPrEx>
        <w:trPr>
          <w:trHeight w:val="432"/>
          <w:jc w:val="center"/>
        </w:trPr>
        <w:tc>
          <w:tcPr>
            <w:tcW w:w="1290" w:type="dxa"/>
            <w:tcBorders>
              <w:top w:val="single" w:sz="4" w:space="0" w:color="auto"/>
              <w:left w:val="single" w:sz="4" w:space="0" w:color="auto"/>
              <w:bottom w:val="nil"/>
              <w:right w:val="single" w:sz="4" w:space="0" w:color="auto"/>
            </w:tcBorders>
          </w:tcPr>
          <w:p w:rsidR="00C93970" w:rsidRDefault="00C93970">
            <w:pPr>
              <w:rPr>
                <w:b/>
                <w:bCs/>
                <w:color w:val="000000"/>
                <w:szCs w:val="20"/>
                <w:lang w:val="en-US"/>
              </w:rPr>
            </w:pPr>
            <w:r>
              <w:rPr>
                <w:b/>
                <w:bCs/>
                <w:color w:val="000000"/>
                <w:szCs w:val="20"/>
                <w:lang w:val="en-US"/>
              </w:rPr>
              <w:t>1998</w:t>
            </w:r>
          </w:p>
        </w:tc>
        <w:tc>
          <w:tcPr>
            <w:tcW w:w="1440" w:type="dxa"/>
            <w:tcBorders>
              <w:top w:val="single" w:sz="4" w:space="0" w:color="auto"/>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114,994 </w:t>
            </w:r>
          </w:p>
        </w:tc>
        <w:tc>
          <w:tcPr>
            <w:tcW w:w="1440" w:type="dxa"/>
            <w:tcBorders>
              <w:top w:val="single" w:sz="4" w:space="0" w:color="auto"/>
              <w:left w:val="nil"/>
              <w:bottom w:val="nil"/>
              <w:right w:val="single" w:sz="4" w:space="0" w:color="auto"/>
            </w:tcBorders>
          </w:tcPr>
          <w:p w:rsidR="00C93970" w:rsidRDefault="00C93970">
            <w:pPr>
              <w:jc w:val="right"/>
              <w:rPr>
                <w:color w:val="000000"/>
                <w:szCs w:val="20"/>
                <w:lang w:val="en-US"/>
              </w:rPr>
            </w:pPr>
            <w:r>
              <w:rPr>
                <w:color w:val="000000"/>
                <w:szCs w:val="20"/>
                <w:lang w:val="en-US"/>
              </w:rPr>
              <w:t xml:space="preserve">  </w:t>
            </w:r>
          </w:p>
        </w:tc>
        <w:tc>
          <w:tcPr>
            <w:tcW w:w="1620" w:type="dxa"/>
            <w:tcBorders>
              <w:top w:val="single" w:sz="4" w:space="0" w:color="auto"/>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875,050,894 </w:t>
            </w:r>
          </w:p>
        </w:tc>
        <w:tc>
          <w:tcPr>
            <w:tcW w:w="1440" w:type="dxa"/>
            <w:tcBorders>
              <w:top w:val="single" w:sz="4" w:space="0" w:color="auto"/>
              <w:left w:val="nil"/>
              <w:bottom w:val="nil"/>
              <w:right w:val="single" w:sz="4" w:space="0" w:color="auto"/>
            </w:tcBorders>
          </w:tcPr>
          <w:p w:rsidR="00C93970" w:rsidRDefault="00C93970">
            <w:pPr>
              <w:jc w:val="right"/>
              <w:rPr>
                <w:color w:val="000000"/>
                <w:szCs w:val="20"/>
                <w:lang w:val="en-US"/>
              </w:rPr>
            </w:pPr>
          </w:p>
        </w:tc>
      </w:tr>
      <w:tr w:rsidR="00C93970">
        <w:tblPrEx>
          <w:tblCellMar>
            <w:top w:w="0" w:type="dxa"/>
            <w:bottom w:w="0" w:type="dxa"/>
          </w:tblCellMar>
        </w:tblPrEx>
        <w:trPr>
          <w:trHeight w:val="432"/>
          <w:jc w:val="center"/>
        </w:trPr>
        <w:tc>
          <w:tcPr>
            <w:tcW w:w="1290" w:type="dxa"/>
            <w:tcBorders>
              <w:top w:val="nil"/>
              <w:left w:val="single" w:sz="4" w:space="0" w:color="auto"/>
              <w:bottom w:val="nil"/>
              <w:right w:val="single" w:sz="4" w:space="0" w:color="auto"/>
            </w:tcBorders>
          </w:tcPr>
          <w:p w:rsidR="00C93970" w:rsidRDefault="00C93970">
            <w:pPr>
              <w:rPr>
                <w:b/>
                <w:bCs/>
                <w:color w:val="000000"/>
                <w:szCs w:val="20"/>
                <w:lang w:val="en-US"/>
              </w:rPr>
            </w:pPr>
            <w:r>
              <w:rPr>
                <w:b/>
                <w:bCs/>
                <w:color w:val="000000"/>
                <w:szCs w:val="20"/>
                <w:lang w:val="en-US"/>
              </w:rPr>
              <w:t>1999</w:t>
            </w:r>
          </w:p>
        </w:tc>
        <w:tc>
          <w:tcPr>
            <w:tcW w:w="144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95,018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-17.4%</w:t>
            </w:r>
          </w:p>
        </w:tc>
        <w:tc>
          <w:tcPr>
            <w:tcW w:w="162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616,942,115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-29.5%</w:t>
            </w:r>
          </w:p>
        </w:tc>
      </w:tr>
      <w:tr w:rsidR="00C93970">
        <w:tblPrEx>
          <w:tblCellMar>
            <w:top w:w="0" w:type="dxa"/>
            <w:bottom w:w="0" w:type="dxa"/>
          </w:tblCellMar>
        </w:tblPrEx>
        <w:trPr>
          <w:trHeight w:val="432"/>
          <w:jc w:val="center"/>
        </w:trPr>
        <w:tc>
          <w:tcPr>
            <w:tcW w:w="1290" w:type="dxa"/>
            <w:tcBorders>
              <w:top w:val="nil"/>
              <w:left w:val="single" w:sz="4" w:space="0" w:color="auto"/>
              <w:bottom w:val="nil"/>
              <w:right w:val="single" w:sz="4" w:space="0" w:color="auto"/>
            </w:tcBorders>
          </w:tcPr>
          <w:p w:rsidR="00C93970" w:rsidRDefault="00C93970">
            <w:pPr>
              <w:rPr>
                <w:b/>
                <w:bCs/>
                <w:color w:val="000000"/>
                <w:szCs w:val="20"/>
                <w:lang w:val="en-US"/>
              </w:rPr>
            </w:pPr>
            <w:r>
              <w:rPr>
                <w:b/>
                <w:bCs/>
                <w:color w:val="000000"/>
                <w:szCs w:val="20"/>
                <w:lang w:val="en-US"/>
              </w:rPr>
              <w:t>2000</w:t>
            </w:r>
          </w:p>
        </w:tc>
        <w:tc>
          <w:tcPr>
            <w:tcW w:w="144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37,707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-60.3%</w:t>
            </w:r>
          </w:p>
        </w:tc>
        <w:tc>
          <w:tcPr>
            <w:tcW w:w="162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297,408,403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-51.8%</w:t>
            </w:r>
          </w:p>
        </w:tc>
      </w:tr>
      <w:tr w:rsidR="00C93970">
        <w:tblPrEx>
          <w:tblCellMar>
            <w:top w:w="0" w:type="dxa"/>
            <w:bottom w:w="0" w:type="dxa"/>
          </w:tblCellMar>
        </w:tblPrEx>
        <w:trPr>
          <w:trHeight w:val="432"/>
          <w:jc w:val="center"/>
        </w:trPr>
        <w:tc>
          <w:tcPr>
            <w:tcW w:w="1290" w:type="dxa"/>
            <w:tcBorders>
              <w:top w:val="nil"/>
              <w:left w:val="single" w:sz="4" w:space="0" w:color="auto"/>
              <w:bottom w:val="nil"/>
              <w:right w:val="single" w:sz="4" w:space="0" w:color="auto"/>
            </w:tcBorders>
          </w:tcPr>
          <w:p w:rsidR="00C93970" w:rsidRDefault="00C93970">
            <w:pPr>
              <w:rPr>
                <w:b/>
                <w:bCs/>
                <w:color w:val="000000"/>
                <w:szCs w:val="20"/>
                <w:lang w:val="en-US"/>
              </w:rPr>
            </w:pPr>
            <w:r>
              <w:rPr>
                <w:b/>
                <w:bCs/>
                <w:color w:val="000000"/>
                <w:szCs w:val="20"/>
                <w:lang w:val="en-US"/>
              </w:rPr>
              <w:t>2001</w:t>
            </w:r>
          </w:p>
        </w:tc>
        <w:tc>
          <w:tcPr>
            <w:tcW w:w="144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45,364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20.3%</w:t>
            </w:r>
          </w:p>
        </w:tc>
        <w:tc>
          <w:tcPr>
            <w:tcW w:w="1620" w:type="dxa"/>
            <w:tcBorders>
              <w:top w:val="nil"/>
              <w:left w:val="single" w:sz="4" w:space="0" w:color="auto"/>
              <w:bottom w:val="nil"/>
              <w:right w:val="nil"/>
            </w:tcBorders>
          </w:tcPr>
          <w:p w:rsidR="00C93970" w:rsidRDefault="00C93970">
            <w:pPr>
              <w:jc w:val="right"/>
              <w:rPr>
                <w:color w:val="000000"/>
                <w:szCs w:val="20"/>
                <w:lang w:val="en-US"/>
              </w:rPr>
            </w:pPr>
            <w:r>
              <w:rPr>
                <w:color w:val="000000"/>
                <w:szCs w:val="20"/>
                <w:lang w:val="en-US"/>
              </w:rPr>
              <w:t xml:space="preserve"> 280,694,073 </w:t>
            </w:r>
          </w:p>
        </w:tc>
        <w:tc>
          <w:tcPr>
            <w:tcW w:w="1440" w:type="dxa"/>
            <w:tcBorders>
              <w:top w:val="nil"/>
              <w:left w:val="nil"/>
              <w:bottom w:val="nil"/>
              <w:right w:val="single" w:sz="4" w:space="0" w:color="auto"/>
            </w:tcBorders>
          </w:tcPr>
          <w:p w:rsidR="00C93970" w:rsidRDefault="00C93970">
            <w:pPr>
              <w:jc w:val="right"/>
              <w:rPr>
                <w:color w:val="000000"/>
                <w:szCs w:val="20"/>
                <w:lang w:val="en-US"/>
              </w:rPr>
            </w:pPr>
            <w:r>
              <w:rPr>
                <w:color w:val="000000"/>
                <w:szCs w:val="20"/>
                <w:lang w:val="en-US"/>
              </w:rPr>
              <w:t>-5.6%</w:t>
            </w:r>
          </w:p>
        </w:tc>
      </w:tr>
      <w:tr w:rsidR="00C93970">
        <w:tblPrEx>
          <w:tblCellMar>
            <w:top w:w="0" w:type="dxa"/>
            <w:bottom w:w="0" w:type="dxa"/>
          </w:tblCellMar>
        </w:tblPrEx>
        <w:trPr>
          <w:trHeight w:val="432"/>
          <w:jc w:val="center"/>
        </w:trPr>
        <w:tc>
          <w:tcPr>
            <w:tcW w:w="1290" w:type="dxa"/>
            <w:tcBorders>
              <w:top w:val="nil"/>
              <w:left w:val="single" w:sz="4" w:space="0" w:color="auto"/>
              <w:bottom w:val="single" w:sz="4" w:space="0" w:color="auto"/>
              <w:right w:val="single" w:sz="4" w:space="0" w:color="auto"/>
            </w:tcBorders>
          </w:tcPr>
          <w:p w:rsidR="00C93970" w:rsidRDefault="00C93970">
            <w:pPr>
              <w:rPr>
                <w:b/>
                <w:bCs/>
                <w:color w:val="000000"/>
                <w:szCs w:val="20"/>
                <w:lang w:val="en-US"/>
              </w:rPr>
            </w:pPr>
            <w:r>
              <w:rPr>
                <w:b/>
                <w:bCs/>
                <w:color w:val="000000"/>
                <w:szCs w:val="20"/>
                <w:lang w:val="en-US"/>
              </w:rPr>
              <w:t>2002</w:t>
            </w:r>
          </w:p>
        </w:tc>
        <w:tc>
          <w:tcPr>
            <w:tcW w:w="1440" w:type="dxa"/>
            <w:tcBorders>
              <w:top w:val="nil"/>
              <w:left w:val="single" w:sz="4" w:space="0" w:color="auto"/>
              <w:bottom w:val="single" w:sz="4" w:space="0" w:color="auto"/>
              <w:right w:val="nil"/>
            </w:tcBorders>
          </w:tcPr>
          <w:p w:rsidR="00C93970" w:rsidRDefault="00C93970">
            <w:pPr>
              <w:jc w:val="right"/>
              <w:rPr>
                <w:color w:val="000000"/>
                <w:szCs w:val="20"/>
                <w:lang w:val="en-US"/>
              </w:rPr>
            </w:pPr>
            <w:r>
              <w:rPr>
                <w:color w:val="000000"/>
                <w:szCs w:val="20"/>
                <w:lang w:val="en-US"/>
              </w:rPr>
              <w:t xml:space="preserve">    46,834 </w:t>
            </w:r>
          </w:p>
        </w:tc>
        <w:tc>
          <w:tcPr>
            <w:tcW w:w="1440" w:type="dxa"/>
            <w:tcBorders>
              <w:top w:val="nil"/>
              <w:left w:val="nil"/>
              <w:bottom w:val="single" w:sz="4" w:space="0" w:color="auto"/>
              <w:right w:val="single" w:sz="4" w:space="0" w:color="auto"/>
            </w:tcBorders>
          </w:tcPr>
          <w:p w:rsidR="00C93970" w:rsidRDefault="00C93970">
            <w:pPr>
              <w:jc w:val="right"/>
              <w:rPr>
                <w:color w:val="000000"/>
                <w:szCs w:val="20"/>
                <w:lang w:val="en-US"/>
              </w:rPr>
            </w:pPr>
            <w:r>
              <w:rPr>
                <w:color w:val="000000"/>
                <w:szCs w:val="20"/>
                <w:lang w:val="en-US"/>
              </w:rPr>
              <w:t>3.2%</w:t>
            </w:r>
          </w:p>
        </w:tc>
        <w:tc>
          <w:tcPr>
            <w:tcW w:w="1620" w:type="dxa"/>
            <w:tcBorders>
              <w:top w:val="nil"/>
              <w:left w:val="single" w:sz="4" w:space="0" w:color="auto"/>
              <w:bottom w:val="single" w:sz="4" w:space="0" w:color="auto"/>
              <w:right w:val="nil"/>
            </w:tcBorders>
          </w:tcPr>
          <w:p w:rsidR="00C93970" w:rsidRDefault="00C93970">
            <w:pPr>
              <w:jc w:val="right"/>
              <w:rPr>
                <w:color w:val="000000"/>
                <w:szCs w:val="20"/>
                <w:lang w:val="en-US"/>
              </w:rPr>
            </w:pPr>
            <w:r>
              <w:rPr>
                <w:color w:val="000000"/>
                <w:szCs w:val="20"/>
                <w:lang w:val="en-US"/>
              </w:rPr>
              <w:t xml:space="preserve"> 263,859,174 </w:t>
            </w:r>
          </w:p>
        </w:tc>
        <w:tc>
          <w:tcPr>
            <w:tcW w:w="1440" w:type="dxa"/>
            <w:tcBorders>
              <w:top w:val="nil"/>
              <w:left w:val="nil"/>
              <w:bottom w:val="single" w:sz="4" w:space="0" w:color="auto"/>
              <w:right w:val="single" w:sz="4" w:space="0" w:color="auto"/>
            </w:tcBorders>
          </w:tcPr>
          <w:p w:rsidR="00C93970" w:rsidRDefault="00C93970">
            <w:pPr>
              <w:jc w:val="right"/>
              <w:rPr>
                <w:color w:val="000000"/>
                <w:szCs w:val="20"/>
                <w:lang w:val="en-US"/>
              </w:rPr>
            </w:pPr>
            <w:r>
              <w:rPr>
                <w:color w:val="000000"/>
                <w:szCs w:val="20"/>
                <w:lang w:val="en-US"/>
              </w:rPr>
              <w:t>-6.0%</w:t>
            </w:r>
          </w:p>
        </w:tc>
      </w:tr>
    </w:tbl>
    <w:p w:rsidR="00C93970" w:rsidRDefault="00C93970">
      <w:pPr>
        <w:spacing w:line="360" w:lineRule="auto"/>
        <w:ind w:firstLine="720"/>
      </w:pPr>
      <w:r>
        <w:t>Fuente: Camara Nacional de Acuicultura.</w:t>
      </w:r>
    </w:p>
    <w:p w:rsidR="00C93970" w:rsidRDefault="00C93970">
      <w:pPr>
        <w:spacing w:line="360" w:lineRule="auto"/>
      </w:pPr>
    </w:p>
    <w:p w:rsidR="00C93970" w:rsidRDefault="00C93970">
      <w:pPr>
        <w:spacing w:line="360" w:lineRule="auto"/>
      </w:pPr>
      <w:r>
        <w:t>La evolución de los precios del camarón como podemos ver en el gráfico 1 p</w:t>
      </w:r>
      <w:r>
        <w:t>a</w:t>
      </w:r>
      <w:r>
        <w:t>ra la talla referencial 41-50 ha sido la siguiente: a partir del segundo semestre del año 99, debido a la caída en las exportaciones ecuatorianas, el precio del camarón se disparó hasta llegar a su máximo en julio del 2000. Muchos impo</w:t>
      </w:r>
      <w:r>
        <w:t>r</w:t>
      </w:r>
      <w:r>
        <w:t>tadores en los Estados Unidos se sobre-aprovisionaron de camarón caro, y al empezar a caer los precios, sufrieron grandes perdidas lo que los llevó a ser más conservadores en los precios de compra y precipitar la caída. La caída de precio se debió a varios factores.</w:t>
      </w:r>
    </w:p>
    <w:p w:rsidR="00C93970" w:rsidRDefault="0006098E">
      <w:pPr>
        <w:spacing w:line="360" w:lineRule="auto"/>
      </w:pPr>
      <w:r>
        <w:rPr>
          <w:noProof/>
          <w:lang w:val="es-ES" w:eastAsia="es-ES"/>
        </w:rPr>
        <w:drawing>
          <wp:inline distT="0" distB="0" distL="0" distR="0">
            <wp:extent cx="5163185" cy="347916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93970" w:rsidRDefault="00C93970">
      <w:pPr>
        <w:spacing w:line="360" w:lineRule="auto"/>
      </w:pPr>
      <w:r>
        <w:t>Varios países asiáticos, principalmente Tailandia aumentaron su producción mediante cambios de estrategia de producción a sistemas bioseguros tierra adentro. Nuevos paises como Vietnam y Brasil entraron a producir camarón, especialmente de la variedad blanca. Argentina tuvo pescas abundantes de camarón, que entró principalmente al mercado Europeo. China se recuperó de los problemas de producción que había tenido desde mediados de los 90. La Comunidad Económica Europea impuso un emba</w:t>
      </w:r>
      <w:r>
        <w:t>r</w:t>
      </w:r>
      <w:r>
        <w:t>go al camarón Chino, por lo que todo este camarón inundó el mercado americano bajando el precio.</w:t>
      </w:r>
    </w:p>
    <w:p w:rsidR="00C93970" w:rsidRDefault="00C93970">
      <w:pPr>
        <w:spacing w:line="360" w:lineRule="auto"/>
      </w:pPr>
    </w:p>
    <w:p w:rsidR="00C93970" w:rsidRDefault="00C93970">
      <w:pPr>
        <w:spacing w:line="360" w:lineRule="auto"/>
      </w:pPr>
      <w:r>
        <w:t>Ante la presencia de esta enfermedad, la industria respondió de diversas m</w:t>
      </w:r>
      <w:r>
        <w:t>a</w:t>
      </w:r>
      <w:r>
        <w:t>neras. Al inicio se trató de implementar medidas de manejo que permitieran s</w:t>
      </w:r>
      <w:r>
        <w:t>e</w:t>
      </w:r>
      <w:r>
        <w:t>guir produciendo camarón de manera semi intensiva, pero ninguna de estas tuvo resultado. Debido a esto, muchas camaroneras cerraron, y las que se mantenían en funcionamiento cambiaron a una estrategia extensiva, aprov</w:t>
      </w:r>
      <w:r>
        <w:t>e</w:t>
      </w:r>
      <w:r>
        <w:t>chando que la mayor parte de sus activos fijos ya estaban depreciados, lo que les permitió bajar sus costos de producción, aunque disminuyó notablemente la productividad (de 1,500 lbs/Ha a 400 lbs/Ha). Esta estrategia de disminuir co</w:t>
      </w:r>
      <w:r>
        <w:t>s</w:t>
      </w:r>
      <w:r>
        <w:t>tos, generó desempleo directo en la industria, y provocó un efecto dominó en otras industrias que dependían de la producción de camarón, lo que causó m</w:t>
      </w:r>
      <w:r>
        <w:t>a</w:t>
      </w:r>
      <w:r>
        <w:t>yores pérdidas y desempleo. Se pidió al gobierno ayuda para reactivar el se</w:t>
      </w:r>
      <w:r>
        <w:t>c</w:t>
      </w:r>
      <w:r>
        <w:t>tor, pero este respondió con un decreto de emergencia que cerró todas las líneas de crédito al sector, empeorando la situación. Además de gravar con el 1% de anticipo al impuesto a la renta a la venta de camarón a empresas que e</w:t>
      </w:r>
      <w:r>
        <w:t>s</w:t>
      </w:r>
      <w:r>
        <w:t>tán trabajando a duras penas para subsistir o muchas veces a pérdida, y no devolviendo el IVA a los productores de un producto de exportación, lo que e</w:t>
      </w:r>
      <w:r>
        <w:t>n</w:t>
      </w:r>
      <w:r>
        <w:t>carece el producto y resta competitividad exportando impue</w:t>
      </w:r>
      <w:r>
        <w:t>s</w:t>
      </w:r>
      <w:r>
        <w:t>tos.</w:t>
      </w:r>
    </w:p>
    <w:p w:rsidR="00C93970" w:rsidRDefault="00C93970">
      <w:pPr>
        <w:spacing w:line="360" w:lineRule="auto"/>
      </w:pPr>
      <w:r>
        <w:t>Otra estrategia que intentaron principalmente los grupos grandes, fue la sele</w:t>
      </w:r>
      <w:r>
        <w:t>c</w:t>
      </w:r>
      <w:r>
        <w:t>ción genética de camarón resistente al virus de la mancha blanca, pero de</w:t>
      </w:r>
      <w:r>
        <w:t>s</w:t>
      </w:r>
      <w:r>
        <w:t>pués de 4 años, no se han logrado mej</w:t>
      </w:r>
      <w:r>
        <w:t>o</w:t>
      </w:r>
      <w:r>
        <w:t>rías en este aspecto.</w:t>
      </w:r>
    </w:p>
    <w:p w:rsidR="00C93970" w:rsidRDefault="00C93970">
      <w:pPr>
        <w:spacing w:line="360" w:lineRule="auto"/>
      </w:pPr>
      <w:r>
        <w:t>A mediados del año 2000 se empezó a probar sistemas de cultivo tierra ade</w:t>
      </w:r>
      <w:r>
        <w:t>n</w:t>
      </w:r>
      <w:r>
        <w:t>tro, los cuales por estar apartados de las zonas donde existe el virus natura</w:t>
      </w:r>
      <w:r>
        <w:t>l</w:t>
      </w:r>
      <w:r>
        <w:t>mente y por ser más intensivos en su producción, presentaban mayores facil</w:t>
      </w:r>
      <w:r>
        <w:t>i</w:t>
      </w:r>
      <w:r>
        <w:t>dades para la bioseguridad. Al principio se presentaron buenos resultados con producciones de hasta 20,000 lbs / ha, p</w:t>
      </w:r>
      <w:r>
        <w:t>e</w:t>
      </w:r>
      <w:r>
        <w:t>ro la falta de semilla certificada libre de la mancha blanca impidió mantener un sistema bio seguro, por lo que la mancha blanca ha afectado también a estas camaroneras, aunque en grado menor que a las tradicionales. Además la alta inversión necesaria para estos proyectos (30,000 a 40,000US$/Ha) limita su expansión.</w:t>
      </w:r>
    </w:p>
    <w:p w:rsidR="00C93970" w:rsidRDefault="00C93970">
      <w:pPr>
        <w:spacing w:line="360" w:lineRule="auto"/>
      </w:pPr>
      <w:r>
        <w:t>Otra estrategia que se está probando es el cultivo de camarón en invernaderos, lo que supuestamente evitaría la incidencia del WSSV, pero por un lado esto representa una inversión adicional de entre $20,000 a $40,000 por hectárea, lo que con los presentes precios del camarón difícilmente se podrían recuperar. Por otro lado se han reportado ya casos de WSS en piscinas con invernaderos, y no se puede asegurar que este método impida el desarrollo de otras enfe</w:t>
      </w:r>
      <w:r>
        <w:t>r</w:t>
      </w:r>
      <w:r>
        <w:t>medades futuras.</w:t>
      </w:r>
    </w:p>
    <w:p w:rsidR="00C93970" w:rsidRDefault="00C93970">
      <w:pPr>
        <w:spacing w:line="360" w:lineRule="auto"/>
      </w:pPr>
    </w:p>
    <w:p w:rsidR="00C93970" w:rsidRDefault="00C93970">
      <w:pPr>
        <w:spacing w:line="360" w:lineRule="auto"/>
      </w:pPr>
      <w:r>
        <w:t>Bajo el esquema actual, la industria camaronera se encuentra todavía en una situación muy difícil, por lo que no se puede hablar de una recuperación en el sector, lo cual se ve agravado por la inflación en dólares que hay en el país.</w:t>
      </w:r>
    </w:p>
    <w:sectPr w:rsidR="00C939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noPunctuationKerning/>
  <w:characterSpacingControl w:val="doNotCompress"/>
  <w:savePreviewPicture/>
  <w:compat/>
  <w:rsids>
    <w:rsidRoot w:val="00CC0B4E"/>
    <w:rsid w:val="0006098E"/>
    <w:rsid w:val="00C93970"/>
    <w:rsid w:val="00CC0B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C" w:eastAsia="en-US"/>
    </w:rPr>
  </w:style>
  <w:style w:type="paragraph" w:styleId="Ttulo1">
    <w:name w:val="heading 1"/>
    <w:basedOn w:val="Normal"/>
    <w:next w:val="Normal"/>
    <w:qFormat/>
    <w:pPr>
      <w:keepNext/>
      <w:spacing w:before="240" w:after="60"/>
      <w:outlineLvl w:val="0"/>
    </w:pPr>
    <w:rPr>
      <w:b/>
      <w:bCs/>
      <w:kern w:val="32"/>
      <w:sz w:val="32"/>
      <w:szCs w:val="32"/>
    </w:rPr>
  </w:style>
  <w:style w:type="paragraph" w:styleId="Ttulo2">
    <w:name w:val="heading 2"/>
    <w:basedOn w:val="Normal"/>
    <w:next w:val="Normal"/>
    <w:qFormat/>
    <w:pPr>
      <w:keepNext/>
      <w:spacing w:before="240" w:after="60"/>
      <w:outlineLvl w:val="1"/>
    </w:pPr>
    <w:rPr>
      <w:b/>
      <w:bCs/>
      <w:i/>
      <w:iCs/>
      <w:sz w:val="28"/>
      <w:szCs w:val="28"/>
    </w:rPr>
  </w:style>
  <w:style w:type="paragraph" w:styleId="Ttulo3">
    <w:name w:val="heading 3"/>
    <w:basedOn w:val="Normal"/>
    <w:next w:val="Normal"/>
    <w:qFormat/>
    <w:pPr>
      <w:keepNext/>
      <w:outlineLvl w:val="2"/>
    </w:pPr>
    <w:rPr>
      <w:b/>
      <w:bCs/>
      <w:color w:val="000000"/>
      <w:szCs w:val="20"/>
      <w:lang w:val="en-US"/>
    </w:rPr>
  </w:style>
  <w:style w:type="paragraph" w:styleId="Ttulo4">
    <w:name w:val="heading 4"/>
    <w:basedOn w:val="Normal"/>
    <w:next w:val="Normal"/>
    <w:qFormat/>
    <w:pPr>
      <w:keepNext/>
      <w:jc w:val="center"/>
      <w:outlineLvl w:val="3"/>
    </w:pPr>
    <w:rPr>
      <w:b/>
      <w:bCs/>
      <w:color w:val="000000"/>
      <w:szCs w:val="20"/>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178" b="0" i="0" u="none" strike="noStrike" baseline="0">
                <a:solidFill>
                  <a:srgbClr val="000000"/>
                </a:solidFill>
                <a:latin typeface="Arial"/>
                <a:ea typeface="Arial"/>
                <a:cs typeface="Arial"/>
              </a:defRPr>
            </a:pPr>
            <a:r>
              <a:t>PRECIO COLA  41-50 (JUL1998-2002 )</a:t>
            </a:r>
          </a:p>
        </c:rich>
      </c:tx>
      <c:layout>
        <c:manualLayout>
          <c:xMode val="edge"/>
          <c:yMode val="edge"/>
          <c:x val="0.28737864077669911"/>
          <c:y val="2.0887728459530037E-2"/>
        </c:manualLayout>
      </c:layout>
      <c:spPr>
        <a:noFill/>
        <a:ln w="33253">
          <a:noFill/>
        </a:ln>
      </c:spPr>
    </c:title>
    <c:plotArea>
      <c:layout>
        <c:manualLayout>
          <c:layoutTarget val="inner"/>
          <c:xMode val="edge"/>
          <c:yMode val="edge"/>
          <c:x val="0.11650485436893207"/>
          <c:y val="0.14621409921671025"/>
          <c:w val="0.84271844660194173"/>
          <c:h val="0.6866840731070496"/>
        </c:manualLayout>
      </c:layout>
      <c:lineChart>
        <c:grouping val="standard"/>
        <c:varyColors val="1"/>
        <c:ser>
          <c:idx val="0"/>
          <c:order val="0"/>
          <c:tx>
            <c:strRef>
              <c:f>' PRECIOS DEL CAMARON-COLA'!$B$4</c:f>
              <c:strCache>
                <c:ptCount val="1"/>
                <c:pt idx="0">
                  <c:v>41-50</c:v>
                </c:pt>
              </c:strCache>
            </c:strRef>
          </c:tx>
          <c:spPr>
            <a:ln w="16627">
              <a:solidFill>
                <a:srgbClr val="000080"/>
              </a:solidFill>
              <a:prstDash val="solid"/>
            </a:ln>
          </c:spPr>
          <c:marker>
            <c:symbol val="diamond"/>
            <c:size val="6"/>
            <c:spPr>
              <a:solidFill>
                <a:srgbClr val="FF0000"/>
              </a:solidFill>
              <a:ln>
                <a:solidFill>
                  <a:srgbClr val="008080"/>
                </a:solidFill>
                <a:prstDash val="solid"/>
              </a:ln>
            </c:spPr>
          </c:marker>
          <c:dLbls>
            <c:dLbl>
              <c:idx val="34"/>
              <c:tx>
                <c:rich>
                  <a:bodyPr/>
                  <a:lstStyle/>
                  <a:p>
                    <a:pPr>
                      <a:defRPr sz="1047" b="1" i="0" u="none" strike="noStrike" baseline="0">
                        <a:solidFill>
                          <a:srgbClr val="000000"/>
                        </a:solidFill>
                        <a:latin typeface="Book Antiqua"/>
                        <a:ea typeface="Book Antiqua"/>
                        <a:cs typeface="Book Antiqua"/>
                      </a:defRPr>
                    </a:pPr>
                    <a:r>
                      <a:rPr lang="es-ES" sz="1047" b="1" i="0" strike="noStrike">
                        <a:solidFill>
                          <a:srgbClr val="000000"/>
                        </a:solidFill>
                        <a:latin typeface="Book Antiqua"/>
                      </a:rPr>
                      <a:t>6,20 </a:t>
                    </a:r>
                    <a:r>
                      <a:rPr lang="es-ES" sz="1047" b="0" i="0" strike="noStrike">
                        <a:solidFill>
                          <a:srgbClr val="000000"/>
                        </a:solidFill>
                        <a:latin typeface="Book Antiqua"/>
                      </a:rPr>
                      <a:t>Julio 00</a:t>
                    </a:r>
                  </a:p>
                </c:rich>
              </c:tx>
              <c:spPr>
                <a:noFill/>
                <a:ln w="33253">
                  <a:noFill/>
                </a:ln>
              </c:spPr>
            </c:dLbl>
            <c:dLbl>
              <c:idx val="112"/>
              <c:layout>
                <c:manualLayout>
                  <c:xMode val="edge"/>
                  <c:yMode val="edge"/>
                  <c:x val="0.86019417475728155"/>
                  <c:y val="0.51958224543080922"/>
                </c:manualLayout>
              </c:layout>
              <c:spPr>
                <a:noFill/>
                <a:ln w="33253">
                  <a:noFill/>
                </a:ln>
              </c:spPr>
              <c:txPr>
                <a:bodyPr/>
                <a:lstStyle/>
                <a:p>
                  <a:pPr>
                    <a:defRPr sz="1047" b="1" i="0" u="none" strike="noStrike" baseline="0">
                      <a:solidFill>
                        <a:srgbClr val="000000"/>
                      </a:solidFill>
                      <a:latin typeface="Book Antiqua"/>
                      <a:ea typeface="Book Antiqua"/>
                      <a:cs typeface="Book Antiqua"/>
                    </a:defRPr>
                  </a:pPr>
                  <a:endParaRPr lang="es-ES"/>
                </a:p>
              </c:txPr>
              <c:dLblPos val="r"/>
              <c:showLegendKey val="1"/>
              <c:showVal val="1"/>
            </c:dLbl>
            <c:delete val="1"/>
          </c:dLbls>
          <c:trendline>
            <c:spPr>
              <a:ln w="33253">
                <a:solidFill>
                  <a:srgbClr val="FFFF00"/>
                </a:solidFill>
                <a:prstDash val="solid"/>
              </a:ln>
            </c:spPr>
            <c:trendlineType val="linear"/>
          </c:trendline>
          <c:cat>
            <c:numRef>
              <c:f>' PRECIOS DEL CAMARON-COLA'!$A$5:$A$117</c:f>
              <c:numCache>
                <c:formatCode>dd\-mmm\-yy</c:formatCode>
                <c:ptCount val="113"/>
                <c:pt idx="0">
                  <c:v>36004</c:v>
                </c:pt>
                <c:pt idx="1">
                  <c:v>36027</c:v>
                </c:pt>
                <c:pt idx="2">
                  <c:v>36047</c:v>
                </c:pt>
                <c:pt idx="3">
                  <c:v>36070</c:v>
                </c:pt>
                <c:pt idx="4">
                  <c:v>36095</c:v>
                </c:pt>
                <c:pt idx="5">
                  <c:v>36118</c:v>
                </c:pt>
                <c:pt idx="6">
                  <c:v>36137</c:v>
                </c:pt>
                <c:pt idx="7">
                  <c:v>36172</c:v>
                </c:pt>
                <c:pt idx="8">
                  <c:v>36209</c:v>
                </c:pt>
                <c:pt idx="9">
                  <c:v>36228</c:v>
                </c:pt>
                <c:pt idx="10">
                  <c:v>36236</c:v>
                </c:pt>
                <c:pt idx="11">
                  <c:v>36272</c:v>
                </c:pt>
                <c:pt idx="12">
                  <c:v>36307</c:v>
                </c:pt>
                <c:pt idx="13">
                  <c:v>36335</c:v>
                </c:pt>
                <c:pt idx="14">
                  <c:v>36363</c:v>
                </c:pt>
                <c:pt idx="15">
                  <c:v>36382</c:v>
                </c:pt>
                <c:pt idx="16">
                  <c:v>36412</c:v>
                </c:pt>
                <c:pt idx="17">
                  <c:v>36427</c:v>
                </c:pt>
                <c:pt idx="18">
                  <c:v>36454</c:v>
                </c:pt>
                <c:pt idx="19">
                  <c:v>36494</c:v>
                </c:pt>
                <c:pt idx="20">
                  <c:v>36508</c:v>
                </c:pt>
                <c:pt idx="21">
                  <c:v>36517</c:v>
                </c:pt>
                <c:pt idx="22">
                  <c:v>36538</c:v>
                </c:pt>
                <c:pt idx="23">
                  <c:v>36553</c:v>
                </c:pt>
                <c:pt idx="24">
                  <c:v>36580</c:v>
                </c:pt>
                <c:pt idx="25">
                  <c:v>36600</c:v>
                </c:pt>
                <c:pt idx="26">
                  <c:v>36616</c:v>
                </c:pt>
                <c:pt idx="27">
                  <c:v>36630</c:v>
                </c:pt>
                <c:pt idx="28">
                  <c:v>36643</c:v>
                </c:pt>
                <c:pt idx="29">
                  <c:v>36657</c:v>
                </c:pt>
                <c:pt idx="30">
                  <c:v>36676</c:v>
                </c:pt>
                <c:pt idx="31">
                  <c:v>36690</c:v>
                </c:pt>
                <c:pt idx="32">
                  <c:v>36706</c:v>
                </c:pt>
                <c:pt idx="33">
                  <c:v>36720</c:v>
                </c:pt>
                <c:pt idx="34">
                  <c:v>36734</c:v>
                </c:pt>
                <c:pt idx="35">
                  <c:v>36753</c:v>
                </c:pt>
                <c:pt idx="36">
                  <c:v>36767</c:v>
                </c:pt>
                <c:pt idx="37">
                  <c:v>36783</c:v>
                </c:pt>
                <c:pt idx="38">
                  <c:v>36797</c:v>
                </c:pt>
                <c:pt idx="39">
                  <c:v>36811</c:v>
                </c:pt>
                <c:pt idx="40">
                  <c:v>36832</c:v>
                </c:pt>
                <c:pt idx="41">
                  <c:v>36844</c:v>
                </c:pt>
                <c:pt idx="42">
                  <c:v>36858</c:v>
                </c:pt>
                <c:pt idx="43">
                  <c:v>36874</c:v>
                </c:pt>
                <c:pt idx="44">
                  <c:v>36888</c:v>
                </c:pt>
                <c:pt idx="45">
                  <c:v>36902</c:v>
                </c:pt>
                <c:pt idx="46">
                  <c:v>36921</c:v>
                </c:pt>
                <c:pt idx="47">
                  <c:v>36936</c:v>
                </c:pt>
                <c:pt idx="48">
                  <c:v>36949</c:v>
                </c:pt>
                <c:pt idx="49">
                  <c:v>36963</c:v>
                </c:pt>
                <c:pt idx="50">
                  <c:v>36979</c:v>
                </c:pt>
                <c:pt idx="51">
                  <c:v>36994</c:v>
                </c:pt>
                <c:pt idx="52">
                  <c:v>37000</c:v>
                </c:pt>
                <c:pt idx="53">
                  <c:v>37005</c:v>
                </c:pt>
                <c:pt idx="54">
                  <c:v>37026</c:v>
                </c:pt>
                <c:pt idx="55">
                  <c:v>37035</c:v>
                </c:pt>
                <c:pt idx="56">
                  <c:v>37040</c:v>
                </c:pt>
                <c:pt idx="57">
                  <c:v>37056</c:v>
                </c:pt>
                <c:pt idx="58">
                  <c:v>37070</c:v>
                </c:pt>
                <c:pt idx="59">
                  <c:v>37084</c:v>
                </c:pt>
                <c:pt idx="60">
                  <c:v>37103</c:v>
                </c:pt>
                <c:pt idx="61">
                  <c:v>37112</c:v>
                </c:pt>
                <c:pt idx="62">
                  <c:v>37117</c:v>
                </c:pt>
                <c:pt idx="63">
                  <c:v>37133</c:v>
                </c:pt>
                <c:pt idx="64">
                  <c:v>37147</c:v>
                </c:pt>
                <c:pt idx="65">
                  <c:v>37159</c:v>
                </c:pt>
                <c:pt idx="66">
                  <c:v>37161</c:v>
                </c:pt>
                <c:pt idx="67">
                  <c:v>37173</c:v>
                </c:pt>
                <c:pt idx="68">
                  <c:v>37175</c:v>
                </c:pt>
                <c:pt idx="69">
                  <c:v>37180</c:v>
                </c:pt>
                <c:pt idx="70">
                  <c:v>37182</c:v>
                </c:pt>
                <c:pt idx="71">
                  <c:v>37194</c:v>
                </c:pt>
                <c:pt idx="72">
                  <c:v>37196</c:v>
                </c:pt>
                <c:pt idx="73">
                  <c:v>37201</c:v>
                </c:pt>
                <c:pt idx="74">
                  <c:v>37203</c:v>
                </c:pt>
                <c:pt idx="75">
                  <c:v>37208</c:v>
                </c:pt>
                <c:pt idx="76">
                  <c:v>37210</c:v>
                </c:pt>
                <c:pt idx="77">
                  <c:v>37215</c:v>
                </c:pt>
                <c:pt idx="78">
                  <c:v>37222</c:v>
                </c:pt>
                <c:pt idx="79">
                  <c:v>37224</c:v>
                </c:pt>
                <c:pt idx="80">
                  <c:v>37229</c:v>
                </c:pt>
                <c:pt idx="81">
                  <c:v>37236</c:v>
                </c:pt>
                <c:pt idx="82">
                  <c:v>37238</c:v>
                </c:pt>
                <c:pt idx="83">
                  <c:v>37243</c:v>
                </c:pt>
                <c:pt idx="84">
                  <c:v>37245</c:v>
                </c:pt>
                <c:pt idx="85">
                  <c:v>37251</c:v>
                </c:pt>
                <c:pt idx="86">
                  <c:v>37252</c:v>
                </c:pt>
                <c:pt idx="87">
                  <c:v>37258</c:v>
                </c:pt>
                <c:pt idx="88">
                  <c:v>37259</c:v>
                </c:pt>
                <c:pt idx="89">
                  <c:v>37266</c:v>
                </c:pt>
                <c:pt idx="90">
                  <c:v>37271</c:v>
                </c:pt>
                <c:pt idx="91">
                  <c:v>37273</c:v>
                </c:pt>
                <c:pt idx="92">
                  <c:v>37278</c:v>
                </c:pt>
                <c:pt idx="93">
                  <c:v>37280</c:v>
                </c:pt>
                <c:pt idx="94">
                  <c:v>37285</c:v>
                </c:pt>
                <c:pt idx="95">
                  <c:v>37287</c:v>
                </c:pt>
                <c:pt idx="96">
                  <c:v>37292</c:v>
                </c:pt>
                <c:pt idx="97">
                  <c:v>37299</c:v>
                </c:pt>
                <c:pt idx="98">
                  <c:v>37301</c:v>
                </c:pt>
                <c:pt idx="99">
                  <c:v>37315</c:v>
                </c:pt>
                <c:pt idx="100">
                  <c:v>37329</c:v>
                </c:pt>
                <c:pt idx="101">
                  <c:v>37343</c:v>
                </c:pt>
                <c:pt idx="102">
                  <c:v>37350</c:v>
                </c:pt>
                <c:pt idx="103">
                  <c:v>37357</c:v>
                </c:pt>
                <c:pt idx="104">
                  <c:v>37364</c:v>
                </c:pt>
                <c:pt idx="105">
                  <c:v>37369</c:v>
                </c:pt>
                <c:pt idx="106">
                  <c:v>37006</c:v>
                </c:pt>
                <c:pt idx="107">
                  <c:v>37376</c:v>
                </c:pt>
                <c:pt idx="108">
                  <c:v>37378</c:v>
                </c:pt>
                <c:pt idx="109">
                  <c:v>37383</c:v>
                </c:pt>
                <c:pt idx="110">
                  <c:v>37385</c:v>
                </c:pt>
                <c:pt idx="111">
                  <c:v>37390</c:v>
                </c:pt>
                <c:pt idx="112">
                  <c:v>37392</c:v>
                </c:pt>
              </c:numCache>
            </c:numRef>
          </c:cat>
          <c:val>
            <c:numRef>
              <c:f>' PRECIOS DEL CAMARON-COLA'!$B$5:$B$117</c:f>
              <c:numCache>
                <c:formatCode>#,##0.00</c:formatCode>
                <c:ptCount val="113"/>
                <c:pt idx="0">
                  <c:v>3.9499999999999997</c:v>
                </c:pt>
                <c:pt idx="1">
                  <c:v>4.25</c:v>
                </c:pt>
                <c:pt idx="2">
                  <c:v>4.25</c:v>
                </c:pt>
                <c:pt idx="3">
                  <c:v>4.25</c:v>
                </c:pt>
                <c:pt idx="4">
                  <c:v>4.2</c:v>
                </c:pt>
                <c:pt idx="5">
                  <c:v>4.25</c:v>
                </c:pt>
                <c:pt idx="6">
                  <c:v>4.3</c:v>
                </c:pt>
                <c:pt idx="7">
                  <c:v>4.3</c:v>
                </c:pt>
                <c:pt idx="8">
                  <c:v>4.1499999999999995</c:v>
                </c:pt>
                <c:pt idx="9">
                  <c:v>4.0999999999999996</c:v>
                </c:pt>
                <c:pt idx="10">
                  <c:v>4.1499999999999995</c:v>
                </c:pt>
                <c:pt idx="11">
                  <c:v>4.6499999999999995</c:v>
                </c:pt>
                <c:pt idx="12">
                  <c:v>4.8499999999999996</c:v>
                </c:pt>
                <c:pt idx="13">
                  <c:v>4.3499999999999996</c:v>
                </c:pt>
                <c:pt idx="14">
                  <c:v>4.6499999999999995</c:v>
                </c:pt>
                <c:pt idx="15">
                  <c:v>4.5999999999999996</c:v>
                </c:pt>
                <c:pt idx="16">
                  <c:v>4.5999999999999996</c:v>
                </c:pt>
                <c:pt idx="17">
                  <c:v>4.75</c:v>
                </c:pt>
                <c:pt idx="18">
                  <c:v>4.9000000000000004</c:v>
                </c:pt>
                <c:pt idx="19">
                  <c:v>4.8499999999999996</c:v>
                </c:pt>
                <c:pt idx="20">
                  <c:v>4.8</c:v>
                </c:pt>
                <c:pt idx="21">
                  <c:v>4.8</c:v>
                </c:pt>
                <c:pt idx="22">
                  <c:v>5.05</c:v>
                </c:pt>
                <c:pt idx="23">
                  <c:v>5.5</c:v>
                </c:pt>
                <c:pt idx="24">
                  <c:v>5.85</c:v>
                </c:pt>
                <c:pt idx="25">
                  <c:v>6.05</c:v>
                </c:pt>
                <c:pt idx="26">
                  <c:v>6.05</c:v>
                </c:pt>
                <c:pt idx="27">
                  <c:v>6.05</c:v>
                </c:pt>
                <c:pt idx="28">
                  <c:v>5.9</c:v>
                </c:pt>
                <c:pt idx="29">
                  <c:v>5.8</c:v>
                </c:pt>
                <c:pt idx="30">
                  <c:v>5.8</c:v>
                </c:pt>
                <c:pt idx="31">
                  <c:v>5.95</c:v>
                </c:pt>
                <c:pt idx="32">
                  <c:v>6.1</c:v>
                </c:pt>
                <c:pt idx="33">
                  <c:v>6.1499999999999995</c:v>
                </c:pt>
                <c:pt idx="34">
                  <c:v>6.2</c:v>
                </c:pt>
                <c:pt idx="35">
                  <c:v>6.05</c:v>
                </c:pt>
                <c:pt idx="36">
                  <c:v>5.9</c:v>
                </c:pt>
                <c:pt idx="37">
                  <c:v>5.75</c:v>
                </c:pt>
                <c:pt idx="38">
                  <c:v>5.55</c:v>
                </c:pt>
                <c:pt idx="39">
                  <c:v>5.4749999999999996</c:v>
                </c:pt>
                <c:pt idx="40">
                  <c:v>5.4749999999999996</c:v>
                </c:pt>
                <c:pt idx="41">
                  <c:v>5.4749999999999996</c:v>
                </c:pt>
                <c:pt idx="42">
                  <c:v>5.4</c:v>
                </c:pt>
                <c:pt idx="43">
                  <c:v>5.35</c:v>
                </c:pt>
                <c:pt idx="44">
                  <c:v>5.35</c:v>
                </c:pt>
                <c:pt idx="45">
                  <c:v>5.35</c:v>
                </c:pt>
                <c:pt idx="46">
                  <c:v>5.05</c:v>
                </c:pt>
                <c:pt idx="47">
                  <c:v>4.6249999999999973</c:v>
                </c:pt>
                <c:pt idx="48">
                  <c:v>4.1499999999999995</c:v>
                </c:pt>
                <c:pt idx="49">
                  <c:v>4</c:v>
                </c:pt>
                <c:pt idx="50">
                  <c:v>4.1499999999999995</c:v>
                </c:pt>
                <c:pt idx="51">
                  <c:v>4.0999999999999996</c:v>
                </c:pt>
                <c:pt idx="52">
                  <c:v>4.2</c:v>
                </c:pt>
                <c:pt idx="53">
                  <c:v>4.25</c:v>
                </c:pt>
                <c:pt idx="54">
                  <c:v>3.9499999999999997</c:v>
                </c:pt>
                <c:pt idx="55">
                  <c:v>3.75</c:v>
                </c:pt>
                <c:pt idx="56">
                  <c:v>3.7</c:v>
                </c:pt>
                <c:pt idx="57">
                  <c:v>3.55</c:v>
                </c:pt>
                <c:pt idx="58">
                  <c:v>3.55</c:v>
                </c:pt>
                <c:pt idx="59">
                  <c:v>3.55</c:v>
                </c:pt>
                <c:pt idx="60">
                  <c:v>3.6500000000000004</c:v>
                </c:pt>
                <c:pt idx="61">
                  <c:v>3.6500000000000004</c:v>
                </c:pt>
                <c:pt idx="62">
                  <c:v>3.6500000000000004</c:v>
                </c:pt>
                <c:pt idx="63">
                  <c:v>3.6500000000000004</c:v>
                </c:pt>
                <c:pt idx="64">
                  <c:v>3.6500000000000004</c:v>
                </c:pt>
                <c:pt idx="65">
                  <c:v>3.55</c:v>
                </c:pt>
                <c:pt idx="66">
                  <c:v>3.55</c:v>
                </c:pt>
                <c:pt idx="67">
                  <c:v>3.4499999999999997</c:v>
                </c:pt>
                <c:pt idx="68">
                  <c:v>3.4000000000000004</c:v>
                </c:pt>
                <c:pt idx="69">
                  <c:v>3.3499999999999988</c:v>
                </c:pt>
                <c:pt idx="70">
                  <c:v>3.3499999999999988</c:v>
                </c:pt>
                <c:pt idx="71">
                  <c:v>3.3499999999999988</c:v>
                </c:pt>
                <c:pt idx="72">
                  <c:v>3.25</c:v>
                </c:pt>
                <c:pt idx="73">
                  <c:v>3.25</c:v>
                </c:pt>
                <c:pt idx="74">
                  <c:v>3.25</c:v>
                </c:pt>
                <c:pt idx="75">
                  <c:v>3.25</c:v>
                </c:pt>
                <c:pt idx="76">
                  <c:v>3.25</c:v>
                </c:pt>
                <c:pt idx="77">
                  <c:v>3.3</c:v>
                </c:pt>
                <c:pt idx="78">
                  <c:v>3.4000000000000004</c:v>
                </c:pt>
                <c:pt idx="79">
                  <c:v>3.4499999999999997</c:v>
                </c:pt>
                <c:pt idx="80">
                  <c:v>3.4499999999999997</c:v>
                </c:pt>
                <c:pt idx="81">
                  <c:v>3.5</c:v>
                </c:pt>
                <c:pt idx="82">
                  <c:v>3.55</c:v>
                </c:pt>
                <c:pt idx="83">
                  <c:v>3.55</c:v>
                </c:pt>
                <c:pt idx="84">
                  <c:v>3.5999999999999988</c:v>
                </c:pt>
                <c:pt idx="85">
                  <c:v>3.5999999999999988</c:v>
                </c:pt>
                <c:pt idx="86">
                  <c:v>3.5999999999999988</c:v>
                </c:pt>
                <c:pt idx="87">
                  <c:v>3.5999999999999988</c:v>
                </c:pt>
                <c:pt idx="88">
                  <c:v>3.5999999999999988</c:v>
                </c:pt>
                <c:pt idx="89">
                  <c:v>3.5999999999999988</c:v>
                </c:pt>
                <c:pt idx="90">
                  <c:v>3.5999999999999988</c:v>
                </c:pt>
                <c:pt idx="91">
                  <c:v>3.5999999999999988</c:v>
                </c:pt>
                <c:pt idx="92">
                  <c:v>3.5999999999999988</c:v>
                </c:pt>
                <c:pt idx="93">
                  <c:v>3.55</c:v>
                </c:pt>
                <c:pt idx="94">
                  <c:v>3.55</c:v>
                </c:pt>
                <c:pt idx="95">
                  <c:v>3.55</c:v>
                </c:pt>
                <c:pt idx="96">
                  <c:v>3.55</c:v>
                </c:pt>
                <c:pt idx="97">
                  <c:v>3.55</c:v>
                </c:pt>
                <c:pt idx="98">
                  <c:v>3.55</c:v>
                </c:pt>
                <c:pt idx="99">
                  <c:v>3.5999999999999988</c:v>
                </c:pt>
                <c:pt idx="100">
                  <c:v>3.5999999999999988</c:v>
                </c:pt>
                <c:pt idx="101">
                  <c:v>3.5999999999999988</c:v>
                </c:pt>
                <c:pt idx="102">
                  <c:v>3.5999999999999988</c:v>
                </c:pt>
                <c:pt idx="103">
                  <c:v>3.5999999999999988</c:v>
                </c:pt>
                <c:pt idx="104">
                  <c:v>3.55</c:v>
                </c:pt>
                <c:pt idx="105">
                  <c:v>3.55</c:v>
                </c:pt>
                <c:pt idx="106">
                  <c:v>3.5</c:v>
                </c:pt>
                <c:pt idx="107">
                  <c:v>3.5</c:v>
                </c:pt>
                <c:pt idx="108">
                  <c:v>3.4499999999999997</c:v>
                </c:pt>
                <c:pt idx="109">
                  <c:v>3.4000000000000004</c:v>
                </c:pt>
                <c:pt idx="110">
                  <c:v>3.3499999999999988</c:v>
                </c:pt>
                <c:pt idx="111">
                  <c:v>3.3</c:v>
                </c:pt>
                <c:pt idx="112">
                  <c:v>3.2749999999999999</c:v>
                </c:pt>
              </c:numCache>
            </c:numRef>
          </c:val>
          <c:smooth val="1"/>
        </c:ser>
        <c:marker val="1"/>
        <c:axId val="110235008"/>
        <c:axId val="110240896"/>
      </c:lineChart>
      <c:catAx>
        <c:axId val="110235008"/>
        <c:scaling>
          <c:orientation val="minMax"/>
        </c:scaling>
        <c:axPos val="b"/>
        <c:numFmt formatCode="mmm\-yy" sourceLinked="0"/>
        <c:tickLblPos val="nextTo"/>
        <c:spPr>
          <a:ln w="4157">
            <a:solidFill>
              <a:srgbClr val="000000"/>
            </a:solidFill>
            <a:prstDash val="solid"/>
          </a:ln>
        </c:spPr>
        <c:txPr>
          <a:bodyPr rot="-5400000" vert="horz"/>
          <a:lstStyle/>
          <a:p>
            <a:pPr>
              <a:defRPr sz="786" b="0" i="0" u="none" strike="noStrike" baseline="0">
                <a:solidFill>
                  <a:srgbClr val="000000"/>
                </a:solidFill>
                <a:latin typeface="Arial"/>
                <a:ea typeface="Arial"/>
                <a:cs typeface="Arial"/>
              </a:defRPr>
            </a:pPr>
            <a:endParaRPr lang="es-ES"/>
          </a:p>
        </c:txPr>
        <c:crossAx val="110240896"/>
        <c:crosses val="autoZero"/>
        <c:lblAlgn val="ctr"/>
        <c:lblOffset val="100"/>
        <c:tickLblSkip val="4"/>
        <c:tickMarkSkip val="1"/>
      </c:catAx>
      <c:valAx>
        <c:axId val="110240896"/>
        <c:scaling>
          <c:orientation val="minMax"/>
        </c:scaling>
        <c:axPos val="l"/>
        <c:numFmt formatCode="&quot;$&quot;#,##0.00" sourceLinked="0"/>
        <c:tickLblPos val="nextTo"/>
        <c:spPr>
          <a:ln w="4157">
            <a:solidFill>
              <a:srgbClr val="000000"/>
            </a:solidFill>
            <a:prstDash val="solid"/>
          </a:ln>
        </c:spPr>
        <c:txPr>
          <a:bodyPr rot="0" vert="horz"/>
          <a:lstStyle/>
          <a:p>
            <a:pPr>
              <a:defRPr sz="818" b="0" i="0" u="none" strike="noStrike" baseline="0">
                <a:solidFill>
                  <a:srgbClr val="000000"/>
                </a:solidFill>
                <a:latin typeface="Book Antiqua"/>
                <a:ea typeface="Book Antiqua"/>
                <a:cs typeface="Book Antiqua"/>
              </a:defRPr>
            </a:pPr>
            <a:endParaRPr lang="es-ES"/>
          </a:p>
        </c:txPr>
        <c:crossAx val="110235008"/>
        <c:crosses val="autoZero"/>
        <c:crossBetween val="between"/>
      </c:valAx>
      <c:spPr>
        <a:noFill/>
        <a:ln w="33253">
          <a:noFill/>
        </a:ln>
      </c:spPr>
    </c:plotArea>
    <c:plotVisOnly val="1"/>
    <c:dispBlanksAs val="gap"/>
  </c:chart>
  <c:spPr>
    <a:solidFill>
      <a:srgbClr val="FFFFFF"/>
    </a:solidFill>
    <a:ln w="16627">
      <a:solidFill>
        <a:srgbClr val="000000"/>
      </a:solidFill>
      <a:prstDash val="solid"/>
    </a:ln>
    <a:effectLst>
      <a:outerShdw dist="35921" dir="2700000" algn="br">
        <a:srgbClr val="000000"/>
      </a:outerShdw>
    </a:effectLst>
  </c:spPr>
  <c:txPr>
    <a:bodyPr/>
    <a:lstStyle/>
    <a:p>
      <a:pPr>
        <a:defRPr sz="1571" b="0" i="0" u="none" strike="noStrike" baseline="0">
          <a:solidFill>
            <a:srgbClr val="000000"/>
          </a:solidFill>
          <a:latin typeface="Book Antiqua"/>
          <a:ea typeface="Book Antiqua"/>
          <a:cs typeface="Book Antiqua"/>
        </a:defRPr>
      </a:pPr>
      <a:endParaRPr lang="es-E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0.38625</cdr:x>
      <cdr:y>0.3715</cdr:y>
    </cdr:from>
    <cdr:to>
      <cdr:x>0.451</cdr:x>
      <cdr:y>0.4135</cdr:y>
    </cdr:to>
    <cdr:sp macro="" textlink="">
      <cdr:nvSpPr>
        <cdr:cNvPr id="123905" name="Freeform 1"/>
        <cdr:cNvSpPr>
          <a:spLocks xmlns:a="http://schemas.openxmlformats.org/drawingml/2006/main"/>
        </cdr:cNvSpPr>
      </cdr:nvSpPr>
      <cdr:spPr bwMode="auto">
        <a:xfrm xmlns:a="http://schemas.openxmlformats.org/drawingml/2006/main">
          <a:off x="1894701" y="1355260"/>
          <a:ext cx="317623" cy="153219"/>
        </a:xfrm>
        <a:custGeom xmlns:a="http://schemas.openxmlformats.org/drawingml/2006/main">
          <a:avLst/>
          <a:gdLst/>
          <a:ahLst/>
          <a:cxnLst>
            <a:cxn ang="0">
              <a:pos x="0" y="209550"/>
            </a:cxn>
            <a:cxn ang="0">
              <a:pos x="314325" y="0"/>
            </a:cxn>
          </a:cxnLst>
          <a:rect l="0" t="0" r="r" b="b"/>
          <a:pathLst>
            <a:path w="314325" h="209550">
              <a:moveTo>
                <a:pt x="0" y="209550"/>
              </a:moveTo>
              <a:lnTo>
                <a:pt x="314325" y="0"/>
              </a:lnTo>
            </a:path>
          </a:pathLst>
        </a:custGeom>
        <a:noFill xmlns:a="http://schemas.openxmlformats.org/drawingml/2006/main"/>
        <a:ln xmlns:a="http://schemas.openxmlformats.org/drawingml/2006/main" w="9525">
          <a:solidFill>
            <a:srgbClr val="808080"/>
          </a:solidFill>
          <a:round/>
          <a:headEnd type="diamond" w="med" len="med"/>
          <a:tailEnd type="triangle" w="med" len="med"/>
        </a:ln>
        <a:effectLst xmlns:a="http://schemas.openxmlformats.org/drawingml/2006/main"/>
      </cdr:spPr>
    </cdr:sp>
  </cdr:relSizeAnchor>
  <cdr:relSizeAnchor xmlns:cdr="http://schemas.openxmlformats.org/drawingml/2006/chartDrawing">
    <cdr:from>
      <cdr:x>0.7965</cdr:x>
      <cdr:y>0.28625</cdr:y>
    </cdr:from>
    <cdr:to>
      <cdr:x>0.7965</cdr:x>
      <cdr:y>0.35925</cdr:y>
    </cdr:to>
    <cdr:sp macro="" textlink="">
      <cdr:nvSpPr>
        <cdr:cNvPr id="123906" name="Line 2"/>
        <cdr:cNvSpPr>
          <a:spLocks xmlns:a="http://schemas.openxmlformats.org/drawingml/2006/main" noChangeShapeType="1"/>
        </cdr:cNvSpPr>
      </cdr:nvSpPr>
      <cdr:spPr bwMode="auto">
        <a:xfrm xmlns:a="http://schemas.openxmlformats.org/drawingml/2006/main">
          <a:off x="3907131" y="1044261"/>
          <a:ext cx="0" cy="266310"/>
        </a:xfrm>
        <a:prstGeom xmlns:a="http://schemas.openxmlformats.org/drawingml/2006/main" prst="line">
          <a:avLst/>
        </a:prstGeom>
        <a:noFill xmlns:a="http://schemas.openxmlformats.org/drawingml/2006/main"/>
        <a:ln xmlns:a="http://schemas.openxmlformats.org/drawingml/2006/main" w="9525">
          <a:solidFill>
            <a:srgbClr val="008000"/>
          </a:solidFill>
          <a:round/>
          <a:headEnd/>
          <a:tailEnd type="triangle" w="med" len="med"/>
        </a:ln>
        <a:effectLst xmlns:a="http://schemas.openxmlformats.org/drawingml/2006/main"/>
      </cdr:spPr>
    </cdr:sp>
  </cdr:relSizeAnchor>
  <cdr:relSizeAnchor xmlns:cdr="http://schemas.openxmlformats.org/drawingml/2006/chartDrawing">
    <cdr:from>
      <cdr:x>0.0685</cdr:x>
      <cdr:y>0.3605</cdr:y>
    </cdr:from>
    <cdr:to>
      <cdr:x>0.494</cdr:x>
      <cdr:y>0.3605</cdr:y>
    </cdr:to>
    <cdr:sp macro="" textlink="">
      <cdr:nvSpPr>
        <cdr:cNvPr id="123907" name="Line 3"/>
        <cdr:cNvSpPr>
          <a:spLocks xmlns:a="http://schemas.openxmlformats.org/drawingml/2006/main" noChangeShapeType="1"/>
        </cdr:cNvSpPr>
      </cdr:nvSpPr>
      <cdr:spPr bwMode="auto">
        <a:xfrm xmlns:a="http://schemas.openxmlformats.org/drawingml/2006/main" flipH="1" flipV="1">
          <a:off x="336018" y="1315131"/>
          <a:ext cx="2087237" cy="0"/>
        </a:xfrm>
        <a:prstGeom xmlns:a="http://schemas.openxmlformats.org/drawingml/2006/main" prst="line">
          <a:avLst/>
        </a:prstGeom>
        <a:noFill xmlns:a="http://schemas.openxmlformats.org/drawingml/2006/main"/>
        <a:ln xmlns:a="http://schemas.openxmlformats.org/drawingml/2006/main" w="9525" cap="rnd">
          <a:solidFill>
            <a:srgbClr val="0000FF"/>
          </a:solidFill>
          <a:prstDash val="sysDot"/>
          <a:round/>
          <a:headEnd/>
          <a:tailEnd/>
        </a:ln>
        <a:effectLst xmlns:a="http://schemas.openxmlformats.org/drawingml/2006/main"/>
      </cdr:spPr>
    </cdr:sp>
  </cdr:relSizeAnchor>
  <cdr:relSizeAnchor xmlns:cdr="http://schemas.openxmlformats.org/drawingml/2006/chartDrawing">
    <cdr:from>
      <cdr:x>0.253</cdr:x>
      <cdr:y>0.4325</cdr:y>
    </cdr:from>
    <cdr:to>
      <cdr:x>0.4115</cdr:x>
      <cdr:y>0.6695</cdr:y>
    </cdr:to>
    <cdr:sp macro="" textlink="">
      <cdr:nvSpPr>
        <cdr:cNvPr id="123908" name="Text Box 4"/>
        <cdr:cNvSpPr txBox="1">
          <a:spLocks xmlns:a="http://schemas.openxmlformats.org/drawingml/2006/main" noChangeArrowheads="1"/>
        </cdr:cNvSpPr>
      </cdr:nvSpPr>
      <cdr:spPr bwMode="auto">
        <a:xfrm xmlns:a="http://schemas.openxmlformats.org/drawingml/2006/main">
          <a:off x="1241060" y="1577792"/>
          <a:ext cx="777502" cy="864594"/>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75" b="0" i="0" strike="noStrike">
              <a:solidFill>
                <a:srgbClr val="000000"/>
              </a:solidFill>
              <a:latin typeface="Arial"/>
              <a:cs typeface="Arial"/>
            </a:rPr>
            <a:t>el mas bajo en igual periodo de tiempo</a:t>
          </a:r>
        </a:p>
      </cdr:txBody>
    </cdr:sp>
  </cdr:relSizeAnchor>
  <cdr:relSizeAnchor xmlns:cdr="http://schemas.openxmlformats.org/drawingml/2006/chartDrawing">
    <cdr:from>
      <cdr:x>0.71475</cdr:x>
      <cdr:y>0.18</cdr:y>
    </cdr:from>
    <cdr:to>
      <cdr:x>0.87925</cdr:x>
      <cdr:y>0.30625</cdr:y>
    </cdr:to>
    <cdr:sp macro="" textlink="">
      <cdr:nvSpPr>
        <cdr:cNvPr id="123909" name="Text Box 5"/>
        <cdr:cNvSpPr txBox="1">
          <a:spLocks xmlns:a="http://schemas.openxmlformats.org/drawingml/2006/main" noChangeArrowheads="1"/>
        </cdr:cNvSpPr>
      </cdr:nvSpPr>
      <cdr:spPr bwMode="auto">
        <a:xfrm xmlns:a="http://schemas.openxmlformats.org/drawingml/2006/main">
          <a:off x="3506117" y="656654"/>
          <a:ext cx="806934" cy="460569"/>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s-ES" sz="575" b="0" i="0" strike="noStrike">
              <a:solidFill>
                <a:srgbClr val="000000"/>
              </a:solidFill>
              <a:latin typeface="Arial"/>
              <a:cs typeface="Arial"/>
            </a:rPr>
            <a:t>recuperación por debajo de la media historica</a:t>
          </a:r>
        </a:p>
      </cdr:txBody>
    </cdr:sp>
  </cdr:relSizeAnchor>
  <cdr:relSizeAnchor xmlns:cdr="http://schemas.openxmlformats.org/drawingml/2006/chartDrawing">
    <cdr:from>
      <cdr:x>0.4915</cdr:x>
      <cdr:y>0.35925</cdr:y>
    </cdr:from>
    <cdr:to>
      <cdr:x>0.9155</cdr:x>
      <cdr:y>0.35925</cdr:y>
    </cdr:to>
    <cdr:sp macro="" textlink="">
      <cdr:nvSpPr>
        <cdr:cNvPr id="123910" name="Line 6"/>
        <cdr:cNvSpPr>
          <a:spLocks xmlns:a="http://schemas.openxmlformats.org/drawingml/2006/main" noChangeShapeType="1"/>
        </cdr:cNvSpPr>
      </cdr:nvSpPr>
      <cdr:spPr bwMode="auto">
        <a:xfrm xmlns:a="http://schemas.openxmlformats.org/drawingml/2006/main" flipH="1">
          <a:off x="2410992" y="1310571"/>
          <a:ext cx="2079879" cy="0"/>
        </a:xfrm>
        <a:prstGeom xmlns:a="http://schemas.openxmlformats.org/drawingml/2006/main" prst="line">
          <a:avLst/>
        </a:prstGeom>
        <a:noFill xmlns:a="http://schemas.openxmlformats.org/drawingml/2006/main"/>
        <a:ln xmlns:a="http://schemas.openxmlformats.org/drawingml/2006/main" w="9525" cap="rnd">
          <a:solidFill>
            <a:srgbClr val="FF0000"/>
          </a:solidFill>
          <a:prstDash val="sysDot"/>
          <a:round/>
          <a:headEnd/>
          <a:tailEnd/>
        </a:ln>
        <a:effectLst xmlns:a="http://schemas.openxmlformats.org/drawingml/2006/main"/>
      </cdr:spPr>
    </cdr:sp>
  </cdr:relSizeAnchor>
  <cdr:relSizeAnchor xmlns:cdr="http://schemas.openxmlformats.org/drawingml/2006/chartDrawing">
    <cdr:from>
      <cdr:x>0.64825</cdr:x>
      <cdr:y>0.4325</cdr:y>
    </cdr:from>
    <cdr:to>
      <cdr:x>0.9155</cdr:x>
      <cdr:y>0.434</cdr:y>
    </cdr:to>
    <cdr:sp macro="" textlink="">
      <cdr:nvSpPr>
        <cdr:cNvPr id="123911" name="Line 7"/>
        <cdr:cNvSpPr>
          <a:spLocks xmlns:a="http://schemas.openxmlformats.org/drawingml/2006/main" noChangeShapeType="1"/>
        </cdr:cNvSpPr>
      </cdr:nvSpPr>
      <cdr:spPr bwMode="auto">
        <a:xfrm xmlns:a="http://schemas.openxmlformats.org/drawingml/2006/main">
          <a:off x="3179909" y="1577792"/>
          <a:ext cx="1310962" cy="5473"/>
        </a:xfrm>
        <a:prstGeom xmlns:a="http://schemas.openxmlformats.org/drawingml/2006/main" prst="line">
          <a:avLst/>
        </a:prstGeom>
        <a:noFill xmlns:a="http://schemas.openxmlformats.org/drawingml/2006/main"/>
        <a:ln xmlns:a="http://schemas.openxmlformats.org/drawingml/2006/main" w="9525" cap="rnd">
          <a:solidFill>
            <a:srgbClr val="000000"/>
          </a:solidFill>
          <a:prstDash val="sysDot"/>
          <a:round/>
          <a:headEnd/>
          <a:tailEnd/>
        </a:ln>
        <a:effectLst xmlns:a="http://schemas.openxmlformats.org/drawingml/2006/main"/>
      </cdr:spPr>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6164</Characters>
  <Application>Microsoft Office Word</Application>
  <DocSecurity>0</DocSecurity>
  <Lines>51</Lines>
  <Paragraphs>14</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Sector Camaronero</vt:lpstr>
      <vt:lpstr>Crisis por la Mancha Blanca y Su Recuperación Actual</vt:lpstr>
      <vt:lpstr>    Fabrizio Marcillo</vt:lpstr>
      <vt:lpstr/>
    </vt:vector>
  </TitlesOfParts>
  <Company>Barcillo</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Barcillo Barzinister</dc:creator>
  <cp:keywords/>
  <dc:description/>
  <cp:lastModifiedBy>Administrador</cp:lastModifiedBy>
  <cp:revision>2</cp:revision>
  <dcterms:created xsi:type="dcterms:W3CDTF">2010-01-25T17:21:00Z</dcterms:created>
  <dcterms:modified xsi:type="dcterms:W3CDTF">2010-01-25T17:21:00Z</dcterms:modified>
</cp:coreProperties>
</file>