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CB4" w:rsidRPr="00AE21E8" w:rsidRDefault="00D52CB4" w:rsidP="00120672">
      <w:pPr>
        <w:pStyle w:val="NoSpacing"/>
        <w:jc w:val="center"/>
        <w:rPr>
          <w:b/>
          <w:sz w:val="22"/>
          <w:szCs w:val="22"/>
        </w:rPr>
      </w:pPr>
      <w:r w:rsidRPr="00AE21E8">
        <w:rPr>
          <w:b/>
          <w:sz w:val="22"/>
          <w:szCs w:val="22"/>
        </w:rPr>
        <w:t>RESOLUCIONES ADOPTADAS POR EL CONSEJO POLITÉCNICO EN SESIÓN REALIZADA EL DÍA MARTES 20 DE DICIEMBRE DE 2011</w:t>
      </w:r>
    </w:p>
    <w:p w:rsidR="00D52CB4" w:rsidRPr="00740CE5" w:rsidRDefault="00D52CB4" w:rsidP="00120672">
      <w:pPr>
        <w:pStyle w:val="NoSpacing"/>
        <w:ind w:left="1080" w:hanging="1080"/>
        <w:jc w:val="both"/>
        <w:rPr>
          <w:rFonts w:ascii="Palatino Linotype" w:hAnsi="Palatino Linotype"/>
          <w:b/>
          <w:sz w:val="20"/>
          <w:szCs w:val="20"/>
          <w:u w:val="single"/>
          <w:lang w:eastAsia="es-EC"/>
        </w:rPr>
      </w:pPr>
    </w:p>
    <w:p w:rsidR="00D52CB4" w:rsidRDefault="00D52CB4" w:rsidP="00120672">
      <w:pPr>
        <w:pStyle w:val="NoSpacing"/>
        <w:ind w:left="1080" w:hanging="1080"/>
        <w:jc w:val="both"/>
        <w:rPr>
          <w:b/>
          <w:sz w:val="20"/>
          <w:szCs w:val="20"/>
          <w:u w:val="single"/>
          <w:lang w:eastAsia="es-EC"/>
        </w:rPr>
      </w:pPr>
    </w:p>
    <w:p w:rsidR="00D52CB4" w:rsidRDefault="00D52CB4" w:rsidP="00120672">
      <w:pPr>
        <w:pStyle w:val="NoSpacing"/>
        <w:ind w:left="1080" w:hanging="1080"/>
        <w:jc w:val="both"/>
        <w:rPr>
          <w:b/>
          <w:sz w:val="20"/>
          <w:szCs w:val="20"/>
          <w:u w:val="single"/>
          <w:lang w:eastAsia="es-EC"/>
        </w:rPr>
      </w:pPr>
    </w:p>
    <w:p w:rsidR="00D52CB4" w:rsidRDefault="00D52CB4" w:rsidP="00571231">
      <w:pPr>
        <w:spacing w:after="0" w:line="240" w:lineRule="auto"/>
        <w:ind w:left="1077" w:hanging="1077"/>
        <w:jc w:val="both"/>
        <w:rPr>
          <w:rFonts w:ascii="Times New Roman" w:hAnsi="Times New Roman" w:cs="Times New Roman"/>
          <w:sz w:val="20"/>
          <w:szCs w:val="20"/>
          <w:lang w:eastAsia="es-EC"/>
        </w:rPr>
      </w:pPr>
      <w:r w:rsidRPr="004C5D37">
        <w:rPr>
          <w:rFonts w:ascii="Times New Roman" w:hAnsi="Times New Roman" w:cs="Times New Roman"/>
          <w:b/>
          <w:u w:val="single"/>
          <w:lang w:eastAsia="es-EC"/>
        </w:rPr>
        <w:t>11-12-432</w:t>
      </w:r>
      <w:r w:rsidRPr="004C5D37">
        <w:rPr>
          <w:rFonts w:ascii="Times New Roman" w:hAnsi="Times New Roman" w:cs="Times New Roman"/>
          <w:b/>
          <w:lang w:eastAsia="es-EC"/>
        </w:rPr>
        <w:t>.-</w:t>
      </w:r>
      <w:r>
        <w:rPr>
          <w:b/>
          <w:sz w:val="20"/>
          <w:szCs w:val="20"/>
          <w:lang w:eastAsia="es-EC"/>
        </w:rPr>
        <w:t xml:space="preserve">  </w:t>
      </w:r>
      <w:r>
        <w:rPr>
          <w:rFonts w:ascii="Times New Roman" w:hAnsi="Times New Roman" w:cs="Times New Roman"/>
          <w:sz w:val="20"/>
          <w:szCs w:val="20"/>
          <w:lang w:eastAsia="es-EC"/>
        </w:rPr>
        <w:t>Habiendo conocido:</w:t>
      </w:r>
    </w:p>
    <w:p w:rsidR="00D52CB4" w:rsidRDefault="00D52CB4" w:rsidP="00571231">
      <w:pPr>
        <w:spacing w:after="0" w:line="240" w:lineRule="auto"/>
        <w:ind w:left="1077"/>
        <w:jc w:val="both"/>
        <w:rPr>
          <w:rFonts w:ascii="Times New Roman" w:hAnsi="Times New Roman" w:cs="Times New Roman"/>
          <w:sz w:val="16"/>
          <w:szCs w:val="16"/>
          <w:lang w:eastAsia="es-EC"/>
        </w:rPr>
      </w:pPr>
    </w:p>
    <w:p w:rsidR="00D52CB4" w:rsidRDefault="00D52CB4" w:rsidP="004C5D37">
      <w:pPr>
        <w:spacing w:after="0" w:line="240" w:lineRule="auto"/>
        <w:ind w:left="1170"/>
        <w:jc w:val="both"/>
        <w:rPr>
          <w:rFonts w:ascii="Times New Roman" w:hAnsi="Times New Roman" w:cs="Times New Roman"/>
          <w:sz w:val="20"/>
          <w:szCs w:val="20"/>
          <w:lang w:eastAsia="es-EC"/>
        </w:rPr>
      </w:pPr>
      <w:r>
        <w:rPr>
          <w:rFonts w:ascii="Times New Roman" w:hAnsi="Times New Roman" w:cs="Times New Roman"/>
          <w:sz w:val="20"/>
          <w:szCs w:val="20"/>
          <w:lang w:eastAsia="es-EC"/>
        </w:rPr>
        <w:t xml:space="preserve">-- la petición hecha al Presidente Constitucional de </w:t>
      </w:r>
      <w:smartTag w:uri="urn:schemas-microsoft-com:office:smarttags" w:element="PersonName">
        <w:smartTagPr>
          <w:attr w:name="ProductID" w:val="la República Econ."/>
        </w:smartTagPr>
        <w:r>
          <w:rPr>
            <w:rFonts w:ascii="Times New Roman" w:hAnsi="Times New Roman" w:cs="Times New Roman"/>
            <w:sz w:val="20"/>
            <w:szCs w:val="20"/>
            <w:lang w:eastAsia="es-EC"/>
          </w:rPr>
          <w:t>la República Econ.</w:t>
        </w:r>
      </w:smartTag>
      <w:r>
        <w:rPr>
          <w:rFonts w:ascii="Times New Roman" w:hAnsi="Times New Roman" w:cs="Times New Roman"/>
          <w:sz w:val="20"/>
          <w:szCs w:val="20"/>
          <w:lang w:eastAsia="es-EC"/>
        </w:rPr>
        <w:t xml:space="preserve"> Rafael Correa por el Rector de </w:t>
      </w:r>
      <w:smartTag w:uri="urn:schemas-microsoft-com:office:smarttags" w:element="PersonName">
        <w:smartTagPr>
          <w:attr w:name="ProductID" w:val="la ESCUELA POLITÉCNICA"/>
        </w:smartTagPr>
        <w:r>
          <w:rPr>
            <w:rFonts w:ascii="Times New Roman" w:hAnsi="Times New Roman" w:cs="Times New Roman"/>
            <w:sz w:val="20"/>
            <w:szCs w:val="20"/>
            <w:lang w:eastAsia="es-EC"/>
          </w:rPr>
          <w:t>la ESCUELA POLITÉCNICA</w:t>
        </w:r>
      </w:smartTag>
      <w:r>
        <w:rPr>
          <w:rFonts w:ascii="Times New Roman" w:hAnsi="Times New Roman" w:cs="Times New Roman"/>
          <w:sz w:val="20"/>
          <w:szCs w:val="20"/>
          <w:lang w:eastAsia="es-EC"/>
        </w:rPr>
        <w:t xml:space="preserve"> NACIONAL  Ing. Alfonso Espinoza R. con su oficio No. R-1031-11 de diciembre 9 de 2011 - indicándole que dado lo establecido en las DISPOSICIONES DEROGATORIAS SEXTA y DÉCIMA  de la ‘Ley Orgánica de Educación Intercultural’ (R.O. # 417/marzo 31 de 2011), y al no haberse establecido normativa alguna  respecto “…</w:t>
      </w:r>
      <w:r>
        <w:rPr>
          <w:rFonts w:ascii="Times New Roman" w:hAnsi="Times New Roman" w:cs="Times New Roman"/>
          <w:i/>
          <w:sz w:val="18"/>
          <w:szCs w:val="18"/>
          <w:lang w:eastAsia="es-EC"/>
        </w:rPr>
        <w:t>al derecho que tienen los profesores de universidades  y establecimientos de educación superior oficiales, quienes de conformidad con el mencionado Decreto Supremo (…) han aportado de manera personal con el 5% de su remuneración para obtener esta jubilación; y, el Estado con otro 5%, para cubrir la misma</w:t>
      </w:r>
      <w:r>
        <w:rPr>
          <w:rFonts w:ascii="Times New Roman" w:hAnsi="Times New Roman" w:cs="Times New Roman"/>
          <w:i/>
          <w:sz w:val="20"/>
          <w:szCs w:val="20"/>
          <w:lang w:eastAsia="es-EC"/>
        </w:rPr>
        <w:t xml:space="preserve">…” -, </w:t>
      </w:r>
      <w:r>
        <w:rPr>
          <w:rFonts w:ascii="Times New Roman" w:hAnsi="Times New Roman" w:cs="Times New Roman"/>
          <w:sz w:val="20"/>
          <w:szCs w:val="20"/>
          <w:lang w:eastAsia="es-EC"/>
        </w:rPr>
        <w:t xml:space="preserve">le pide se regule el régimen de transición de aquella ley,  para que se norme el pago de la jubilación indicada en el D.S. # 719 publicado en el R.O. # 240 de mayo 5 de </w:t>
      </w:r>
      <w:smartTag w:uri="urn:schemas-microsoft-com:office:smarttags" w:element="metricconverter">
        <w:smartTagPr>
          <w:attr w:name="ProductID" w:val="1964, a"/>
        </w:smartTagPr>
        <w:r>
          <w:rPr>
            <w:rFonts w:ascii="Times New Roman" w:hAnsi="Times New Roman" w:cs="Times New Roman"/>
            <w:sz w:val="20"/>
            <w:szCs w:val="20"/>
            <w:lang w:eastAsia="es-EC"/>
          </w:rPr>
          <w:t>1964, a</w:t>
        </w:r>
      </w:smartTag>
      <w:r>
        <w:rPr>
          <w:rFonts w:ascii="Times New Roman" w:hAnsi="Times New Roman" w:cs="Times New Roman"/>
          <w:sz w:val="20"/>
          <w:szCs w:val="20"/>
          <w:lang w:eastAsia="es-EC"/>
        </w:rPr>
        <w:t xml:space="preserve"> cuyo efecto menciona los antecedentes legales y determina los casos correspondientes; </w:t>
      </w:r>
    </w:p>
    <w:p w:rsidR="00D52CB4" w:rsidRDefault="00D52CB4" w:rsidP="004C5D37">
      <w:pPr>
        <w:spacing w:after="0" w:line="240" w:lineRule="auto"/>
        <w:ind w:left="1170"/>
        <w:jc w:val="both"/>
        <w:rPr>
          <w:rFonts w:ascii="Times New Roman" w:hAnsi="Times New Roman" w:cs="Times New Roman"/>
          <w:sz w:val="20"/>
          <w:szCs w:val="20"/>
          <w:lang w:eastAsia="es-EC"/>
        </w:rPr>
      </w:pPr>
    </w:p>
    <w:p w:rsidR="00D52CB4" w:rsidRDefault="00D52CB4" w:rsidP="004C5D37">
      <w:pPr>
        <w:spacing w:after="0" w:line="240" w:lineRule="auto"/>
        <w:ind w:left="1170"/>
        <w:jc w:val="both"/>
        <w:rPr>
          <w:rFonts w:ascii="Times New Roman" w:hAnsi="Times New Roman" w:cs="Times New Roman"/>
          <w:sz w:val="20"/>
          <w:szCs w:val="20"/>
          <w:lang w:eastAsia="es-EC"/>
        </w:rPr>
      </w:pPr>
      <w:r>
        <w:rPr>
          <w:rFonts w:ascii="Times New Roman" w:hAnsi="Times New Roman" w:cs="Times New Roman"/>
          <w:sz w:val="20"/>
          <w:szCs w:val="20"/>
          <w:lang w:eastAsia="es-EC"/>
        </w:rPr>
        <w:t>--  y que, respecto de ese pedido, el Asesor Jurídico  Dr. Eithel Terán presenta su INFORME al Rector Dr. Moisés Tacle en su oficio As.Ju.-303 de diciembre 15 de 2011; quien, señalando las correspondientes normas que cita, y expresando su criterio en las letras a), b) y c) del Nº 4 del mismo, concluye que “…</w:t>
      </w:r>
      <w:r>
        <w:rPr>
          <w:rFonts w:ascii="Times New Roman" w:hAnsi="Times New Roman" w:cs="Times New Roman"/>
          <w:i/>
          <w:sz w:val="18"/>
          <w:szCs w:val="18"/>
          <w:lang w:eastAsia="es-EC"/>
        </w:rPr>
        <w:t>se debería obtener la expedición de una ley aclaratoria a las mencionadas disposiciones derogatorias de la Ley Orgánica de Educación Intercultural, en que se contemplen los casos de los profesores universitarios y de las escuelas politécnicas contenidos en los literales a), b) y c) del numeral 4 precedente</w:t>
      </w:r>
      <w:r>
        <w:rPr>
          <w:rFonts w:ascii="Times New Roman" w:hAnsi="Times New Roman" w:cs="Times New Roman"/>
          <w:sz w:val="20"/>
          <w:szCs w:val="20"/>
          <w:lang w:eastAsia="es-EC"/>
        </w:rPr>
        <w:t>”, detallados en tales ‘ítems’; y,</w:t>
      </w:r>
    </w:p>
    <w:p w:rsidR="00D52CB4" w:rsidRDefault="00D52CB4" w:rsidP="004C5D37">
      <w:pPr>
        <w:spacing w:after="0" w:line="240" w:lineRule="auto"/>
        <w:ind w:left="1170"/>
        <w:jc w:val="both"/>
        <w:rPr>
          <w:rFonts w:ascii="Times New Roman" w:hAnsi="Times New Roman" w:cs="Times New Roman"/>
          <w:sz w:val="20"/>
          <w:szCs w:val="20"/>
          <w:lang w:eastAsia="es-EC"/>
        </w:rPr>
      </w:pPr>
    </w:p>
    <w:p w:rsidR="00D52CB4" w:rsidRDefault="00D52CB4" w:rsidP="004C5D37">
      <w:pPr>
        <w:spacing w:after="0" w:line="240" w:lineRule="auto"/>
        <w:ind w:left="1170" w:hanging="1170"/>
        <w:jc w:val="both"/>
        <w:rPr>
          <w:rFonts w:ascii="Times New Roman" w:hAnsi="Times New Roman" w:cs="Times New Roman"/>
          <w:sz w:val="20"/>
          <w:szCs w:val="20"/>
          <w:lang w:eastAsia="es-EC"/>
        </w:rPr>
      </w:pPr>
      <w:r>
        <w:rPr>
          <w:rFonts w:ascii="Times New Roman" w:hAnsi="Times New Roman" w:cs="Times New Roman"/>
          <w:sz w:val="20"/>
          <w:szCs w:val="20"/>
          <w:lang w:eastAsia="es-EC"/>
        </w:rPr>
        <w:t xml:space="preserve">                        Habiendo analizado ambos documentos, y acogiendo lo solicitado por el Rector Dr. Moisés Tacle, el CONSEJO POLITÉCNICO RESUELVE AUTORIZAR al Rector Dr. Moisés Tacle Galárraga para que </w:t>
      </w:r>
      <w:r>
        <w:rPr>
          <w:rFonts w:ascii="Times New Roman" w:hAnsi="Times New Roman" w:cs="Times New Roman"/>
          <w:i/>
          <w:sz w:val="20"/>
          <w:szCs w:val="20"/>
          <w:lang w:eastAsia="es-EC"/>
        </w:rPr>
        <w:t>haga llegar al Presidente de la República, a los funcionarios de SENESCYT, a los miembros del Consejo de Educación Superior y al resto de los Rectores,  el apoyo de ESPOL a la iniciativa planteada por el Rector de la Politécnica Nacional</w:t>
      </w:r>
      <w:r>
        <w:rPr>
          <w:rFonts w:ascii="Times New Roman" w:hAnsi="Times New Roman" w:cs="Times New Roman"/>
          <w:sz w:val="20"/>
          <w:szCs w:val="20"/>
          <w:lang w:eastAsia="es-EC"/>
        </w:rPr>
        <w:t xml:space="preserve"> y, además, el informe del Asesor Jurídico Dr. Eithel Terán constante en su oficio As.Ju.-303 de diciembre 15 de 2011, </w:t>
      </w:r>
      <w:r>
        <w:rPr>
          <w:rFonts w:ascii="Times New Roman" w:hAnsi="Times New Roman" w:cs="Times New Roman"/>
          <w:i/>
          <w:sz w:val="20"/>
          <w:szCs w:val="20"/>
          <w:lang w:eastAsia="es-EC"/>
        </w:rPr>
        <w:t>con  las aclaraciones y puntualizaciones señaladas en la presente sesión referentes a precisar el caso que requiere modificación de la ‘Ley Orgánica de Educación Intercultural</w:t>
      </w:r>
      <w:r>
        <w:rPr>
          <w:rFonts w:ascii="Times New Roman" w:hAnsi="Times New Roman" w:cs="Times New Roman"/>
          <w:sz w:val="20"/>
          <w:szCs w:val="20"/>
          <w:lang w:eastAsia="es-EC"/>
        </w:rPr>
        <w:t xml:space="preserve">’  </w:t>
      </w:r>
    </w:p>
    <w:p w:rsidR="00D52CB4" w:rsidRDefault="00D52CB4" w:rsidP="00120672">
      <w:pPr>
        <w:pStyle w:val="NoSpacing"/>
        <w:ind w:left="1080" w:hanging="1080"/>
        <w:jc w:val="both"/>
        <w:rPr>
          <w:b/>
          <w:sz w:val="20"/>
          <w:szCs w:val="20"/>
          <w:u w:val="single"/>
          <w:lang w:eastAsia="es-EC"/>
        </w:rPr>
      </w:pPr>
    </w:p>
    <w:p w:rsidR="00D52CB4" w:rsidRPr="00941DA7" w:rsidRDefault="00D52CB4" w:rsidP="00B82473">
      <w:pPr>
        <w:spacing w:after="0" w:line="240" w:lineRule="auto"/>
        <w:ind w:left="1170" w:hanging="1170"/>
        <w:jc w:val="both"/>
        <w:rPr>
          <w:rFonts w:ascii="Times New Roman" w:hAnsi="Times New Roman" w:cs="Times New Roman"/>
          <w:sz w:val="18"/>
          <w:szCs w:val="18"/>
        </w:rPr>
      </w:pPr>
      <w:r w:rsidRPr="004C5D37">
        <w:rPr>
          <w:rFonts w:ascii="Times New Roman" w:hAnsi="Times New Roman" w:cs="Times New Roman"/>
          <w:b/>
          <w:u w:val="single"/>
          <w:lang w:eastAsia="es-EC"/>
        </w:rPr>
        <w:t>11-12-433</w:t>
      </w:r>
      <w:r w:rsidRPr="004C5D37">
        <w:rPr>
          <w:rFonts w:ascii="Times New Roman" w:hAnsi="Times New Roman" w:cs="Times New Roman"/>
          <w:b/>
          <w:lang w:eastAsia="es-EC"/>
        </w:rPr>
        <w:t>.-</w:t>
      </w:r>
      <w:r>
        <w:rPr>
          <w:b/>
          <w:sz w:val="20"/>
          <w:szCs w:val="20"/>
          <w:lang w:eastAsia="es-EC"/>
        </w:rPr>
        <w:t xml:space="preserve"> </w:t>
      </w:r>
      <w:r w:rsidRPr="00941DA7">
        <w:rPr>
          <w:rFonts w:ascii="Times New Roman" w:hAnsi="Times New Roman" w:cs="Times New Roman"/>
          <w:bCs/>
          <w:lang w:val="es-ES"/>
        </w:rPr>
        <w:t xml:space="preserve">Al haber CESADO estatutariamente el </w:t>
      </w:r>
      <w:r w:rsidRPr="00941DA7">
        <w:rPr>
          <w:rFonts w:ascii="Times New Roman" w:hAnsi="Times New Roman" w:cs="Times New Roman"/>
          <w:b/>
          <w:bCs/>
          <w:lang w:val="es-ES"/>
        </w:rPr>
        <w:t xml:space="preserve">Ing. RICARDO GALLEGOS ORTA </w:t>
      </w:r>
      <w:r w:rsidRPr="00941DA7">
        <w:rPr>
          <w:rFonts w:ascii="Times New Roman" w:hAnsi="Times New Roman" w:cs="Times New Roman"/>
          <w:bCs/>
          <w:lang w:val="es-ES"/>
        </w:rPr>
        <w:t>y el</w:t>
      </w:r>
      <w:r w:rsidRPr="00941DA7">
        <w:rPr>
          <w:rFonts w:ascii="Times New Roman" w:hAnsi="Times New Roman" w:cs="Times New Roman"/>
          <w:b/>
          <w:bCs/>
          <w:lang w:val="es-ES"/>
        </w:rPr>
        <w:t xml:space="preserve"> Ing. GASTÓN PROAÑO CADENA</w:t>
      </w:r>
      <w:r w:rsidRPr="00941DA7">
        <w:rPr>
          <w:rFonts w:ascii="Times New Roman" w:hAnsi="Times New Roman" w:cs="Times New Roman"/>
          <w:bCs/>
          <w:lang w:val="es-ES"/>
        </w:rPr>
        <w:t xml:space="preserve"> en sus respectivas funciones de </w:t>
      </w:r>
      <w:r w:rsidRPr="00941DA7">
        <w:rPr>
          <w:rFonts w:ascii="Times New Roman" w:hAnsi="Times New Roman" w:cs="Times New Roman"/>
          <w:b/>
          <w:bCs/>
          <w:lang w:val="es-ES"/>
        </w:rPr>
        <w:t xml:space="preserve">DECANO </w:t>
      </w:r>
      <w:r w:rsidRPr="00941DA7">
        <w:rPr>
          <w:rFonts w:ascii="Times New Roman" w:hAnsi="Times New Roman" w:cs="Times New Roman"/>
          <w:bCs/>
          <w:lang w:val="es-ES"/>
        </w:rPr>
        <w:t>y</w:t>
      </w:r>
      <w:r w:rsidRPr="00941DA7">
        <w:rPr>
          <w:rFonts w:ascii="Times New Roman" w:hAnsi="Times New Roman" w:cs="Times New Roman"/>
          <w:b/>
          <w:bCs/>
          <w:lang w:val="es-ES"/>
        </w:rPr>
        <w:t xml:space="preserve"> SUBDECANO</w:t>
      </w:r>
      <w:r w:rsidRPr="00941DA7">
        <w:rPr>
          <w:rFonts w:ascii="Times New Roman" w:hAnsi="Times New Roman" w:cs="Times New Roman"/>
          <w:bCs/>
          <w:lang w:val="es-ES"/>
        </w:rPr>
        <w:t xml:space="preserve"> de </w:t>
      </w:r>
      <w:smartTag w:uri="urn:schemas-microsoft-com:office:smarttags" w:element="PersonName">
        <w:smartTagPr>
          <w:attr w:name="ProductID" w:val="la Facultad"/>
        </w:smartTagPr>
        <w:r w:rsidRPr="00941DA7">
          <w:rPr>
            <w:rFonts w:ascii="Times New Roman" w:hAnsi="Times New Roman" w:cs="Times New Roman"/>
            <w:bCs/>
            <w:lang w:val="es-ES"/>
          </w:rPr>
          <w:t xml:space="preserve">la </w:t>
        </w:r>
        <w:r w:rsidRPr="00941DA7">
          <w:rPr>
            <w:rFonts w:ascii="Times New Roman" w:hAnsi="Times New Roman" w:cs="Times New Roman"/>
            <w:b/>
            <w:bCs/>
            <w:lang w:val="es-ES"/>
          </w:rPr>
          <w:t>Facultad</w:t>
        </w:r>
      </w:smartTag>
      <w:r w:rsidRPr="00941DA7">
        <w:rPr>
          <w:rFonts w:ascii="Times New Roman" w:hAnsi="Times New Roman" w:cs="Times New Roman"/>
          <w:b/>
          <w:bCs/>
          <w:lang w:val="es-ES"/>
        </w:rPr>
        <w:t xml:space="preserve"> de Ingeniería en Ciencias de </w:t>
      </w:r>
      <w:smartTag w:uri="urn:schemas-microsoft-com:office:smarttags" w:element="PersonName">
        <w:smartTagPr>
          <w:attr w:name="ProductID" w:val="la Tierra"/>
        </w:smartTagPr>
        <w:r w:rsidRPr="00941DA7">
          <w:rPr>
            <w:rFonts w:ascii="Times New Roman" w:hAnsi="Times New Roman" w:cs="Times New Roman"/>
            <w:b/>
            <w:bCs/>
            <w:lang w:val="es-ES"/>
          </w:rPr>
          <w:t>la Tierra</w:t>
        </w:r>
      </w:smartTag>
      <w:r w:rsidRPr="00941DA7">
        <w:rPr>
          <w:rFonts w:ascii="Times New Roman" w:hAnsi="Times New Roman" w:cs="Times New Roman"/>
          <w:bCs/>
          <w:lang w:val="es-ES"/>
        </w:rPr>
        <w:t xml:space="preserve">, el </w:t>
      </w:r>
      <w:r w:rsidRPr="00941DA7">
        <w:rPr>
          <w:rFonts w:ascii="Times New Roman" w:hAnsi="Times New Roman" w:cs="Times New Roman"/>
          <w:b/>
          <w:bCs/>
          <w:lang w:val="es-ES"/>
        </w:rPr>
        <w:t>CONSEJO POLITÉCNICO RESUELVE</w:t>
      </w:r>
      <w:r w:rsidRPr="00941DA7">
        <w:rPr>
          <w:rFonts w:ascii="Times New Roman" w:hAnsi="Times New Roman" w:cs="Times New Roman"/>
          <w:bCs/>
          <w:lang w:val="es-ES"/>
        </w:rPr>
        <w:t xml:space="preserve"> brindar a cada uno un </w:t>
      </w:r>
      <w:r w:rsidRPr="00941DA7">
        <w:rPr>
          <w:rFonts w:ascii="Times New Roman" w:hAnsi="Times New Roman" w:cs="Times New Roman"/>
          <w:b/>
          <w:bCs/>
          <w:lang w:val="es-ES"/>
        </w:rPr>
        <w:t>VOTO DE APLAUSO</w:t>
      </w:r>
      <w:r w:rsidRPr="00941DA7">
        <w:rPr>
          <w:rFonts w:ascii="Times New Roman" w:hAnsi="Times New Roman" w:cs="Times New Roman"/>
          <w:bCs/>
          <w:lang w:val="es-ES"/>
        </w:rPr>
        <w:t>, agradeciéndoles por el trabajo desarrollado en este organismo y especialmente por sus participaciones activas en sus decisiones.</w:t>
      </w:r>
    </w:p>
    <w:p w:rsidR="00D52CB4" w:rsidRDefault="00D52CB4" w:rsidP="00B82473">
      <w:pPr>
        <w:pStyle w:val="NoSpacing"/>
        <w:ind w:left="1170" w:hanging="1170"/>
        <w:jc w:val="both"/>
        <w:rPr>
          <w:b/>
          <w:sz w:val="20"/>
          <w:szCs w:val="20"/>
          <w:lang w:eastAsia="es-EC"/>
        </w:rPr>
      </w:pPr>
    </w:p>
    <w:p w:rsidR="00D52CB4" w:rsidRDefault="00D52CB4" w:rsidP="00B82473">
      <w:pPr>
        <w:pStyle w:val="Sinespaciado1"/>
        <w:ind w:left="1080" w:hanging="1170"/>
        <w:jc w:val="both"/>
        <w:rPr>
          <w:sz w:val="20"/>
          <w:szCs w:val="20"/>
        </w:rPr>
      </w:pPr>
      <w:r w:rsidRPr="00B82473">
        <w:rPr>
          <w:b/>
          <w:sz w:val="22"/>
          <w:szCs w:val="22"/>
          <w:lang w:eastAsia="es-EC"/>
        </w:rPr>
        <w:t xml:space="preserve"> </w:t>
      </w:r>
      <w:r w:rsidRPr="004C5D37">
        <w:rPr>
          <w:b/>
          <w:sz w:val="22"/>
          <w:szCs w:val="22"/>
          <w:u w:val="single"/>
          <w:lang w:eastAsia="es-EC"/>
        </w:rPr>
        <w:t>11-12-434</w:t>
      </w:r>
      <w:r w:rsidRPr="004C5D37">
        <w:rPr>
          <w:b/>
          <w:sz w:val="22"/>
          <w:szCs w:val="22"/>
          <w:lang w:eastAsia="es-EC"/>
        </w:rPr>
        <w:t>.-</w:t>
      </w:r>
      <w:r>
        <w:rPr>
          <w:b/>
          <w:sz w:val="20"/>
          <w:szCs w:val="20"/>
          <w:lang w:eastAsia="es-EC"/>
        </w:rPr>
        <w:t xml:space="preserve"> </w:t>
      </w:r>
      <w:r>
        <w:rPr>
          <w:sz w:val="20"/>
          <w:szCs w:val="20"/>
          <w:lang w:eastAsia="es-EC"/>
        </w:rPr>
        <w:t xml:space="preserve">Se toma </w:t>
      </w:r>
      <w:r>
        <w:rPr>
          <w:sz w:val="20"/>
          <w:szCs w:val="20"/>
        </w:rPr>
        <w:t>conocimiento del documento</w:t>
      </w:r>
      <w:r>
        <w:rPr>
          <w:b/>
          <w:i/>
          <w:sz w:val="20"/>
          <w:szCs w:val="20"/>
        </w:rPr>
        <w:t xml:space="preserve"> “Lineamientos para la Prestación de Servicios de ESPOL-TECH E.P.</w:t>
      </w:r>
      <w:r>
        <w:rPr>
          <w:b/>
          <w:sz w:val="20"/>
          <w:szCs w:val="20"/>
        </w:rPr>
        <w:t xml:space="preserve">” </w:t>
      </w:r>
      <w:r>
        <w:rPr>
          <w:sz w:val="20"/>
          <w:szCs w:val="20"/>
        </w:rPr>
        <w:t>y su anexo</w:t>
      </w:r>
      <w:r>
        <w:rPr>
          <w:b/>
          <w:sz w:val="20"/>
          <w:szCs w:val="20"/>
        </w:rPr>
        <w:t xml:space="preserve"> ‘</w:t>
      </w:r>
      <w:r>
        <w:rPr>
          <w:b/>
          <w:i/>
          <w:sz w:val="16"/>
          <w:szCs w:val="16"/>
        </w:rPr>
        <w:t>PRESUPUESTO INTERNO PARA LA EJECUCIÓN DE PROYECTOS DE PRESTACIÓN DE SERVICIOS EN USD</w:t>
      </w:r>
      <w:r>
        <w:rPr>
          <w:rFonts w:ascii="Calibri" w:hAnsi="Calibri"/>
          <w:b/>
          <w:i/>
          <w:sz w:val="16"/>
          <w:szCs w:val="16"/>
        </w:rPr>
        <w:t xml:space="preserve">’ </w:t>
      </w:r>
      <w:r>
        <w:rPr>
          <w:sz w:val="20"/>
          <w:szCs w:val="20"/>
        </w:rPr>
        <w:t xml:space="preserve"> enviados por el Gerente General de la Empresa Pública de Servicios ESPOL-TECH Econ. Julián Menéndez P. al Rector Moisés Tacle mediante su oficio ESPOL-TECH E.P.0033-2011 de diciembre 19 de 2011 y, habiéndolo analizado, y efectuado modificaciones en el transcurso de la presente sesión, el Consejo Politécnico </w:t>
      </w:r>
      <w:r>
        <w:rPr>
          <w:b/>
          <w:sz w:val="20"/>
          <w:szCs w:val="20"/>
        </w:rPr>
        <w:t>RESUELVE</w:t>
      </w:r>
      <w:r>
        <w:rPr>
          <w:sz w:val="20"/>
          <w:szCs w:val="20"/>
        </w:rPr>
        <w:t>:</w:t>
      </w:r>
    </w:p>
    <w:p w:rsidR="00D52CB4" w:rsidRDefault="00D52CB4" w:rsidP="00B82473">
      <w:pPr>
        <w:pStyle w:val="Sinespaciado1"/>
        <w:ind w:left="1080" w:hanging="1170"/>
        <w:jc w:val="both"/>
        <w:rPr>
          <w:sz w:val="20"/>
          <w:szCs w:val="20"/>
        </w:rPr>
      </w:pPr>
      <w:r>
        <w:rPr>
          <w:b/>
          <w:sz w:val="20"/>
          <w:szCs w:val="20"/>
          <w:lang w:eastAsia="es-EC"/>
        </w:rPr>
        <w:t xml:space="preserve">                 </w:t>
      </w:r>
      <w:r>
        <w:rPr>
          <w:sz w:val="20"/>
          <w:szCs w:val="20"/>
        </w:rPr>
        <w:t xml:space="preserve">        </w:t>
      </w:r>
    </w:p>
    <w:p w:rsidR="00D52CB4" w:rsidRDefault="00D52CB4" w:rsidP="00B82473">
      <w:pPr>
        <w:pStyle w:val="Sinespaciado1"/>
        <w:numPr>
          <w:ilvl w:val="0"/>
          <w:numId w:val="2"/>
        </w:numPr>
        <w:ind w:left="1350" w:hanging="315"/>
        <w:jc w:val="both"/>
        <w:rPr>
          <w:sz w:val="20"/>
          <w:szCs w:val="20"/>
        </w:rPr>
      </w:pPr>
      <w:r>
        <w:rPr>
          <w:sz w:val="20"/>
          <w:szCs w:val="20"/>
          <w:lang w:eastAsia="es-EC"/>
        </w:rPr>
        <w:t>A</w:t>
      </w:r>
      <w:r>
        <w:rPr>
          <w:sz w:val="20"/>
          <w:szCs w:val="20"/>
        </w:rPr>
        <w:t xml:space="preserve">coger y </w:t>
      </w:r>
      <w:r>
        <w:rPr>
          <w:b/>
          <w:sz w:val="20"/>
          <w:szCs w:val="20"/>
        </w:rPr>
        <w:t>APROBAR</w:t>
      </w:r>
      <w:r>
        <w:rPr>
          <w:sz w:val="20"/>
          <w:szCs w:val="20"/>
        </w:rPr>
        <w:t xml:space="preserve"> el documento</w:t>
      </w:r>
      <w:r>
        <w:rPr>
          <w:b/>
          <w:i/>
          <w:sz w:val="20"/>
          <w:szCs w:val="20"/>
        </w:rPr>
        <w:t xml:space="preserve"> “Lineamientos para la Prestación de Servicios de ESPOL-TECH E.P.</w:t>
      </w:r>
      <w:r>
        <w:rPr>
          <w:b/>
          <w:sz w:val="20"/>
          <w:szCs w:val="20"/>
        </w:rPr>
        <w:t xml:space="preserve">” </w:t>
      </w:r>
      <w:r>
        <w:rPr>
          <w:sz w:val="20"/>
          <w:szCs w:val="20"/>
        </w:rPr>
        <w:t>y su anexo</w:t>
      </w:r>
      <w:r>
        <w:rPr>
          <w:b/>
          <w:sz w:val="20"/>
          <w:szCs w:val="20"/>
        </w:rPr>
        <w:t xml:space="preserve"> ‘</w:t>
      </w:r>
      <w:r>
        <w:rPr>
          <w:b/>
          <w:i/>
          <w:sz w:val="16"/>
          <w:szCs w:val="16"/>
        </w:rPr>
        <w:t>PRESUPUESTO INTERNO PARA LA EJECUCIÓN DE PROYECTOS DE PRESTACIÓN DE SERVICIOS EN USD</w:t>
      </w:r>
      <w:r>
        <w:rPr>
          <w:rFonts w:ascii="Calibri" w:hAnsi="Calibri"/>
          <w:b/>
          <w:i/>
          <w:sz w:val="16"/>
          <w:szCs w:val="16"/>
        </w:rPr>
        <w:t xml:space="preserve">’, </w:t>
      </w:r>
      <w:r>
        <w:rPr>
          <w:sz w:val="20"/>
          <w:szCs w:val="20"/>
        </w:rPr>
        <w:t>con las modificaciones introducidas, conforme el siguiente texto:</w:t>
      </w:r>
    </w:p>
    <w:p w:rsidR="00D52CB4" w:rsidRDefault="00D52CB4" w:rsidP="00235D3B">
      <w:pPr>
        <w:pStyle w:val="Sinespaciado1"/>
        <w:ind w:left="1710"/>
        <w:jc w:val="both"/>
        <w:rPr>
          <w:sz w:val="20"/>
          <w:szCs w:val="20"/>
        </w:rPr>
      </w:pPr>
    </w:p>
    <w:p w:rsidR="00D52CB4" w:rsidRDefault="00D52CB4" w:rsidP="00235D3B">
      <w:pPr>
        <w:pStyle w:val="Sinespaciado1"/>
        <w:ind w:left="1710"/>
        <w:jc w:val="both"/>
        <w:rPr>
          <w:sz w:val="20"/>
          <w:szCs w:val="20"/>
        </w:rPr>
      </w:pPr>
    </w:p>
    <w:p w:rsidR="00D52CB4" w:rsidRDefault="00D52CB4" w:rsidP="000C2263">
      <w:pPr>
        <w:pStyle w:val="Sinespaciado1"/>
        <w:ind w:left="1710" w:hanging="1710"/>
        <w:jc w:val="both"/>
        <w:rPr>
          <w:sz w:val="20"/>
          <w:szCs w:val="20"/>
        </w:rPr>
      </w:pPr>
      <w:r>
        <w:rPr>
          <w:sz w:val="20"/>
          <w:szCs w:val="20"/>
        </w:rPr>
        <w:t>Resoluciones C.P. 20 diciembre/11                                                                                                              2.</w:t>
      </w:r>
    </w:p>
    <w:p w:rsidR="00D52CB4" w:rsidRDefault="00D52CB4" w:rsidP="00571231">
      <w:pPr>
        <w:pStyle w:val="Sinespaciado1"/>
        <w:ind w:left="1080" w:hanging="1080"/>
        <w:jc w:val="both"/>
        <w:rPr>
          <w:sz w:val="16"/>
          <w:szCs w:val="16"/>
        </w:rPr>
      </w:pPr>
    </w:p>
    <w:p w:rsidR="00D52CB4" w:rsidRDefault="00D52CB4" w:rsidP="00571231">
      <w:pPr>
        <w:pStyle w:val="Sinespaciado1"/>
        <w:ind w:left="1080" w:hanging="1080"/>
        <w:jc w:val="both"/>
        <w:rPr>
          <w:sz w:val="16"/>
          <w:szCs w:val="16"/>
        </w:rPr>
      </w:pPr>
    </w:p>
    <w:p w:rsidR="00D52CB4" w:rsidRDefault="00D52CB4" w:rsidP="00571231">
      <w:pPr>
        <w:pStyle w:val="Sinespaciado1"/>
        <w:spacing w:line="160" w:lineRule="exact"/>
        <w:ind w:left="1350" w:right="270"/>
        <w:jc w:val="center"/>
        <w:rPr>
          <w:rFonts w:ascii="Calibri" w:hAnsi="Calibri"/>
          <w:sz w:val="16"/>
          <w:szCs w:val="16"/>
        </w:rPr>
      </w:pPr>
      <w:r>
        <w:rPr>
          <w:rFonts w:ascii="Calibri" w:hAnsi="Calibri"/>
          <w:b/>
          <w:sz w:val="16"/>
          <w:szCs w:val="16"/>
        </w:rPr>
        <w:t xml:space="preserve">“LINEAMIENTOS PARA </w:t>
      </w:r>
      <w:smartTag w:uri="urn:schemas-microsoft-com:office:smarttags" w:element="PersonName">
        <w:smartTagPr>
          <w:attr w:name="ProductID" w:val="LA PRESTACIￓN DE"/>
        </w:smartTagPr>
        <w:r>
          <w:rPr>
            <w:rFonts w:ascii="Calibri" w:hAnsi="Calibri"/>
            <w:b/>
            <w:sz w:val="16"/>
            <w:szCs w:val="16"/>
          </w:rPr>
          <w:t>LA PRESTACIÓN DE</w:t>
        </w:r>
      </w:smartTag>
      <w:r>
        <w:rPr>
          <w:rFonts w:ascii="Calibri" w:hAnsi="Calibri"/>
          <w:b/>
          <w:sz w:val="16"/>
          <w:szCs w:val="16"/>
        </w:rPr>
        <w:t xml:space="preserve"> SERVICIOS DE ESPOL-TECH E.P. </w:t>
      </w:r>
      <w:r>
        <w:rPr>
          <w:rFonts w:ascii="Calibri" w:hAnsi="Calibri"/>
          <w:sz w:val="16"/>
          <w:szCs w:val="16"/>
        </w:rPr>
        <w:t>(2108)</w:t>
      </w:r>
    </w:p>
    <w:p w:rsidR="00D52CB4" w:rsidRDefault="00D52CB4" w:rsidP="00571231">
      <w:pPr>
        <w:pStyle w:val="Sinespaciado1"/>
        <w:spacing w:line="160" w:lineRule="exact"/>
        <w:ind w:left="1350" w:right="270"/>
        <w:jc w:val="center"/>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1</w:t>
      </w:r>
      <w:r>
        <w:rPr>
          <w:rFonts w:ascii="Calibri" w:hAnsi="Calibri"/>
          <w:sz w:val="16"/>
          <w:szCs w:val="16"/>
        </w:rPr>
        <w:t xml:space="preserve">.- La prestación de servicios requeridos a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que se ejecuten a través de ESPOL-TECH o se soliciten directamente a ESPOL-TECH E.P. por el sector privado,  público o por la sociedad civil, es la realización de: </w:t>
      </w:r>
    </w:p>
    <w:p w:rsidR="00D52CB4" w:rsidRDefault="00D52CB4" w:rsidP="00571231">
      <w:pPr>
        <w:pStyle w:val="Sinespaciado1"/>
        <w:spacing w:line="160" w:lineRule="exact"/>
        <w:ind w:left="1620" w:right="272" w:hanging="270"/>
        <w:jc w:val="both"/>
        <w:rPr>
          <w:rFonts w:ascii="Calibri" w:hAnsi="Calibri"/>
          <w:sz w:val="16"/>
          <w:szCs w:val="16"/>
        </w:rPr>
      </w:pPr>
      <w:r>
        <w:rPr>
          <w:rFonts w:ascii="Calibri" w:hAnsi="Calibri"/>
          <w:b/>
          <w:sz w:val="16"/>
          <w:szCs w:val="16"/>
        </w:rPr>
        <w:t>a</w:t>
      </w:r>
      <w:r>
        <w:rPr>
          <w:rFonts w:ascii="Calibri" w:hAnsi="Calibri"/>
          <w:sz w:val="16"/>
          <w:szCs w:val="16"/>
        </w:rPr>
        <w:t>.</w:t>
      </w:r>
      <w:r>
        <w:rPr>
          <w:rFonts w:ascii="Calibri" w:hAnsi="Calibri"/>
          <w:sz w:val="16"/>
          <w:szCs w:val="16"/>
        </w:rPr>
        <w:tab/>
        <w:t>Trabajos específicos como pruebas químicas, análisis de materiales,  maquinado de piezas; y, otros similares.</w:t>
      </w:r>
    </w:p>
    <w:p w:rsidR="00D52CB4" w:rsidRDefault="00D52CB4" w:rsidP="00571231">
      <w:pPr>
        <w:pStyle w:val="Sinespaciado1"/>
        <w:spacing w:line="160" w:lineRule="exact"/>
        <w:ind w:left="1620" w:right="272" w:hanging="270"/>
        <w:jc w:val="both"/>
        <w:rPr>
          <w:rFonts w:ascii="Calibri" w:hAnsi="Calibri"/>
          <w:sz w:val="16"/>
          <w:szCs w:val="16"/>
        </w:rPr>
      </w:pPr>
      <w:r>
        <w:rPr>
          <w:rFonts w:ascii="Calibri" w:hAnsi="Calibri"/>
          <w:b/>
          <w:sz w:val="16"/>
          <w:szCs w:val="16"/>
        </w:rPr>
        <w:t>b</w:t>
      </w:r>
      <w:r>
        <w:rPr>
          <w:rFonts w:ascii="Calibri" w:hAnsi="Calibri"/>
          <w:sz w:val="16"/>
          <w:szCs w:val="16"/>
        </w:rPr>
        <w:t>.</w:t>
      </w:r>
      <w:r>
        <w:rPr>
          <w:rFonts w:ascii="Calibri" w:hAnsi="Calibri"/>
          <w:sz w:val="16"/>
          <w:szCs w:val="16"/>
        </w:rPr>
        <w:tab/>
        <w:t xml:space="preserve">Seminarios, cursos de entrenamiento o de capacitación, que correspondan a educación no formal.       </w:t>
      </w:r>
    </w:p>
    <w:p w:rsidR="00D52CB4" w:rsidRDefault="00D52CB4" w:rsidP="00571231">
      <w:pPr>
        <w:pStyle w:val="Sinespaciado1"/>
        <w:spacing w:line="160" w:lineRule="exact"/>
        <w:ind w:left="1620" w:right="272" w:hanging="270"/>
        <w:jc w:val="both"/>
        <w:rPr>
          <w:rFonts w:ascii="Calibri" w:hAnsi="Calibri"/>
          <w:sz w:val="16"/>
          <w:szCs w:val="16"/>
        </w:rPr>
      </w:pPr>
      <w:r>
        <w:rPr>
          <w:rFonts w:ascii="Calibri" w:hAnsi="Calibri"/>
          <w:b/>
          <w:sz w:val="16"/>
          <w:szCs w:val="16"/>
        </w:rPr>
        <w:t>c</w:t>
      </w:r>
      <w:r>
        <w:rPr>
          <w:rFonts w:ascii="Calibri" w:hAnsi="Calibri"/>
          <w:sz w:val="16"/>
          <w:szCs w:val="16"/>
        </w:rPr>
        <w:t>.</w:t>
      </w:r>
      <w:r>
        <w:rPr>
          <w:rFonts w:ascii="Calibri" w:hAnsi="Calibri"/>
          <w:sz w:val="16"/>
          <w:szCs w:val="16"/>
        </w:rPr>
        <w:tab/>
        <w:t xml:space="preserve">La administración financiera de los programas de postgrado autofinanciados, a petición de las unidades académicas de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que los oferten. </w:t>
      </w:r>
    </w:p>
    <w:p w:rsidR="00D52CB4" w:rsidRDefault="00D52CB4" w:rsidP="00571231">
      <w:pPr>
        <w:pStyle w:val="Sinespaciado1"/>
        <w:spacing w:line="160" w:lineRule="exact"/>
        <w:ind w:left="1620" w:right="272" w:hanging="270"/>
        <w:jc w:val="both"/>
        <w:rPr>
          <w:rFonts w:ascii="Calibri" w:hAnsi="Calibri"/>
          <w:sz w:val="16"/>
          <w:szCs w:val="16"/>
        </w:rPr>
      </w:pPr>
      <w:r>
        <w:rPr>
          <w:rFonts w:ascii="Calibri" w:hAnsi="Calibri"/>
          <w:b/>
          <w:sz w:val="16"/>
          <w:szCs w:val="16"/>
        </w:rPr>
        <w:t>d.</w:t>
      </w:r>
      <w:r>
        <w:rPr>
          <w:rFonts w:ascii="Calibri" w:hAnsi="Calibri"/>
          <w:sz w:val="16"/>
          <w:szCs w:val="16"/>
        </w:rPr>
        <w:tab/>
        <w:t>Asesorías, consultorías, estudios y diseños.  Se incluyen en este rubro los cursos de entrenamiento, seminarios e investigaciones que forman parte de los mismos.</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2.-</w:t>
      </w:r>
      <w:r>
        <w:rPr>
          <w:rFonts w:ascii="Calibri" w:hAnsi="Calibri"/>
          <w:sz w:val="16"/>
          <w:szCs w:val="16"/>
        </w:rPr>
        <w:t xml:space="preserve"> Previamente a la prestación de servicios, la ESPOL o ESPOL-TECH E.P. celebrará con la persona natural o jurídica que los demande, el o los contratos o convenios respectivos.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Los servicios previstos en los literales a), b) y c) del artículo 1, podrán ejecutarse sin contrato o convenio previo.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3.-</w:t>
      </w:r>
      <w:r>
        <w:rPr>
          <w:rFonts w:ascii="Calibri" w:hAnsi="Calibri"/>
          <w:sz w:val="16"/>
          <w:szCs w:val="16"/>
        </w:rPr>
        <w:t xml:space="preserve"> El valor de la prestación de los servicios determinados en los literales a), b) y c) del artículo 1, está constituido por: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 Los costos del servicio;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 El beneficio a favor de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que será igual hasta el 10% de los costos del  servicio; y,</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 El beneficio a favor de </w:t>
      </w:r>
      <w:smartTag w:uri="urn:schemas-microsoft-com:office:smarttags" w:element="PersonName">
        <w:smartTagPr>
          <w:attr w:name="ProductID" w:val="la Unidad"/>
        </w:smartTagPr>
        <w:r>
          <w:rPr>
            <w:rFonts w:ascii="Calibri" w:hAnsi="Calibri"/>
            <w:sz w:val="16"/>
            <w:szCs w:val="16"/>
          </w:rPr>
          <w:t>la Unidad</w:t>
        </w:r>
      </w:smartTag>
      <w:r>
        <w:rPr>
          <w:rFonts w:ascii="Calibri" w:hAnsi="Calibri"/>
          <w:sz w:val="16"/>
          <w:szCs w:val="16"/>
        </w:rPr>
        <w:t xml:space="preserve"> que ejecuta el proyecto, que será igual hasta el 15% de los costos del servicio.</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 xml:space="preserve">Art. 4.- </w:t>
      </w:r>
      <w:r>
        <w:rPr>
          <w:rFonts w:ascii="Calibri" w:hAnsi="Calibri"/>
          <w:sz w:val="16"/>
          <w:szCs w:val="16"/>
        </w:rPr>
        <w:t xml:space="preserve">El valor de la prestación de los servicios determinados en el literal d) del artículo 1, está constituido por: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 Los costos del servicio;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El beneficio a favor de la ESPOL, que será igual hasta el 45% de los costos del servicio; y,</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 El beneficio a favor de la Unidad que ejecutó el proyecto, que será igual hasta el 15% de los costos del servicio. </w:t>
      </w:r>
    </w:p>
    <w:p w:rsidR="00D52CB4" w:rsidRPr="003B25BC"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5.-</w:t>
      </w:r>
      <w:r>
        <w:rPr>
          <w:rFonts w:ascii="Calibri" w:hAnsi="Calibri"/>
          <w:sz w:val="16"/>
          <w:szCs w:val="16"/>
        </w:rPr>
        <w:t xml:space="preserve"> Los costos del servicio comprenden todos los rubros necesarios para la ejecución del proyecto, de acuerdo a lo estipulado en el contrato o convenio respectivo.  En este rubro debe incluirse el costo administrativo de ESPOL-TECH..</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6.-</w:t>
      </w:r>
      <w:r>
        <w:rPr>
          <w:rFonts w:ascii="Calibri" w:hAnsi="Calibri"/>
          <w:sz w:val="16"/>
          <w:szCs w:val="16"/>
        </w:rPr>
        <w:t xml:space="preserve"> Los porcentajes de beneficios indicados en los artículos 3 y 4, sólo podrán ser modificados por el Rector, previo a la firma del contrato o convenio, por convenir a los intereses institucionales o por el impacto social de la prestación. La decisión del Rector será enviada al Gerente General de ESPOL-TECH, para los fines pertinentes.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7.-</w:t>
      </w:r>
      <w:r>
        <w:rPr>
          <w:rFonts w:ascii="Calibri" w:hAnsi="Calibri"/>
          <w:sz w:val="16"/>
          <w:szCs w:val="16"/>
        </w:rPr>
        <w:t xml:space="preserve"> La participación de beneficio para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constituirá parte de su patrimonio y fuente complementaria de ingresos, de conformidad a lo establecido en el artículo 20 literales f) y h) y artículo 28 de </w:t>
      </w:r>
      <w:smartTag w:uri="urn:schemas-microsoft-com:office:smarttags" w:element="PersonName">
        <w:smartTagPr>
          <w:attr w:name="ProductID" w:val="la LOES."/>
        </w:smartTagPr>
        <w:r>
          <w:rPr>
            <w:rFonts w:ascii="Calibri" w:hAnsi="Calibri"/>
            <w:sz w:val="16"/>
            <w:szCs w:val="16"/>
          </w:rPr>
          <w:t>la LOES.</w:t>
        </w:r>
      </w:smartTag>
      <w:r>
        <w:rPr>
          <w:rFonts w:ascii="Calibri" w:hAnsi="Calibri"/>
          <w:sz w:val="16"/>
          <w:szCs w:val="16"/>
        </w:rPr>
        <w:t xml:space="preserve">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8.-</w:t>
      </w:r>
      <w:r>
        <w:rPr>
          <w:rFonts w:ascii="Calibri" w:hAnsi="Calibri"/>
          <w:sz w:val="16"/>
          <w:szCs w:val="16"/>
        </w:rPr>
        <w:t xml:space="preserve"> El Director del Proyecto y los participantes del mismo, serán responsables administrativa y legalmente por todas las operaciones que realicen en la ejecución de la prestación del servicio. </w:t>
      </w:r>
    </w:p>
    <w:p w:rsidR="00D52CB4" w:rsidRDefault="00D52CB4" w:rsidP="00571231">
      <w:pPr>
        <w:pStyle w:val="Sinespaciado1"/>
        <w:spacing w:line="160" w:lineRule="exact"/>
        <w:ind w:left="1350" w:right="272"/>
        <w:jc w:val="both"/>
        <w:rPr>
          <w:rFonts w:ascii="Calibri" w:hAnsi="Calibri"/>
          <w:sz w:val="16"/>
          <w:szCs w:val="16"/>
        </w:rPr>
      </w:pPr>
      <w:r>
        <w:rPr>
          <w:rFonts w:ascii="Calibri" w:hAnsi="Calibri"/>
          <w:sz w:val="16"/>
          <w:szCs w:val="16"/>
        </w:rPr>
        <w:t xml:space="preserve">El Gerente General y el Coordinador Financiero de ESPOL-TECH, serán responsables del control financiero de los proyectos.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9.-</w:t>
      </w:r>
      <w:r>
        <w:rPr>
          <w:rFonts w:ascii="Calibri" w:hAnsi="Calibri"/>
          <w:sz w:val="16"/>
          <w:szCs w:val="16"/>
        </w:rPr>
        <w:t xml:space="preserve"> Los subcontratos que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o ESPOL-TECH celebren con el personal externo para la ejecución de la prestación de servicios, se regirán por las normas del Código Civil. La prestación de servicios efectuada por los profesores de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se realizará fuera de su horario de trabajo y será pagada como honorarios profesionales a través de ESPOL-TECH.  El valor de cada pago realizado se hará una vez que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o ESPOL-TECH haya recibido la cancelación de la parte correspondiente, según lo establecido en el contrato principal; y, el último pago se hará cuando </w:t>
      </w:r>
      <w:smartTag w:uri="urn:schemas-microsoft-com:office:smarttags" w:element="PersonName">
        <w:smartTagPr>
          <w:attr w:name="ProductID" w:val="la ESPOL"/>
        </w:smartTagPr>
        <w:r>
          <w:rPr>
            <w:rFonts w:ascii="Calibri" w:hAnsi="Calibri"/>
            <w:sz w:val="16"/>
            <w:szCs w:val="16"/>
          </w:rPr>
          <w:t>la ESPOL</w:t>
        </w:r>
      </w:smartTag>
      <w:r>
        <w:rPr>
          <w:rFonts w:ascii="Calibri" w:hAnsi="Calibri"/>
          <w:sz w:val="16"/>
          <w:szCs w:val="16"/>
        </w:rPr>
        <w:t xml:space="preserve">  o ESPOL-TECH haya recibido el 100% del valor del mismo.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Art. 10.-</w:t>
      </w:r>
      <w:r>
        <w:rPr>
          <w:rFonts w:ascii="Calibri" w:hAnsi="Calibri"/>
          <w:sz w:val="16"/>
          <w:szCs w:val="16"/>
        </w:rPr>
        <w:t xml:space="preserve"> Los Directores de los proyectos presentarán los informes respectivos al final de cada proyecto previo a su liquidación; y, de avance de los mismos cuando sea necesario a solicitud del  Gerente General de ESPOL-TECH E.P. </w:t>
      </w:r>
    </w:p>
    <w:p w:rsidR="00D52CB4" w:rsidRDefault="00D52CB4" w:rsidP="00571231">
      <w:pPr>
        <w:pStyle w:val="Sinespaciado1"/>
        <w:spacing w:line="160" w:lineRule="exact"/>
        <w:ind w:left="1350" w:right="272"/>
        <w:jc w:val="center"/>
        <w:rPr>
          <w:rFonts w:ascii="Calibri" w:hAnsi="Calibri"/>
          <w:b/>
          <w:sz w:val="16"/>
          <w:szCs w:val="16"/>
        </w:rPr>
      </w:pPr>
      <w:r>
        <w:rPr>
          <w:rFonts w:ascii="Calibri" w:hAnsi="Calibri"/>
          <w:b/>
          <w:sz w:val="16"/>
          <w:szCs w:val="16"/>
        </w:rPr>
        <w:t>DISPOSICIONES GENERALES</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PRIMERA.-</w:t>
      </w:r>
      <w:r>
        <w:rPr>
          <w:rFonts w:ascii="Calibri" w:hAnsi="Calibri"/>
          <w:sz w:val="16"/>
          <w:szCs w:val="16"/>
        </w:rPr>
        <w:t xml:space="preserve"> El presupuesto del servicio contratado deberá presentarse con firma de responsabilidad y ajustarse al formato establecido que forma parte integral del presente reglamento. Este formato podrá ajustarse conforme la situación lo requiera, ciñéndose siempre a los porcentajes globales establecidos.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SEGUNDA.</w:t>
      </w:r>
      <w:r>
        <w:rPr>
          <w:rFonts w:ascii="Calibri" w:hAnsi="Calibri"/>
          <w:sz w:val="16"/>
          <w:szCs w:val="16"/>
        </w:rPr>
        <w:t xml:space="preserve">- Ninguna autoridad de unidad académica, unidad de apoyo, Rector o Vicerrector, participará en forma directa en la ejecución de un trabajo de prestación de servicios o en la dirección del mismo. Su participación consistirá en realizar todas las gestiones posibles para lograr la consecución del trabajo y brindar el apoyo necesario para que se cumpla en los tiempos estipulados y con la calidad de excelencia. ESPOL TECH E.P. podrá fijar incentivos de beneficios para quien canalice un proyecto para la Institución.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TERCERA.-</w:t>
      </w:r>
      <w:r>
        <w:rPr>
          <w:rFonts w:ascii="Calibri" w:hAnsi="Calibri"/>
          <w:sz w:val="16"/>
          <w:szCs w:val="16"/>
        </w:rPr>
        <w:t xml:space="preserve"> En caso de que se incumpla por parte del personal los términos del contrato o que la labor tenga un resultado que no satisfaga al nivel esperado por el contratante, el Gerente General de ESPOL-TECH E.P., cuando aplique, podrá tomar las acciones que considere pertinentes. </w:t>
      </w:r>
    </w:p>
    <w:p w:rsidR="00D52CB4" w:rsidRPr="004C5D37"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CUARTA.-</w:t>
      </w:r>
      <w:r>
        <w:rPr>
          <w:rFonts w:ascii="Calibri" w:hAnsi="Calibri"/>
          <w:sz w:val="16"/>
          <w:szCs w:val="16"/>
        </w:rPr>
        <w:t xml:space="preserve"> Todos los aspectos operativos relacionados con la prestación de servicios que no consten en estos Lineamientos, serán resueltos por el Gerente General de ESPOL-TECH E.P. </w:t>
      </w:r>
    </w:p>
    <w:p w:rsidR="00D52CB4" w:rsidRDefault="00D52CB4" w:rsidP="00571231">
      <w:pPr>
        <w:pStyle w:val="Sinespaciado1"/>
        <w:spacing w:line="160" w:lineRule="exact"/>
        <w:ind w:left="1350" w:right="272"/>
        <w:jc w:val="both"/>
        <w:rPr>
          <w:rFonts w:ascii="Calibri" w:hAnsi="Calibri"/>
          <w:sz w:val="16"/>
          <w:szCs w:val="16"/>
        </w:rPr>
      </w:pPr>
      <w:r w:rsidRPr="00934943">
        <w:rPr>
          <w:rFonts w:ascii="Calibri" w:hAnsi="Calibri"/>
          <w:b/>
          <w:sz w:val="16"/>
          <w:szCs w:val="16"/>
        </w:rPr>
        <w:t>QUINTA.-</w:t>
      </w:r>
      <w:r>
        <w:rPr>
          <w:rFonts w:ascii="Calibri" w:hAnsi="Calibri"/>
          <w:sz w:val="16"/>
          <w:szCs w:val="16"/>
        </w:rPr>
        <w:t xml:space="preserve"> Todos los pagos por servicios prestados por la ESPOL y canalizados por ESPOL-TECH E.P., se realizarán a través de dicha empresa.  ESPOL-TECH E.P. retendrá el valor correspondiente a los partícipes del servicio, de conformidad a estos lineamientos y acreditará a la cuenta de la Unidad en ESPOL-TECH ó en la ESPOL, el saldo de los valores recibidos por el mismo. La transferencia respectiva a cada partícipe se realizará cada año una vez que se conozcan y sean aprobados los Estados Financieros correspondientes a ESPOL-TECH E.P.  Sin embargo, la ESPOL, podrá, en caso de ser necesario, requerir la transferencia anticipada de los recursos que le correspondan.</w:t>
      </w: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4C5D37">
      <w:pPr>
        <w:pStyle w:val="Sinespaciado1"/>
        <w:ind w:left="1710" w:hanging="1710"/>
        <w:jc w:val="both"/>
        <w:rPr>
          <w:sz w:val="20"/>
          <w:szCs w:val="20"/>
        </w:rPr>
      </w:pPr>
      <w:r>
        <w:rPr>
          <w:sz w:val="20"/>
          <w:szCs w:val="20"/>
        </w:rPr>
        <w:t>Resoluciones C.P. 20 diciembre/11                                                                                                              3.</w:t>
      </w:r>
    </w:p>
    <w:p w:rsidR="00D52CB4" w:rsidRDefault="00D52CB4" w:rsidP="00571231">
      <w:pPr>
        <w:pStyle w:val="Sinespaciado1"/>
        <w:spacing w:line="160" w:lineRule="exact"/>
        <w:ind w:left="1350" w:right="272"/>
        <w:jc w:val="both"/>
        <w:rPr>
          <w:rFonts w:ascii="Calibri" w:hAnsi="Calibri"/>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6" type="#_x0000_t75" style="position:absolute;left:0;text-align:left;margin-left:342.95pt;margin-top:5.5pt;width:35.9pt;height:36.2pt;z-index:251657728;visibility:visible">
            <v:imagedata r:id="rId5" o:title=""/>
            <w10:wrap type="square"/>
          </v:shape>
        </w:pict>
      </w:r>
    </w:p>
    <w:p w:rsidR="00D52CB4" w:rsidRDefault="00D52CB4" w:rsidP="00571231">
      <w:pPr>
        <w:pStyle w:val="Sinespaciado1"/>
        <w:spacing w:line="160" w:lineRule="exact"/>
        <w:ind w:left="1350" w:right="272"/>
        <w:jc w:val="both"/>
        <w:rPr>
          <w:rFonts w:ascii="Calibri" w:hAnsi="Calibri"/>
          <w:sz w:val="16"/>
          <w:szCs w:val="16"/>
        </w:rPr>
      </w:pPr>
    </w:p>
    <w:p w:rsidR="00D52CB4" w:rsidRDefault="00D52CB4" w:rsidP="00571231">
      <w:pPr>
        <w:pStyle w:val="Sinespaciado1"/>
        <w:spacing w:line="160" w:lineRule="exact"/>
        <w:ind w:left="1350" w:right="270"/>
        <w:jc w:val="both"/>
        <w:rPr>
          <w:rFonts w:ascii="Calibri" w:hAnsi="Calibri"/>
          <w:sz w:val="16"/>
          <w:szCs w:val="16"/>
        </w:rPr>
      </w:pPr>
      <w:r>
        <w:rPr>
          <w:noProof/>
        </w:rPr>
        <w:pict>
          <v:shape id="Imagen 3" o:spid="_x0000_s1027" type="#_x0000_t75" style="position:absolute;left:0;text-align:left;margin-left:1in;margin-top:2pt;width:63pt;height:36pt;z-index:-251657728;visibility:visible" wrapcoords="-257 0 -257 21150 21600 21150 21600 0 -257 0">
            <v:imagedata r:id="rId6" o:title=""/>
            <w10:wrap type="tight"/>
          </v:shape>
        </w:pict>
      </w:r>
    </w:p>
    <w:p w:rsidR="00D52CB4" w:rsidRDefault="00D52CB4" w:rsidP="00571231">
      <w:pPr>
        <w:pStyle w:val="Sinespaciado1"/>
        <w:spacing w:line="160" w:lineRule="exact"/>
        <w:ind w:left="1350" w:right="270"/>
        <w:jc w:val="both"/>
        <w:rPr>
          <w:rFonts w:ascii="Calibri" w:hAnsi="Calibri"/>
          <w:sz w:val="16"/>
          <w:szCs w:val="16"/>
        </w:rPr>
      </w:pPr>
    </w:p>
    <w:p w:rsidR="00D52CB4" w:rsidRDefault="00D52CB4" w:rsidP="00571231">
      <w:pPr>
        <w:pStyle w:val="Sinespaciado1"/>
        <w:spacing w:line="160" w:lineRule="exact"/>
        <w:ind w:left="1350" w:right="270"/>
        <w:jc w:val="both"/>
        <w:rPr>
          <w:rFonts w:ascii="Calibri" w:hAnsi="Calibri"/>
          <w:sz w:val="16"/>
          <w:szCs w:val="16"/>
        </w:rPr>
      </w:pPr>
    </w:p>
    <w:p w:rsidR="00D52CB4" w:rsidRDefault="00D52CB4" w:rsidP="00571231">
      <w:pPr>
        <w:pStyle w:val="Sinespaciado1"/>
        <w:spacing w:line="160" w:lineRule="exact"/>
        <w:ind w:left="1350" w:right="270"/>
        <w:jc w:val="both"/>
        <w:rPr>
          <w:rFonts w:ascii="Calibri" w:hAnsi="Calibri"/>
          <w:sz w:val="16"/>
          <w:szCs w:val="16"/>
        </w:rPr>
      </w:pPr>
    </w:p>
    <w:p w:rsidR="00D52CB4" w:rsidRDefault="00D52CB4" w:rsidP="00571231">
      <w:pPr>
        <w:pStyle w:val="Sinespaciado1"/>
        <w:spacing w:line="160" w:lineRule="exact"/>
        <w:ind w:left="1350" w:right="270"/>
        <w:jc w:val="both"/>
        <w:rPr>
          <w:rFonts w:ascii="Calibri" w:hAnsi="Calibri"/>
          <w:sz w:val="16"/>
          <w:szCs w:val="16"/>
        </w:rPr>
      </w:pPr>
    </w:p>
    <w:p w:rsidR="00D52CB4" w:rsidRDefault="00D52CB4" w:rsidP="00571231">
      <w:pPr>
        <w:pStyle w:val="Sinespaciado1"/>
        <w:spacing w:line="160" w:lineRule="exact"/>
        <w:ind w:left="1350" w:right="270"/>
        <w:jc w:val="center"/>
        <w:rPr>
          <w:rFonts w:ascii="Calibri" w:hAnsi="Calibri"/>
          <w:sz w:val="16"/>
          <w:szCs w:val="16"/>
        </w:rPr>
      </w:pPr>
      <w:r>
        <w:rPr>
          <w:rFonts w:ascii="Calibri" w:hAnsi="Calibri"/>
          <w:b/>
          <w:sz w:val="16"/>
          <w:szCs w:val="16"/>
        </w:rPr>
        <w:tab/>
        <w:t>ESPOL TECH E.P</w:t>
      </w:r>
      <w:r>
        <w:rPr>
          <w:rFonts w:ascii="Calibri" w:hAnsi="Calibri"/>
          <w:sz w:val="16"/>
          <w:szCs w:val="16"/>
        </w:rPr>
        <w:t>.</w:t>
      </w:r>
    </w:p>
    <w:p w:rsidR="00D52CB4" w:rsidRDefault="00D52CB4" w:rsidP="00571231">
      <w:pPr>
        <w:pStyle w:val="Sinespaciado1"/>
        <w:spacing w:line="160" w:lineRule="exact"/>
        <w:ind w:left="1350" w:right="270"/>
        <w:jc w:val="both"/>
        <w:rPr>
          <w:rFonts w:ascii="Calibri" w:hAnsi="Calibri"/>
          <w:b/>
          <w:i/>
          <w:sz w:val="16"/>
          <w:szCs w:val="16"/>
        </w:rPr>
      </w:pPr>
      <w:r>
        <w:rPr>
          <w:rFonts w:ascii="Calibri" w:hAnsi="Calibri"/>
          <w:b/>
          <w:i/>
          <w:sz w:val="16"/>
          <w:szCs w:val="16"/>
        </w:rPr>
        <w:t>PRESUPUESTO INTERNO PARA LA EJECUCIÓN DE PROYECTOS DE PRESTACIÓN DE SERVICIOS EN USD</w:t>
      </w:r>
    </w:p>
    <w:p w:rsidR="00D52CB4" w:rsidRDefault="00D52CB4" w:rsidP="00571231">
      <w:pPr>
        <w:pStyle w:val="Sinespaciado1"/>
        <w:spacing w:line="160" w:lineRule="exact"/>
        <w:ind w:left="1350" w:right="270"/>
        <w:rPr>
          <w:rFonts w:ascii="Calibri" w:hAnsi="Calibri"/>
          <w:i/>
          <w:sz w:val="16"/>
          <w:szCs w:val="16"/>
        </w:rPr>
      </w:pPr>
      <w:r>
        <w:rPr>
          <w:rFonts w:ascii="Calibri" w:hAnsi="Calibri"/>
          <w:i/>
          <w:sz w:val="16"/>
          <w:szCs w:val="16"/>
        </w:rPr>
        <w:t xml:space="preserve">             </w:t>
      </w:r>
    </w:p>
    <w:p w:rsidR="00D52CB4" w:rsidRDefault="00D52CB4" w:rsidP="00571231">
      <w:pPr>
        <w:pStyle w:val="Sinespaciado1"/>
        <w:spacing w:line="160" w:lineRule="exact"/>
        <w:ind w:left="1350" w:right="270"/>
        <w:rPr>
          <w:rFonts w:ascii="Calibri" w:hAnsi="Calibri"/>
          <w:sz w:val="16"/>
          <w:szCs w:val="16"/>
        </w:rPr>
      </w:pPr>
      <w:r>
        <w:rPr>
          <w:rFonts w:ascii="Calibri" w:hAnsi="Calibri"/>
          <w:i/>
          <w:sz w:val="16"/>
          <w:szCs w:val="16"/>
        </w:rPr>
        <w:t>PROYECTO:</w:t>
      </w:r>
      <w:r>
        <w:rPr>
          <w:rFonts w:ascii="Calibri" w:hAnsi="Calibri"/>
          <w:b/>
          <w:i/>
          <w:sz w:val="16"/>
          <w:szCs w:val="16"/>
        </w:rPr>
        <w:t>_____________________________________________________________________________</w:t>
      </w:r>
    </w:p>
    <w:p w:rsidR="00D52CB4" w:rsidRDefault="00D52CB4" w:rsidP="00571231">
      <w:pPr>
        <w:pStyle w:val="Sinespaciado1"/>
        <w:spacing w:line="160" w:lineRule="exact"/>
        <w:ind w:left="1350" w:right="270"/>
        <w:rPr>
          <w:rFonts w:ascii="Calibri" w:hAnsi="Calibri"/>
          <w:i/>
          <w:sz w:val="16"/>
          <w:szCs w:val="16"/>
        </w:rPr>
      </w:pPr>
      <w:r>
        <w:rPr>
          <w:rFonts w:ascii="Calibri" w:hAnsi="Calibri"/>
          <w:i/>
          <w:sz w:val="16"/>
          <w:szCs w:val="16"/>
        </w:rPr>
        <w:t xml:space="preserve">       PLAZO: </w:t>
      </w:r>
      <w:r>
        <w:rPr>
          <w:rFonts w:ascii="Calibri" w:hAnsi="Calibri"/>
          <w:b/>
          <w:i/>
          <w:sz w:val="16"/>
          <w:szCs w:val="16"/>
          <w:u w:val="single"/>
        </w:rPr>
        <w:t>____________________________________</w:t>
      </w:r>
    </w:p>
    <w:p w:rsidR="00D52CB4" w:rsidRDefault="00D52CB4" w:rsidP="00571231">
      <w:pPr>
        <w:pStyle w:val="Sinespaciado1"/>
        <w:spacing w:line="160" w:lineRule="exact"/>
        <w:ind w:left="1350" w:right="270"/>
        <w:jc w:val="both"/>
        <w:rPr>
          <w:rFonts w:ascii="Calibri" w:hAnsi="Calibri"/>
          <w:i/>
          <w:sz w:val="16"/>
          <w:szCs w:val="16"/>
        </w:rPr>
      </w:pPr>
    </w:p>
    <w:tbl>
      <w:tblPr>
        <w:tblW w:w="7146" w:type="dxa"/>
        <w:tblInd w:w="1433" w:type="dxa"/>
        <w:tblLook w:val="00A0"/>
      </w:tblPr>
      <w:tblGrid>
        <w:gridCol w:w="413"/>
        <w:gridCol w:w="2697"/>
        <w:gridCol w:w="772"/>
        <w:gridCol w:w="3264"/>
      </w:tblGrid>
      <w:tr w:rsidR="00D52CB4" w:rsidTr="007353FC">
        <w:trPr>
          <w:trHeight w:val="84"/>
        </w:trPr>
        <w:tc>
          <w:tcPr>
            <w:tcW w:w="0" w:type="auto"/>
            <w:gridSpan w:val="2"/>
            <w:tcBorders>
              <w:top w:val="single" w:sz="4" w:space="0" w:color="auto"/>
              <w:left w:val="single" w:sz="4" w:space="0" w:color="auto"/>
              <w:bottom w:val="single" w:sz="4" w:space="0" w:color="auto"/>
              <w:right w:val="single" w:sz="4" w:space="0" w:color="auto"/>
            </w:tcBorders>
            <w:noWrap/>
            <w:vAlign w:val="bottom"/>
          </w:tcPr>
          <w:p w:rsidR="00D52CB4" w:rsidRDefault="00D52CB4" w:rsidP="007353FC">
            <w:pPr>
              <w:spacing w:after="0" w:line="180" w:lineRule="exact"/>
              <w:jc w:val="center"/>
              <w:rPr>
                <w:rFonts w:cs="Times New Roman"/>
                <w:b/>
                <w:sz w:val="16"/>
                <w:szCs w:val="16"/>
                <w:lang w:val="en-US" w:eastAsia="en-US"/>
              </w:rPr>
            </w:pPr>
            <w:r>
              <w:rPr>
                <w:rFonts w:cs="Times New Roman"/>
                <w:b/>
                <w:sz w:val="16"/>
                <w:szCs w:val="16"/>
                <w:lang w:val="en-US" w:eastAsia="en-US"/>
              </w:rPr>
              <w:t xml:space="preserve">RUBRO DE GASTOS </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n-US" w:eastAsia="en-US"/>
              </w:rPr>
            </w:pPr>
            <w:r>
              <w:rPr>
                <w:rFonts w:cs="Times New Roman"/>
                <w:sz w:val="16"/>
                <w:szCs w:val="16"/>
                <w:lang w:val="en-US" w:eastAsia="en-US"/>
              </w:rPr>
              <w:t xml:space="preserve">   </w:t>
            </w:r>
            <w:r>
              <w:rPr>
                <w:rFonts w:cs="Times New Roman"/>
                <w:b/>
                <w:sz w:val="16"/>
                <w:szCs w:val="16"/>
                <w:lang w:val="en-US" w:eastAsia="en-US"/>
              </w:rPr>
              <w:t>MESES</w:t>
            </w:r>
            <w:r>
              <w:rPr>
                <w:rFonts w:cs="Times New Roman"/>
                <w:sz w:val="16"/>
                <w:szCs w:val="16"/>
                <w:lang w:val="en-US" w:eastAsia="en-US"/>
              </w:rPr>
              <w:t xml:space="preserve">  </w:t>
            </w: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n-US" w:eastAsia="en-US"/>
              </w:rPr>
            </w:pPr>
            <w:r>
              <w:rPr>
                <w:rFonts w:cs="Times New Roman"/>
                <w:b/>
                <w:sz w:val="16"/>
                <w:szCs w:val="16"/>
                <w:lang w:val="en-US" w:eastAsia="en-US"/>
              </w:rPr>
              <w:t xml:space="preserve">TOTAL </w:t>
            </w:r>
          </w:p>
        </w:tc>
      </w:tr>
      <w:tr w:rsidR="00D52CB4" w:rsidTr="007353FC">
        <w:trPr>
          <w:trHeight w:val="81"/>
        </w:trPr>
        <w:tc>
          <w:tcPr>
            <w:tcW w:w="0" w:type="auto"/>
            <w:tcBorders>
              <w:top w:val="single" w:sz="8" w:space="0" w:color="auto"/>
              <w:left w:val="single" w:sz="8" w:space="0" w:color="auto"/>
              <w:bottom w:val="nil"/>
              <w:right w:val="single" w:sz="8" w:space="0" w:color="auto"/>
            </w:tcBorders>
            <w:noWrap/>
            <w:vAlign w:val="bottom"/>
          </w:tcPr>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tc>
        <w:tc>
          <w:tcPr>
            <w:tcW w:w="0" w:type="auto"/>
            <w:vMerge w:val="restart"/>
            <w:tcBorders>
              <w:top w:val="nil"/>
              <w:left w:val="nil"/>
              <w:bottom w:val="single" w:sz="4" w:space="0" w:color="auto"/>
              <w:right w:val="single" w:sz="4" w:space="0" w:color="auto"/>
            </w:tcBorders>
            <w:noWrap/>
            <w:vAlign w:val="bottom"/>
          </w:tcPr>
          <w:p w:rsidR="00D52CB4" w:rsidRDefault="00D52CB4" w:rsidP="007353FC">
            <w:pPr>
              <w:spacing w:before="240" w:line="180" w:lineRule="exact"/>
              <w:jc w:val="both"/>
              <w:rPr>
                <w:rFonts w:cs="Times New Roman"/>
                <w:b/>
                <w:sz w:val="16"/>
                <w:szCs w:val="16"/>
                <w:lang w:val="es-ES" w:eastAsia="en-US"/>
              </w:rPr>
            </w:pPr>
            <w:r>
              <w:rPr>
                <w:rFonts w:cs="Times New Roman"/>
                <w:b/>
                <w:sz w:val="16"/>
                <w:szCs w:val="16"/>
                <w:lang w:val="es-ES" w:eastAsia="en-US"/>
              </w:rPr>
              <w:t>RECURSOS HUMANOS</w:t>
            </w:r>
          </w:p>
        </w:tc>
        <w:tc>
          <w:tcPr>
            <w:tcW w:w="0" w:type="auto"/>
            <w:vMerge w:val="restart"/>
            <w:tcBorders>
              <w:top w:val="nil"/>
              <w:left w:val="single" w:sz="4" w:space="0" w:color="auto"/>
              <w:bottom w:val="single" w:sz="4" w:space="0" w:color="auto"/>
              <w:right w:val="single" w:sz="4" w:space="0" w:color="auto"/>
            </w:tcBorders>
            <w:noWrap/>
            <w:vAlign w:val="bottom"/>
          </w:tcPr>
          <w:p w:rsidR="00D52CB4" w:rsidRDefault="00D52CB4" w:rsidP="007353FC">
            <w:pPr>
              <w:spacing w:after="0" w:line="180" w:lineRule="exact"/>
              <w:jc w:val="center"/>
              <w:rPr>
                <w:rFonts w:cs="Times New Roman"/>
                <w:lang w:val="es-ES" w:eastAsia="en-US"/>
              </w:rPr>
            </w:pPr>
          </w:p>
        </w:tc>
        <w:tc>
          <w:tcPr>
            <w:tcW w:w="3262" w:type="dxa"/>
            <w:vMerge w:val="restart"/>
            <w:tcBorders>
              <w:top w:val="single" w:sz="4" w:space="0" w:color="auto"/>
              <w:left w:val="single" w:sz="4" w:space="0" w:color="auto"/>
              <w:bottom w:val="single" w:sz="4" w:space="0" w:color="auto"/>
              <w:right w:val="single" w:sz="4" w:space="0" w:color="auto"/>
            </w:tcBorders>
            <w:noWrap/>
            <w:vAlign w:val="bottom"/>
          </w:tcPr>
          <w:p w:rsidR="00D52CB4" w:rsidRDefault="00D52CB4" w:rsidP="007353FC">
            <w:pPr>
              <w:spacing w:after="0" w:line="180" w:lineRule="exact"/>
              <w:jc w:val="center"/>
              <w:rPr>
                <w:rFonts w:cs="Times New Roman"/>
                <w:lang w:val="es-ES" w:eastAsia="en-US"/>
              </w:rPr>
            </w:pPr>
          </w:p>
        </w:tc>
      </w:tr>
      <w:tr w:rsidR="00D52CB4" w:rsidTr="007353FC">
        <w:trPr>
          <w:trHeight w:val="29"/>
        </w:trPr>
        <w:tc>
          <w:tcPr>
            <w:tcW w:w="0" w:type="auto"/>
            <w:tcBorders>
              <w:top w:val="nil"/>
              <w:left w:val="single" w:sz="8" w:space="0" w:color="auto"/>
              <w:bottom w:val="nil"/>
              <w:right w:val="single" w:sz="8" w:space="0" w:color="auto"/>
            </w:tcBorders>
            <w:noWrap/>
            <w:vAlign w:val="bottom"/>
          </w:tcPr>
          <w:p w:rsidR="00D52CB4" w:rsidRDefault="00D52CB4" w:rsidP="007353FC">
            <w:pPr>
              <w:spacing w:after="0" w:line="180" w:lineRule="exact"/>
              <w:jc w:val="center"/>
              <w:rPr>
                <w:rFonts w:cs="Times New Roman"/>
                <w:sz w:val="16"/>
                <w:szCs w:val="16"/>
                <w:lang w:val="es-ES" w:eastAsia="en-US"/>
              </w:rPr>
            </w:pPr>
            <w:r>
              <w:rPr>
                <w:rFonts w:cs="Times New Roman"/>
                <w:b/>
                <w:sz w:val="16"/>
                <w:szCs w:val="16"/>
                <w:lang w:val="es-ES" w:eastAsia="en-US"/>
              </w:rPr>
              <w:t>1.-</w:t>
            </w:r>
          </w:p>
        </w:tc>
        <w:tc>
          <w:tcPr>
            <w:tcW w:w="0" w:type="auto"/>
            <w:vMerge/>
            <w:tcBorders>
              <w:top w:val="nil"/>
              <w:left w:val="nil"/>
              <w:bottom w:val="single" w:sz="4" w:space="0" w:color="auto"/>
              <w:right w:val="single" w:sz="4"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vMerge/>
            <w:tcBorders>
              <w:top w:val="nil"/>
              <w:left w:val="single" w:sz="4" w:space="0" w:color="auto"/>
              <w:bottom w:val="single" w:sz="4" w:space="0" w:color="auto"/>
              <w:right w:val="single" w:sz="4" w:space="0" w:color="auto"/>
            </w:tcBorders>
            <w:vAlign w:val="center"/>
          </w:tcPr>
          <w:p w:rsidR="00D52CB4" w:rsidRDefault="00D52CB4" w:rsidP="007353FC">
            <w:pPr>
              <w:spacing w:after="0" w:line="240" w:lineRule="auto"/>
              <w:rPr>
                <w:rFonts w:cs="Times New Roman"/>
                <w:lang w:val="es-ES"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52CB4" w:rsidRDefault="00D52CB4" w:rsidP="007353FC">
            <w:pPr>
              <w:spacing w:after="0" w:line="240" w:lineRule="auto"/>
              <w:rPr>
                <w:rFonts w:cs="Times New Roman"/>
                <w:lang w:val="es-ES" w:eastAsia="en-US"/>
              </w:rPr>
            </w:pPr>
          </w:p>
        </w:tc>
      </w:tr>
      <w:tr w:rsidR="00D52CB4" w:rsidTr="007353FC">
        <w:trPr>
          <w:trHeight w:val="180"/>
        </w:trPr>
        <w:tc>
          <w:tcPr>
            <w:tcW w:w="0" w:type="auto"/>
            <w:vMerge w:val="restart"/>
            <w:tcBorders>
              <w:top w:val="nil"/>
              <w:left w:val="single" w:sz="8" w:space="0" w:color="auto"/>
              <w:bottom w:val="nil"/>
              <w:right w:val="single" w:sz="8"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0" w:type="auto"/>
            <w:vMerge/>
            <w:tcBorders>
              <w:top w:val="nil"/>
              <w:left w:val="nil"/>
              <w:bottom w:val="single" w:sz="4" w:space="0" w:color="auto"/>
              <w:right w:val="single" w:sz="4"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vMerge/>
            <w:tcBorders>
              <w:top w:val="nil"/>
              <w:left w:val="single" w:sz="4" w:space="0" w:color="auto"/>
              <w:bottom w:val="single" w:sz="4" w:space="0" w:color="auto"/>
              <w:right w:val="single" w:sz="4" w:space="0" w:color="auto"/>
            </w:tcBorders>
            <w:vAlign w:val="center"/>
          </w:tcPr>
          <w:p w:rsidR="00D52CB4" w:rsidRDefault="00D52CB4" w:rsidP="007353FC">
            <w:pPr>
              <w:spacing w:after="0" w:line="240" w:lineRule="auto"/>
              <w:rPr>
                <w:rFonts w:cs="Times New Roman"/>
                <w:lang w:val="es-ES"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52CB4" w:rsidRDefault="00D52CB4" w:rsidP="007353FC">
            <w:pPr>
              <w:spacing w:after="0" w:line="240" w:lineRule="auto"/>
              <w:rPr>
                <w:rFonts w:cs="Times New Roman"/>
                <w:lang w:val="es-ES" w:eastAsia="en-US"/>
              </w:rPr>
            </w:pPr>
          </w:p>
        </w:tc>
      </w:tr>
      <w:tr w:rsidR="00D52CB4" w:rsidTr="007353FC">
        <w:trPr>
          <w:trHeight w:val="34"/>
        </w:trPr>
        <w:tc>
          <w:tcPr>
            <w:tcW w:w="0" w:type="auto"/>
            <w:vMerge/>
            <w:tcBorders>
              <w:top w:val="nil"/>
              <w:left w:val="single" w:sz="8" w:space="0" w:color="auto"/>
              <w:bottom w:val="nil"/>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Director/Coordinador del Proyecto</w:t>
            </w:r>
          </w:p>
          <w:p w:rsidR="00D52CB4" w:rsidRDefault="00D52CB4" w:rsidP="007353FC">
            <w:pPr>
              <w:spacing w:after="0" w:line="180" w:lineRule="exact"/>
              <w:rPr>
                <w:rFonts w:cs="Times New Roman"/>
                <w:b/>
                <w:sz w:val="16"/>
                <w:szCs w:val="16"/>
                <w:lang w:val="es-ES" w:eastAsia="en-US"/>
              </w:rPr>
            </w:pPr>
            <w:r>
              <w:rPr>
                <w:rFonts w:cs="Times New Roman"/>
                <w:sz w:val="16"/>
                <w:szCs w:val="16"/>
                <w:lang w:val="es-ES" w:eastAsia="en-US"/>
              </w:rPr>
              <w:t>N.N .</w:t>
            </w:r>
          </w:p>
        </w:tc>
        <w:tc>
          <w:tcPr>
            <w:tcW w:w="0" w:type="auto"/>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68"/>
        </w:trPr>
        <w:tc>
          <w:tcPr>
            <w:tcW w:w="0" w:type="auto"/>
            <w:vMerge/>
            <w:tcBorders>
              <w:top w:val="nil"/>
              <w:left w:val="single" w:sz="8" w:space="0" w:color="auto"/>
              <w:bottom w:val="nil"/>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N.N .</w:t>
            </w:r>
          </w:p>
        </w:tc>
        <w:tc>
          <w:tcPr>
            <w:tcW w:w="0" w:type="auto"/>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single" w:sz="4" w:space="0" w:color="auto"/>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62"/>
        </w:trPr>
        <w:tc>
          <w:tcPr>
            <w:tcW w:w="0" w:type="auto"/>
            <w:vMerge/>
            <w:tcBorders>
              <w:top w:val="nil"/>
              <w:left w:val="single" w:sz="8" w:space="0" w:color="auto"/>
              <w:bottom w:val="nil"/>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N.N .</w:t>
            </w:r>
          </w:p>
        </w:tc>
        <w:tc>
          <w:tcPr>
            <w:tcW w:w="0" w:type="auto"/>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12"/>
        </w:trPr>
        <w:tc>
          <w:tcPr>
            <w:tcW w:w="0" w:type="auto"/>
            <w:vMerge/>
            <w:tcBorders>
              <w:top w:val="nil"/>
              <w:left w:val="single" w:sz="8" w:space="0" w:color="auto"/>
              <w:bottom w:val="nil"/>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N.N .</w:t>
            </w:r>
          </w:p>
        </w:tc>
        <w:tc>
          <w:tcPr>
            <w:tcW w:w="0" w:type="auto"/>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77"/>
        </w:trPr>
        <w:tc>
          <w:tcPr>
            <w:tcW w:w="0" w:type="auto"/>
            <w:vMerge w:val="restart"/>
            <w:tcBorders>
              <w:top w:val="single" w:sz="4" w:space="0" w:color="auto"/>
              <w:left w:val="single" w:sz="8" w:space="0" w:color="auto"/>
              <w:bottom w:val="single" w:sz="4" w:space="0" w:color="auto"/>
              <w:right w:val="single" w:sz="8" w:space="0" w:color="auto"/>
            </w:tcBorders>
            <w:noWrap/>
            <w:vAlign w:val="bottom"/>
          </w:tcPr>
          <w:p w:rsidR="00D52CB4" w:rsidRDefault="00D52CB4" w:rsidP="007353FC">
            <w:pPr>
              <w:spacing w:after="0" w:line="180" w:lineRule="exact"/>
              <w:jc w:val="center"/>
              <w:rPr>
                <w:rFonts w:cs="Times New Roman"/>
                <w:b/>
                <w:sz w:val="16"/>
                <w:szCs w:val="16"/>
                <w:lang w:val="es-ES" w:eastAsia="en-US"/>
              </w:rPr>
            </w:pPr>
            <w:r>
              <w:rPr>
                <w:rFonts w:cs="Times New Roman"/>
                <w:b/>
                <w:sz w:val="16"/>
                <w:szCs w:val="16"/>
                <w:lang w:val="es-ES" w:eastAsia="en-US"/>
              </w:rPr>
              <w:t>2.-</w:t>
            </w: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 xml:space="preserve"> </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ACTIVO FIJOS</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62"/>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Equipos</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58"/>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Mobiliario</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29"/>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Otros</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73"/>
        </w:trPr>
        <w:tc>
          <w:tcPr>
            <w:tcW w:w="0" w:type="auto"/>
            <w:vMerge w:val="restart"/>
            <w:tcBorders>
              <w:top w:val="single" w:sz="4" w:space="0" w:color="auto"/>
              <w:left w:val="single" w:sz="8" w:space="0" w:color="auto"/>
              <w:bottom w:val="single" w:sz="4" w:space="0" w:color="auto"/>
              <w:right w:val="single" w:sz="8" w:space="0" w:color="auto"/>
            </w:tcBorders>
            <w:noWrap/>
            <w:vAlign w:val="bottom"/>
          </w:tcPr>
          <w:p w:rsidR="00D52CB4" w:rsidRDefault="00D52CB4" w:rsidP="007353FC">
            <w:pPr>
              <w:spacing w:after="0" w:line="180" w:lineRule="exact"/>
              <w:jc w:val="center"/>
              <w:rPr>
                <w:rFonts w:cs="Times New Roman"/>
                <w:b/>
                <w:sz w:val="16"/>
                <w:szCs w:val="16"/>
                <w:lang w:val="es-ES" w:eastAsia="en-US"/>
              </w:rPr>
            </w:pPr>
            <w:r>
              <w:rPr>
                <w:rFonts w:cs="Times New Roman"/>
                <w:b/>
                <w:sz w:val="16"/>
                <w:szCs w:val="16"/>
                <w:lang w:val="es-ES" w:eastAsia="en-US"/>
              </w:rPr>
              <w:t>3.-</w:t>
            </w: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b/>
                <w:sz w:val="16"/>
                <w:szCs w:val="16"/>
                <w:lang w:val="es-ES" w:eastAsia="en-US"/>
              </w:rPr>
            </w:pP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 xml:space="preserve">SERVICIOS </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57"/>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sz w:val="16"/>
                <w:szCs w:val="16"/>
                <w:lang w:val="es-ES" w:eastAsia="en-US"/>
              </w:rPr>
              <w:t>Pasajes y Viáticos</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19"/>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Transporte</w:t>
            </w:r>
          </w:p>
        </w:tc>
        <w:tc>
          <w:tcPr>
            <w:tcW w:w="0" w:type="auto"/>
            <w:tcBorders>
              <w:top w:val="single" w:sz="4" w:space="0" w:color="auto"/>
              <w:left w:val="nil"/>
              <w:bottom w:val="single" w:sz="4" w:space="0" w:color="auto"/>
              <w:right w:val="single" w:sz="4" w:space="0" w:color="auto"/>
            </w:tcBorders>
            <w:vAlign w:val="center"/>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vAlign w:val="center"/>
          </w:tcPr>
          <w:p w:rsidR="00D52CB4" w:rsidRDefault="00D52CB4" w:rsidP="007353FC">
            <w:pPr>
              <w:spacing w:after="0" w:line="180" w:lineRule="exact"/>
              <w:rPr>
                <w:rFonts w:cs="Times New Roman"/>
                <w:sz w:val="16"/>
                <w:szCs w:val="16"/>
                <w:lang w:val="es-ES" w:eastAsia="en-US"/>
              </w:rPr>
            </w:pPr>
          </w:p>
        </w:tc>
      </w:tr>
      <w:tr w:rsidR="00D52CB4" w:rsidTr="007353FC">
        <w:trPr>
          <w:trHeight w:val="47"/>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Bienes de Uso y Consumo Corriente</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66"/>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n-US" w:eastAsia="en-US"/>
              </w:rPr>
            </w:pPr>
            <w:r>
              <w:rPr>
                <w:rFonts w:cs="Times New Roman"/>
                <w:sz w:val="16"/>
                <w:szCs w:val="16"/>
                <w:lang w:val="es-ES" w:eastAsia="en-US"/>
              </w:rPr>
              <w:t>Mantenimiento y Reparaciones</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17"/>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n-US" w:eastAsia="en-US"/>
              </w:rPr>
            </w:pPr>
            <w:r>
              <w:rPr>
                <w:rFonts w:cs="Times New Roman"/>
                <w:sz w:val="16"/>
                <w:szCs w:val="16"/>
                <w:lang w:val="en-US" w:eastAsia="en-US"/>
              </w:rPr>
              <w:t>N.N .</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39"/>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b/>
                <w:sz w:val="16"/>
                <w:szCs w:val="16"/>
                <w:lang w:val="es-ES" w:eastAsia="en-US"/>
              </w:rPr>
            </w:pP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n-US" w:eastAsia="en-US"/>
              </w:rPr>
            </w:pPr>
            <w:r>
              <w:rPr>
                <w:rFonts w:cs="Times New Roman"/>
                <w:sz w:val="16"/>
                <w:szCs w:val="16"/>
                <w:lang w:val="en-US" w:eastAsia="en-US"/>
              </w:rPr>
              <w:t>N.N .</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54"/>
        </w:trPr>
        <w:tc>
          <w:tcPr>
            <w:tcW w:w="0" w:type="auto"/>
            <w:vMerge w:val="restart"/>
            <w:tcBorders>
              <w:top w:val="single" w:sz="4" w:space="0" w:color="auto"/>
              <w:left w:val="single" w:sz="8" w:space="0" w:color="auto"/>
              <w:bottom w:val="single" w:sz="4" w:space="0" w:color="auto"/>
              <w:right w:val="single" w:sz="8" w:space="0" w:color="auto"/>
            </w:tcBorders>
            <w:noWrap/>
            <w:vAlign w:val="bottom"/>
          </w:tcPr>
          <w:p w:rsidR="00D52CB4" w:rsidRDefault="00D52CB4" w:rsidP="007353FC">
            <w:pPr>
              <w:spacing w:after="0" w:line="180" w:lineRule="exact"/>
              <w:jc w:val="center"/>
              <w:rPr>
                <w:rFonts w:cs="Times New Roman"/>
                <w:b/>
                <w:sz w:val="16"/>
                <w:szCs w:val="16"/>
                <w:lang w:val="es-ES" w:eastAsia="en-US"/>
              </w:rPr>
            </w:pPr>
            <w:r>
              <w:rPr>
                <w:rFonts w:cs="Times New Roman"/>
                <w:b/>
                <w:sz w:val="16"/>
                <w:szCs w:val="16"/>
                <w:lang w:val="es-ES" w:eastAsia="en-US"/>
              </w:rPr>
              <w:t>4.-</w:t>
            </w:r>
          </w:p>
          <w:p w:rsidR="00D52CB4" w:rsidRDefault="00D52CB4" w:rsidP="007353FC">
            <w:pPr>
              <w:spacing w:after="0" w:line="180" w:lineRule="exact"/>
              <w:jc w:val="center"/>
              <w:rPr>
                <w:rFonts w:cs="Times New Roman"/>
                <w:b/>
                <w:sz w:val="16"/>
                <w:szCs w:val="16"/>
                <w:lang w:val="es-ES" w:eastAsia="en-US"/>
              </w:rPr>
            </w:pPr>
          </w:p>
          <w:p w:rsidR="00D52CB4" w:rsidRDefault="00D52CB4" w:rsidP="007353FC">
            <w:pPr>
              <w:spacing w:after="0" w:line="180" w:lineRule="exact"/>
              <w:jc w:val="center"/>
              <w:rPr>
                <w:rFonts w:cs="Times New Roman"/>
                <w:sz w:val="16"/>
                <w:szCs w:val="16"/>
                <w:lang w:val="es-ES" w:eastAsia="en-US"/>
              </w:rPr>
            </w:pPr>
          </w:p>
        </w:tc>
        <w:tc>
          <w:tcPr>
            <w:tcW w:w="0" w:type="auto"/>
            <w:tcBorders>
              <w:top w:val="nil"/>
              <w:left w:val="single" w:sz="4"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SUMINISTROS Y MATERIALES</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50"/>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sz w:val="16"/>
                <w:szCs w:val="16"/>
                <w:lang w:val="es-ES" w:eastAsia="en-US"/>
              </w:rPr>
              <w:t>Materiales de Oficina</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32"/>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nil"/>
              <w:left w:val="single" w:sz="4"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Materiales de Aseo y Limpieza</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138"/>
        </w:trPr>
        <w:tc>
          <w:tcPr>
            <w:tcW w:w="0" w:type="auto"/>
            <w:tcBorders>
              <w:top w:val="single" w:sz="4" w:space="0" w:color="auto"/>
              <w:left w:val="single" w:sz="8" w:space="0" w:color="auto"/>
              <w:bottom w:val="nil"/>
              <w:right w:val="single" w:sz="8" w:space="0" w:color="auto"/>
            </w:tcBorders>
            <w:noWrap/>
            <w:vAlign w:val="bottom"/>
          </w:tcPr>
          <w:p w:rsidR="00D52CB4" w:rsidRDefault="00D52CB4" w:rsidP="007353FC">
            <w:pPr>
              <w:spacing w:after="0" w:line="180" w:lineRule="exact"/>
              <w:jc w:val="center"/>
              <w:rPr>
                <w:rFonts w:cs="Times New Roman"/>
                <w:b/>
                <w:sz w:val="16"/>
                <w:szCs w:val="16"/>
                <w:lang w:val="es-ES" w:eastAsia="en-US"/>
              </w:rPr>
            </w:pPr>
            <w:r>
              <w:rPr>
                <w:rFonts w:cs="Times New Roman"/>
                <w:b/>
                <w:sz w:val="16"/>
                <w:szCs w:val="16"/>
                <w:lang w:val="es-ES" w:eastAsia="en-US"/>
              </w:rPr>
              <w:t>5.-</w:t>
            </w:r>
          </w:p>
          <w:p w:rsidR="00D52CB4" w:rsidRDefault="00D52CB4" w:rsidP="007353FC">
            <w:pPr>
              <w:spacing w:after="0" w:line="180" w:lineRule="exact"/>
              <w:jc w:val="center"/>
              <w:rPr>
                <w:rFonts w:cs="Times New Roman"/>
                <w:sz w:val="16"/>
                <w:szCs w:val="16"/>
                <w:lang w:val="es-ES"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rsidR="00D52CB4" w:rsidRDefault="00D52CB4" w:rsidP="007353FC">
            <w:pPr>
              <w:spacing w:after="0" w:line="180" w:lineRule="exact"/>
              <w:jc w:val="both"/>
              <w:rPr>
                <w:rFonts w:cs="Times New Roman"/>
                <w:b/>
                <w:sz w:val="16"/>
                <w:szCs w:val="16"/>
                <w:lang w:val="es-ES" w:eastAsia="en-US"/>
              </w:rPr>
            </w:pPr>
            <w:r>
              <w:rPr>
                <w:rFonts w:cs="Times New Roman"/>
                <w:b/>
                <w:sz w:val="16"/>
                <w:szCs w:val="16"/>
                <w:lang w:val="es-ES" w:eastAsia="en-US"/>
              </w:rPr>
              <w:t xml:space="preserve">INFRAESTRUCTURA ESPOL </w:t>
            </w:r>
          </w:p>
          <w:p w:rsidR="00D52CB4" w:rsidRDefault="00D52CB4" w:rsidP="007353FC">
            <w:pPr>
              <w:spacing w:after="0" w:line="180" w:lineRule="exact"/>
              <w:jc w:val="both"/>
              <w:rPr>
                <w:rFonts w:cs="Times New Roman"/>
                <w:sz w:val="16"/>
                <w:szCs w:val="16"/>
                <w:lang w:val="es-ES" w:eastAsia="en-US"/>
              </w:rPr>
            </w:pP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98"/>
        </w:trPr>
        <w:tc>
          <w:tcPr>
            <w:tcW w:w="0" w:type="auto"/>
            <w:vMerge w:val="restart"/>
            <w:tcBorders>
              <w:top w:val="single" w:sz="4" w:space="0" w:color="auto"/>
              <w:left w:val="single" w:sz="8" w:space="0" w:color="auto"/>
              <w:bottom w:val="single" w:sz="4" w:space="0" w:color="auto"/>
              <w:right w:val="single" w:sz="8" w:space="0" w:color="auto"/>
            </w:tcBorders>
            <w:noWrap/>
            <w:vAlign w:val="bottom"/>
          </w:tcPr>
          <w:p w:rsidR="00D52CB4" w:rsidRDefault="00D52CB4" w:rsidP="007353FC">
            <w:pPr>
              <w:spacing w:after="0" w:line="180" w:lineRule="exact"/>
              <w:jc w:val="center"/>
              <w:rPr>
                <w:rFonts w:cs="Times New Roman"/>
                <w:sz w:val="16"/>
                <w:szCs w:val="16"/>
                <w:lang w:val="es-ES" w:eastAsia="en-US"/>
              </w:rPr>
            </w:pPr>
            <w:r>
              <w:rPr>
                <w:rFonts w:cs="Times New Roman"/>
                <w:sz w:val="16"/>
                <w:szCs w:val="16"/>
                <w:lang w:val="es-ES" w:eastAsia="en-US"/>
              </w:rPr>
              <w:t>7.-</w:t>
            </w:r>
          </w:p>
          <w:p w:rsidR="00D52CB4" w:rsidRDefault="00D52CB4" w:rsidP="007353FC">
            <w:pPr>
              <w:spacing w:after="0" w:line="180" w:lineRule="exact"/>
              <w:jc w:val="center"/>
              <w:rPr>
                <w:rFonts w:cs="Times New Roman"/>
                <w:sz w:val="16"/>
                <w:szCs w:val="16"/>
                <w:lang w:val="es-ES" w:eastAsia="en-US"/>
              </w:rPr>
            </w:pPr>
          </w:p>
        </w:tc>
        <w:tc>
          <w:tcPr>
            <w:tcW w:w="0" w:type="auto"/>
            <w:tcBorders>
              <w:top w:val="single" w:sz="4" w:space="0" w:color="auto"/>
              <w:left w:val="single" w:sz="8"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rFonts w:cs="Times New Roman"/>
                <w:b/>
                <w:sz w:val="16"/>
                <w:szCs w:val="16"/>
                <w:lang w:val="es-ES" w:eastAsia="en-US"/>
              </w:rPr>
              <w:t xml:space="preserve">AUTOGESTION </w:t>
            </w:r>
          </w:p>
        </w:tc>
        <w:tc>
          <w:tcPr>
            <w:tcW w:w="0" w:type="auto"/>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68"/>
        </w:trPr>
        <w:tc>
          <w:tcPr>
            <w:tcW w:w="0" w:type="auto"/>
            <w:vMerge/>
            <w:tcBorders>
              <w:top w:val="single" w:sz="4" w:space="0" w:color="auto"/>
              <w:left w:val="single" w:sz="8" w:space="0" w:color="auto"/>
              <w:bottom w:val="single" w:sz="4" w:space="0" w:color="auto"/>
              <w:right w:val="single" w:sz="8" w:space="0" w:color="auto"/>
            </w:tcBorders>
            <w:vAlign w:val="center"/>
          </w:tcPr>
          <w:p w:rsidR="00D52CB4" w:rsidRDefault="00D52CB4" w:rsidP="007353FC">
            <w:pPr>
              <w:spacing w:after="0" w:line="240" w:lineRule="auto"/>
              <w:rPr>
                <w:rFonts w:cs="Times New Roman"/>
                <w:sz w:val="16"/>
                <w:szCs w:val="16"/>
                <w:lang w:val="es-ES" w:eastAsia="en-US"/>
              </w:rPr>
            </w:pPr>
          </w:p>
        </w:tc>
        <w:tc>
          <w:tcPr>
            <w:tcW w:w="0" w:type="auto"/>
            <w:tcBorders>
              <w:top w:val="single" w:sz="4" w:space="0" w:color="auto"/>
              <w:left w:val="single" w:sz="8" w:space="0" w:color="auto"/>
              <w:bottom w:val="single" w:sz="4" w:space="0" w:color="auto"/>
              <w:right w:val="single" w:sz="4" w:space="0" w:color="auto"/>
            </w:tcBorders>
            <w:noWrap/>
            <w:vAlign w:val="center"/>
          </w:tcPr>
          <w:p w:rsidR="00D52CB4" w:rsidRDefault="00D52CB4" w:rsidP="007353FC">
            <w:pPr>
              <w:spacing w:after="0" w:line="180" w:lineRule="exact"/>
              <w:rPr>
                <w:rFonts w:cs="Times New Roman"/>
                <w:b/>
                <w:sz w:val="16"/>
                <w:szCs w:val="16"/>
                <w:lang w:val="es-ES" w:eastAsia="en-US"/>
              </w:rPr>
            </w:pPr>
            <w:r>
              <w:rPr>
                <w:rFonts w:cs="Times New Roman"/>
                <w:sz w:val="16"/>
                <w:szCs w:val="16"/>
                <w:lang w:val="es-ES" w:eastAsia="en-US"/>
              </w:rPr>
              <w:t>ESPOL-TECH E.P</w:t>
            </w:r>
          </w:p>
        </w:tc>
        <w:tc>
          <w:tcPr>
            <w:tcW w:w="0" w:type="auto"/>
            <w:tcBorders>
              <w:top w:val="nil"/>
              <w:left w:val="nil"/>
              <w:bottom w:val="nil"/>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nil"/>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68"/>
        </w:trPr>
        <w:tc>
          <w:tcPr>
            <w:tcW w:w="0" w:type="auto"/>
            <w:gridSpan w:val="2"/>
            <w:tcBorders>
              <w:top w:val="single" w:sz="4" w:space="0" w:color="auto"/>
              <w:left w:val="single" w:sz="8" w:space="0" w:color="auto"/>
              <w:bottom w:val="nil"/>
              <w:right w:val="nil"/>
            </w:tcBorders>
            <w:noWrap/>
            <w:vAlign w:val="bottom"/>
          </w:tcPr>
          <w:p w:rsidR="00D52CB4" w:rsidRDefault="00D52CB4" w:rsidP="007353FC">
            <w:pPr>
              <w:spacing w:after="0" w:line="180" w:lineRule="exact"/>
              <w:jc w:val="center"/>
              <w:rPr>
                <w:rFonts w:cs="Times New Roman"/>
                <w:sz w:val="16"/>
                <w:szCs w:val="16"/>
                <w:lang w:val="es-ES" w:eastAsia="en-US"/>
              </w:rPr>
            </w:pPr>
            <w:r>
              <w:rPr>
                <w:b/>
                <w:sz w:val="16"/>
                <w:szCs w:val="16"/>
              </w:rPr>
              <w:t xml:space="preserve">                      TOTAL DEL PROYECTO (SIN IVA)</w:t>
            </w:r>
          </w:p>
        </w:tc>
        <w:tc>
          <w:tcPr>
            <w:tcW w:w="0" w:type="auto"/>
            <w:tcBorders>
              <w:top w:val="nil"/>
              <w:left w:val="nil"/>
              <w:bottom w:val="nil"/>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c>
          <w:tcPr>
            <w:tcW w:w="3262" w:type="dxa"/>
            <w:tcBorders>
              <w:top w:val="nil"/>
              <w:left w:val="nil"/>
              <w:bottom w:val="nil"/>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r>
              <w:rPr>
                <w:rFonts w:cs="Times New Roman"/>
                <w:sz w:val="16"/>
                <w:szCs w:val="16"/>
                <w:lang w:val="es-ES" w:eastAsia="en-US"/>
              </w:rPr>
              <w:t> </w:t>
            </w:r>
          </w:p>
        </w:tc>
      </w:tr>
      <w:tr w:rsidR="00D52CB4" w:rsidTr="007353FC">
        <w:trPr>
          <w:trHeight w:val="71"/>
        </w:trPr>
        <w:tc>
          <w:tcPr>
            <w:tcW w:w="7146" w:type="dxa"/>
            <w:gridSpan w:val="4"/>
            <w:tcBorders>
              <w:top w:val="nil"/>
              <w:left w:val="nil"/>
              <w:bottom w:val="single" w:sz="4" w:space="0" w:color="auto"/>
              <w:right w:val="nil"/>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71"/>
        </w:trPr>
        <w:tc>
          <w:tcPr>
            <w:tcW w:w="0" w:type="auto"/>
            <w:gridSpan w:val="2"/>
            <w:tcBorders>
              <w:top w:val="single" w:sz="4" w:space="0" w:color="auto"/>
              <w:left w:val="single" w:sz="8"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b/>
                <w:sz w:val="16"/>
                <w:szCs w:val="16"/>
              </w:rPr>
              <w:t>PARTICIPACIÓN ESPOL (10% o 45%)</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r w:rsidR="00D52CB4" w:rsidTr="007353FC">
        <w:trPr>
          <w:trHeight w:val="71"/>
        </w:trPr>
        <w:tc>
          <w:tcPr>
            <w:tcW w:w="0" w:type="auto"/>
            <w:gridSpan w:val="2"/>
            <w:tcBorders>
              <w:top w:val="single" w:sz="4" w:space="0" w:color="auto"/>
              <w:left w:val="single" w:sz="8" w:space="0" w:color="auto"/>
              <w:bottom w:val="single" w:sz="4" w:space="0" w:color="auto"/>
              <w:right w:val="single" w:sz="4" w:space="0" w:color="auto"/>
            </w:tcBorders>
            <w:noWrap/>
            <w:vAlign w:val="bottom"/>
          </w:tcPr>
          <w:p w:rsidR="00D52CB4" w:rsidRDefault="00D52CB4" w:rsidP="007353FC">
            <w:pPr>
              <w:spacing w:after="0" w:line="180" w:lineRule="exact"/>
              <w:rPr>
                <w:rFonts w:cs="Times New Roman"/>
                <w:b/>
                <w:sz w:val="16"/>
                <w:szCs w:val="16"/>
                <w:lang w:val="es-ES" w:eastAsia="en-US"/>
              </w:rPr>
            </w:pPr>
            <w:r>
              <w:rPr>
                <w:b/>
                <w:sz w:val="16"/>
                <w:szCs w:val="16"/>
              </w:rPr>
              <w:t>PARTICIPACIÓN UNIDAD (15%)</w:t>
            </w:r>
          </w:p>
        </w:tc>
        <w:tc>
          <w:tcPr>
            <w:tcW w:w="0" w:type="auto"/>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c>
          <w:tcPr>
            <w:tcW w:w="3262" w:type="dxa"/>
            <w:tcBorders>
              <w:top w:val="single" w:sz="4" w:space="0" w:color="auto"/>
              <w:left w:val="nil"/>
              <w:bottom w:val="single" w:sz="4" w:space="0" w:color="auto"/>
              <w:right w:val="single" w:sz="4" w:space="0" w:color="auto"/>
            </w:tcBorders>
            <w:noWrap/>
            <w:vAlign w:val="bottom"/>
          </w:tcPr>
          <w:p w:rsidR="00D52CB4" w:rsidRDefault="00D52CB4" w:rsidP="007353FC">
            <w:pPr>
              <w:spacing w:after="0" w:line="180" w:lineRule="exact"/>
              <w:rPr>
                <w:rFonts w:cs="Times New Roman"/>
                <w:sz w:val="16"/>
                <w:szCs w:val="16"/>
                <w:lang w:val="es-ES" w:eastAsia="en-US"/>
              </w:rPr>
            </w:pPr>
          </w:p>
        </w:tc>
      </w:tr>
    </w:tbl>
    <w:p w:rsidR="00D52CB4" w:rsidRDefault="00D52CB4" w:rsidP="00571231">
      <w:pPr>
        <w:pStyle w:val="Sinespaciado1"/>
        <w:spacing w:line="160" w:lineRule="exact"/>
        <w:ind w:left="1350" w:right="270"/>
        <w:jc w:val="both"/>
        <w:rPr>
          <w:rFonts w:ascii="Calibri" w:hAnsi="Calibri"/>
          <w:sz w:val="16"/>
          <w:szCs w:val="16"/>
        </w:rP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146.55pt;margin-top:7.2pt;width:171.45pt;height:0;z-index:251656704;mso-position-horizontal-relative:text;mso-position-vertical-relative:text" o:connectortype="straight"/>
        </w:pict>
      </w:r>
    </w:p>
    <w:p w:rsidR="00D52CB4" w:rsidRDefault="00D52CB4" w:rsidP="00136598">
      <w:pPr>
        <w:spacing w:after="0" w:line="240" w:lineRule="auto"/>
        <w:rPr>
          <w:rFonts w:ascii="AriLA" w:hAnsi="AriLA"/>
          <w:lang w:val="es-ES"/>
        </w:rPr>
      </w:pPr>
      <w:r>
        <w:rPr>
          <w:rFonts w:ascii="AriLA" w:hAnsi="AriLA"/>
          <w:sz w:val="16"/>
          <w:szCs w:val="16"/>
          <w:lang w:val="es-ES"/>
        </w:rPr>
        <w:t xml:space="preserve">                                                                                              </w:t>
      </w:r>
      <w:r>
        <w:rPr>
          <w:b/>
          <w:sz w:val="16"/>
          <w:szCs w:val="16"/>
          <w:lang w:val="es-ES"/>
        </w:rPr>
        <w:t>DIRECTOR DEL PROYECTO</w:t>
      </w:r>
      <w:r>
        <w:rPr>
          <w:rFonts w:ascii="AriLA" w:hAnsi="AriLA"/>
          <w:lang w:val="es-ES"/>
        </w:rPr>
        <w:t>”</w:t>
      </w:r>
    </w:p>
    <w:p w:rsidR="00D52CB4" w:rsidRPr="00230843" w:rsidRDefault="00D52CB4" w:rsidP="00230843">
      <w:pPr>
        <w:pStyle w:val="Sinespaciado1"/>
        <w:ind w:right="-360" w:firstLine="1080"/>
        <w:rPr>
          <w:sz w:val="20"/>
          <w:szCs w:val="20"/>
        </w:rPr>
      </w:pPr>
      <w:r w:rsidRPr="00230843">
        <w:rPr>
          <w:b/>
          <w:sz w:val="20"/>
          <w:szCs w:val="20"/>
        </w:rPr>
        <w:t>II.- Derogar</w:t>
      </w:r>
      <w:r>
        <w:rPr>
          <w:sz w:val="20"/>
          <w:szCs w:val="20"/>
        </w:rPr>
        <w:t xml:space="preserve"> el Reglamento “</w:t>
      </w:r>
      <w:r w:rsidRPr="00230843">
        <w:rPr>
          <w:sz w:val="20"/>
          <w:szCs w:val="20"/>
        </w:rPr>
        <w:t>Lineamientos para la Prestación de Servicios de la ESPOL” 2108.</w:t>
      </w:r>
    </w:p>
    <w:p w:rsidR="00D52CB4" w:rsidRDefault="00D52CB4" w:rsidP="00231EC8">
      <w:pPr>
        <w:pStyle w:val="NoSpacing"/>
        <w:ind w:left="1080" w:hanging="1080"/>
        <w:jc w:val="both"/>
        <w:rPr>
          <w:b/>
          <w:sz w:val="20"/>
          <w:szCs w:val="20"/>
          <w:lang w:eastAsia="es-EC"/>
        </w:rPr>
      </w:pPr>
    </w:p>
    <w:p w:rsidR="00D52CB4" w:rsidRDefault="00D52CB4" w:rsidP="00B7313B">
      <w:pPr>
        <w:spacing w:after="0" w:line="240" w:lineRule="auto"/>
        <w:ind w:left="1170" w:right="-1" w:hanging="1170"/>
        <w:jc w:val="both"/>
        <w:rPr>
          <w:rFonts w:ascii="Times New Roman" w:hAnsi="Times New Roman" w:cs="Times New Roman"/>
          <w:lang w:eastAsia="es-EC"/>
        </w:rPr>
      </w:pPr>
      <w:r w:rsidRPr="00510408">
        <w:rPr>
          <w:rFonts w:ascii="Times New Roman" w:hAnsi="Times New Roman" w:cs="Times New Roman"/>
          <w:b/>
          <w:u w:val="single"/>
          <w:lang w:eastAsia="es-EC"/>
        </w:rPr>
        <w:t>11-12-435</w:t>
      </w:r>
      <w:r w:rsidRPr="00510408">
        <w:rPr>
          <w:rFonts w:ascii="Times New Roman" w:hAnsi="Times New Roman" w:cs="Times New Roman"/>
          <w:b/>
          <w:lang w:eastAsia="es-EC"/>
        </w:rPr>
        <w:t>.-</w:t>
      </w:r>
      <w:r>
        <w:rPr>
          <w:b/>
          <w:sz w:val="20"/>
          <w:szCs w:val="20"/>
          <w:lang w:eastAsia="es-EC"/>
        </w:rPr>
        <w:t xml:space="preserve"> </w:t>
      </w:r>
      <w:r>
        <w:rPr>
          <w:rFonts w:ascii="Times New Roman" w:hAnsi="Times New Roman" w:cs="Times New Roman"/>
          <w:lang w:eastAsia="es-EC"/>
        </w:rPr>
        <w:t xml:space="preserve">Se toma conocimiento del pedido del </w:t>
      </w:r>
      <w:r>
        <w:rPr>
          <w:rFonts w:ascii="Times New Roman" w:hAnsi="Times New Roman" w:cs="Times New Roman"/>
          <w:b/>
          <w:lang w:eastAsia="es-EC"/>
        </w:rPr>
        <w:t>Ing. Daniel Ochoa Donoso</w:t>
      </w:r>
      <w:r>
        <w:rPr>
          <w:rFonts w:ascii="Times New Roman" w:hAnsi="Times New Roman" w:cs="Times New Roman"/>
          <w:lang w:eastAsia="es-EC"/>
        </w:rPr>
        <w:t xml:space="preserve"> constante en  la comunicación de noviembre 10 de 2011 dirigida al Rector Dr. Moisés Tacle, de que “…</w:t>
      </w:r>
      <w:r>
        <w:rPr>
          <w:rFonts w:ascii="Times New Roman" w:hAnsi="Times New Roman" w:cs="Times New Roman"/>
          <w:i/>
          <w:lang w:eastAsia="es-EC"/>
        </w:rPr>
        <w:t xml:space="preserve">la ESPOL brinde ayuda financiera para cubrir el costo del Boarding Pass’ y viáticos …”  </w:t>
      </w:r>
      <w:r>
        <w:rPr>
          <w:rFonts w:ascii="Times New Roman" w:hAnsi="Times New Roman" w:cs="Times New Roman"/>
          <w:sz w:val="24"/>
          <w:szCs w:val="24"/>
          <w:lang w:eastAsia="es-EC"/>
        </w:rPr>
        <w:t>de su viaje</w:t>
      </w:r>
      <w:r>
        <w:rPr>
          <w:rFonts w:ascii="Times New Roman" w:hAnsi="Times New Roman" w:cs="Times New Roman"/>
          <w:i/>
          <w:lang w:eastAsia="es-EC"/>
        </w:rPr>
        <w:t xml:space="preserve">  “…a Bélgica y Francia,</w:t>
      </w:r>
      <w:r>
        <w:rPr>
          <w:rFonts w:ascii="Times New Roman" w:hAnsi="Times New Roman" w:cs="Times New Roman"/>
          <w:lang w:eastAsia="es-EC"/>
        </w:rPr>
        <w:t xml:space="preserve"> </w:t>
      </w:r>
      <w:r>
        <w:rPr>
          <w:rFonts w:ascii="Times New Roman" w:hAnsi="Times New Roman" w:cs="Times New Roman"/>
          <w:i/>
          <w:lang w:eastAsia="es-EC"/>
        </w:rPr>
        <w:t>en el período comprendido entre el 16 de Septiembre y 13 de Octubre del presente.  El viaje fue realizado con motivo de la defensa pública de mi tesis doctoral, presentación de un artículo científico en MIRAGE, acuerdo con la compañía Gate-Wings y un acuerdo con la Universidad de Ghent para continuar con trabajos de investigación</w:t>
      </w:r>
      <w:r>
        <w:rPr>
          <w:rFonts w:ascii="Times New Roman" w:hAnsi="Times New Roman" w:cs="Times New Roman"/>
          <w:lang w:eastAsia="es-EC"/>
        </w:rPr>
        <w:t>...”; le adjunta asimismo el “…</w:t>
      </w:r>
      <w:r>
        <w:rPr>
          <w:rFonts w:ascii="Times New Roman" w:hAnsi="Times New Roman" w:cs="Times New Roman"/>
          <w:i/>
          <w:lang w:eastAsia="es-EC"/>
        </w:rPr>
        <w:t>formulario respectivo</w:t>
      </w:r>
      <w:r>
        <w:rPr>
          <w:rFonts w:ascii="Times New Roman" w:hAnsi="Times New Roman" w:cs="Times New Roman"/>
          <w:lang w:eastAsia="es-EC"/>
        </w:rPr>
        <w:t xml:space="preserve">…”.  </w:t>
      </w:r>
    </w:p>
    <w:p w:rsidR="00D52CB4" w:rsidRDefault="00D52CB4" w:rsidP="00B7313B">
      <w:pPr>
        <w:spacing w:after="0" w:line="240" w:lineRule="auto"/>
        <w:ind w:left="1170" w:right="-1" w:hanging="1170"/>
        <w:jc w:val="both"/>
        <w:rPr>
          <w:rFonts w:ascii="Times New Roman" w:hAnsi="Times New Roman" w:cs="Times New Roman"/>
          <w:lang w:eastAsia="es-EC"/>
        </w:rPr>
      </w:pPr>
      <w:r>
        <w:rPr>
          <w:rFonts w:ascii="Times New Roman" w:hAnsi="Times New Roman" w:cs="Times New Roman"/>
          <w:b/>
          <w:sz w:val="20"/>
          <w:szCs w:val="20"/>
          <w:lang w:eastAsia="es-EC"/>
        </w:rPr>
        <w:t xml:space="preserve">             </w:t>
      </w:r>
      <w:r>
        <w:rPr>
          <w:rFonts w:ascii="Times New Roman" w:hAnsi="Times New Roman" w:cs="Times New Roman"/>
          <w:lang w:eastAsia="es-EC"/>
        </w:rPr>
        <w:t xml:space="preserve">         A ese respecto, el Consejo Politécnico RESUELVE  DENEGAR el pedido de ayuda financiera  del </w:t>
      </w:r>
      <w:r>
        <w:rPr>
          <w:rFonts w:ascii="Times New Roman" w:hAnsi="Times New Roman" w:cs="Times New Roman"/>
          <w:b/>
          <w:lang w:eastAsia="es-EC"/>
        </w:rPr>
        <w:t>Ing. Daniel Ochoa Donoso</w:t>
      </w:r>
      <w:r>
        <w:rPr>
          <w:rFonts w:ascii="Times New Roman" w:hAnsi="Times New Roman" w:cs="Times New Roman"/>
          <w:lang w:eastAsia="es-EC"/>
        </w:rPr>
        <w:t xml:space="preserve"> constante en  la comunicación de noviembre 10 de 2011 dirigida al Rector Dr. Moisés Tacle.  </w:t>
      </w:r>
    </w:p>
    <w:p w:rsidR="00D52CB4" w:rsidRDefault="00D52CB4" w:rsidP="00571231">
      <w:pPr>
        <w:spacing w:after="0" w:line="240" w:lineRule="auto"/>
        <w:ind w:left="1170" w:right="-1" w:hanging="1170"/>
        <w:jc w:val="both"/>
        <w:rPr>
          <w:rFonts w:ascii="Times New Roman" w:hAnsi="Times New Roman" w:cs="Times New Roman"/>
          <w:lang w:eastAsia="es-EC"/>
        </w:rPr>
      </w:pP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r w:rsidRPr="00510408">
        <w:rPr>
          <w:rFonts w:ascii="Times New Roman" w:hAnsi="Times New Roman" w:cs="Times New Roman"/>
          <w:b/>
          <w:u w:val="single"/>
          <w:lang w:eastAsia="es-EC"/>
        </w:rPr>
        <w:t>11-12-436</w:t>
      </w:r>
      <w:r w:rsidRPr="00510408">
        <w:rPr>
          <w:rFonts w:ascii="Times New Roman" w:hAnsi="Times New Roman" w:cs="Times New Roman"/>
          <w:b/>
          <w:lang w:eastAsia="es-EC"/>
        </w:rPr>
        <w:t>.-</w:t>
      </w:r>
      <w:r>
        <w:rPr>
          <w:b/>
          <w:sz w:val="20"/>
          <w:szCs w:val="20"/>
          <w:lang w:eastAsia="es-EC"/>
        </w:rPr>
        <w:t xml:space="preserve"> </w:t>
      </w:r>
      <w:r w:rsidRPr="00CB5483">
        <w:rPr>
          <w:rFonts w:ascii="Times New Roman" w:hAnsi="Times New Roman" w:cs="Times New Roman"/>
          <w:sz w:val="20"/>
          <w:szCs w:val="20"/>
          <w:lang w:eastAsia="es-EC"/>
        </w:rPr>
        <w:t xml:space="preserve">Se </w:t>
      </w:r>
      <w:r w:rsidRPr="00CB5483">
        <w:rPr>
          <w:rFonts w:ascii="Times New Roman" w:hAnsi="Times New Roman" w:cs="Times New Roman"/>
          <w:sz w:val="20"/>
          <w:szCs w:val="20"/>
          <w:lang w:val="es-ES"/>
        </w:rPr>
        <w:t>CONOCE la ‘</w:t>
      </w:r>
      <w:r w:rsidRPr="00CB5483">
        <w:rPr>
          <w:rFonts w:ascii="Times New Roman" w:hAnsi="Times New Roman" w:cs="Times New Roman"/>
          <w:i/>
          <w:sz w:val="20"/>
          <w:szCs w:val="20"/>
          <w:lang w:val="es-ES"/>
        </w:rPr>
        <w:t>Primera Reforma Presupuestaria de la Institución del Ejercicio Fiscal  2011</w:t>
      </w:r>
      <w:r w:rsidRPr="00CB5483">
        <w:rPr>
          <w:rFonts w:ascii="Times New Roman" w:hAnsi="Times New Roman" w:cs="Times New Roman"/>
          <w:sz w:val="20"/>
          <w:szCs w:val="20"/>
          <w:lang w:val="es-ES"/>
        </w:rPr>
        <w:t xml:space="preserve">’  y  sus  ‘Anexos’,  conforme  consta  en  el  oficio  VP-FNCRO-392 de </w:t>
      </w:r>
      <w:r>
        <w:rPr>
          <w:rFonts w:ascii="Times New Roman" w:hAnsi="Times New Roman" w:cs="Times New Roman"/>
          <w:sz w:val="20"/>
          <w:szCs w:val="20"/>
          <w:lang w:val="es-ES"/>
        </w:rPr>
        <w:t>diciembre 16</w:t>
      </w:r>
    </w:p>
    <w:p w:rsidR="00D52CB4" w:rsidRPr="00CB5483" w:rsidRDefault="00D52CB4" w:rsidP="00510408">
      <w:pPr>
        <w:pStyle w:val="Sinespaciado1"/>
        <w:ind w:left="1710" w:hanging="1710"/>
        <w:jc w:val="both"/>
        <w:rPr>
          <w:sz w:val="20"/>
          <w:szCs w:val="20"/>
        </w:rPr>
      </w:pPr>
      <w:r w:rsidRPr="00CB5483">
        <w:rPr>
          <w:sz w:val="20"/>
          <w:szCs w:val="20"/>
        </w:rPr>
        <w:t>Resoluciones C.P. 20 diciembre/11                                                                                                              4.</w:t>
      </w: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r w:rsidRPr="00CB5483">
        <w:rPr>
          <w:rFonts w:ascii="Times New Roman" w:hAnsi="Times New Roman" w:cs="Times New Roman"/>
          <w:sz w:val="20"/>
          <w:szCs w:val="20"/>
          <w:lang w:val="es-ES"/>
        </w:rPr>
        <w:tab/>
        <w:t xml:space="preserve">de 2011 dirigido por el Vicepresidente Financiero economista Federico Bocca Ruiz al Rector doctor Moisés Tacle Galárraga, y, asimismo, los documentos referidos por aquel en la presente sesión, todos los que contienen la información de: </w:t>
      </w:r>
    </w:p>
    <w:p w:rsidR="00D52CB4" w:rsidRPr="00CB5483" w:rsidRDefault="00D52CB4" w:rsidP="00510408">
      <w:pPr>
        <w:spacing w:after="0" w:line="240" w:lineRule="auto"/>
        <w:ind w:left="1170" w:right="-1" w:hanging="1170"/>
        <w:jc w:val="both"/>
        <w:rPr>
          <w:rFonts w:ascii="Times New Roman" w:hAnsi="Times New Roman" w:cs="Times New Roman"/>
          <w:i/>
          <w:sz w:val="20"/>
          <w:szCs w:val="20"/>
          <w:lang w:val="es-ES"/>
        </w:rPr>
      </w:pPr>
      <w:r w:rsidRPr="00CB5483">
        <w:rPr>
          <w:rFonts w:ascii="Times New Roman" w:hAnsi="Times New Roman" w:cs="Times New Roman"/>
          <w:sz w:val="20"/>
          <w:szCs w:val="20"/>
          <w:lang w:eastAsia="es-EC"/>
        </w:rPr>
        <w:tab/>
        <w:t>“</w:t>
      </w:r>
      <w:r w:rsidRPr="00CB5483">
        <w:rPr>
          <w:rFonts w:ascii="Times New Roman" w:hAnsi="Times New Roman" w:cs="Times New Roman"/>
          <w:b/>
          <w:i/>
          <w:sz w:val="20"/>
          <w:szCs w:val="20"/>
          <w:lang w:eastAsia="es-EC"/>
        </w:rPr>
        <w:t>1.</w:t>
      </w:r>
      <w:r w:rsidRPr="00CB5483">
        <w:rPr>
          <w:rFonts w:ascii="Times New Roman" w:hAnsi="Times New Roman" w:cs="Times New Roman"/>
          <w:i/>
          <w:sz w:val="20"/>
          <w:szCs w:val="20"/>
          <w:lang w:val="es-ES"/>
        </w:rPr>
        <w:t xml:space="preserve">  Reforma Presupuestaria de Ingresos al nivel de partidas, manejada por la Vicepresidencia Financiera de ESPOL;</w:t>
      </w: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r w:rsidRPr="00CB5483">
        <w:rPr>
          <w:rFonts w:ascii="Times New Roman" w:hAnsi="Times New Roman" w:cs="Times New Roman"/>
          <w:i/>
          <w:sz w:val="20"/>
          <w:szCs w:val="20"/>
          <w:lang w:val="es-ES"/>
        </w:rPr>
        <w:t xml:space="preserve">  </w:t>
      </w:r>
      <w:r w:rsidRPr="00CB5483">
        <w:rPr>
          <w:rFonts w:ascii="Times New Roman" w:hAnsi="Times New Roman" w:cs="Times New Roman"/>
          <w:i/>
          <w:sz w:val="20"/>
          <w:szCs w:val="20"/>
          <w:lang w:val="es-ES"/>
        </w:rPr>
        <w:tab/>
      </w:r>
      <w:r w:rsidRPr="00CB5483">
        <w:rPr>
          <w:rFonts w:ascii="Times New Roman" w:hAnsi="Times New Roman" w:cs="Times New Roman"/>
          <w:b/>
          <w:i/>
          <w:sz w:val="20"/>
          <w:szCs w:val="20"/>
          <w:lang w:val="es-ES"/>
        </w:rPr>
        <w:t>2</w:t>
      </w:r>
      <w:r w:rsidRPr="00CB5483">
        <w:rPr>
          <w:rFonts w:ascii="Times New Roman" w:hAnsi="Times New Roman" w:cs="Times New Roman"/>
          <w:i/>
          <w:sz w:val="20"/>
          <w:szCs w:val="20"/>
          <w:lang w:val="es-ES"/>
        </w:rPr>
        <w:t>.  Reforma Presupuestaria de Gastos al nivel de partidas, de acuerdo a la apertura programática del presupuesto, identificando programas y proyectos, en papel debidamente legalizados</w:t>
      </w:r>
      <w:r w:rsidRPr="00CB5483">
        <w:rPr>
          <w:rFonts w:ascii="Times New Roman" w:hAnsi="Times New Roman" w:cs="Times New Roman"/>
          <w:sz w:val="20"/>
          <w:szCs w:val="20"/>
          <w:lang w:val="es-ES"/>
        </w:rPr>
        <w:t xml:space="preserve">”; </w:t>
      </w: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r w:rsidRPr="00CB5483">
        <w:rPr>
          <w:rFonts w:ascii="Times New Roman" w:hAnsi="Times New Roman" w:cs="Times New Roman"/>
          <w:sz w:val="20"/>
          <w:szCs w:val="20"/>
          <w:lang w:val="es-ES"/>
        </w:rPr>
        <w:tab/>
        <w:t>y concluyendo que “</w:t>
      </w:r>
      <w:r w:rsidRPr="00CB5483">
        <w:rPr>
          <w:rFonts w:ascii="Times New Roman" w:hAnsi="Times New Roman" w:cs="Times New Roman"/>
          <w:i/>
          <w:sz w:val="20"/>
          <w:szCs w:val="20"/>
          <w:lang w:val="es-ES"/>
        </w:rPr>
        <w:t>El monto de las Reformas Presupuestarias de Ingresos y Gastos asciende a $22,405,973.2</w:t>
      </w:r>
      <w:r>
        <w:rPr>
          <w:rFonts w:ascii="Times New Roman" w:hAnsi="Times New Roman" w:cs="Times New Roman"/>
          <w:i/>
          <w:sz w:val="20"/>
          <w:szCs w:val="20"/>
          <w:lang w:val="es-ES"/>
        </w:rPr>
        <w:t>1</w:t>
      </w:r>
      <w:r w:rsidRPr="00CB5483">
        <w:rPr>
          <w:rFonts w:ascii="Times New Roman" w:hAnsi="Times New Roman" w:cs="Times New Roman"/>
          <w:i/>
          <w:sz w:val="20"/>
          <w:szCs w:val="20"/>
          <w:lang w:val="es-ES"/>
        </w:rPr>
        <w:t xml:space="preserve"> y el Presupuesto Codificado para el 2011 totaliza a</w:t>
      </w:r>
      <w:r w:rsidRPr="00CB5483">
        <w:rPr>
          <w:rFonts w:ascii="Times New Roman" w:hAnsi="Times New Roman" w:cs="Times New Roman"/>
          <w:sz w:val="20"/>
          <w:szCs w:val="20"/>
          <w:lang w:val="es-ES"/>
        </w:rPr>
        <w:t xml:space="preserve"> $</w:t>
      </w:r>
      <w:r w:rsidRPr="00CB5483">
        <w:rPr>
          <w:rFonts w:ascii="Times New Roman" w:hAnsi="Times New Roman" w:cs="Times New Roman"/>
          <w:i/>
          <w:sz w:val="20"/>
          <w:szCs w:val="20"/>
          <w:lang w:val="es-ES"/>
        </w:rPr>
        <w:t>71,171,721.10</w:t>
      </w:r>
      <w:r w:rsidRPr="00CB5483">
        <w:rPr>
          <w:rFonts w:ascii="Times New Roman" w:hAnsi="Times New Roman" w:cs="Times New Roman"/>
          <w:sz w:val="20"/>
          <w:szCs w:val="20"/>
          <w:lang w:val="es-ES"/>
        </w:rPr>
        <w:t>”.</w:t>
      </w:r>
    </w:p>
    <w:p w:rsidR="00D52CB4" w:rsidRPr="00CB5483" w:rsidRDefault="00D52CB4" w:rsidP="00510408">
      <w:pPr>
        <w:spacing w:after="0" w:line="240" w:lineRule="auto"/>
        <w:ind w:left="1170" w:right="-1" w:hanging="1170"/>
        <w:jc w:val="both"/>
        <w:rPr>
          <w:rFonts w:ascii="Times New Roman" w:hAnsi="Times New Roman" w:cs="Times New Roman"/>
          <w:sz w:val="20"/>
          <w:szCs w:val="20"/>
          <w:lang w:val="es-ES"/>
        </w:rPr>
      </w:pPr>
      <w:r w:rsidRPr="00CB5483">
        <w:rPr>
          <w:rFonts w:ascii="Times New Roman" w:hAnsi="Times New Roman" w:cs="Times New Roman"/>
          <w:sz w:val="20"/>
          <w:szCs w:val="20"/>
          <w:lang w:val="es-ES"/>
        </w:rPr>
        <w:tab/>
        <w:t xml:space="preserve">A ese respecto, el CONSEJO POLITÉCNICO RESUELVE APROBAR, </w:t>
      </w:r>
      <w:r w:rsidRPr="00CB5483">
        <w:rPr>
          <w:rFonts w:ascii="Times New Roman" w:hAnsi="Times New Roman" w:cs="Times New Roman"/>
          <w:color w:val="000000"/>
          <w:sz w:val="20"/>
          <w:szCs w:val="20"/>
          <w:lang w:val="es-ES"/>
        </w:rPr>
        <w:t>y CONFIRMAR,</w:t>
      </w:r>
      <w:r w:rsidRPr="00CB5483">
        <w:rPr>
          <w:rFonts w:ascii="Times New Roman" w:hAnsi="Times New Roman" w:cs="Times New Roman"/>
          <w:color w:val="FF0000"/>
          <w:sz w:val="20"/>
          <w:szCs w:val="20"/>
          <w:lang w:val="es-ES"/>
        </w:rPr>
        <w:t xml:space="preserve"> </w:t>
      </w:r>
      <w:r w:rsidRPr="00CB5483">
        <w:rPr>
          <w:rFonts w:ascii="Times New Roman" w:hAnsi="Times New Roman" w:cs="Times New Roman"/>
          <w:color w:val="0000FF"/>
          <w:sz w:val="20"/>
          <w:szCs w:val="20"/>
          <w:lang w:val="es-ES"/>
        </w:rPr>
        <w:t xml:space="preserve"> </w:t>
      </w:r>
      <w:r w:rsidRPr="00CB5483">
        <w:rPr>
          <w:rFonts w:ascii="Times New Roman" w:hAnsi="Times New Roman" w:cs="Times New Roman"/>
          <w:sz w:val="20"/>
          <w:szCs w:val="20"/>
          <w:lang w:val="es-ES"/>
        </w:rPr>
        <w:t>la ‘</w:t>
      </w:r>
      <w:r w:rsidRPr="00CB5483">
        <w:rPr>
          <w:rFonts w:ascii="Times New Roman" w:hAnsi="Times New Roman" w:cs="Times New Roman"/>
          <w:i/>
          <w:sz w:val="20"/>
          <w:szCs w:val="20"/>
          <w:lang w:val="es-ES"/>
        </w:rPr>
        <w:t>Primera Reforma Presupuestaria de la Institución del Ejercicio Fiscal 2011</w:t>
      </w:r>
      <w:r w:rsidRPr="00CB5483">
        <w:rPr>
          <w:rFonts w:ascii="Times New Roman" w:hAnsi="Times New Roman" w:cs="Times New Roman"/>
          <w:sz w:val="20"/>
          <w:szCs w:val="20"/>
          <w:lang w:val="es-ES"/>
        </w:rPr>
        <w:t xml:space="preserve">’ y sus ‘Anexos’, conforme consta en el oficio VP-FNCRO-392 de diciembre 16 de 2011 dirigido por el Vicepresidente Financiero economista Federico Bocca Ruiz al Rector doctor Moisés Tacle Galárraga, así como en los documentos referidos por aquel en la presente sesión, los que contienen la información de: </w:t>
      </w:r>
    </w:p>
    <w:p w:rsidR="00D52CB4" w:rsidRPr="00CB5483" w:rsidRDefault="00D52CB4" w:rsidP="00510408">
      <w:pPr>
        <w:spacing w:after="0" w:line="240" w:lineRule="auto"/>
        <w:ind w:left="1170" w:right="-1" w:hanging="1170"/>
        <w:jc w:val="both"/>
        <w:rPr>
          <w:rFonts w:ascii="Times New Roman" w:hAnsi="Times New Roman" w:cs="Times New Roman"/>
          <w:i/>
          <w:sz w:val="20"/>
          <w:szCs w:val="20"/>
          <w:lang w:val="es-ES"/>
        </w:rPr>
      </w:pPr>
      <w:r w:rsidRPr="00CB5483">
        <w:rPr>
          <w:rFonts w:ascii="Times New Roman" w:hAnsi="Times New Roman" w:cs="Times New Roman"/>
          <w:sz w:val="20"/>
          <w:szCs w:val="20"/>
          <w:lang w:eastAsia="es-EC"/>
        </w:rPr>
        <w:tab/>
        <w:t>“</w:t>
      </w:r>
      <w:r w:rsidRPr="00CB5483">
        <w:rPr>
          <w:rFonts w:ascii="Times New Roman" w:hAnsi="Times New Roman" w:cs="Times New Roman"/>
          <w:b/>
          <w:i/>
          <w:sz w:val="20"/>
          <w:szCs w:val="20"/>
          <w:lang w:eastAsia="es-EC"/>
        </w:rPr>
        <w:t>1</w:t>
      </w:r>
      <w:r w:rsidRPr="00CB5483">
        <w:rPr>
          <w:rFonts w:ascii="Times New Roman" w:hAnsi="Times New Roman" w:cs="Times New Roman"/>
          <w:i/>
          <w:sz w:val="20"/>
          <w:szCs w:val="20"/>
          <w:lang w:eastAsia="es-EC"/>
        </w:rPr>
        <w:t>.</w:t>
      </w:r>
      <w:r w:rsidRPr="00CB5483">
        <w:rPr>
          <w:rFonts w:ascii="Times New Roman" w:hAnsi="Times New Roman" w:cs="Times New Roman"/>
          <w:i/>
          <w:sz w:val="20"/>
          <w:szCs w:val="20"/>
          <w:lang w:val="es-ES"/>
        </w:rPr>
        <w:t xml:space="preserve">  Reforma Presupuestaria de Ingresos al nivel de partidas, manejada por la Vicepresidencia Financiera de ESPOL;</w:t>
      </w:r>
    </w:p>
    <w:p w:rsidR="00D52CB4" w:rsidRPr="00CB5483" w:rsidRDefault="00D52CB4" w:rsidP="00510408">
      <w:pPr>
        <w:spacing w:after="0" w:line="240" w:lineRule="auto"/>
        <w:ind w:left="1170" w:right="-1" w:hanging="1170"/>
        <w:jc w:val="both"/>
        <w:rPr>
          <w:sz w:val="20"/>
          <w:szCs w:val="20"/>
        </w:rPr>
      </w:pPr>
      <w:r w:rsidRPr="00CB5483">
        <w:rPr>
          <w:rFonts w:ascii="Times New Roman" w:hAnsi="Times New Roman" w:cs="Times New Roman"/>
          <w:i/>
          <w:sz w:val="20"/>
          <w:szCs w:val="20"/>
          <w:lang w:val="es-ES"/>
        </w:rPr>
        <w:t xml:space="preserve">  </w:t>
      </w:r>
      <w:r w:rsidRPr="00CB5483">
        <w:rPr>
          <w:rFonts w:ascii="Times New Roman" w:hAnsi="Times New Roman" w:cs="Times New Roman"/>
          <w:i/>
          <w:sz w:val="20"/>
          <w:szCs w:val="20"/>
          <w:lang w:val="es-ES"/>
        </w:rPr>
        <w:tab/>
      </w:r>
      <w:r w:rsidRPr="00CB5483">
        <w:rPr>
          <w:rFonts w:ascii="Times New Roman" w:hAnsi="Times New Roman" w:cs="Times New Roman"/>
          <w:b/>
          <w:i/>
          <w:sz w:val="20"/>
          <w:szCs w:val="20"/>
          <w:lang w:val="es-ES"/>
        </w:rPr>
        <w:t>2</w:t>
      </w:r>
      <w:r w:rsidRPr="00CB5483">
        <w:rPr>
          <w:rFonts w:ascii="Times New Roman" w:hAnsi="Times New Roman" w:cs="Times New Roman"/>
          <w:i/>
          <w:sz w:val="20"/>
          <w:szCs w:val="20"/>
          <w:lang w:val="es-ES"/>
        </w:rPr>
        <w:t>.  Reforma Presupuestaria de Gastos al nivel de partidas, de acuerdo a la apertura programática del presupuesto, identificando programas y proyectos, en papel debidamente legalizados</w:t>
      </w:r>
      <w:r w:rsidRPr="00CB5483">
        <w:rPr>
          <w:rFonts w:ascii="Times New Roman" w:hAnsi="Times New Roman" w:cs="Times New Roman"/>
          <w:sz w:val="20"/>
          <w:szCs w:val="20"/>
          <w:lang w:val="es-ES"/>
        </w:rPr>
        <w:t>”; y ACOGIENDO asimismo su conclusión de que “</w:t>
      </w:r>
      <w:r w:rsidRPr="00CB5483">
        <w:rPr>
          <w:rFonts w:ascii="Times New Roman" w:hAnsi="Times New Roman" w:cs="Times New Roman"/>
          <w:i/>
          <w:sz w:val="20"/>
          <w:szCs w:val="20"/>
          <w:lang w:val="es-ES"/>
        </w:rPr>
        <w:t>El monto de las Reformas Presupuestarias de Ingresos y Gastos asciende a $22,405,973.2</w:t>
      </w:r>
      <w:r>
        <w:rPr>
          <w:rFonts w:ascii="Times New Roman" w:hAnsi="Times New Roman" w:cs="Times New Roman"/>
          <w:i/>
          <w:sz w:val="20"/>
          <w:szCs w:val="20"/>
          <w:lang w:val="es-ES"/>
        </w:rPr>
        <w:t>1</w:t>
      </w:r>
      <w:r w:rsidRPr="00CB5483">
        <w:rPr>
          <w:rFonts w:ascii="Times New Roman" w:hAnsi="Times New Roman" w:cs="Times New Roman"/>
          <w:i/>
          <w:sz w:val="20"/>
          <w:szCs w:val="20"/>
          <w:lang w:val="es-ES"/>
        </w:rPr>
        <w:t xml:space="preserve"> y el Presupuesto Codificado para el 2011 totaliza a</w:t>
      </w:r>
      <w:r w:rsidRPr="00CB5483">
        <w:rPr>
          <w:rFonts w:ascii="Times New Roman" w:hAnsi="Times New Roman" w:cs="Times New Roman"/>
          <w:sz w:val="20"/>
          <w:szCs w:val="20"/>
          <w:lang w:val="es-ES"/>
        </w:rPr>
        <w:t xml:space="preserve"> $</w:t>
      </w:r>
      <w:r w:rsidRPr="00CB5483">
        <w:rPr>
          <w:rFonts w:ascii="Times New Roman" w:hAnsi="Times New Roman" w:cs="Times New Roman"/>
          <w:i/>
          <w:sz w:val="20"/>
          <w:szCs w:val="20"/>
          <w:lang w:val="es-ES"/>
        </w:rPr>
        <w:t>71,171,721.10</w:t>
      </w:r>
      <w:r w:rsidRPr="00CB5483">
        <w:rPr>
          <w:rFonts w:ascii="Times New Roman" w:hAnsi="Times New Roman" w:cs="Times New Roman"/>
          <w:sz w:val="20"/>
          <w:szCs w:val="20"/>
          <w:lang w:val="es-ES"/>
        </w:rPr>
        <w:t>”</w:t>
      </w:r>
    </w:p>
    <w:p w:rsidR="00D52CB4" w:rsidRPr="00CB5483" w:rsidRDefault="00D52CB4" w:rsidP="00231EC8">
      <w:pPr>
        <w:pStyle w:val="NoSpacing"/>
        <w:ind w:left="1080" w:hanging="1080"/>
        <w:jc w:val="both"/>
        <w:rPr>
          <w:b/>
          <w:sz w:val="20"/>
          <w:szCs w:val="20"/>
          <w:lang w:eastAsia="es-EC"/>
        </w:rPr>
      </w:pPr>
    </w:p>
    <w:p w:rsidR="00D52CB4" w:rsidRPr="00AA00A9" w:rsidRDefault="00D52CB4" w:rsidP="00571231">
      <w:pPr>
        <w:spacing w:after="0" w:line="240" w:lineRule="auto"/>
        <w:ind w:left="1080" w:right="-1" w:hanging="1080"/>
        <w:jc w:val="both"/>
        <w:rPr>
          <w:rFonts w:ascii="Times New Roman" w:hAnsi="Times New Roman" w:cs="Times New Roman"/>
          <w:sz w:val="24"/>
          <w:szCs w:val="24"/>
          <w:lang w:eastAsia="es-EC"/>
        </w:rPr>
      </w:pPr>
      <w:r w:rsidRPr="00AA00A9">
        <w:rPr>
          <w:rFonts w:ascii="Times New Roman" w:hAnsi="Times New Roman" w:cs="Times New Roman"/>
          <w:b/>
          <w:sz w:val="20"/>
          <w:szCs w:val="20"/>
          <w:u w:val="single"/>
          <w:lang w:eastAsia="es-EC"/>
        </w:rPr>
        <w:t>11-12-437</w:t>
      </w:r>
      <w:r w:rsidRPr="00AA00A9">
        <w:rPr>
          <w:rFonts w:ascii="Times New Roman" w:hAnsi="Times New Roman" w:cs="Times New Roman"/>
          <w:b/>
          <w:sz w:val="20"/>
          <w:szCs w:val="20"/>
          <w:lang w:eastAsia="es-EC"/>
        </w:rPr>
        <w:t>.-</w:t>
      </w:r>
      <w:r w:rsidRPr="00AA00A9">
        <w:rPr>
          <w:rFonts w:ascii="Times New Roman" w:hAnsi="Times New Roman" w:cs="Times New Roman"/>
          <w:b/>
          <w:lang w:eastAsia="es-EC"/>
        </w:rPr>
        <w:t xml:space="preserve"> </w:t>
      </w:r>
      <w:r w:rsidRPr="00AA00A9">
        <w:rPr>
          <w:rFonts w:ascii="Times New Roman" w:hAnsi="Times New Roman" w:cs="Times New Roman"/>
          <w:bCs/>
        </w:rPr>
        <w:t>Se conoce el oficio IEL-D-779-2011 de diciembre 13 de 2011 que dirige al Rector Dr. Moisés Tacle el decano de la facultad de Ingeniería en Electricidad y Computación Ing. SERGIO FLORES, al que adjunta el  INFORME  de su VISITA a la ‘</w:t>
      </w:r>
      <w:r w:rsidRPr="00AA00A9">
        <w:rPr>
          <w:rFonts w:ascii="Times New Roman" w:hAnsi="Times New Roman" w:cs="Times New Roman"/>
          <w:bCs/>
          <w:i/>
        </w:rPr>
        <w:t>ÉCOLE de TECHNOLOGIE SUPÉRIEURE’ (ETS)</w:t>
      </w:r>
      <w:r w:rsidRPr="00AA00A9">
        <w:rPr>
          <w:rFonts w:ascii="Times New Roman" w:hAnsi="Times New Roman" w:cs="Times New Roman"/>
          <w:bCs/>
        </w:rPr>
        <w:t xml:space="preserve">  de la Universidad de Québec/Canadá; el mismo que se APRUEBA</w:t>
      </w:r>
      <w:r w:rsidRPr="00AA00A9">
        <w:rPr>
          <w:rFonts w:ascii="Times New Roman" w:hAnsi="Times New Roman" w:cs="Times New Roman"/>
          <w:i/>
          <w:lang w:eastAsia="es-EC"/>
        </w:rPr>
        <w:t>.</w:t>
      </w:r>
    </w:p>
    <w:p w:rsidR="00D52CB4" w:rsidRPr="00AA00A9" w:rsidRDefault="00D52CB4" w:rsidP="00231EC8">
      <w:pPr>
        <w:pStyle w:val="NoSpacing"/>
        <w:ind w:left="1080" w:hanging="1080"/>
        <w:jc w:val="both"/>
        <w:rPr>
          <w:b/>
          <w:sz w:val="20"/>
          <w:szCs w:val="20"/>
          <w:lang w:eastAsia="es-EC"/>
        </w:rPr>
      </w:pPr>
    </w:p>
    <w:p w:rsidR="00D52CB4" w:rsidRPr="00AA00A9" w:rsidRDefault="00D52CB4" w:rsidP="004A005C">
      <w:pPr>
        <w:spacing w:after="0" w:line="240" w:lineRule="auto"/>
        <w:ind w:left="1080" w:right="-1" w:hanging="1080"/>
        <w:jc w:val="both"/>
        <w:rPr>
          <w:rFonts w:ascii="Times New Roman" w:hAnsi="Times New Roman" w:cs="Times New Roman"/>
          <w:bCs/>
          <w:sz w:val="24"/>
          <w:szCs w:val="24"/>
          <w:lang w:eastAsia="es-EC"/>
        </w:rPr>
      </w:pPr>
      <w:r w:rsidRPr="00AA00A9">
        <w:rPr>
          <w:rFonts w:ascii="Times New Roman" w:hAnsi="Times New Roman" w:cs="Times New Roman"/>
          <w:b/>
          <w:sz w:val="20"/>
          <w:szCs w:val="20"/>
          <w:u w:val="single"/>
          <w:lang w:eastAsia="es-EC"/>
        </w:rPr>
        <w:t>11-12-438</w:t>
      </w:r>
      <w:r w:rsidRPr="00AA00A9">
        <w:rPr>
          <w:rFonts w:ascii="Times New Roman" w:hAnsi="Times New Roman" w:cs="Times New Roman"/>
          <w:b/>
          <w:sz w:val="20"/>
          <w:szCs w:val="20"/>
          <w:lang w:eastAsia="es-EC"/>
        </w:rPr>
        <w:t>.-</w:t>
      </w:r>
      <w:r w:rsidRPr="00AA00A9">
        <w:rPr>
          <w:rFonts w:ascii="Times New Roman" w:hAnsi="Times New Roman" w:cs="Times New Roman"/>
          <w:sz w:val="24"/>
          <w:szCs w:val="24"/>
          <w:lang w:eastAsia="es-EC"/>
        </w:rPr>
        <w:t xml:space="preserve"> </w:t>
      </w:r>
      <w:r w:rsidRPr="00AA00A9">
        <w:rPr>
          <w:rFonts w:ascii="Times New Roman" w:hAnsi="Times New Roman" w:cs="Times New Roman"/>
        </w:rPr>
        <w:t xml:space="preserve">Se conoce y APRUEBA el  </w:t>
      </w:r>
      <w:r w:rsidRPr="00AA00A9">
        <w:rPr>
          <w:rFonts w:ascii="Times New Roman" w:hAnsi="Times New Roman" w:cs="Times New Roman"/>
          <w:b/>
        </w:rPr>
        <w:t>INFORME de ASISTENCIA</w:t>
      </w:r>
      <w:r w:rsidRPr="00AA00A9">
        <w:rPr>
          <w:rFonts w:ascii="Times New Roman" w:hAnsi="Times New Roman" w:cs="Times New Roman"/>
        </w:rPr>
        <w:t xml:space="preserve"> al ‘</w:t>
      </w:r>
      <w:r w:rsidRPr="00AA00A9">
        <w:rPr>
          <w:rFonts w:ascii="Times New Roman" w:hAnsi="Times New Roman" w:cs="Times New Roman"/>
          <w:i/>
        </w:rPr>
        <w:t>1st PRME Latin America Regional Meeting</w:t>
      </w:r>
      <w:r w:rsidRPr="00AA00A9">
        <w:rPr>
          <w:rFonts w:ascii="Times New Roman" w:hAnsi="Times New Roman" w:cs="Times New Roman"/>
        </w:rPr>
        <w:t>’ realizado en Buenos Aires/Argentina los días 6 y 7 de diciembre de 2011 que  presenta  la  Directora de ESPAE-ESPOL Dra. VIRGINIA LASIO MORELLO, adjunto a su oficio ESPAE-D-1740-2011 del 15 de diciembre de 2011 dirigido al Rector Dr. Moisés Tacle.</w:t>
      </w:r>
    </w:p>
    <w:p w:rsidR="00D52CB4" w:rsidRPr="00AA00A9" w:rsidRDefault="00D52CB4" w:rsidP="0076545F">
      <w:pPr>
        <w:pStyle w:val="NoSpacing"/>
        <w:ind w:left="1080" w:hanging="1080"/>
        <w:jc w:val="both"/>
        <w:rPr>
          <w:b/>
          <w:sz w:val="20"/>
          <w:szCs w:val="20"/>
          <w:lang w:eastAsia="es-EC"/>
        </w:rPr>
      </w:pPr>
    </w:p>
    <w:p w:rsidR="00D52CB4" w:rsidRDefault="00D52CB4" w:rsidP="00CB5483">
      <w:pPr>
        <w:spacing w:after="0" w:line="240" w:lineRule="auto"/>
        <w:ind w:left="1080" w:right="-1" w:hanging="1080"/>
        <w:jc w:val="both"/>
        <w:rPr>
          <w:rFonts w:ascii="Times New Roman" w:hAnsi="Times New Roman" w:cs="Times New Roman"/>
          <w:lang w:eastAsia="es-EC"/>
        </w:rPr>
      </w:pPr>
      <w:r w:rsidRPr="00AA00A9">
        <w:rPr>
          <w:rFonts w:ascii="Times New Roman" w:hAnsi="Times New Roman" w:cs="Times New Roman"/>
          <w:b/>
          <w:sz w:val="20"/>
          <w:szCs w:val="20"/>
          <w:u w:val="single"/>
          <w:lang w:eastAsia="es-EC"/>
        </w:rPr>
        <w:t>11-12-439</w:t>
      </w:r>
      <w:r w:rsidRPr="00AA00A9">
        <w:rPr>
          <w:rFonts w:ascii="Times New Roman" w:hAnsi="Times New Roman" w:cs="Times New Roman"/>
          <w:b/>
          <w:sz w:val="20"/>
          <w:szCs w:val="20"/>
          <w:lang w:eastAsia="es-EC"/>
        </w:rPr>
        <w:t>.-</w:t>
      </w:r>
      <w:r w:rsidRPr="00AA00A9">
        <w:rPr>
          <w:rFonts w:ascii="Times New Roman" w:hAnsi="Times New Roman" w:cs="Times New Roman"/>
          <w:b/>
          <w:sz w:val="24"/>
          <w:szCs w:val="24"/>
          <w:lang w:eastAsia="es-EC"/>
        </w:rPr>
        <w:t xml:space="preserve"> </w:t>
      </w:r>
      <w:r w:rsidRPr="00AA00A9">
        <w:rPr>
          <w:rFonts w:ascii="Times New Roman" w:hAnsi="Times New Roman" w:cs="Times New Roman"/>
          <w:lang w:eastAsia="es-EC"/>
        </w:rPr>
        <w:t xml:space="preserve">Se toma conocimiento de la comunicación del 21 de octubre de 2011 dirigida por el Técnico de Laboratorio FREE - FIMCP Ing. RUBÉN HIDALGO al Rector Dr. Moisés Tacle, contentiva de su </w:t>
      </w:r>
      <w:r w:rsidRPr="00AA00A9">
        <w:rPr>
          <w:rFonts w:ascii="Times New Roman" w:hAnsi="Times New Roman" w:cs="Times New Roman"/>
          <w:b/>
          <w:lang w:eastAsia="es-EC"/>
        </w:rPr>
        <w:t>INFORME de ACTIVIDADES</w:t>
      </w:r>
      <w:r w:rsidRPr="00AA00A9">
        <w:rPr>
          <w:rFonts w:ascii="Times New Roman" w:hAnsi="Times New Roman" w:cs="Times New Roman"/>
          <w:lang w:eastAsia="es-EC"/>
        </w:rPr>
        <w:t xml:space="preserve"> realizadas en la “</w:t>
      </w:r>
      <w:r w:rsidRPr="00AA00A9">
        <w:rPr>
          <w:rFonts w:ascii="Times New Roman" w:hAnsi="Times New Roman" w:cs="Times New Roman"/>
          <w:i/>
          <w:lang w:eastAsia="es-EC"/>
        </w:rPr>
        <w:t>Primera Competencia Latinoamericana de Vehículos Solares”</w:t>
      </w:r>
      <w:r w:rsidRPr="00AA00A9">
        <w:rPr>
          <w:rFonts w:ascii="Times New Roman" w:hAnsi="Times New Roman" w:cs="Times New Roman"/>
          <w:lang w:eastAsia="es-EC"/>
        </w:rPr>
        <w:t xml:space="preserve"> en ‘Desierto de Atacama’/Chile, </w:t>
      </w:r>
      <w:r w:rsidRPr="00AA00A9">
        <w:rPr>
          <w:rFonts w:ascii="Times New Roman" w:hAnsi="Times New Roman" w:cs="Times New Roman"/>
          <w:b/>
          <w:lang w:eastAsia="es-EC"/>
        </w:rPr>
        <w:t>del 18 de septiembre    al 6 de octubre de 2011</w:t>
      </w:r>
      <w:r w:rsidRPr="00AA00A9">
        <w:rPr>
          <w:rFonts w:ascii="Times New Roman" w:hAnsi="Times New Roman" w:cs="Times New Roman"/>
          <w:lang w:eastAsia="es-EC"/>
        </w:rPr>
        <w:t>; resolviéndose APROBAR éste.</w:t>
      </w:r>
    </w:p>
    <w:p w:rsidR="00D52CB4" w:rsidRPr="00CB5483" w:rsidRDefault="00D52CB4" w:rsidP="00CB5483">
      <w:pPr>
        <w:spacing w:after="0" w:line="240" w:lineRule="auto"/>
        <w:ind w:left="1080" w:right="-1" w:hanging="1080"/>
        <w:jc w:val="both"/>
        <w:rPr>
          <w:rFonts w:ascii="Times New Roman" w:hAnsi="Times New Roman" w:cs="Times New Roman"/>
          <w:bCs/>
          <w:sz w:val="24"/>
          <w:szCs w:val="24"/>
          <w:lang w:eastAsia="es-EC"/>
        </w:rPr>
      </w:pPr>
    </w:p>
    <w:p w:rsidR="00D52CB4" w:rsidRPr="00A11111" w:rsidRDefault="00D52CB4" w:rsidP="00A11111">
      <w:pPr>
        <w:spacing w:after="0" w:line="240" w:lineRule="auto"/>
        <w:ind w:left="1080" w:right="-1" w:hanging="1080"/>
        <w:jc w:val="both"/>
        <w:rPr>
          <w:rFonts w:ascii="Times New Roman" w:hAnsi="Times New Roman" w:cs="Times New Roman"/>
          <w:bCs/>
          <w:sz w:val="24"/>
          <w:szCs w:val="24"/>
          <w:lang w:eastAsia="es-EC"/>
        </w:rPr>
      </w:pPr>
      <w:r w:rsidRPr="00AA00A9">
        <w:rPr>
          <w:rFonts w:ascii="Times New Roman" w:hAnsi="Times New Roman" w:cs="Times New Roman"/>
          <w:b/>
          <w:sz w:val="20"/>
          <w:szCs w:val="20"/>
          <w:u w:val="single"/>
          <w:lang w:eastAsia="es-EC"/>
        </w:rPr>
        <w:t>11-12-440</w:t>
      </w:r>
      <w:r w:rsidRPr="00AA00A9">
        <w:rPr>
          <w:rFonts w:ascii="Times New Roman" w:hAnsi="Times New Roman" w:cs="Times New Roman"/>
          <w:b/>
          <w:sz w:val="20"/>
          <w:szCs w:val="20"/>
          <w:lang w:eastAsia="es-EC"/>
        </w:rPr>
        <w:t>.-</w:t>
      </w:r>
      <w:r w:rsidRPr="00AA00A9">
        <w:rPr>
          <w:rFonts w:ascii="Times New Roman" w:hAnsi="Times New Roman" w:cs="Times New Roman"/>
          <w:b/>
          <w:sz w:val="24"/>
          <w:szCs w:val="24"/>
          <w:lang w:eastAsia="es-EC"/>
        </w:rPr>
        <w:t xml:space="preserve"> </w:t>
      </w:r>
      <w:r w:rsidRPr="00AA00A9">
        <w:rPr>
          <w:rFonts w:ascii="Times New Roman" w:hAnsi="Times New Roman" w:cs="Times New Roman"/>
          <w:bCs/>
        </w:rPr>
        <w:t xml:space="preserve">Se conoce y se APRUEBA el </w:t>
      </w:r>
      <w:r w:rsidRPr="00AA00A9">
        <w:rPr>
          <w:rFonts w:ascii="Times New Roman" w:hAnsi="Times New Roman" w:cs="Times New Roman"/>
          <w:b/>
          <w:bCs/>
        </w:rPr>
        <w:t>INFORME de ACTIVIDADES</w:t>
      </w:r>
      <w:r w:rsidRPr="00AA00A9">
        <w:rPr>
          <w:rFonts w:ascii="Times New Roman" w:hAnsi="Times New Roman" w:cs="Times New Roman"/>
          <w:bCs/>
        </w:rPr>
        <w:t xml:space="preserve"> </w:t>
      </w:r>
      <w:r w:rsidRPr="00AA00A9">
        <w:rPr>
          <w:rFonts w:ascii="Times New Roman" w:hAnsi="Times New Roman" w:cs="Times New Roman"/>
          <w:sz w:val="24"/>
          <w:szCs w:val="24"/>
          <w:lang w:eastAsia="es-EC"/>
        </w:rPr>
        <w:t xml:space="preserve">en </w:t>
      </w:r>
      <w:r w:rsidRPr="00AA00A9">
        <w:rPr>
          <w:rFonts w:ascii="Times New Roman" w:hAnsi="Times New Roman" w:cs="Times New Roman"/>
          <w:lang w:eastAsia="es-EC"/>
        </w:rPr>
        <w:t xml:space="preserve">el </w:t>
      </w:r>
      <w:r w:rsidRPr="00AA00A9">
        <w:rPr>
          <w:rFonts w:ascii="Times New Roman" w:hAnsi="Times New Roman" w:cs="Times New Roman"/>
          <w:sz w:val="24"/>
          <w:szCs w:val="24"/>
          <w:lang w:eastAsia="es-EC"/>
        </w:rPr>
        <w:t>seminario “</w:t>
      </w:r>
      <w:r w:rsidRPr="00AA00A9">
        <w:rPr>
          <w:rFonts w:ascii="Times New Roman" w:hAnsi="Times New Roman" w:cs="Times New Roman"/>
          <w:i/>
          <w:sz w:val="24"/>
          <w:szCs w:val="24"/>
          <w:lang w:eastAsia="es-EC"/>
        </w:rPr>
        <w:t xml:space="preserve">Visibilidad Internacional de la Investigación” organizado por </w:t>
      </w:r>
      <w:r w:rsidRPr="00AA00A9">
        <w:rPr>
          <w:rFonts w:ascii="Times New Roman" w:hAnsi="Times New Roman" w:cs="Times New Roman"/>
          <w:lang w:eastAsia="es-EC"/>
        </w:rPr>
        <w:t>‘</w:t>
      </w:r>
      <w:r w:rsidRPr="00AA00A9">
        <w:rPr>
          <w:rFonts w:ascii="Times New Roman" w:hAnsi="Times New Roman" w:cs="Times New Roman"/>
          <w:i/>
          <w:sz w:val="24"/>
          <w:szCs w:val="24"/>
          <w:lang w:eastAsia="es-EC"/>
        </w:rPr>
        <w:t>Universia</w:t>
      </w:r>
      <w:r w:rsidRPr="00AA00A9">
        <w:rPr>
          <w:rFonts w:ascii="Times New Roman" w:hAnsi="Times New Roman" w:cs="Times New Roman"/>
          <w:lang w:eastAsia="es-EC"/>
        </w:rPr>
        <w:t>’</w:t>
      </w:r>
      <w:r w:rsidRPr="00AA00A9">
        <w:rPr>
          <w:rFonts w:ascii="Times New Roman" w:hAnsi="Times New Roman" w:cs="Times New Roman"/>
          <w:i/>
          <w:sz w:val="24"/>
          <w:szCs w:val="24"/>
          <w:lang w:eastAsia="es-EC"/>
        </w:rPr>
        <w:t xml:space="preserve"> y </w:t>
      </w:r>
      <w:r w:rsidRPr="00AA00A9">
        <w:rPr>
          <w:rFonts w:ascii="Times New Roman" w:hAnsi="Times New Roman" w:cs="Times New Roman"/>
          <w:lang w:eastAsia="es-EC"/>
        </w:rPr>
        <w:t>‘</w:t>
      </w:r>
      <w:r w:rsidRPr="00AA00A9">
        <w:rPr>
          <w:rFonts w:ascii="Times New Roman" w:hAnsi="Times New Roman" w:cs="Times New Roman"/>
          <w:i/>
          <w:sz w:val="24"/>
          <w:szCs w:val="24"/>
          <w:lang w:eastAsia="es-EC"/>
        </w:rPr>
        <w:t>Scimago</w:t>
      </w:r>
      <w:r w:rsidRPr="00AA00A9">
        <w:rPr>
          <w:rFonts w:ascii="Times New Roman" w:hAnsi="Times New Roman" w:cs="Times New Roman"/>
          <w:lang w:eastAsia="es-EC"/>
        </w:rPr>
        <w:t xml:space="preserve">’ </w:t>
      </w:r>
      <w:r w:rsidRPr="00AA00A9">
        <w:rPr>
          <w:rFonts w:ascii="Times New Roman" w:hAnsi="Times New Roman" w:cs="Times New Roman"/>
          <w:bCs/>
        </w:rPr>
        <w:t xml:space="preserve">”, realizadas por el Director de Centro de Investigaciones Científicas y Tecnológicas - CICYT Dr. Jorge Calderón V. en Miami/Estados Unidos </w:t>
      </w:r>
      <w:r w:rsidRPr="00AA00A9">
        <w:rPr>
          <w:rFonts w:ascii="Times New Roman" w:hAnsi="Times New Roman" w:cs="Times New Roman"/>
          <w:b/>
          <w:bCs/>
        </w:rPr>
        <w:t>del 21 al 24 de noviembre de 2011,</w:t>
      </w:r>
      <w:r w:rsidRPr="00AA00A9">
        <w:rPr>
          <w:rFonts w:ascii="Times New Roman" w:hAnsi="Times New Roman" w:cs="Times New Roman"/>
          <w:bCs/>
        </w:rPr>
        <w:t xml:space="preserve"> adjuntado al oficio CICYT Nº 326-2011 de diciembre 6 de 2011 que dirige al Rector Dr. Moisés Tacle.</w:t>
      </w:r>
    </w:p>
    <w:p w:rsidR="00D52CB4" w:rsidRDefault="00D52CB4" w:rsidP="00231EC8">
      <w:pPr>
        <w:pStyle w:val="NoSpacing"/>
        <w:ind w:left="1080" w:hanging="1080"/>
        <w:jc w:val="both"/>
        <w:rPr>
          <w:b/>
          <w:sz w:val="20"/>
          <w:szCs w:val="20"/>
          <w:lang w:eastAsia="es-EC"/>
        </w:rPr>
      </w:pPr>
    </w:p>
    <w:p w:rsidR="00D52CB4" w:rsidRDefault="00D52CB4" w:rsidP="00231EC8">
      <w:pPr>
        <w:pStyle w:val="NoSpacing"/>
        <w:ind w:left="1080" w:hanging="1080"/>
        <w:jc w:val="both"/>
        <w:rPr>
          <w:b/>
          <w:sz w:val="20"/>
          <w:szCs w:val="20"/>
          <w:lang w:eastAsia="es-EC"/>
        </w:rPr>
      </w:pPr>
    </w:p>
    <w:p w:rsidR="00D52CB4" w:rsidRPr="00684EE8" w:rsidRDefault="00D52CB4" w:rsidP="00A11111">
      <w:pPr>
        <w:pStyle w:val="NoSpacing"/>
        <w:jc w:val="center"/>
        <w:rPr>
          <w:b/>
          <w:sz w:val="22"/>
          <w:szCs w:val="22"/>
          <w:lang w:eastAsia="es-EC"/>
        </w:rPr>
      </w:pPr>
      <w:r w:rsidRPr="00684EE8">
        <w:rPr>
          <w:b/>
          <w:sz w:val="22"/>
          <w:szCs w:val="22"/>
          <w:lang w:eastAsia="es-EC"/>
        </w:rPr>
        <w:t>NOTA: Estas Resoluciones pueden ser consultadas en la dirección de Internet:</w:t>
      </w:r>
    </w:p>
    <w:p w:rsidR="00D52CB4" w:rsidRPr="00684EE8" w:rsidRDefault="00D52CB4" w:rsidP="00A11111">
      <w:pPr>
        <w:pStyle w:val="NoSpacing"/>
        <w:jc w:val="center"/>
        <w:rPr>
          <w:b/>
          <w:sz w:val="22"/>
          <w:szCs w:val="22"/>
        </w:rPr>
      </w:pPr>
      <w:r w:rsidRPr="00684EE8">
        <w:rPr>
          <w:b/>
          <w:sz w:val="22"/>
          <w:szCs w:val="22"/>
        </w:rPr>
        <w:t>www.dspace.espol.edu.ec</w:t>
      </w:r>
    </w:p>
    <w:sectPr w:rsidR="00D52CB4" w:rsidRPr="00684EE8" w:rsidSect="00120672">
      <w:pgSz w:w="12240" w:h="15840"/>
      <w:pgMar w:top="1440" w:right="1440" w:bottom="72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latino Linotype">
    <w:panose1 w:val="02040502050505030304"/>
    <w:charset w:val="00"/>
    <w:family w:val="roman"/>
    <w:pitch w:val="variable"/>
    <w:sig w:usb0="E0000387" w:usb1="40000013" w:usb2="00000000" w:usb3="00000000" w:csb0="0000019F" w:csb1="00000000"/>
  </w:font>
  <w:font w:name="AriL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61CBA"/>
    <w:multiLevelType w:val="hybridMultilevel"/>
    <w:tmpl w:val="1B249654"/>
    <w:lvl w:ilvl="0" w:tplc="A34C0212">
      <w:start w:val="1"/>
      <w:numFmt w:val="upperRoman"/>
      <w:lvlText w:val="%1."/>
      <w:lvlJc w:val="left"/>
      <w:pPr>
        <w:ind w:left="1755" w:hanging="720"/>
      </w:pPr>
      <w:rPr>
        <w:rFonts w:cs="Times New Roman" w:hint="default"/>
        <w:b/>
      </w:rPr>
    </w:lvl>
    <w:lvl w:ilvl="1" w:tplc="04090019" w:tentative="1">
      <w:start w:val="1"/>
      <w:numFmt w:val="lowerLetter"/>
      <w:lvlText w:val="%2."/>
      <w:lvlJc w:val="left"/>
      <w:pPr>
        <w:ind w:left="2115" w:hanging="360"/>
      </w:pPr>
      <w:rPr>
        <w:rFonts w:cs="Times New Roman"/>
      </w:rPr>
    </w:lvl>
    <w:lvl w:ilvl="2" w:tplc="0409001B" w:tentative="1">
      <w:start w:val="1"/>
      <w:numFmt w:val="lowerRoman"/>
      <w:lvlText w:val="%3."/>
      <w:lvlJc w:val="right"/>
      <w:pPr>
        <w:ind w:left="2835" w:hanging="180"/>
      </w:pPr>
      <w:rPr>
        <w:rFonts w:cs="Times New Roman"/>
      </w:rPr>
    </w:lvl>
    <w:lvl w:ilvl="3" w:tplc="0409000F" w:tentative="1">
      <w:start w:val="1"/>
      <w:numFmt w:val="decimal"/>
      <w:lvlText w:val="%4."/>
      <w:lvlJc w:val="left"/>
      <w:pPr>
        <w:ind w:left="3555" w:hanging="360"/>
      </w:pPr>
      <w:rPr>
        <w:rFonts w:cs="Times New Roman"/>
      </w:rPr>
    </w:lvl>
    <w:lvl w:ilvl="4" w:tplc="04090019" w:tentative="1">
      <w:start w:val="1"/>
      <w:numFmt w:val="lowerLetter"/>
      <w:lvlText w:val="%5."/>
      <w:lvlJc w:val="left"/>
      <w:pPr>
        <w:ind w:left="4275" w:hanging="360"/>
      </w:pPr>
      <w:rPr>
        <w:rFonts w:cs="Times New Roman"/>
      </w:rPr>
    </w:lvl>
    <w:lvl w:ilvl="5" w:tplc="0409001B" w:tentative="1">
      <w:start w:val="1"/>
      <w:numFmt w:val="lowerRoman"/>
      <w:lvlText w:val="%6."/>
      <w:lvlJc w:val="right"/>
      <w:pPr>
        <w:ind w:left="4995" w:hanging="180"/>
      </w:pPr>
      <w:rPr>
        <w:rFonts w:cs="Times New Roman"/>
      </w:rPr>
    </w:lvl>
    <w:lvl w:ilvl="6" w:tplc="0409000F" w:tentative="1">
      <w:start w:val="1"/>
      <w:numFmt w:val="decimal"/>
      <w:lvlText w:val="%7."/>
      <w:lvlJc w:val="left"/>
      <w:pPr>
        <w:ind w:left="5715" w:hanging="360"/>
      </w:pPr>
      <w:rPr>
        <w:rFonts w:cs="Times New Roman"/>
      </w:rPr>
    </w:lvl>
    <w:lvl w:ilvl="7" w:tplc="04090019" w:tentative="1">
      <w:start w:val="1"/>
      <w:numFmt w:val="lowerLetter"/>
      <w:lvlText w:val="%8."/>
      <w:lvlJc w:val="left"/>
      <w:pPr>
        <w:ind w:left="6435" w:hanging="360"/>
      </w:pPr>
      <w:rPr>
        <w:rFonts w:cs="Times New Roman"/>
      </w:rPr>
    </w:lvl>
    <w:lvl w:ilvl="8" w:tplc="0409001B" w:tentative="1">
      <w:start w:val="1"/>
      <w:numFmt w:val="lowerRoman"/>
      <w:lvlText w:val="%9."/>
      <w:lvlJc w:val="right"/>
      <w:pPr>
        <w:ind w:left="7155" w:hanging="180"/>
      </w:pPr>
      <w:rPr>
        <w:rFonts w:cs="Times New Roman"/>
      </w:rPr>
    </w:lvl>
  </w:abstractNum>
  <w:abstractNum w:abstractNumId="1">
    <w:nsid w:val="624D6FDB"/>
    <w:multiLevelType w:val="hybridMultilevel"/>
    <w:tmpl w:val="88E2B572"/>
    <w:lvl w:ilvl="0" w:tplc="FC5014F6">
      <w:start w:val="1"/>
      <w:numFmt w:val="upperRoman"/>
      <w:lvlText w:val="%1."/>
      <w:lvlJc w:val="left"/>
      <w:pPr>
        <w:ind w:left="1710" w:hanging="720"/>
      </w:pPr>
      <w:rPr>
        <w:rFonts w:cs="Times New Roman" w:hint="default"/>
        <w:b/>
      </w:rPr>
    </w:lvl>
    <w:lvl w:ilvl="1" w:tplc="04090019" w:tentative="1">
      <w:start w:val="1"/>
      <w:numFmt w:val="lowerLetter"/>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0672"/>
    <w:rsid w:val="000527C2"/>
    <w:rsid w:val="000C2263"/>
    <w:rsid w:val="000D5A63"/>
    <w:rsid w:val="000E3E1F"/>
    <w:rsid w:val="00120672"/>
    <w:rsid w:val="00120CC8"/>
    <w:rsid w:val="00136598"/>
    <w:rsid w:val="00230843"/>
    <w:rsid w:val="00231EC8"/>
    <w:rsid w:val="00235D3B"/>
    <w:rsid w:val="002F0EA5"/>
    <w:rsid w:val="003B25BC"/>
    <w:rsid w:val="003B2607"/>
    <w:rsid w:val="003C6F14"/>
    <w:rsid w:val="004921B3"/>
    <w:rsid w:val="00493F6A"/>
    <w:rsid w:val="004A005C"/>
    <w:rsid w:val="004A029F"/>
    <w:rsid w:val="004C5D37"/>
    <w:rsid w:val="00510408"/>
    <w:rsid w:val="0053151F"/>
    <w:rsid w:val="005455CB"/>
    <w:rsid w:val="00571231"/>
    <w:rsid w:val="00603F56"/>
    <w:rsid w:val="00684EE8"/>
    <w:rsid w:val="007353FC"/>
    <w:rsid w:val="00740CE5"/>
    <w:rsid w:val="0076545F"/>
    <w:rsid w:val="007962AE"/>
    <w:rsid w:val="00812CC1"/>
    <w:rsid w:val="00934943"/>
    <w:rsid w:val="00941DA7"/>
    <w:rsid w:val="00956C34"/>
    <w:rsid w:val="009730E8"/>
    <w:rsid w:val="00985F3E"/>
    <w:rsid w:val="009A1768"/>
    <w:rsid w:val="00A11111"/>
    <w:rsid w:val="00A73B77"/>
    <w:rsid w:val="00AA00A9"/>
    <w:rsid w:val="00AA49F8"/>
    <w:rsid w:val="00AE21E8"/>
    <w:rsid w:val="00AE3881"/>
    <w:rsid w:val="00B7313B"/>
    <w:rsid w:val="00B82473"/>
    <w:rsid w:val="00C2127B"/>
    <w:rsid w:val="00CB5483"/>
    <w:rsid w:val="00D52CB4"/>
    <w:rsid w:val="00E4439E"/>
    <w:rsid w:val="00E67903"/>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31"/>
    <w:pPr>
      <w:spacing w:after="200" w:line="276" w:lineRule="auto"/>
    </w:pPr>
    <w:rPr>
      <w:rFonts w:cs="Calibri"/>
      <w:lang w:val="es-EC"/>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120672"/>
    <w:rPr>
      <w:rFonts w:ascii="Times New Roman" w:hAnsi="Times New Roman"/>
      <w:sz w:val="24"/>
      <w:szCs w:val="24"/>
    </w:rPr>
  </w:style>
  <w:style w:type="paragraph" w:customStyle="1" w:styleId="Sinespaciado1">
    <w:name w:val="Sin espaciado1"/>
    <w:uiPriority w:val="99"/>
    <w:rsid w:val="00571231"/>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4</Pages>
  <Words>2409</Words>
  <Characters>13254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RESOLUCIONES ADOPTADAS POR EL CONSEJO POLITÉCNICO EN SESIÓN REALIZADA EL DÍA MARTES 20 DE DICIEMBRE DE 2011</dc:title>
  <dc:subject/>
  <dc:creator>ccarcele</dc:creator>
  <cp:keywords/>
  <dc:description/>
  <cp:lastModifiedBy>talvarad</cp:lastModifiedBy>
  <cp:revision>5</cp:revision>
  <dcterms:created xsi:type="dcterms:W3CDTF">2011-12-27T19:39:00Z</dcterms:created>
  <dcterms:modified xsi:type="dcterms:W3CDTF">2011-12-29T15:08:00Z</dcterms:modified>
</cp:coreProperties>
</file>