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C4CB2" w:rsidRPr="009C4CB2" w:rsidTr="009C4CB2">
        <w:trPr>
          <w:tblCellSpacing w:w="0" w:type="dxa"/>
        </w:trPr>
        <w:tc>
          <w:tcPr>
            <w:tcW w:w="7485" w:type="dxa"/>
            <w:gridSpan w:val="2"/>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r w:rsidRPr="009C4CB2">
              <w:rPr>
                <w:rFonts w:ascii="Verdana" w:eastAsia="Times New Roman" w:hAnsi="Verdana" w:cs="Times New Roman"/>
                <w:b/>
                <w:bCs/>
                <w:sz w:val="20"/>
                <w:szCs w:val="20"/>
                <w:lang w:eastAsia="es-ES"/>
              </w:rPr>
              <w:t>Resoluciones #069 - #079</w:t>
            </w:r>
          </w:p>
        </w:tc>
      </w:tr>
      <w:tr w:rsidR="009C4CB2" w:rsidRPr="009C4CB2" w:rsidTr="009C4CB2">
        <w:trPr>
          <w:tblCellSpacing w:w="0" w:type="dxa"/>
        </w:trPr>
        <w:tc>
          <w:tcPr>
            <w:tcW w:w="1245" w:type="dxa"/>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p>
        </w:tc>
        <w:tc>
          <w:tcPr>
            <w:tcW w:w="6240" w:type="dxa"/>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C4CB2" w:rsidRPr="009C4CB2" w:rsidRDefault="009C4CB2" w:rsidP="009C4CB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C4CB2" w:rsidRPr="009C4CB2" w:rsidTr="009C4CB2">
        <w:trPr>
          <w:trHeight w:val="15"/>
          <w:tblCellSpacing w:w="0" w:type="dxa"/>
        </w:trPr>
        <w:tc>
          <w:tcPr>
            <w:tcW w:w="15" w:type="dxa"/>
            <w:shd w:val="clear" w:color="auto" w:fill="000033"/>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C4CB2" w:rsidRPr="009C4CB2" w:rsidRDefault="009C4CB2" w:rsidP="009C4C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C4CB2" w:rsidRPr="009C4CB2" w:rsidRDefault="009C4CB2" w:rsidP="009C4C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C4CB2" w:rsidRPr="009C4CB2" w:rsidRDefault="009C4CB2" w:rsidP="009C4C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C4CB2" w:rsidRPr="009C4CB2" w:rsidTr="009C4CB2">
        <w:trPr>
          <w:tblCellSpacing w:w="0" w:type="dxa"/>
        </w:trPr>
        <w:tc>
          <w:tcPr>
            <w:tcW w:w="15" w:type="dxa"/>
            <w:shd w:val="clear" w:color="auto" w:fill="000033"/>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C4CB2" w:rsidRPr="009C4CB2">
              <w:trPr>
                <w:tblCellSpacing w:w="22" w:type="dxa"/>
              </w:trPr>
              <w:tc>
                <w:tcPr>
                  <w:tcW w:w="8145" w:type="dxa"/>
                  <w:hideMark/>
                </w:tcPr>
                <w:p w:rsidR="009C4CB2" w:rsidRPr="009C4CB2" w:rsidRDefault="009C4CB2" w:rsidP="009C4CB2">
                  <w:pPr>
                    <w:spacing w:after="0" w:line="240" w:lineRule="auto"/>
                    <w:rPr>
                      <w:rFonts w:ascii="Times New Roman" w:eastAsia="Times New Roman" w:hAnsi="Times New Roman" w:cs="Times New Roman"/>
                      <w:sz w:val="24"/>
                      <w:szCs w:val="24"/>
                      <w:lang w:eastAsia="es-ES"/>
                    </w:rPr>
                  </w:pP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7"/>
                      <w:szCs w:val="27"/>
                      <w:lang w:eastAsia="es-ES"/>
                    </w:rPr>
                    <w:t>1</w:t>
                  </w:r>
                </w:p>
                <w:p w:rsidR="009C4CB2" w:rsidRPr="009C4CB2" w:rsidRDefault="009C4CB2" w:rsidP="009C4CB2">
                  <w:pPr>
                    <w:spacing w:after="0" w:line="240" w:lineRule="auto"/>
                    <w:jc w:val="center"/>
                    <w:rPr>
                      <w:rFonts w:ascii="Times New Roman" w:eastAsia="Times New Roman" w:hAnsi="Times New Roman" w:cs="Times New Roman"/>
                      <w:sz w:val="24"/>
                      <w:szCs w:val="24"/>
                      <w:lang w:eastAsia="es-ES"/>
                    </w:rPr>
                  </w:pPr>
                  <w:r w:rsidRPr="009C4CB2">
                    <w:rPr>
                      <w:rFonts w:ascii="Times New Roman" w:eastAsia="Times New Roman" w:hAnsi="Times New Roman" w:cs="Times New Roman"/>
                      <w:b/>
                      <w:bCs/>
                      <w:sz w:val="27"/>
                      <w:szCs w:val="27"/>
                      <w:lang w:eastAsia="es-ES"/>
                    </w:rPr>
                    <w:t>RESOLUCIONES TOMADAS POR EL CONSEJO POLITÉCNICO EN SESIÓN REALIZADA EL DÍA 20 DE MARZO DE 2007</w:t>
                  </w:r>
                </w:p>
                <w:p w:rsidR="009C4CB2" w:rsidRPr="009C4CB2" w:rsidRDefault="009C4CB2" w:rsidP="009C4CB2">
                  <w:pPr>
                    <w:spacing w:after="0" w:line="240" w:lineRule="auto"/>
                    <w:rPr>
                      <w:rFonts w:ascii="Times New Roman" w:eastAsia="Times New Roman" w:hAnsi="Times New Roman" w:cs="Times New Roman"/>
                      <w:sz w:val="24"/>
                      <w:szCs w:val="24"/>
                      <w:lang w:eastAsia="es-ES"/>
                    </w:rPr>
                  </w:pP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07-03-069</w:t>
                  </w:r>
                  <w:r w:rsidRPr="009C4CB2">
                    <w:rPr>
                      <w:rFonts w:ascii="Times New Roman" w:eastAsia="Times New Roman" w:hAnsi="Times New Roman" w:cs="Times New Roman"/>
                      <w:b/>
                      <w:bCs/>
                      <w:sz w:val="20"/>
                      <w:szCs w:val="20"/>
                      <w:lang w:eastAsia="es-ES"/>
                    </w:rPr>
                    <w:t xml:space="preserve">.- </w:t>
                  </w:r>
                  <w:r w:rsidRPr="009C4CB2">
                    <w:rPr>
                      <w:rFonts w:ascii="Times New Roman" w:eastAsia="Times New Roman" w:hAnsi="Times New Roman" w:cs="Times New Roman"/>
                      <w:sz w:val="20"/>
                      <w:szCs w:val="20"/>
                      <w:lang w:eastAsia="es-ES"/>
                    </w:rPr>
                    <w:t>APROBAR el ACTA de la SESIÓN realizada por el CONSEJO POLITÉCNICO el día 6 de MARZO de 2007.</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07-03-070</w:t>
                  </w:r>
                  <w:r w:rsidRPr="009C4CB2">
                    <w:rPr>
                      <w:rFonts w:ascii="Times New Roman" w:eastAsia="Times New Roman" w:hAnsi="Times New Roman" w:cs="Times New Roman"/>
                      <w:sz w:val="20"/>
                      <w:szCs w:val="20"/>
                      <w:lang w:eastAsia="es-ES"/>
                    </w:rPr>
                    <w:t>.- CONOCER y APROBAR las RESOLUCIONES de la COMISIÓN ACADÉMICA correspondientes a las SESIONES celebradas los días 12, 13 y 19 de MARZO de 2007.</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07-03-071</w:t>
                  </w:r>
                  <w:r w:rsidRPr="009C4CB2">
                    <w:rPr>
                      <w:rFonts w:ascii="Times New Roman" w:eastAsia="Times New Roman" w:hAnsi="Times New Roman" w:cs="Times New Roman"/>
                      <w:sz w:val="20"/>
                      <w:szCs w:val="20"/>
                      <w:lang w:eastAsia="es-ES"/>
                    </w:rPr>
                    <w:t>.- CONOCER y APROBAR las RESOLUCIONES tomadas por la COMISIÓN de INGRESO en la SESIÓN efectuada el 25 de ENERO de 2007.</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07-03-072</w:t>
                  </w:r>
                  <w:r w:rsidRPr="009C4CB2">
                    <w:rPr>
                      <w:rFonts w:ascii="Times New Roman" w:eastAsia="Times New Roman" w:hAnsi="Times New Roman" w:cs="Times New Roman"/>
                      <w:sz w:val="20"/>
                      <w:szCs w:val="20"/>
                      <w:lang w:eastAsia="es-ES"/>
                    </w:rPr>
                    <w:t>.- CONOCER el INFORME del RECTOR de la Institución sobre actividades oficiales cumplidas en la última semana y que están referidas a:</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a) La visita que la Embajadora de los Estados Unidos en Ecuador, Sra. Linda J. Jewell, hará a la ESPOL el próximo jueves 29 del mes en curso se aprovechará de esta importante visita para hacer entrega del Reconocimiento que este Consejo resolvió otorgar a la Fundación Fulbright del Ecuador. La Embajadora Jewell visitará, de acuerdo al tiempo de su permanencia, dos o tres unidades de la ESPOL, por lo que invita a los miembros del Consejo Politécnico para que asistan a las 10h00 del jueves 29 de marzo/07 a la Sesión Especial a efectuarse con este motivo.</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b) De acuerdo a la información que ya diera al Consejo, el pasado jueves 15 de marzo se firmó el “Acuerdo de Colaboración entre el Programa de Canje de Deuda Ecuador-España y la ESPOL para la ejecución del Proyecto “DE TAL PALO TAL ASTILLA”, que contempla la subvención de US$ 1´000.422.00 (un millón cuatrocientos veintidós dólares de los Estados Unidos de América) a favor de la ESPOL, el que desde ayer comenzó a aplicarse en los cantones manabitas de Olmedo y Paján pero cuyo lanzamiento oficial se hará en acto especial a efectuarse en Portoviejo los próximos días. Esta prórroga se debe a que el Prefecto de Manabí ha invitado al Embajador de España en Ecuador, quien al momento se encuentra de vacaciones en su país.</w:t>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A este Proyecto de Condonación de la Deuda de Ecuador con España aplicaron 8 o 9 proyectos, siendo uno de ellos el de la ESPOL. Este Programa tiene un financiamiento total de 20 millones de dólares, de los cuales US$1´000.422.00 corresponden a la ESPOL con el Proyecto “De tal Palo, tal Astilla”.</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c) La ESPOL ha sido seleccionada por el Banco Mundial (BIRF) para ser ejecutora, conjuntamente con la Universidad de Virginia, dentro del marco del Convenio suscrito entre la ESPOL y la mencionada Universidad de Estados Unidos del Proyecto “Galápagos y Costa del Ecuador”. Este proyecto es financiado, con un préstamo no reembolsable que concede el Gobierno del Japón, por un monto de $820.00 para la preparación del Proyecto mencionado.</w:t>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La idea principal de preparar un proyecto macro por 30 millones de dólares, en el cual el Gobierno deberá aceptar esta ayuda, considerándose que no habrá contratiempo, dado el carácter de esta inversión.</w:t>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Esta es una buena noticia, pues este proyecto, de realizarse, fortalece la imagen de la ESPOL en varios frentes.</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Resoluciones C.P. 20 marzo/07 2.</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 xml:space="preserve">d) Informa al Consejo que en la semana anterior se presentó ante el Tribunal Supremo Electoral la última versión del proceso Voto Electrónico desarrollado por la ESPOL, que utiliza técnicas muy avanzadas, pues, se han resuelto todos los problemas e inquietudes que se presentaron durante su utilización. El equipo, incluído en un maletín de aluminio puede ser trasladado a cualquier parte del país para que cumpla a satisfacción el propósito. Señala que el Director del Centro de Cómputo del Tribunal Supremo Electoral manifestó su satisfacción, pues, apuntó que se han detectado 110 formas de manipular el sistema pero que el proyecto de la ESPOL las ha resuelto, lo que implica la alta calidad del </w:t>
                  </w:r>
                  <w:r w:rsidRPr="009C4CB2">
                    <w:rPr>
                      <w:rFonts w:ascii="Times New Roman" w:eastAsia="Times New Roman" w:hAnsi="Times New Roman" w:cs="Times New Roman"/>
                      <w:sz w:val="20"/>
                      <w:szCs w:val="20"/>
                      <w:lang w:eastAsia="es-ES"/>
                    </w:rPr>
                    <w:lastRenderedPageBreak/>
                    <w:t>proceso que propone la ESPOL.</w:t>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Se considera que hay posibilidades de que, se utilice este sistema de la ESPOL en la Elección de Asambleístas a realizarse en octubre de este año.</w:t>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e) Finalmente, reitera la invitación a todos los miembros de la comunidad politécnica a que presenten sus inquietudes y sugerencias para ser trasladadas a la Comisión encargada de elaborar el proyecto de Constitución a ser presentada a la Asamblea Constituyente. Recuerda que esta Comisión fue designada por el CONESUP a solicitud del Presidente de la República y es conveniente que los estamentos de la ESPOL presenten sus recomendaciones o proyectos.</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07-03-073</w:t>
                  </w:r>
                  <w:r w:rsidRPr="009C4CB2">
                    <w:rPr>
                      <w:rFonts w:ascii="Times New Roman" w:eastAsia="Times New Roman" w:hAnsi="Times New Roman" w:cs="Times New Roman"/>
                      <w:sz w:val="20"/>
                      <w:szCs w:val="20"/>
                      <w:lang w:eastAsia="es-ES"/>
                    </w:rPr>
                    <w:t xml:space="preserve">.- APROBAR el REGLAMENTO del CENTRO de DESARROLLO SOCIAL APLICADO, el mismo que consta de 5 capítulos y 15 artículos. </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07-03-074</w:t>
                  </w:r>
                  <w:r w:rsidRPr="009C4CB2">
                    <w:rPr>
                      <w:rFonts w:ascii="Times New Roman" w:eastAsia="Times New Roman" w:hAnsi="Times New Roman" w:cs="Times New Roman"/>
                      <w:sz w:val="20"/>
                      <w:szCs w:val="20"/>
                      <w:lang w:eastAsia="es-ES"/>
                    </w:rPr>
                    <w:t>.- DESIGNAR al Ing. Com. ISACIO ROBLES PINCAY, como REPRESENTANTE ALTERNO de los TRABAJADORES ante el TRIBUNAL DE DISCIPLINA de la ESPOL, en reemplazo de la Lic. LETICIA MAYORGA ZÚÑIGA, cuya excusa fuera aceptada.</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07-03-075</w:t>
                  </w:r>
                  <w:r w:rsidRPr="009C4CB2">
                    <w:rPr>
                      <w:rFonts w:ascii="Times New Roman" w:eastAsia="Times New Roman" w:hAnsi="Times New Roman" w:cs="Times New Roman"/>
                      <w:sz w:val="20"/>
                      <w:szCs w:val="20"/>
                      <w:lang w:eastAsia="es-ES"/>
                    </w:rPr>
                    <w:t>.- APROBAR las REFORMAS al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que asciende a US$ 9,767,730,362.12.</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Estas reformas se aprueban de conformidad con los montos consignados en el Oficio No. As.Ju-082, de fecha 19 de marzo de 2007, en el que se establece que serán sujetos de convocatoria a LICITACIÓN cuando el egreso sea superior a US$390,709.21 y a Concurso Público de Ofertas cuando el monto sea superior a US$195,354.60 pero inferior a US$390,709.21</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07-03-076</w:t>
                  </w:r>
                  <w:r w:rsidRPr="009C4CB2">
                    <w:rPr>
                      <w:rFonts w:ascii="Times New Roman" w:eastAsia="Times New Roman" w:hAnsi="Times New Roman" w:cs="Times New Roman"/>
                      <w:sz w:val="20"/>
                      <w:szCs w:val="20"/>
                      <w:lang w:eastAsia="es-ES"/>
                    </w:rPr>
                    <w:t>.- AUTORIZAR al RECTOR de la INTITUCIÓN Dr. MOISES TACLE GALÁRRAGA para que asista a la Conferencia THE MILKEN INSTITUTE GLOBAL, a realizarse en los ÁNGELES, ESTADOS UNIDOS, del 22 al 28 de ABRIL de 2007, y además para que visite los Parques Tecnológicos en San Diego, California.</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sz w:val="20"/>
                      <w:szCs w:val="20"/>
                      <w:lang w:eastAsia="es-ES"/>
                    </w:rPr>
                    <w:t>Resoluciones C.P. 20 marzo/07 3.</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07-03-077</w:t>
                  </w:r>
                  <w:r w:rsidRPr="009C4CB2">
                    <w:rPr>
                      <w:rFonts w:ascii="Times New Roman" w:eastAsia="Times New Roman" w:hAnsi="Times New Roman" w:cs="Times New Roman"/>
                      <w:sz w:val="20"/>
                      <w:szCs w:val="20"/>
                      <w:lang w:eastAsia="es-ES"/>
                    </w:rPr>
                    <w:t>.- CONOCER el INFORME del Dr. ALFREDO BARRIGA RIVERA sobre su ESTADÍA en Worcester Politechnic Institute, de MAYO a SEPTIEMBRE de 2006.</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07-03-078</w:t>
                  </w:r>
                  <w:r w:rsidRPr="009C4CB2">
                    <w:rPr>
                      <w:rFonts w:ascii="Times New Roman" w:eastAsia="Times New Roman" w:hAnsi="Times New Roman" w:cs="Times New Roman"/>
                      <w:sz w:val="20"/>
                      <w:szCs w:val="20"/>
                      <w:lang w:eastAsia="es-ES"/>
                    </w:rPr>
                    <w:t xml:space="preserve">.- CONOCER el INFORME del Ing. JORGE FAYTONG DURANGO, Vicerrector Administrativo-Financiero, sobre sus ACTIVIDADES en el evento “Experiencias innovadoras en la gestión del personal de las Instituciones Universitarias”, realizado en Mar del Plata, Argentina, del 5 al 7 de MARZO de 2007. </w:t>
                  </w:r>
                  <w:r w:rsidRPr="009C4CB2">
                    <w:rPr>
                      <w:rFonts w:ascii="Verdana" w:eastAsia="Times New Roman" w:hAnsi="Verdana" w:cs="Times New Roman"/>
                      <w:sz w:val="20"/>
                      <w:szCs w:val="20"/>
                      <w:lang w:eastAsia="es-ES"/>
                    </w:rPr>
                    <w:br/>
                  </w:r>
                  <w:r w:rsidRPr="009C4CB2">
                    <w:rPr>
                      <w:rFonts w:ascii="Verdana" w:eastAsia="Times New Roman" w:hAnsi="Verdana" w:cs="Times New Roman"/>
                      <w:sz w:val="20"/>
                      <w:szCs w:val="20"/>
                      <w:lang w:eastAsia="es-ES"/>
                    </w:rPr>
                    <w:br/>
                  </w:r>
                  <w:r w:rsidRPr="009C4CB2">
                    <w:rPr>
                      <w:rFonts w:ascii="Times New Roman" w:eastAsia="Times New Roman" w:hAnsi="Times New Roman" w:cs="Times New Roman"/>
                      <w:b/>
                      <w:bCs/>
                      <w:sz w:val="20"/>
                      <w:szCs w:val="20"/>
                      <w:u w:val="single"/>
                      <w:lang w:eastAsia="es-ES"/>
                    </w:rPr>
                    <w:t>07-03-079.</w:t>
                  </w:r>
                  <w:r w:rsidRPr="009C4CB2">
                    <w:rPr>
                      <w:rFonts w:ascii="Times New Roman" w:eastAsia="Times New Roman" w:hAnsi="Times New Roman" w:cs="Times New Roman"/>
                      <w:sz w:val="20"/>
                      <w:szCs w:val="20"/>
                      <w:lang w:eastAsia="es-ES"/>
                    </w:rPr>
                    <w:t xml:space="preserve">- CONOCER el INFORME de la Dra. VIRGINIA LASIO MORELLO, Directora (e) de la ESPAE, sobre su ASISTENCIA al “Dean´s Workshop: Faculty Development and the Role of Scholarship in Latin American Business Schools”, del 8 al 9 de MARZO de 2007 en la Universidad de Tulane. </w:t>
                  </w:r>
                </w:p>
                <w:p w:rsidR="009C4CB2" w:rsidRPr="009C4CB2" w:rsidRDefault="009C4CB2" w:rsidP="009C4CB2">
                  <w:pPr>
                    <w:spacing w:after="0" w:line="240" w:lineRule="auto"/>
                    <w:jc w:val="center"/>
                    <w:rPr>
                      <w:rFonts w:ascii="Times New Roman" w:eastAsia="Times New Roman" w:hAnsi="Times New Roman" w:cs="Times New Roman"/>
                      <w:sz w:val="24"/>
                      <w:szCs w:val="24"/>
                      <w:lang w:eastAsia="es-ES"/>
                    </w:rPr>
                  </w:pPr>
                </w:p>
              </w:tc>
            </w:tr>
          </w:tbl>
          <w:p w:rsidR="009C4CB2" w:rsidRPr="009C4CB2" w:rsidRDefault="009C4CB2" w:rsidP="009C4CB2">
            <w:pPr>
              <w:spacing w:after="0" w:line="240" w:lineRule="auto"/>
              <w:rPr>
                <w:rFonts w:ascii="Times New Roman" w:eastAsia="Times New Roman" w:hAnsi="Times New Roman" w:cs="Times New Roman"/>
                <w:sz w:val="24"/>
                <w:szCs w:val="24"/>
                <w:lang w:eastAsia="es-ES"/>
              </w:rPr>
            </w:pPr>
          </w:p>
        </w:tc>
        <w:tc>
          <w:tcPr>
            <w:tcW w:w="0" w:type="auto"/>
            <w:hideMark/>
          </w:tcPr>
          <w:p w:rsidR="009C4CB2" w:rsidRPr="009C4CB2" w:rsidRDefault="009C4CB2" w:rsidP="009C4CB2">
            <w:pPr>
              <w:spacing w:after="0" w:line="240" w:lineRule="auto"/>
              <w:rPr>
                <w:rFonts w:ascii="Times New Roman" w:eastAsia="Times New Roman" w:hAnsi="Times New Roman" w:cs="Times New Roman"/>
                <w:sz w:val="20"/>
                <w:szCs w:val="20"/>
                <w:lang w:eastAsia="es-ES"/>
              </w:rPr>
            </w:pPr>
          </w:p>
        </w:tc>
      </w:tr>
    </w:tbl>
    <w:p w:rsidR="009C4CB2" w:rsidRDefault="009C4CB2"/>
    <w:sectPr w:rsidR="009C4C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4CB2"/>
    <w:rsid w:val="009C4C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4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4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5541</Characters>
  <Application>Microsoft Office Word</Application>
  <DocSecurity>0</DocSecurity>
  <Lines>46</Lines>
  <Paragraphs>13</Paragraphs>
  <ScaleCrop>false</ScaleCrop>
  <Company>ESPOL</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2011-02-01T15:18:00Z</dcterms:modified>
</cp:coreProperties>
</file>