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C1AA8" w:rsidRPr="007C1AA8" w:rsidTr="007C1AA8">
        <w:trPr>
          <w:tblCellSpacing w:w="0" w:type="dxa"/>
        </w:trPr>
        <w:tc>
          <w:tcPr>
            <w:tcW w:w="7485" w:type="dxa"/>
            <w:gridSpan w:val="2"/>
            <w:hideMark/>
          </w:tcPr>
          <w:p w:rsidR="007C1AA8" w:rsidRPr="007C1AA8" w:rsidRDefault="007C1AA8" w:rsidP="007C1AA8">
            <w:pPr>
              <w:spacing w:after="0" w:line="240" w:lineRule="auto"/>
              <w:rPr>
                <w:rFonts w:ascii="Times New Roman" w:eastAsia="Times New Roman" w:hAnsi="Times New Roman" w:cs="Times New Roman"/>
                <w:sz w:val="24"/>
                <w:szCs w:val="24"/>
                <w:lang w:eastAsia="es-ES"/>
              </w:rPr>
            </w:pPr>
            <w:r w:rsidRPr="007C1AA8">
              <w:rPr>
                <w:rFonts w:ascii="Verdana" w:eastAsia="Times New Roman" w:hAnsi="Verdana" w:cs="Times New Roman"/>
                <w:b/>
                <w:bCs/>
                <w:sz w:val="20"/>
                <w:szCs w:val="20"/>
                <w:lang w:eastAsia="es-ES"/>
              </w:rPr>
              <w:t>Resoluciones #096 - #108</w:t>
            </w:r>
          </w:p>
        </w:tc>
      </w:tr>
      <w:tr w:rsidR="007C1AA8" w:rsidRPr="007C1AA8" w:rsidTr="007C1AA8">
        <w:trPr>
          <w:tblCellSpacing w:w="0" w:type="dxa"/>
        </w:trPr>
        <w:tc>
          <w:tcPr>
            <w:tcW w:w="1245" w:type="dxa"/>
            <w:hideMark/>
          </w:tcPr>
          <w:p w:rsidR="007C1AA8" w:rsidRPr="007C1AA8" w:rsidRDefault="007C1AA8" w:rsidP="007C1AA8">
            <w:pPr>
              <w:spacing w:after="0" w:line="240" w:lineRule="auto"/>
              <w:rPr>
                <w:rFonts w:ascii="Times New Roman" w:eastAsia="Times New Roman" w:hAnsi="Times New Roman" w:cs="Times New Roman"/>
                <w:sz w:val="24"/>
                <w:szCs w:val="24"/>
                <w:lang w:eastAsia="es-ES"/>
              </w:rPr>
            </w:pPr>
          </w:p>
        </w:tc>
        <w:tc>
          <w:tcPr>
            <w:tcW w:w="6240" w:type="dxa"/>
            <w:hideMark/>
          </w:tcPr>
          <w:p w:rsidR="007C1AA8" w:rsidRPr="007C1AA8" w:rsidRDefault="007C1AA8" w:rsidP="007C1AA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C1AA8" w:rsidRPr="007C1AA8" w:rsidRDefault="007C1AA8" w:rsidP="007C1AA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C1AA8" w:rsidRPr="007C1AA8" w:rsidTr="007C1AA8">
        <w:trPr>
          <w:trHeight w:val="15"/>
          <w:tblCellSpacing w:w="0" w:type="dxa"/>
        </w:trPr>
        <w:tc>
          <w:tcPr>
            <w:tcW w:w="15" w:type="dxa"/>
            <w:shd w:val="clear" w:color="auto" w:fill="000033"/>
            <w:hideMark/>
          </w:tcPr>
          <w:p w:rsidR="007C1AA8" w:rsidRPr="007C1AA8" w:rsidRDefault="007C1AA8" w:rsidP="007C1AA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C1AA8" w:rsidRPr="007C1AA8" w:rsidRDefault="007C1AA8" w:rsidP="007C1AA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C1AA8" w:rsidRPr="007C1AA8" w:rsidRDefault="007C1AA8" w:rsidP="007C1AA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C1AA8" w:rsidRPr="007C1AA8" w:rsidRDefault="007C1AA8" w:rsidP="007C1AA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C1AA8" w:rsidRPr="007C1AA8" w:rsidTr="007C1AA8">
        <w:trPr>
          <w:tblCellSpacing w:w="0" w:type="dxa"/>
        </w:trPr>
        <w:tc>
          <w:tcPr>
            <w:tcW w:w="15" w:type="dxa"/>
            <w:shd w:val="clear" w:color="auto" w:fill="000033"/>
            <w:hideMark/>
          </w:tcPr>
          <w:p w:rsidR="007C1AA8" w:rsidRPr="007C1AA8" w:rsidRDefault="007C1AA8" w:rsidP="007C1AA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C1AA8" w:rsidRPr="007C1AA8">
              <w:trPr>
                <w:tblCellSpacing w:w="22" w:type="dxa"/>
              </w:trPr>
              <w:tc>
                <w:tcPr>
                  <w:tcW w:w="8145" w:type="dxa"/>
                  <w:hideMark/>
                </w:tcPr>
                <w:p w:rsidR="007C1AA8" w:rsidRPr="007C1AA8" w:rsidRDefault="007C1AA8" w:rsidP="007C1AA8">
                  <w:pPr>
                    <w:spacing w:after="0" w:line="240" w:lineRule="auto"/>
                    <w:rPr>
                      <w:rFonts w:ascii="Times New Roman" w:eastAsia="Times New Roman" w:hAnsi="Times New Roman" w:cs="Times New Roman"/>
                      <w:sz w:val="24"/>
                      <w:szCs w:val="24"/>
                      <w:lang w:eastAsia="es-ES"/>
                    </w:rPr>
                  </w:pP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7"/>
                      <w:szCs w:val="27"/>
                      <w:lang w:eastAsia="es-ES"/>
                    </w:rPr>
                    <w:t>1</w:t>
                  </w:r>
                </w:p>
                <w:p w:rsidR="007C1AA8" w:rsidRPr="007C1AA8" w:rsidRDefault="007C1AA8" w:rsidP="007C1AA8">
                  <w:pPr>
                    <w:spacing w:after="0" w:line="240" w:lineRule="auto"/>
                    <w:jc w:val="center"/>
                    <w:rPr>
                      <w:rFonts w:ascii="Times New Roman" w:eastAsia="Times New Roman" w:hAnsi="Times New Roman" w:cs="Times New Roman"/>
                      <w:sz w:val="24"/>
                      <w:szCs w:val="24"/>
                      <w:lang w:eastAsia="es-ES"/>
                    </w:rPr>
                  </w:pPr>
                  <w:r w:rsidRPr="007C1AA8">
                    <w:rPr>
                      <w:rFonts w:ascii="Times New Roman" w:eastAsia="Times New Roman" w:hAnsi="Times New Roman" w:cs="Times New Roman"/>
                      <w:b/>
                      <w:bCs/>
                      <w:sz w:val="27"/>
                      <w:szCs w:val="27"/>
                      <w:lang w:eastAsia="es-ES"/>
                    </w:rPr>
                    <w:t>RESOLUCIONES TOMADAS POR EL CONSEJO POLITÉCNICO EN SESIÓN REALIZADA EL DÍA 8 DE MAYO DE 2007</w:t>
                  </w:r>
                </w:p>
                <w:p w:rsidR="007C1AA8" w:rsidRPr="007C1AA8" w:rsidRDefault="007C1AA8" w:rsidP="007C1AA8">
                  <w:pPr>
                    <w:spacing w:after="0" w:line="240" w:lineRule="auto"/>
                    <w:rPr>
                      <w:rFonts w:ascii="Times New Roman" w:eastAsia="Times New Roman" w:hAnsi="Times New Roman" w:cs="Times New Roman"/>
                      <w:sz w:val="24"/>
                      <w:szCs w:val="24"/>
                      <w:lang w:eastAsia="es-ES"/>
                    </w:rPr>
                  </w:pP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b/>
                      <w:bCs/>
                      <w:sz w:val="20"/>
                      <w:szCs w:val="20"/>
                      <w:u w:val="single"/>
                      <w:lang w:eastAsia="es-ES"/>
                    </w:rPr>
                    <w:t>07-05-096</w:t>
                  </w:r>
                  <w:r w:rsidRPr="007C1AA8">
                    <w:rPr>
                      <w:rFonts w:ascii="Times New Roman" w:eastAsia="Times New Roman" w:hAnsi="Times New Roman" w:cs="Times New Roman"/>
                      <w:b/>
                      <w:bCs/>
                      <w:sz w:val="20"/>
                      <w:szCs w:val="20"/>
                      <w:lang w:eastAsia="es-ES"/>
                    </w:rPr>
                    <w:t xml:space="preserve">.- </w:t>
                  </w:r>
                  <w:r w:rsidRPr="007C1AA8">
                    <w:rPr>
                      <w:rFonts w:ascii="Times New Roman" w:eastAsia="Times New Roman" w:hAnsi="Times New Roman" w:cs="Times New Roman"/>
                      <w:sz w:val="20"/>
                      <w:szCs w:val="20"/>
                      <w:lang w:eastAsia="es-ES"/>
                    </w:rPr>
                    <w:t>APROBAR el ACTA de la SESIÓN realizada por el CONSEJO POLITÉCNICO el día 17 de ABRIL de 2007.</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b/>
                      <w:bCs/>
                      <w:sz w:val="20"/>
                      <w:szCs w:val="20"/>
                      <w:u w:val="single"/>
                      <w:lang w:eastAsia="es-ES"/>
                    </w:rPr>
                    <w:t>07-05-097</w:t>
                  </w:r>
                  <w:r w:rsidRPr="007C1AA8">
                    <w:rPr>
                      <w:rFonts w:ascii="Times New Roman" w:eastAsia="Times New Roman" w:hAnsi="Times New Roman" w:cs="Times New Roman"/>
                      <w:sz w:val="20"/>
                      <w:szCs w:val="20"/>
                      <w:lang w:eastAsia="es-ES"/>
                    </w:rPr>
                    <w:t>.- CONOCER y APROBAR las RESOLUCIONES de la COMISIÓN ACADÉMICA correspondientes a la SESIÓN celebrada el día 19 de ABRIL de 2007.</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b/>
                      <w:bCs/>
                      <w:sz w:val="20"/>
                      <w:szCs w:val="20"/>
                      <w:u w:val="single"/>
                      <w:lang w:eastAsia="es-ES"/>
                    </w:rPr>
                    <w:t>07-05-098</w:t>
                  </w:r>
                  <w:r w:rsidRPr="007C1AA8">
                    <w:rPr>
                      <w:rFonts w:ascii="Times New Roman" w:eastAsia="Times New Roman" w:hAnsi="Times New Roman" w:cs="Times New Roman"/>
                      <w:sz w:val="20"/>
                      <w:szCs w:val="20"/>
                      <w:lang w:eastAsia="es-ES"/>
                    </w:rPr>
                    <w:t>.- CONOCER y APROBAR las RESOLUCIONES tomadas por el CONSEJO DE POSTGRADO en SESIÓN realizada el día 24 de ABRIL de 2007.</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b/>
                      <w:bCs/>
                      <w:sz w:val="20"/>
                      <w:szCs w:val="20"/>
                      <w:u w:val="single"/>
                      <w:lang w:eastAsia="es-ES"/>
                    </w:rPr>
                    <w:t>07-05-099</w:t>
                  </w:r>
                  <w:r w:rsidRPr="007C1AA8">
                    <w:rPr>
                      <w:rFonts w:ascii="Times New Roman" w:eastAsia="Times New Roman" w:hAnsi="Times New Roman" w:cs="Times New Roman"/>
                      <w:sz w:val="20"/>
                      <w:szCs w:val="20"/>
                      <w:lang w:eastAsia="es-ES"/>
                    </w:rPr>
                    <w:t>.- CONOCER el INFORME del RECTOR de la Institución sobre actividades oficiales cumplidas en la última semana y que están referidas a:</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 xml:space="preserve">a. Detalla su asistencia a la Conferencia Global de The Milken Institute que, opina, estuvo mejor que nunca porque cumplía 10 años y contó con la asistencia de más de 3,000 personas. Normalmente estas conferencias acogen a 1.500 personas. </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 xml:space="preserve">Desea referir algunos temas importantes que se trataron en The Milken Institute. Para aquellos que no están familiarizados con este evento, señala que es uno de los pocos que tiene la virtud de congregar a personalidades de todas las facetas de la vida humana, porque Joe Milken es un financista y siempre se invita algunos Premios Nobel de Economía y a empresarios importantes a nivel mundial, además, este personaje se ha dedicado a la búsqueda de soluciones rápidas para enfermedades graves, interés derivado de su experiencia personal. El Sr. Milken estuvo preso cuatro años por un desfalco en el manejo de bonos, la que fuera su primera desgracia personal, y después de salir de prisión resurge como el ave Fénix al tener mucho éxito en sus operaciones financieras, luego se enferma de un cáncer agresivo del que se salva milagrosamente, y desde entonces, a más de sus temas financieros, se ha dedicado a promover la investigación en todo lo que afecta a los seres humanos e invita a estos eventos a científicos relacionados con el tema de la medicina, biólogos, médicos, etc., y lo primero que se escuchó en las conferencias, aunque se lo venía anticipando en años anteriores, y este año ha cobrado mucha fuerza, es que en las próximas dos décadas los seres humanos vivirán 120 años. </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 xml:space="preserve">El Rector observa que esta perspectiva también tiene su lado negativo, porque a nivel mundial, existe el problema de que la población joven se casa más tarde y no quiere hijos, por ello la tasa de natalidad está por debajo de la tasa de mortalidad, ya que nace menos gente de la que muere y la población mundial joven está disminuyendo dramáticamente. Si, paralelamente, los viejos vivirán más, el cuadro es preocupante porque en las próximas décadas un pequeño porcentaje de la población mundial es el que sostendrá a la gran mayoría de los habitantes, es decir que un 30% o 35% deberá trabajar muy duro para que el 65% pueda seguir viviendo, con perspectivas graves para los sistemas de la seguridad social, y la idea de jubilarse a los 65 años es algo pasado. Solamente en el Ecuador se está pensando en jubilarse, de ser posible, antes de los 65 años, pero en los países desarrollados dejó de ser un tema que preocupe a la gente. </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 xml:space="preserve">En las elecciones realizadas el domingo pasado en Francia ganó la derecha por el mensaje que el candidato ganador, Nicolás Sarkozy, promovió en su campaña: levantarse más temprano y trabajar más, ante el tema de fondo que la gente quiere trabajar menos cuando por las circunstancias debe trabajar más. </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En las últimas décadas quienes promulgaban en Europa la idea de trabajar menos y obtener bienestar pagado por el Gobierno eran los franceses, y esa es la razón que muchos atribuyen para que Francia haya ido descendiendo en su poderío económico y al momento sea la tercera economía en Europa, después de Alemania e Inglaterra. Este es el resultado de las conquistas sociales francesas que determinaron una jornada laboral de 35 horas semanales.</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 xml:space="preserve">Comenta que en la prensa se publica un informe negativo de la Superintendencia de Bancos, a propósito de los préstamos quirografarios, donde se indica que la cantidad que se pretende conceder quebrará el Seguro Social. Sobre estos aspectos el mensaje es claro, hay que tener muy en cuenta lo que va ocurriendo paulatinamente sobre el tema de la edad, en promedio se vivirá más, lo que obligará a trabajar y ahorrar más para no correr el riesgo de que al llegar a determinada edad no tener quien lo </w:t>
                  </w:r>
                  <w:r w:rsidRPr="007C1AA8">
                    <w:rPr>
                      <w:rFonts w:ascii="Times New Roman" w:eastAsia="Times New Roman" w:hAnsi="Times New Roman" w:cs="Times New Roman"/>
                      <w:sz w:val="20"/>
                      <w:szCs w:val="20"/>
                      <w:lang w:eastAsia="es-ES"/>
                    </w:rPr>
                    <w:lastRenderedPageBreak/>
                    <w:t xml:space="preserve">socorra, no solo por los achaques propios sino por carecer de los medios económicos. Esto también obliga a que los jóvenes piensen seriamente en el ahorro cuando están productivos, a efectos de que luego puedan tener una vejez digna, considerando también el contar con pólizas de salud y de vida. Estas consideraciones obligarán a los gobiernos a repensar en todo su sistema de seguridad social. </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Expresa el Dr. Tacle que un expositor de la conferencia señaló que uno de los factores de la crisis del sistema de Seguridad Social de Estados Unidos se producirá mucho antes de lo estimado, si antes no llega un gobierno demócrata y empieza a asentar el control sobre el medicare y medicaid. Esto es algo importante, y aunque no es novedad, se lo ve con mayor fuerza porque es un hecho que la gente vivirá más por los avances de la ciencia y, al efecto, se presentaron variados temas sobre la nanotecnología y otras ramas científicas que harán que la gente viva más, aunque también está presente el aspecto social.</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 xml:space="preserve">Otra novedad de esta conferencia fue el análisis del tema energético, que tiene consecuencias válidas para nosotros. Existe una gran discusión a nivel mundial sobre si se agotará o no el petróleo, y si así fuera cuáles son las alternativas energéticas. Sin que existan acuerdos generales, lo interesante es lo siguiente. A nivel mundial la demanda de combustibles fósiles está creciendo a un 8% anual, y esto significa que debería descubrirse cada año un campo como el de Alaska solamente para cubrir el incremento. Mientras la oferta mundial crece en un 2% la demanda está creciendo en un 8%, en circunstancias en que el despegue económico de dos países como la China y la India que no han llegado a su madurez y desarrollo porque recién empiezan a subir la cuesta. Por otro lado el descubrir grandes reservas petroleras, que sería lo ideal para paliar los efectos de la demanda, se vuelve complicado porque ya no se descubren yacimientos grandes. </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 xml:space="preserve">Allí conoció de algo que fue una sorpresa, aunque trata de estar al día en el tema petrolero, pero el 80% de las reservas mundiales de petróleo están en manos del Estado, fue una novedad conocer ese porcentaje porque siempre pensó que el 50% lo manejaba el Estado y el otro 50% la empresa privada, cuando en realidad el 80% lo administra el Estado y el problema reside que en estas condiciones las reservas disminuyen aceleradamente y el petróleo está en manos de empresas ineficientes y corruptas que no tienen la tecnología y los capitales suficientes para explotar adecuadamente el petróleo. En conclusión, el panorama en los próximos años es que la producción declinará y la pregunta es qué va a pasar con los combustibles, y las necesidades de energía que en el aumento aumenta cada día. El Sr. Boone Pickens, uno de los grandes petroleros, sostiene que el precio del petróleo seguirá aumentando y cree que este año 2007 concluirá con el precio del petróleo sobre $70, lo cual es bueno para la ESPOL y el país, aunque no lo es para el resto del mundo. Cree que existen muchas posibilidades de encontrar reservas de gas, y concretamente existen en Estados Unidos, Rusia, Venezuela y otros países. </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 xml:space="preserve">Otro dato curioso es el referente al carbón, combustible que no es muy atractivo aunque lo fue en los siglos XIX y XX, pero actualmente no lo es porque contamina el ambiente. Pero las reservas de carbón son enormes y en el Estado de Illinois las reservas son mayores que todas las reservas mundiales de petróleo, en consecuencia la tecnología está dirigida a tratar de que el carbón produzca lo menos posible CO2, y una tecnología de última data obtiene un carbón puro desechando todo el CO2. Pero el problema es que los desechos deben tener algún destino y se trata sobre la posibilidad de enterrar el CO2. </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En conclusión y en lo concerniente a Ecuador, parece que el petróleo seguirá subiendo su precio por lo tanto existe tranquilidad en este punto.</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También se trató el tema de las fuentes alternativas: solar, eólica, hidráulica, etc., y aquí encontró otra sorpresa porque existen muchos mitos en este tema, hay muchas discrepancias entre los científicos sobre la validez del biodiesel y la biomasa, y la mayoría de la gente opina que es un desatino. Si toda la tierra hábil de Estados Unidos se sembrara de maíz con el exclusivo objeto de hacer biodiesel, apenas reemplazaría al 10% del uso de la gasolina, y el hecho de que Estados Unidos haya acordado con Brasil sembrar maíz en este último, es porque encontró al socio adecuado a sus fines.</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 xml:space="preserve">Menciona este tema porque en nuestro país ya salieron algunos defensores de este tema del biodiesel, y sería conveniente conocer a quien beneficiaría. Además, existe una resolución del CONELEC que garantiza al productor de energía eléctrica que utilice biomasa ocho centavos el kilovatio/hora, sin mencionar las demás energías alternativas, por lo que está dedicada exclusivamente, cuando debería apoyarse las energías alternativas que son válidas porque no contaminan el ambiente, no producen consecuencias en la tierra agrícola porque son enteramente puras y, además, son competitivas. </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Aquí entraría la energía eólica que, al momento, es competitiva con la energía fósil y es perfectamente factible producir un kilovatio/hora de energía eléctrica utilizando energía eólica a ocho centavos el kilovatio. Hace algunos años no era así y el costo era de 25 o 30 centavos, lo que la hacía prohibitiva y sólo podía hacerse con grandes subsidios del Estado, pero al momento la tecnología ha avanzado de tal forma que es totalmente posible lograrlo a ocho centavos. Esto es algo muy interesante porque la ESPOL está trabajando en un proyecto de energía eólica y cree que es muy posible lograr el apoyo del actual Gobierno que está muy interesado en los temas ecológicos y en las energías alternativas.</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 xml:space="preserve">El otro mito es referente a la energía solar que todavía tiene serios inconvenientes económicos, y </w:t>
                  </w:r>
                  <w:r w:rsidRPr="007C1AA8">
                    <w:rPr>
                      <w:rFonts w:ascii="Times New Roman" w:eastAsia="Times New Roman" w:hAnsi="Times New Roman" w:cs="Times New Roman"/>
                      <w:sz w:val="20"/>
                      <w:szCs w:val="20"/>
                      <w:lang w:eastAsia="es-ES"/>
                    </w:rPr>
                    <w:lastRenderedPageBreak/>
                    <w:t xml:space="preserve">producir un kilovatio de energía eléctrica con energía solar tiene un costo de 30 centavos de dólar, y si en el Ecuador se pusieran generadores de energía solar para producir energía eléctrica no se cobraría al usuario 30 centavos ya que está acostumbrado a pagar ocho centavos, y de hacerlo el Estado debería cancelar la diferencia, siendo difícil que la asuma. Las otras energías son las originadas por las mareas, la energía de hidrógeno, o la energía geotermia, pero la más promisoria, a más de la energía de carbón o del gas, es la energía eólica. </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 xml:space="preserve">Señala que el otro tema de fondo en la Conferencia fue el asunto de moda, y es el referente a los cambios climáticos mundiales. Sobre este punto no habla solamente el Sr. Al Gore, sino que es un tema diariamente difundido, y el Sr. John Kerry, Senador de Estados Unidos que fuera candidato presidencial, es actualmente ecologista y ha escrito un libro que lo tiene autografiado. Aparte de él muchos ecologistas están en este tema. Comenta que cuando hace cuatro años asistió por primera vez a esta conferencia y se tocó el tema, mucha gente reconocía que existía un problema a nivel de los cambios del clima del mundo, pero no le daba mucha importancia, porque se pensaba que si se paralizaba la economía el resultado sería nefasto para el mundo, pero al momento no hay nadie que opine lo contrario, y todos están conscientes que es un problema real, y los efectos negativos se producirán antes de lo previsto. </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En el tema del cambio climático se involucra otra materia de investigación y tecnología, y está relacionada a lo que en término genérico se denomina tecnologías limpias. Esto tiene dos aspectos, el uso de alternativas energéticas menos contaminantes o más limpias y el otro tema es relativo a las prácticas de toda índole que se pueden hacer en las distintas actividades productivas del hombre y que conllevan a una reducción significativa, no solamente en el uso de combustible sino también en la contaminación del ambiente.</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 xml:space="preserve">Este tema está de moda y se ha convertido en un gran negocio. Indica que paralelo a Silicon Valley (norte de California), está surgiendo el Eco Valley, donde se están levantando empresas que se dedican a investigar y poner en el mercado productos tecnológicos que conlleven la disminución de la contaminación o el uso de tecnologías más limpias, y al momento solo en capital de riesgo se han invertido 46 millones de dólares únicamente en el Estado de California. </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b. Localmente, todo está sin mayor novedad, y sobre el tema del subsidio al gas se está presentando una propuesta al Gobierno para que la considere. Hace una semana se entregó al Tribunal Electoral la propuesta del Voto Electrónico y también lo hizo la Universidad Central, pero esta última lucía insignificante en comparación con el proyecto de la ESPOL que es de alta tecnología, y aunque al momento es un proyecto piloto podría convertirse en un proyecto total.</w:t>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 xml:space="preserve">También se está trabajando con algunas dependencias del Gobierno en varios proyectos sociales. En el tema de la Economía Solidaria se está creando una subsecretaría en el Ministerio de Finanzas para estudiar los créditos dirigidos a los microempresarios y todos los aspectos relacionados a incentivar actividades productivas en los sectores que generalmente no son sujetos de crédito; también se trabaja en proyectos de emprendimiento y otros temas de tipo social que oportunamente tomarán mayor fuerza. </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b/>
                      <w:bCs/>
                      <w:sz w:val="20"/>
                      <w:szCs w:val="20"/>
                      <w:u w:val="single"/>
                      <w:lang w:eastAsia="es-ES"/>
                    </w:rPr>
                    <w:t>07-05-100</w:t>
                  </w:r>
                  <w:r w:rsidRPr="007C1AA8">
                    <w:rPr>
                      <w:rFonts w:ascii="Times New Roman" w:eastAsia="Times New Roman" w:hAnsi="Times New Roman" w:cs="Times New Roman"/>
                      <w:sz w:val="20"/>
                      <w:szCs w:val="20"/>
                      <w:lang w:eastAsia="es-ES"/>
                    </w:rPr>
                    <w:t>.- CONOCER el INFORME presentado por el Director del Centro de Transferencia de Tecnologías-ESPOL, Ing. GUSTAVO GUERRERO MACÍAS, sobre las actividades cumplidas en este organismo en el primer trimestre del año 2007.</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b/>
                      <w:bCs/>
                      <w:sz w:val="20"/>
                      <w:szCs w:val="20"/>
                      <w:u w:val="single"/>
                      <w:lang w:eastAsia="es-ES"/>
                    </w:rPr>
                    <w:t>07-05-101</w:t>
                  </w:r>
                  <w:r w:rsidRPr="007C1AA8">
                    <w:rPr>
                      <w:rFonts w:ascii="Times New Roman" w:eastAsia="Times New Roman" w:hAnsi="Times New Roman" w:cs="Times New Roman"/>
                      <w:sz w:val="20"/>
                      <w:szCs w:val="20"/>
                      <w:lang w:eastAsia="es-ES"/>
                    </w:rPr>
                    <w:t xml:space="preserve">.- APROBAR las siguientes REFORMAS al REGLAMENTO para el EJERCICIO de la JURISDICCIÓN COACTIVA por parte de la Escuela Superior Politécnica del Litoral, en la siguiente forma: </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Art. 1.- La jurisdicción coactiva se ejercerá para el cobro de títulos de crédito emitidos por la Escuela Superior Politécnica del Litoral por cualquier concepto de obligaciones en su favor, así como por intereses y otros recargos como costas de ejecución y, en general, de cualquier instrumento público que pruebe la existencia de la obligación, de conformidad con el artículo 945 de la Codificación del Código de Procedimiento Civil.</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Art. 2.- La jurisdicción coactiva será ejercida privativamente por el Tesorero de la ESPOL y, en caso de falta o impedimento de éste, será subrogado por el funcionario o empleado que le siga en jerarquía dentro de la Tesorería, quien calificará la excusa o impedimento. Su ejercicio estará sujeto a las disposiciones de la Sección 30ª de la Codificación del Código de Procedimiento Civil.</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Art. 3.- Dentro de la ejecución coactiva actuará como Secretario ad – hoc el empleado que designe el Tesorero, quien podrá también designar alguacil y depositario de entre los empleados de la Institución. El Secretario deberá ser abogado.</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lastRenderedPageBreak/>
                    <w:br/>
                  </w:r>
                  <w:r w:rsidRPr="007C1AA8">
                    <w:rPr>
                      <w:rFonts w:ascii="Times New Roman" w:eastAsia="Times New Roman" w:hAnsi="Times New Roman" w:cs="Times New Roman"/>
                      <w:sz w:val="20"/>
                      <w:szCs w:val="20"/>
                      <w:lang w:eastAsia="es-ES"/>
                    </w:rPr>
                    <w:t>Cuando sean designadas personas que no laboren para la ESPOL, el Tesorero fijará los honorarios y montos de las cauciones que deban rendir.</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Art. 11.- Expedida la resolución que autoriza la suscripción del convenio de pago, se firmará éste por la ESPOL, representada por el Rector, y el deudor, en el que se establecerán los antecedentes, la resolución, el objeto, el plazo, la oferta de pago inmediato no menor del 10%</w:t>
                  </w:r>
                  <w:r w:rsidRPr="007C1AA8">
                    <w:rPr>
                      <w:rFonts w:ascii="Times New Roman" w:eastAsia="Times New Roman" w:hAnsi="Times New Roman" w:cs="Times New Roman"/>
                      <w:b/>
                      <w:bCs/>
                      <w:sz w:val="20"/>
                      <w:szCs w:val="20"/>
                      <w:lang w:eastAsia="es-ES"/>
                    </w:rPr>
                    <w:t xml:space="preserve"> </w:t>
                  </w:r>
                  <w:r w:rsidRPr="007C1AA8">
                    <w:rPr>
                      <w:rFonts w:ascii="Times New Roman" w:eastAsia="Times New Roman" w:hAnsi="Times New Roman" w:cs="Times New Roman"/>
                      <w:sz w:val="20"/>
                      <w:szCs w:val="20"/>
                      <w:lang w:eastAsia="es-ES"/>
                    </w:rPr>
                    <w:t>de la obligación, forma de pago del saldo, así como la garantía suficiente en caso de establecerse para este pago cuando el plazo sea de hasta cinco años; y, los efectos en caso de incumplimiento.</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Art. 13.- Cuando no sea posible establecer la individualidad o residencia del deudor o fiador, el Tesorero ordenará que la citación se practique en la forma determinada en el artículo 82 de la Codificación del Código de Procedimiento Civil.</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sz w:val="20"/>
                      <w:szCs w:val="20"/>
                      <w:lang w:eastAsia="es-ES"/>
                    </w:rPr>
                    <w:t>Estas citaciones podrán hacerse en forma masiva, sin considerar el número de coactivados. Efectuadas las publicaciones, el Secretario sentará razón del hecho, determinando el nombre del periódico, la fecha y el número, además, agregará el respectivo recorte adherido a una fija de papel, para que obre del expediente el texto de cada publicación.</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b/>
                      <w:bCs/>
                      <w:sz w:val="20"/>
                      <w:szCs w:val="20"/>
                      <w:u w:val="single"/>
                      <w:lang w:eastAsia="es-ES"/>
                    </w:rPr>
                    <w:t>07-05-102</w:t>
                  </w:r>
                  <w:r w:rsidRPr="007C1AA8">
                    <w:rPr>
                      <w:rFonts w:ascii="Times New Roman" w:eastAsia="Times New Roman" w:hAnsi="Times New Roman" w:cs="Times New Roman"/>
                      <w:sz w:val="20"/>
                      <w:szCs w:val="20"/>
                      <w:lang w:eastAsia="es-ES"/>
                    </w:rPr>
                    <w:t>.- AUTORIZAR la ASISTENCIA de la ESPOL en la FERIA EXPOEDUCACIÓN, SALUD y AFINES, a realizarse del 22 al 24 de JUNIO de 2007 en el Recinto Ferial Casa de Campo, de Madrid-España. A esta Feria ASISTIRÁ una DELEGACIÓN de la ESPOL, presidida por el RECTOR de la Institución.</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b/>
                      <w:bCs/>
                      <w:sz w:val="20"/>
                      <w:szCs w:val="20"/>
                      <w:u w:val="single"/>
                      <w:lang w:eastAsia="es-ES"/>
                    </w:rPr>
                    <w:t>07-05-103</w:t>
                  </w:r>
                  <w:r w:rsidRPr="007C1AA8">
                    <w:rPr>
                      <w:rFonts w:ascii="Times New Roman" w:eastAsia="Times New Roman" w:hAnsi="Times New Roman" w:cs="Times New Roman"/>
                      <w:sz w:val="20"/>
                      <w:szCs w:val="20"/>
                      <w:lang w:eastAsia="es-ES"/>
                    </w:rPr>
                    <w:t xml:space="preserve">.- AUTORIZAR la BAJA de los REGISTROS CONTABLES del CTT-ESPOL de la suma de 6.000 DÓLARES norteamericanos que constan como saldo deudor del CDP, generado en el Proyecto Catastro rural BEDE/m. </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b/>
                      <w:bCs/>
                      <w:sz w:val="20"/>
                      <w:szCs w:val="20"/>
                      <w:u w:val="single"/>
                      <w:lang w:eastAsia="es-ES"/>
                    </w:rPr>
                    <w:t>07-05-104</w:t>
                  </w:r>
                  <w:r w:rsidRPr="007C1AA8">
                    <w:rPr>
                      <w:rFonts w:ascii="Times New Roman" w:eastAsia="Times New Roman" w:hAnsi="Times New Roman" w:cs="Times New Roman"/>
                      <w:sz w:val="20"/>
                      <w:szCs w:val="20"/>
                      <w:lang w:eastAsia="es-ES"/>
                    </w:rPr>
                    <w:t>.- CONOCER el INFORME del Ing. ARMANDO ALTAMIRANO CHÁVEZ, Vicerrector General, y los docentes M. Sc. JAIME VÁSQUEZ TITO y M. Sc. SORAYA SOLÍS, sobre su VISITA a la Universidad Politécnica de Madrid (UPM) en los días 26 al 28 de ABRIL de 2007.</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b/>
                      <w:bCs/>
                      <w:sz w:val="20"/>
                      <w:szCs w:val="20"/>
                      <w:u w:val="single"/>
                      <w:lang w:eastAsia="es-ES"/>
                    </w:rPr>
                    <w:t>07-05-105</w:t>
                  </w:r>
                  <w:r w:rsidRPr="007C1AA8">
                    <w:rPr>
                      <w:rFonts w:ascii="Times New Roman" w:eastAsia="Times New Roman" w:hAnsi="Times New Roman" w:cs="Times New Roman"/>
                      <w:sz w:val="20"/>
                      <w:szCs w:val="20"/>
                      <w:lang w:eastAsia="es-ES"/>
                    </w:rPr>
                    <w:t xml:space="preserve">.- CONOCER el INFORME presentado por el Arq. ANTONIO VALDEZ CUENCA sobre su ASISTENCIA al X Festival de Ajedrez Universitario realizado en La Habana-Cuba del 2 al 6 de ABRIL de 2007. </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b/>
                      <w:bCs/>
                      <w:sz w:val="20"/>
                      <w:szCs w:val="20"/>
                      <w:u w:val="single"/>
                      <w:lang w:eastAsia="es-ES"/>
                    </w:rPr>
                    <w:t>07-05-106</w:t>
                  </w:r>
                  <w:r w:rsidRPr="007C1AA8">
                    <w:rPr>
                      <w:rFonts w:ascii="Times New Roman" w:eastAsia="Times New Roman" w:hAnsi="Times New Roman" w:cs="Times New Roman"/>
                      <w:sz w:val="20"/>
                      <w:szCs w:val="20"/>
                      <w:lang w:eastAsia="es-ES"/>
                    </w:rPr>
                    <w:t>.- CONOCER el INFORME de la Dra. VIRGINIA LASIO M., sobre su ASISTENCIA a la AACSB Internacional Conference and Annual Meeting, realizada en Tampa del 22 al 24 de ABRIL de 2007.</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b/>
                      <w:bCs/>
                      <w:sz w:val="20"/>
                      <w:szCs w:val="20"/>
                      <w:u w:val="single"/>
                      <w:lang w:eastAsia="es-ES"/>
                    </w:rPr>
                    <w:t>07-05-107</w:t>
                  </w:r>
                  <w:r w:rsidRPr="007C1AA8">
                    <w:rPr>
                      <w:rFonts w:ascii="Times New Roman" w:eastAsia="Times New Roman" w:hAnsi="Times New Roman" w:cs="Times New Roman"/>
                      <w:sz w:val="20"/>
                      <w:szCs w:val="20"/>
                      <w:lang w:eastAsia="es-ES"/>
                    </w:rPr>
                    <w:t xml:space="preserve">.- CONOCER el INFORME presentado por la Dra. VIRGINIA LASIO M., sobre su ASISTENCIA a la Conferencia Anual de Balas, desarrollada en San José-Costa Rica del 25 al 28 de ABRIL de 2007. </w:t>
                  </w:r>
                  <w:r w:rsidRPr="007C1AA8">
                    <w:rPr>
                      <w:rFonts w:ascii="Verdana" w:eastAsia="Times New Roman" w:hAnsi="Verdana" w:cs="Times New Roman"/>
                      <w:sz w:val="20"/>
                      <w:szCs w:val="20"/>
                      <w:lang w:eastAsia="es-ES"/>
                    </w:rPr>
                    <w:br/>
                  </w:r>
                  <w:r w:rsidRPr="007C1AA8">
                    <w:rPr>
                      <w:rFonts w:ascii="Verdana" w:eastAsia="Times New Roman" w:hAnsi="Verdana" w:cs="Times New Roman"/>
                      <w:sz w:val="20"/>
                      <w:szCs w:val="20"/>
                      <w:lang w:eastAsia="es-ES"/>
                    </w:rPr>
                    <w:br/>
                  </w:r>
                  <w:r w:rsidRPr="007C1AA8">
                    <w:rPr>
                      <w:rFonts w:ascii="Times New Roman" w:eastAsia="Times New Roman" w:hAnsi="Times New Roman" w:cs="Times New Roman"/>
                      <w:b/>
                      <w:bCs/>
                      <w:sz w:val="20"/>
                      <w:szCs w:val="20"/>
                      <w:u w:val="single"/>
                      <w:lang w:eastAsia="es-ES"/>
                    </w:rPr>
                    <w:t>07-05-108</w:t>
                  </w:r>
                  <w:r w:rsidRPr="007C1AA8">
                    <w:rPr>
                      <w:rFonts w:ascii="Times New Roman" w:eastAsia="Times New Roman" w:hAnsi="Times New Roman" w:cs="Times New Roman"/>
                      <w:sz w:val="20"/>
                      <w:szCs w:val="20"/>
                      <w:lang w:eastAsia="es-ES"/>
                    </w:rPr>
                    <w:t xml:space="preserve">.- CONOCER el INFORME presentado por los Ings. GUSTAVO BERMÚDEZ FLORES y ENRIQUE SÁNCHEZ CUADROS sobre las ACTIVIDADES desarrolladas durante su visita a la Universidad de Nueva Orleáns para gestionar la firma del Convenio entre ESPOL y UNO, en las áreas de Biología y de Computación que no habían sido incluidas en los anteriores acuerdos de las dos instituciones. </w:t>
                  </w:r>
                </w:p>
                <w:p w:rsidR="007C1AA8" w:rsidRPr="007C1AA8" w:rsidRDefault="007C1AA8" w:rsidP="007C1AA8">
                  <w:pPr>
                    <w:spacing w:after="0" w:line="240" w:lineRule="auto"/>
                    <w:jc w:val="center"/>
                    <w:rPr>
                      <w:rFonts w:ascii="Times New Roman" w:eastAsia="Times New Roman" w:hAnsi="Times New Roman" w:cs="Times New Roman"/>
                      <w:sz w:val="24"/>
                      <w:szCs w:val="24"/>
                      <w:lang w:eastAsia="es-ES"/>
                    </w:rPr>
                  </w:pPr>
                </w:p>
              </w:tc>
            </w:tr>
          </w:tbl>
          <w:p w:rsidR="007C1AA8" w:rsidRPr="007C1AA8" w:rsidRDefault="007C1AA8" w:rsidP="007C1AA8">
            <w:pPr>
              <w:spacing w:after="0" w:line="240" w:lineRule="auto"/>
              <w:rPr>
                <w:rFonts w:ascii="Times New Roman" w:eastAsia="Times New Roman" w:hAnsi="Times New Roman" w:cs="Times New Roman"/>
                <w:sz w:val="24"/>
                <w:szCs w:val="24"/>
                <w:lang w:eastAsia="es-ES"/>
              </w:rPr>
            </w:pPr>
          </w:p>
        </w:tc>
        <w:tc>
          <w:tcPr>
            <w:tcW w:w="0" w:type="auto"/>
            <w:hideMark/>
          </w:tcPr>
          <w:p w:rsidR="007C1AA8" w:rsidRPr="007C1AA8" w:rsidRDefault="007C1AA8" w:rsidP="007C1AA8">
            <w:pPr>
              <w:spacing w:after="0" w:line="240" w:lineRule="auto"/>
              <w:rPr>
                <w:rFonts w:ascii="Times New Roman" w:eastAsia="Times New Roman" w:hAnsi="Times New Roman" w:cs="Times New Roman"/>
                <w:sz w:val="20"/>
                <w:szCs w:val="20"/>
                <w:lang w:eastAsia="es-ES"/>
              </w:rPr>
            </w:pPr>
          </w:p>
        </w:tc>
      </w:tr>
    </w:tbl>
    <w:p w:rsidR="007C1AA8" w:rsidRDefault="007C1AA8"/>
    <w:sectPr w:rsidR="007C1A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C1AA8"/>
    <w:rsid w:val="007C1A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1A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9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2783</Words>
  <Characters>15311</Characters>
  <Application>Microsoft Office Word</Application>
  <DocSecurity>0</DocSecurity>
  <Lines>127</Lines>
  <Paragraphs>36</Paragraphs>
  <ScaleCrop>false</ScaleCrop>
  <Company>ESPOL</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2011-02-01T14:57:00Z</dcterms:created>
  <dcterms:modified xsi:type="dcterms:W3CDTF">2011-02-01T15:23:00Z</dcterms:modified>
</cp:coreProperties>
</file>