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04" w:rsidRDefault="004C6C04" w:rsidP="004C6C04">
      <w:pPr>
        <w:jc w:val="center"/>
        <w:rPr>
          <w:rFonts w:ascii="Garamond" w:hAnsi="Garamond"/>
          <w:b/>
          <w:sz w:val="22"/>
          <w:szCs w:val="22"/>
        </w:rPr>
      </w:pPr>
      <w:r w:rsidRPr="000678E9">
        <w:rPr>
          <w:rFonts w:ascii="Garamond" w:hAnsi="Garamond"/>
          <w:b/>
          <w:sz w:val="22"/>
          <w:szCs w:val="22"/>
        </w:rPr>
        <w:t>RECOMENDACIONES DE LA COMISIÓN DE DOC</w:t>
      </w:r>
      <w:r>
        <w:rPr>
          <w:rFonts w:ascii="Garamond" w:hAnsi="Garamond"/>
          <w:b/>
          <w:sz w:val="22"/>
          <w:szCs w:val="22"/>
        </w:rPr>
        <w:t>ENCIA, TOMADAS MEDIANTE CONSULTA EL 25</w:t>
      </w:r>
      <w:r w:rsidRPr="000678E9">
        <w:rPr>
          <w:rFonts w:ascii="Garamond" w:hAnsi="Garamond"/>
          <w:b/>
          <w:sz w:val="22"/>
          <w:szCs w:val="22"/>
        </w:rPr>
        <w:t xml:space="preserve"> DE FEBRERO DEL 2014</w:t>
      </w:r>
    </w:p>
    <w:p w:rsidR="004C6C04" w:rsidRPr="000678E9" w:rsidRDefault="004C6C04" w:rsidP="004C6C04">
      <w:pPr>
        <w:jc w:val="center"/>
        <w:rPr>
          <w:rFonts w:ascii="Garamond" w:hAnsi="Garamond"/>
          <w:b/>
          <w:sz w:val="22"/>
          <w:szCs w:val="22"/>
        </w:rPr>
      </w:pPr>
    </w:p>
    <w:p w:rsidR="004C6C04" w:rsidRPr="004C6C04" w:rsidRDefault="004C6C04" w:rsidP="004C6C04">
      <w:pPr>
        <w:ind w:left="1701" w:hanging="1701"/>
        <w:jc w:val="both"/>
        <w:rPr>
          <w:rFonts w:ascii="Garamond" w:hAnsi="Garamond"/>
          <w:b/>
          <w:sz w:val="22"/>
          <w:szCs w:val="22"/>
        </w:rPr>
      </w:pPr>
      <w:r w:rsidRPr="004C6C04">
        <w:rPr>
          <w:rFonts w:ascii="Garamond" w:hAnsi="Garamond"/>
          <w:b/>
          <w:sz w:val="22"/>
          <w:szCs w:val="22"/>
        </w:rPr>
        <w:t>C-Doc-2014-059.-</w:t>
      </w:r>
      <w:r w:rsidRPr="004C6C04">
        <w:rPr>
          <w:rFonts w:ascii="Garamond" w:hAnsi="Garamond"/>
          <w:b/>
          <w:sz w:val="22"/>
          <w:szCs w:val="22"/>
        </w:rPr>
        <w:tab/>
        <w:t xml:space="preserve">Examen complexivo en la Escuela Superior Politécnica del Litoral. </w:t>
      </w:r>
    </w:p>
    <w:p w:rsidR="004C6C04" w:rsidRPr="004C6C04" w:rsidRDefault="004C6C04" w:rsidP="004C6C04">
      <w:pPr>
        <w:ind w:left="1701"/>
        <w:jc w:val="both"/>
        <w:rPr>
          <w:rFonts w:ascii="Garamond" w:hAnsi="Garamond"/>
          <w:sz w:val="22"/>
          <w:szCs w:val="22"/>
        </w:rPr>
      </w:pPr>
      <w:r w:rsidRPr="004C6C04">
        <w:rPr>
          <w:rFonts w:ascii="Garamond" w:hAnsi="Garamond"/>
          <w:sz w:val="22"/>
          <w:szCs w:val="22"/>
        </w:rPr>
        <w:t>Los estudiantes que hayan terminado sus estudios hace cinco años o más y que soliciten titularse, la ESPOL organizará exámenes complexivos articulados al perfil profesional de la carrera</w:t>
      </w:r>
      <w:r w:rsidR="00A06CE2">
        <w:rPr>
          <w:rFonts w:ascii="Garamond" w:hAnsi="Garamond"/>
          <w:sz w:val="22"/>
          <w:szCs w:val="22"/>
        </w:rPr>
        <w:t xml:space="preserve"> </w:t>
      </w:r>
      <w:r w:rsidR="00A06CE2" w:rsidRPr="00A06CE2">
        <w:rPr>
          <w:rFonts w:ascii="Garamond" w:hAnsi="Garamond"/>
          <w:b/>
          <w:i/>
          <w:sz w:val="22"/>
          <w:szCs w:val="22"/>
          <w:u w:val="single"/>
        </w:rPr>
        <w:t>y/o programa</w:t>
      </w:r>
      <w:r w:rsidRPr="004C6C04">
        <w:rPr>
          <w:rFonts w:ascii="Garamond" w:hAnsi="Garamond"/>
          <w:sz w:val="22"/>
          <w:szCs w:val="22"/>
        </w:rPr>
        <w:t>. Para lo cual los estudiantes deberán presentar un trabajo de investigación o de aplicación que demuestre los conocimientos actuales, el mismo que deberá ser sustentado de forma oral y evaluado por un tribunal designado por la Unidad Académica correspondiente.</w:t>
      </w:r>
    </w:p>
    <w:p w:rsidR="004C6C04" w:rsidRPr="004C6C04" w:rsidRDefault="004C6C04" w:rsidP="004C6C04">
      <w:pPr>
        <w:ind w:left="1701" w:hanging="1701"/>
        <w:jc w:val="both"/>
        <w:rPr>
          <w:rFonts w:ascii="Garamond" w:hAnsi="Garamond"/>
          <w:sz w:val="22"/>
          <w:szCs w:val="22"/>
        </w:rPr>
      </w:pPr>
    </w:p>
    <w:p w:rsidR="004C6C04" w:rsidRPr="004C6C04" w:rsidRDefault="004C6C04" w:rsidP="004C6C04">
      <w:pPr>
        <w:ind w:left="1701"/>
        <w:jc w:val="both"/>
        <w:rPr>
          <w:rFonts w:ascii="Garamond" w:hAnsi="Garamond"/>
          <w:sz w:val="22"/>
          <w:szCs w:val="22"/>
        </w:rPr>
      </w:pPr>
      <w:r w:rsidRPr="004C6C04">
        <w:rPr>
          <w:rFonts w:ascii="Garamond" w:hAnsi="Garamond"/>
          <w:sz w:val="22"/>
          <w:szCs w:val="22"/>
        </w:rPr>
        <w:t>Esta forma de evaluación del examen complexivo se aplicará hasta que la ESPOL implemente la Unidad de Titulación conforme lo establece el Reglamento de Régimen Académico.</w:t>
      </w:r>
    </w:p>
    <w:p w:rsidR="004C6C04" w:rsidRPr="004C6C04" w:rsidRDefault="004C6C04" w:rsidP="004C6C04">
      <w:pPr>
        <w:jc w:val="both"/>
        <w:rPr>
          <w:rFonts w:ascii="Garamond" w:hAnsi="Garamond"/>
          <w:sz w:val="22"/>
          <w:szCs w:val="22"/>
        </w:rPr>
      </w:pPr>
    </w:p>
    <w:p w:rsidR="004C6C04" w:rsidRPr="004C6C04" w:rsidRDefault="004C6C04" w:rsidP="004C6C04">
      <w:pPr>
        <w:ind w:left="1701" w:hanging="1701"/>
        <w:jc w:val="both"/>
        <w:rPr>
          <w:rFonts w:ascii="Garamond" w:hAnsi="Garamond"/>
          <w:b/>
          <w:sz w:val="22"/>
          <w:szCs w:val="22"/>
        </w:rPr>
      </w:pPr>
      <w:r w:rsidRPr="004C6C04">
        <w:rPr>
          <w:rFonts w:ascii="Garamond" w:eastAsia="Calibri" w:hAnsi="Garamond"/>
          <w:b/>
          <w:bCs/>
          <w:color w:val="000000"/>
          <w:sz w:val="22"/>
          <w:szCs w:val="22"/>
          <w:lang w:eastAsia="en-US"/>
        </w:rPr>
        <w:t xml:space="preserve">C-Doc-2014-061.-  </w:t>
      </w:r>
      <w:r w:rsidRPr="004C6C04">
        <w:rPr>
          <w:rFonts w:ascii="Garamond" w:hAnsi="Garamond"/>
          <w:b/>
          <w:sz w:val="22"/>
          <w:szCs w:val="22"/>
        </w:rPr>
        <w:t xml:space="preserve">Disposición transitoria para la matrícula en cursos en períodos extraordinarios. </w:t>
      </w:r>
    </w:p>
    <w:p w:rsidR="004C6C04" w:rsidRDefault="004C6C04" w:rsidP="004C6C04">
      <w:pPr>
        <w:ind w:left="1701"/>
        <w:jc w:val="both"/>
        <w:rPr>
          <w:rFonts w:ascii="Garamond" w:hAnsi="Garamond"/>
          <w:sz w:val="22"/>
          <w:szCs w:val="22"/>
        </w:rPr>
      </w:pPr>
      <w:r w:rsidRPr="004C6C04">
        <w:rPr>
          <w:rFonts w:ascii="Garamond" w:hAnsi="Garamond"/>
          <w:sz w:val="22"/>
          <w:szCs w:val="22"/>
        </w:rPr>
        <w:t xml:space="preserve">Considerando que se encuentra vigente la resolución del Consejo Politécnico número </w:t>
      </w:r>
      <w:r w:rsidRPr="004C6C04">
        <w:rPr>
          <w:rFonts w:ascii="Garamond" w:hAnsi="Garamond"/>
          <w:sz w:val="22"/>
          <w:szCs w:val="22"/>
          <w:u w:val="single"/>
        </w:rPr>
        <w:t>13-04-095</w:t>
      </w:r>
      <w:r w:rsidRPr="004C6C04">
        <w:rPr>
          <w:rFonts w:ascii="Garamond" w:hAnsi="Garamond"/>
          <w:sz w:val="22"/>
          <w:szCs w:val="22"/>
        </w:rPr>
        <w:t xml:space="preserve">, referente al registro de materia de Inglés en la Institución, la Comisión de Docencia acuerda RECOMENDAR al Consejo Politécnico que por esta única vez no se considere la misma para efectos de registro en el período vacacional 2014-2015. </w:t>
      </w:r>
    </w:p>
    <w:p w:rsidR="00A06CE2" w:rsidRDefault="00A06CE2" w:rsidP="004C6C04">
      <w:pPr>
        <w:ind w:left="1701"/>
        <w:jc w:val="both"/>
        <w:rPr>
          <w:rFonts w:ascii="Garamond" w:hAnsi="Garamond"/>
          <w:sz w:val="22"/>
          <w:szCs w:val="22"/>
        </w:rPr>
      </w:pPr>
    </w:p>
    <w:p w:rsidR="004C6C04" w:rsidRDefault="004C6C04" w:rsidP="004C6C04">
      <w:pPr>
        <w:ind w:left="1701"/>
        <w:jc w:val="both"/>
        <w:rPr>
          <w:rFonts w:ascii="Garamond" w:hAnsi="Garamond"/>
          <w:sz w:val="22"/>
          <w:szCs w:val="22"/>
        </w:rPr>
      </w:pPr>
    </w:p>
    <w:p w:rsidR="004C6C04" w:rsidRDefault="004C6C04" w:rsidP="004C6C04">
      <w:pPr>
        <w:ind w:left="1701"/>
        <w:jc w:val="both"/>
        <w:rPr>
          <w:rFonts w:ascii="Garamond" w:hAnsi="Garamond"/>
          <w:sz w:val="22"/>
          <w:szCs w:val="22"/>
        </w:rPr>
      </w:pPr>
    </w:p>
    <w:p w:rsidR="004C6C04" w:rsidRPr="004C6C04" w:rsidRDefault="004C6C04" w:rsidP="004C6C04">
      <w:pPr>
        <w:ind w:left="993" w:firstLine="708"/>
        <w:jc w:val="center"/>
        <w:rPr>
          <w:rFonts w:ascii="Garamond" w:hAnsi="Garamond"/>
          <w:sz w:val="16"/>
          <w:szCs w:val="22"/>
        </w:rPr>
      </w:pPr>
      <w:r>
        <w:rPr>
          <w:rFonts w:ascii="Garamond" w:hAnsi="Garamond"/>
          <w:sz w:val="22"/>
          <w:szCs w:val="22"/>
        </w:rPr>
        <w:t>&lt;&lt;&lt;&lt;&lt;&gt;&gt;&gt;&gt;&gt;</w:t>
      </w:r>
    </w:p>
    <w:p w:rsidR="004C6C04" w:rsidRPr="00320B13" w:rsidRDefault="004C6C04" w:rsidP="004C6C04">
      <w:pPr>
        <w:pStyle w:val="Textoindependiente"/>
        <w:tabs>
          <w:tab w:val="left" w:pos="426"/>
        </w:tabs>
        <w:ind w:left="567" w:right="141"/>
        <w:rPr>
          <w:rFonts w:ascii="Century Gothic" w:hAnsi="Century Gothic"/>
          <w:szCs w:val="22"/>
        </w:rPr>
      </w:pPr>
    </w:p>
    <w:p w:rsidR="00A06CE2" w:rsidRDefault="00A06CE2"/>
    <w:p w:rsidR="00A06CE2" w:rsidRPr="00A06CE2" w:rsidRDefault="00A06CE2" w:rsidP="00A06CE2"/>
    <w:p w:rsidR="00A06CE2" w:rsidRPr="00A06CE2" w:rsidRDefault="00A06CE2" w:rsidP="00A06CE2"/>
    <w:p w:rsidR="00A06CE2" w:rsidRDefault="00A06CE2" w:rsidP="00A06CE2">
      <w:bookmarkStart w:id="0" w:name="_GoBack"/>
      <w:bookmarkEnd w:id="0"/>
    </w:p>
    <w:sectPr w:rsidR="00A06CE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4B" w:rsidRDefault="004A464B" w:rsidP="004C6C04">
      <w:r>
        <w:separator/>
      </w:r>
    </w:p>
  </w:endnote>
  <w:endnote w:type="continuationSeparator" w:id="0">
    <w:p w:rsidR="004A464B" w:rsidRDefault="004A464B" w:rsidP="004C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E2" w:rsidRDefault="004C6C04" w:rsidP="004C6C04">
    <w:pPr>
      <w:ind w:right="-568"/>
      <w:rPr>
        <w:rFonts w:ascii="Garamond" w:hAnsi="Garamond"/>
        <w:sz w:val="18"/>
        <w:szCs w:val="18"/>
      </w:rPr>
    </w:pPr>
    <w:r w:rsidRPr="009D2E86">
      <w:rPr>
        <w:rFonts w:ascii="Garamond" w:hAnsi="Garamond"/>
        <w:sz w:val="18"/>
        <w:szCs w:val="18"/>
      </w:rPr>
      <w:t xml:space="preserve">Recomendaciones </w:t>
    </w:r>
    <w:r>
      <w:rPr>
        <w:rFonts w:ascii="Garamond" w:hAnsi="Garamond"/>
        <w:sz w:val="18"/>
        <w:szCs w:val="18"/>
      </w:rPr>
      <w:t>de la Comisión de Docencia tomadas mediante consulta del 25</w:t>
    </w:r>
    <w:r w:rsidRPr="009D2E86">
      <w:rPr>
        <w:rFonts w:ascii="Garamond" w:hAnsi="Garamond"/>
        <w:sz w:val="18"/>
        <w:szCs w:val="18"/>
      </w:rPr>
      <w:t xml:space="preserve"> de febrero de 2014       </w:t>
    </w:r>
    <w:r w:rsidRPr="009D2E86">
      <w:rPr>
        <w:rFonts w:ascii="Garamond" w:hAnsi="Garamond"/>
        <w:sz w:val="18"/>
        <w:szCs w:val="18"/>
      </w:rPr>
      <w:tab/>
    </w:r>
    <w:r w:rsidRPr="009D2E86">
      <w:rPr>
        <w:rFonts w:ascii="Garamond" w:hAnsi="Garamond"/>
        <w:sz w:val="18"/>
        <w:szCs w:val="18"/>
      </w:rPr>
      <w:tab/>
    </w:r>
  </w:p>
  <w:p w:rsidR="00A06CE2" w:rsidRDefault="00A06CE2" w:rsidP="00A06CE2">
    <w:pPr>
      <w:ind w:right="-568"/>
      <w:rPr>
        <w:rFonts w:ascii="Garamond" w:hAnsi="Garamond"/>
        <w:sz w:val="18"/>
        <w:szCs w:val="18"/>
      </w:rPr>
    </w:pPr>
    <w:r w:rsidRPr="00A06CE2">
      <w:rPr>
        <w:rFonts w:ascii="Garamond" w:hAnsi="Garamond"/>
        <w:sz w:val="18"/>
        <w:szCs w:val="18"/>
      </w:rPr>
      <w:t xml:space="preserve">Aprobadas por el Consejo Politécnico en resolución </w:t>
    </w:r>
    <w:r w:rsidRPr="00A06CE2">
      <w:rPr>
        <w:rFonts w:ascii="Garamond" w:hAnsi="Garamond"/>
        <w:b/>
        <w:sz w:val="18"/>
        <w:szCs w:val="18"/>
        <w:u w:val="single"/>
      </w:rPr>
      <w:t>14-03-072</w:t>
    </w:r>
    <w:r w:rsidRPr="00A06CE2">
      <w:rPr>
        <w:rFonts w:ascii="Garamond" w:hAnsi="Garamond"/>
        <w:b/>
        <w:sz w:val="18"/>
        <w:szCs w:val="18"/>
      </w:rPr>
      <w:t xml:space="preserve"> </w:t>
    </w:r>
    <w:r w:rsidRPr="00A06CE2">
      <w:rPr>
        <w:rFonts w:ascii="Garamond" w:hAnsi="Garamond"/>
        <w:sz w:val="18"/>
        <w:szCs w:val="18"/>
      </w:rPr>
      <w:t>de su sesión del 11 de marzo del 2014</w:t>
    </w:r>
    <w:r>
      <w:rPr>
        <w:rFonts w:ascii="Garamond" w:hAnsi="Garamond"/>
        <w:sz w:val="18"/>
        <w:szCs w:val="18"/>
      </w:rPr>
      <w:tab/>
    </w:r>
    <w:r>
      <w:rPr>
        <w:rFonts w:ascii="Garamond" w:hAnsi="Garamond"/>
        <w:sz w:val="18"/>
        <w:szCs w:val="18"/>
      </w:rPr>
      <w:tab/>
    </w:r>
    <w:r>
      <w:rPr>
        <w:rFonts w:ascii="Garamond" w:hAnsi="Garamond"/>
        <w:sz w:val="18"/>
        <w:szCs w:val="18"/>
      </w:rPr>
      <w:tab/>
      <w:t xml:space="preserve">  </w:t>
    </w:r>
    <w:r w:rsidRPr="009D2E86">
      <w:rPr>
        <w:rFonts w:ascii="Garamond" w:hAnsi="Garamond"/>
        <w:sz w:val="18"/>
        <w:szCs w:val="18"/>
      </w:rPr>
      <w:t xml:space="preserve">Página </w:t>
    </w:r>
    <w:r w:rsidRPr="009D2E86">
      <w:rPr>
        <w:rFonts w:ascii="Garamond" w:hAnsi="Garamond"/>
        <w:sz w:val="18"/>
        <w:szCs w:val="18"/>
      </w:rPr>
      <w:fldChar w:fldCharType="begin"/>
    </w:r>
    <w:r w:rsidRPr="009D2E86">
      <w:rPr>
        <w:rFonts w:ascii="Garamond" w:hAnsi="Garamond"/>
        <w:sz w:val="18"/>
        <w:szCs w:val="18"/>
      </w:rPr>
      <w:instrText xml:space="preserve"> PAGE </w:instrText>
    </w:r>
    <w:r w:rsidRPr="009D2E86">
      <w:rPr>
        <w:rFonts w:ascii="Garamond" w:hAnsi="Garamond"/>
        <w:sz w:val="18"/>
        <w:szCs w:val="18"/>
      </w:rPr>
      <w:fldChar w:fldCharType="separate"/>
    </w:r>
    <w:r>
      <w:rPr>
        <w:rFonts w:ascii="Garamond" w:hAnsi="Garamond"/>
        <w:noProof/>
        <w:sz w:val="18"/>
        <w:szCs w:val="18"/>
      </w:rPr>
      <w:t>1</w:t>
    </w:r>
    <w:r w:rsidRPr="009D2E86">
      <w:rPr>
        <w:rFonts w:ascii="Garamond" w:hAnsi="Garamond"/>
        <w:sz w:val="18"/>
        <w:szCs w:val="18"/>
      </w:rPr>
      <w:fldChar w:fldCharType="end"/>
    </w:r>
    <w:r w:rsidRPr="009D2E86">
      <w:rPr>
        <w:rFonts w:ascii="Garamond" w:hAnsi="Garamond"/>
        <w:sz w:val="18"/>
        <w:szCs w:val="18"/>
      </w:rPr>
      <w:t xml:space="preserve"> de </w:t>
    </w:r>
    <w:r w:rsidRPr="009D2E86">
      <w:rPr>
        <w:rFonts w:ascii="Garamond" w:hAnsi="Garamond"/>
        <w:sz w:val="18"/>
        <w:szCs w:val="18"/>
      </w:rPr>
      <w:fldChar w:fldCharType="begin"/>
    </w:r>
    <w:r w:rsidRPr="009D2E86">
      <w:rPr>
        <w:rFonts w:ascii="Garamond" w:hAnsi="Garamond"/>
        <w:sz w:val="18"/>
        <w:szCs w:val="18"/>
      </w:rPr>
      <w:instrText xml:space="preserve"> NUMPAGES  </w:instrText>
    </w:r>
    <w:r w:rsidRPr="009D2E86">
      <w:rPr>
        <w:rFonts w:ascii="Garamond" w:hAnsi="Garamond"/>
        <w:sz w:val="18"/>
        <w:szCs w:val="18"/>
      </w:rPr>
      <w:fldChar w:fldCharType="separate"/>
    </w:r>
    <w:r>
      <w:rPr>
        <w:rFonts w:ascii="Garamond" w:hAnsi="Garamond"/>
        <w:noProof/>
        <w:sz w:val="18"/>
        <w:szCs w:val="18"/>
      </w:rPr>
      <w:t>1</w:t>
    </w:r>
    <w:r w:rsidRPr="009D2E86">
      <w:rPr>
        <w:rFonts w:ascii="Garamond" w:hAnsi="Garamond"/>
        <w:sz w:val="18"/>
        <w:szCs w:val="18"/>
      </w:rPr>
      <w:fldChar w:fldCharType="end"/>
    </w:r>
  </w:p>
  <w:p w:rsidR="00A06CE2" w:rsidRPr="009D2E86" w:rsidRDefault="00A06CE2" w:rsidP="004C6C04">
    <w:pPr>
      <w:ind w:right="-568"/>
      <w:rPr>
        <w:rFonts w:ascii="Garamond" w:hAnsi="Garamond"/>
        <w:sz w:val="18"/>
        <w:szCs w:val="18"/>
      </w:rPr>
    </w:pPr>
  </w:p>
  <w:p w:rsidR="004C6C04" w:rsidRPr="009D2E86" w:rsidRDefault="004C6C04" w:rsidP="004C6C04">
    <w:pPr>
      <w:pStyle w:val="Piedepgina"/>
      <w:rPr>
        <w:rFonts w:ascii="Garamond" w:hAnsi="Garamond"/>
      </w:rPr>
    </w:pPr>
  </w:p>
  <w:p w:rsidR="004C6C04" w:rsidRDefault="004C6C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4B" w:rsidRDefault="004A464B" w:rsidP="004C6C04">
      <w:r>
        <w:separator/>
      </w:r>
    </w:p>
  </w:footnote>
  <w:footnote w:type="continuationSeparator" w:id="0">
    <w:p w:rsidR="004A464B" w:rsidRDefault="004A464B" w:rsidP="004C6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04"/>
    <w:rsid w:val="00271873"/>
    <w:rsid w:val="004A464B"/>
    <w:rsid w:val="004C6C04"/>
    <w:rsid w:val="00A06CE2"/>
    <w:rsid w:val="00E756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0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C6C04"/>
    <w:pPr>
      <w:jc w:val="both"/>
    </w:pPr>
    <w:rPr>
      <w:rFonts w:ascii="Tahoma" w:hAnsi="Tahoma"/>
      <w:sz w:val="22"/>
    </w:rPr>
  </w:style>
  <w:style w:type="character" w:customStyle="1" w:styleId="TextoindependienteCar">
    <w:name w:val="Texto independiente Car"/>
    <w:basedOn w:val="Fuentedeprrafopredeter"/>
    <w:link w:val="Textoindependiente"/>
    <w:rsid w:val="004C6C04"/>
    <w:rPr>
      <w:rFonts w:ascii="Tahoma" w:eastAsia="Times New Roman" w:hAnsi="Tahoma" w:cs="Times New Roman"/>
      <w:szCs w:val="20"/>
      <w:lang w:eastAsia="es-ES"/>
    </w:rPr>
  </w:style>
  <w:style w:type="paragraph" w:styleId="Encabezado">
    <w:name w:val="header"/>
    <w:basedOn w:val="Normal"/>
    <w:link w:val="EncabezadoCar"/>
    <w:uiPriority w:val="99"/>
    <w:unhideWhenUsed/>
    <w:rsid w:val="004C6C04"/>
    <w:pPr>
      <w:tabs>
        <w:tab w:val="center" w:pos="4680"/>
        <w:tab w:val="right" w:pos="9360"/>
      </w:tabs>
    </w:pPr>
  </w:style>
  <w:style w:type="character" w:customStyle="1" w:styleId="EncabezadoCar">
    <w:name w:val="Encabezado Car"/>
    <w:basedOn w:val="Fuentedeprrafopredeter"/>
    <w:link w:val="Encabezado"/>
    <w:uiPriority w:val="99"/>
    <w:rsid w:val="004C6C0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4C6C04"/>
    <w:pPr>
      <w:tabs>
        <w:tab w:val="center" w:pos="4680"/>
        <w:tab w:val="right" w:pos="9360"/>
      </w:tabs>
    </w:pPr>
  </w:style>
  <w:style w:type="character" w:customStyle="1" w:styleId="PiedepginaCar">
    <w:name w:val="Pie de página Car"/>
    <w:basedOn w:val="Fuentedeprrafopredeter"/>
    <w:link w:val="Piedepgina"/>
    <w:uiPriority w:val="99"/>
    <w:rsid w:val="004C6C04"/>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4C6C04"/>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C04"/>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0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C6C04"/>
    <w:pPr>
      <w:jc w:val="both"/>
    </w:pPr>
    <w:rPr>
      <w:rFonts w:ascii="Tahoma" w:hAnsi="Tahoma"/>
      <w:sz w:val="22"/>
    </w:rPr>
  </w:style>
  <w:style w:type="character" w:customStyle="1" w:styleId="TextoindependienteCar">
    <w:name w:val="Texto independiente Car"/>
    <w:basedOn w:val="Fuentedeprrafopredeter"/>
    <w:link w:val="Textoindependiente"/>
    <w:rsid w:val="004C6C04"/>
    <w:rPr>
      <w:rFonts w:ascii="Tahoma" w:eastAsia="Times New Roman" w:hAnsi="Tahoma" w:cs="Times New Roman"/>
      <w:szCs w:val="20"/>
      <w:lang w:eastAsia="es-ES"/>
    </w:rPr>
  </w:style>
  <w:style w:type="paragraph" w:styleId="Encabezado">
    <w:name w:val="header"/>
    <w:basedOn w:val="Normal"/>
    <w:link w:val="EncabezadoCar"/>
    <w:uiPriority w:val="99"/>
    <w:unhideWhenUsed/>
    <w:rsid w:val="004C6C04"/>
    <w:pPr>
      <w:tabs>
        <w:tab w:val="center" w:pos="4680"/>
        <w:tab w:val="right" w:pos="9360"/>
      </w:tabs>
    </w:pPr>
  </w:style>
  <w:style w:type="character" w:customStyle="1" w:styleId="EncabezadoCar">
    <w:name w:val="Encabezado Car"/>
    <w:basedOn w:val="Fuentedeprrafopredeter"/>
    <w:link w:val="Encabezado"/>
    <w:uiPriority w:val="99"/>
    <w:rsid w:val="004C6C0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4C6C04"/>
    <w:pPr>
      <w:tabs>
        <w:tab w:val="center" w:pos="4680"/>
        <w:tab w:val="right" w:pos="9360"/>
      </w:tabs>
    </w:pPr>
  </w:style>
  <w:style w:type="character" w:customStyle="1" w:styleId="PiedepginaCar">
    <w:name w:val="Pie de página Car"/>
    <w:basedOn w:val="Fuentedeprrafopredeter"/>
    <w:link w:val="Piedepgina"/>
    <w:uiPriority w:val="99"/>
    <w:rsid w:val="004C6C04"/>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4C6C04"/>
    <w:rPr>
      <w:rFonts w:ascii="Tahoma" w:hAnsi="Tahoma" w:cs="Tahoma"/>
      <w:sz w:val="16"/>
      <w:szCs w:val="16"/>
    </w:rPr>
  </w:style>
  <w:style w:type="character" w:customStyle="1" w:styleId="TextodegloboCar">
    <w:name w:val="Texto de globo Car"/>
    <w:basedOn w:val="Fuentedeprrafopredeter"/>
    <w:link w:val="Textodeglobo"/>
    <w:uiPriority w:val="99"/>
    <w:semiHidden/>
    <w:rsid w:val="004C6C0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07FCD-FEAD-423C-BC4B-588C7B68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Maria Aguirre Olvera</dc:creator>
  <cp:lastModifiedBy>Johanna Maria Aguirre Olvera</cp:lastModifiedBy>
  <cp:revision>2</cp:revision>
  <cp:lastPrinted>2014-03-06T14:13:00Z</cp:lastPrinted>
  <dcterms:created xsi:type="dcterms:W3CDTF">2014-03-06T14:09:00Z</dcterms:created>
  <dcterms:modified xsi:type="dcterms:W3CDTF">2014-04-07T19:58:00Z</dcterms:modified>
</cp:coreProperties>
</file>