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diagrams/quickStyle1.xml" ContentType="application/vnd.openxmlformats-officedocument.drawingml.diagramStyle+xml"/>
  <Override PartName="/word/diagrams/quickStyle2.xml" ContentType="application/vnd.openxmlformats-officedocument.drawingml.diagramStyle+xml"/>
  <Override PartName="/word/diagrams/data3.xml" ContentType="application/vnd.openxmlformats-officedocument.drawingml.diagramData+xml"/>
  <Default Extension="bin" ContentType="application/vnd.openxmlformats-officedocument.oleObject"/>
  <Override PartName="/word/charts/chart10.xml" ContentType="application/vnd.openxmlformats-officedocument.drawingml.chart+xml"/>
  <Override PartName="/word/diagrams/data1.xml" ContentType="application/vnd.openxmlformats-officedocument.drawingml.diagramData+xml"/>
  <Override PartName="/word/diagrams/data2.xml" ContentType="application/vnd.openxmlformats-officedocument.drawingml.diagramData+xml"/>
  <Override PartName="/word/diagrams/colors2.xml" ContentType="application/vnd.openxmlformats-officedocument.drawingml.diagramColors+xml"/>
  <Override PartName="/word/diagrams/colors3.xml" ContentType="application/vnd.openxmlformats-officedocument.drawingml.diagramColors+xml"/>
  <Override PartName="/word/diagrams/colors1.xml" ContentType="application/vnd.openxmlformats-officedocument.drawingml.diagramColor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charts/chart6.xml" ContentType="application/vnd.openxmlformats-officedocument.drawingml.chart+xml"/>
  <Override PartName="/word/charts/chart7.xml" ContentType="application/vnd.openxmlformats-officedocument.drawingml.chart+xml"/>
  <Override PartName="/word/charts/chart17.xml" ContentType="application/vnd.openxmlformats-officedocument.drawingml.chart+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theme/theme1.xml" ContentType="application/vnd.openxmlformats-officedocument.theme+xml"/>
  <Override PartName="/word/diagrams/layout3.xml" ContentType="application/vnd.openxmlformats-officedocument.drawingml.diagramLayout+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diagrams/layout2.xml" ContentType="application/vnd.openxmlformats-officedocument.drawingml.diagramLayout+xml"/>
  <Override PartName="/word/diagrams/quickStyle3.xml" ContentType="application/vnd.openxmlformats-officedocument.drawingml.diagramStyle+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8938" w:type="dxa"/>
        <w:tblInd w:w="108" w:type="dxa"/>
        <w:tblLayout w:type="fixed"/>
        <w:tblLook w:val="0000"/>
      </w:tblPr>
      <w:tblGrid>
        <w:gridCol w:w="1967"/>
        <w:gridCol w:w="4658"/>
        <w:gridCol w:w="2313"/>
      </w:tblGrid>
      <w:tr w:rsidR="00A3014D" w:rsidRPr="00596EDA">
        <w:trPr>
          <w:trHeight w:val="1846"/>
        </w:trPr>
        <w:tc>
          <w:tcPr>
            <w:tcW w:w="1967" w:type="dxa"/>
            <w:tcBorders>
              <w:top w:val="single" w:sz="4" w:space="0" w:color="000000"/>
              <w:left w:val="single" w:sz="4" w:space="0" w:color="000000"/>
              <w:bottom w:val="single" w:sz="4" w:space="0" w:color="000000"/>
            </w:tcBorders>
          </w:tcPr>
          <w:p w:rsidR="00A3014D" w:rsidRPr="00596EDA" w:rsidRDefault="003A24B0" w:rsidP="00435E37">
            <w:pPr>
              <w:pStyle w:val="Encabezado"/>
              <w:snapToGrid w:val="0"/>
              <w:rPr>
                <w:rFonts w:eastAsia="Times New Roman"/>
              </w:rPr>
            </w:pPr>
            <w:r>
              <w:rPr>
                <w:rFonts w:eastAsia="Times New Roman"/>
                <w:noProof/>
                <w:color w:val="CC9900"/>
                <w:lang w:val="es-ES" w:eastAsia="es-ES"/>
              </w:rPr>
              <w:drawing>
                <wp:inline distT="0" distB="0" distL="0" distR="0">
                  <wp:extent cx="762000" cy="762000"/>
                  <wp:effectExtent l="1905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7"/>
                          <a:srcRect/>
                          <a:stretch>
                            <a:fillRect/>
                          </a:stretch>
                        </pic:blipFill>
                        <pic:spPr bwMode="auto">
                          <a:xfrm>
                            <a:off x="0" y="0"/>
                            <a:ext cx="762000" cy="762000"/>
                          </a:xfrm>
                          <a:prstGeom prst="rect">
                            <a:avLst/>
                          </a:prstGeom>
                          <a:solidFill>
                            <a:srgbClr val="FFFFFF"/>
                          </a:solidFill>
                          <a:ln w="9525">
                            <a:noFill/>
                            <a:miter lim="800000"/>
                            <a:headEnd/>
                            <a:tailEnd/>
                          </a:ln>
                        </pic:spPr>
                      </pic:pic>
                    </a:graphicData>
                  </a:graphic>
                </wp:inline>
              </w:drawing>
            </w:r>
          </w:p>
        </w:tc>
        <w:tc>
          <w:tcPr>
            <w:tcW w:w="4658" w:type="dxa"/>
            <w:tcBorders>
              <w:top w:val="single" w:sz="4" w:space="0" w:color="000000"/>
              <w:left w:val="single" w:sz="4" w:space="0" w:color="000000"/>
              <w:bottom w:val="single" w:sz="4" w:space="0" w:color="000000"/>
            </w:tcBorders>
          </w:tcPr>
          <w:p w:rsidR="00A3014D" w:rsidRPr="00596EDA" w:rsidRDefault="00A3014D" w:rsidP="00435E37">
            <w:pPr>
              <w:pStyle w:val="Encabezado"/>
              <w:snapToGrid w:val="0"/>
              <w:rPr>
                <w:rFonts w:eastAsia="Times New Roman"/>
              </w:rPr>
            </w:pPr>
          </w:p>
          <w:p w:rsidR="00A3014D" w:rsidRPr="005625B2" w:rsidRDefault="00A3014D" w:rsidP="00435E37">
            <w:pPr>
              <w:pStyle w:val="Encabezado"/>
              <w:jc w:val="center"/>
              <w:rPr>
                <w:rFonts w:ascii="Arial Black" w:eastAsia="Times New Roman" w:hAnsi="Arial Black"/>
                <w:b/>
                <w:sz w:val="36"/>
                <w:szCs w:val="36"/>
              </w:rPr>
            </w:pPr>
            <w:r w:rsidRPr="005625B2">
              <w:rPr>
                <w:rFonts w:ascii="Arial Black" w:eastAsia="Times New Roman" w:hAnsi="Arial Black"/>
                <w:b/>
                <w:sz w:val="36"/>
                <w:szCs w:val="36"/>
              </w:rPr>
              <w:t>ESCUELA SUPERIOR POLITECNICA DEL  LITORAL</w:t>
            </w:r>
          </w:p>
          <w:p w:rsidR="00A3014D" w:rsidRPr="005625B2" w:rsidRDefault="00A3014D" w:rsidP="00435E37">
            <w:pPr>
              <w:pStyle w:val="Encabezado"/>
              <w:jc w:val="center"/>
              <w:rPr>
                <w:rFonts w:eastAsia="Times New Roman"/>
                <w:sz w:val="24"/>
                <w:szCs w:val="24"/>
              </w:rPr>
            </w:pPr>
            <w:r w:rsidRPr="005625B2">
              <w:rPr>
                <w:rFonts w:eastAsia="Times New Roman"/>
                <w:sz w:val="24"/>
                <w:szCs w:val="24"/>
              </w:rPr>
              <w:t>FACULTAD DE CIENCIAS HUMANISTICAS Y ECONOMICAS</w:t>
            </w:r>
          </w:p>
        </w:tc>
        <w:tc>
          <w:tcPr>
            <w:tcW w:w="2313" w:type="dxa"/>
            <w:tcBorders>
              <w:top w:val="single" w:sz="4" w:space="0" w:color="000000"/>
              <w:left w:val="single" w:sz="4" w:space="0" w:color="000000"/>
              <w:bottom w:val="single" w:sz="4" w:space="0" w:color="000000"/>
              <w:right w:val="single" w:sz="4" w:space="0" w:color="000000"/>
            </w:tcBorders>
          </w:tcPr>
          <w:p w:rsidR="00A3014D" w:rsidRPr="00596EDA" w:rsidRDefault="003A24B0" w:rsidP="00435E37">
            <w:pPr>
              <w:pStyle w:val="Encabezado"/>
              <w:snapToGrid w:val="0"/>
            </w:pPr>
            <w:r>
              <w:rPr>
                <w:rFonts w:eastAsia="Times New Roman"/>
                <w:noProof/>
                <w:color w:val="CC9900"/>
                <w:lang w:val="es-ES" w:eastAsia="es-ES"/>
              </w:rPr>
              <w:drawing>
                <wp:inline distT="0" distB="0" distL="0" distR="0">
                  <wp:extent cx="1047750" cy="762000"/>
                  <wp:effectExtent l="1905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8"/>
                          <a:srcRect/>
                          <a:stretch>
                            <a:fillRect/>
                          </a:stretch>
                        </pic:blipFill>
                        <pic:spPr bwMode="auto">
                          <a:xfrm>
                            <a:off x="0" y="0"/>
                            <a:ext cx="1047750" cy="762000"/>
                          </a:xfrm>
                          <a:prstGeom prst="rect">
                            <a:avLst/>
                          </a:prstGeom>
                          <a:solidFill>
                            <a:srgbClr val="FFFFFF"/>
                          </a:solidFill>
                          <a:ln w="9525">
                            <a:noFill/>
                            <a:miter lim="800000"/>
                            <a:headEnd/>
                            <a:tailEnd/>
                          </a:ln>
                        </pic:spPr>
                      </pic:pic>
                    </a:graphicData>
                  </a:graphic>
                </wp:inline>
              </w:drawing>
            </w:r>
          </w:p>
        </w:tc>
      </w:tr>
    </w:tbl>
    <w:p w:rsidR="00A3014D" w:rsidRDefault="00A3014D" w:rsidP="00A3014D">
      <w:pPr>
        <w:spacing w:after="0" w:line="360" w:lineRule="auto"/>
        <w:rPr>
          <w:rFonts w:ascii="Arial" w:eastAsia="Times New Roman" w:hAnsi="Arial" w:cs="Arial"/>
          <w:b/>
          <w:color w:val="000000"/>
          <w:sz w:val="20"/>
          <w:szCs w:val="20"/>
          <w:lang w:eastAsia="es-EC"/>
        </w:rPr>
      </w:pPr>
    </w:p>
    <w:p w:rsidR="00A3014D" w:rsidRPr="00980007" w:rsidRDefault="00A3014D" w:rsidP="00A3014D">
      <w:pPr>
        <w:spacing w:after="0" w:line="360" w:lineRule="auto"/>
        <w:rPr>
          <w:rFonts w:ascii="Arial" w:eastAsia="Times New Roman" w:hAnsi="Arial" w:cs="Arial"/>
          <w:b/>
          <w:color w:val="000000"/>
          <w:lang w:eastAsia="es-EC"/>
        </w:rPr>
      </w:pPr>
    </w:p>
    <w:p w:rsidR="00A3014D" w:rsidRPr="00172D97" w:rsidRDefault="00A3014D" w:rsidP="007524A7">
      <w:pPr>
        <w:spacing w:after="0" w:line="360" w:lineRule="auto"/>
        <w:jc w:val="center"/>
        <w:rPr>
          <w:rFonts w:ascii="Arial" w:eastAsia="Times New Roman" w:hAnsi="Arial" w:cs="Arial"/>
          <w:b/>
          <w:color w:val="000000"/>
          <w:sz w:val="24"/>
          <w:szCs w:val="24"/>
          <w:lang w:eastAsia="es-EC"/>
        </w:rPr>
      </w:pPr>
      <w:r w:rsidRPr="00172D97">
        <w:rPr>
          <w:rFonts w:ascii="Arial" w:eastAsia="Times New Roman" w:hAnsi="Arial" w:cs="Arial"/>
          <w:b/>
          <w:color w:val="000000"/>
          <w:sz w:val="24"/>
          <w:szCs w:val="24"/>
          <w:lang w:eastAsia="es-EC"/>
        </w:rPr>
        <w:t>TESIS:</w:t>
      </w:r>
    </w:p>
    <w:p w:rsidR="00A3014D" w:rsidRPr="00172D97" w:rsidRDefault="00A3014D" w:rsidP="00A3014D">
      <w:pPr>
        <w:jc w:val="center"/>
        <w:rPr>
          <w:rFonts w:ascii="Arial" w:hAnsi="Arial" w:cs="Arial"/>
          <w:b/>
          <w:i/>
          <w:sz w:val="24"/>
          <w:szCs w:val="24"/>
        </w:rPr>
      </w:pPr>
      <w:r w:rsidRPr="00172D97">
        <w:rPr>
          <w:rFonts w:ascii="Arial" w:hAnsi="Arial" w:cs="Arial"/>
          <w:b/>
          <w:i/>
          <w:sz w:val="24"/>
          <w:szCs w:val="24"/>
        </w:rPr>
        <w:t>VALORACIÓN DE EMPRESAS UTILIZANDO MÉTODOS ALTERNATIVOS FINANCIEROS O DE MERCADO</w:t>
      </w:r>
    </w:p>
    <w:p w:rsidR="00A3014D" w:rsidRPr="00172D97" w:rsidRDefault="00A3014D" w:rsidP="00A3014D">
      <w:pPr>
        <w:spacing w:after="0" w:line="360" w:lineRule="auto"/>
        <w:rPr>
          <w:rFonts w:ascii="Arial" w:eastAsia="Times New Roman" w:hAnsi="Arial" w:cs="Arial"/>
          <w:b/>
          <w:color w:val="000000"/>
          <w:sz w:val="24"/>
          <w:szCs w:val="24"/>
          <w:lang w:eastAsia="es-EC"/>
        </w:rPr>
      </w:pPr>
    </w:p>
    <w:p w:rsidR="00A3014D" w:rsidRPr="00172D97" w:rsidRDefault="00A3014D" w:rsidP="007524A7">
      <w:pPr>
        <w:spacing w:after="0" w:line="360" w:lineRule="auto"/>
        <w:jc w:val="center"/>
        <w:rPr>
          <w:rFonts w:ascii="Arial" w:eastAsia="Times New Roman" w:hAnsi="Arial" w:cs="Arial"/>
          <w:b/>
          <w:i/>
          <w:color w:val="000000"/>
          <w:sz w:val="24"/>
          <w:szCs w:val="24"/>
          <w:lang w:eastAsia="es-EC"/>
        </w:rPr>
      </w:pPr>
      <w:r w:rsidRPr="00172D97">
        <w:rPr>
          <w:rFonts w:ascii="Arial" w:eastAsia="Times New Roman" w:hAnsi="Arial" w:cs="Arial"/>
          <w:b/>
          <w:i/>
          <w:color w:val="000000"/>
          <w:sz w:val="24"/>
          <w:szCs w:val="24"/>
          <w:lang w:eastAsia="es-EC"/>
        </w:rPr>
        <w:t>CASO: PRODUBANCO</w:t>
      </w:r>
    </w:p>
    <w:p w:rsidR="00A3014D" w:rsidRPr="00172D97" w:rsidRDefault="00A3014D" w:rsidP="00A3014D">
      <w:pPr>
        <w:spacing w:after="0" w:line="360" w:lineRule="auto"/>
        <w:jc w:val="center"/>
        <w:rPr>
          <w:rFonts w:ascii="Arial" w:eastAsia="Times New Roman" w:hAnsi="Arial" w:cs="Arial"/>
          <w:b/>
          <w:i/>
          <w:color w:val="000000"/>
          <w:sz w:val="24"/>
          <w:szCs w:val="24"/>
          <w:lang w:eastAsia="es-EC"/>
        </w:rPr>
      </w:pPr>
    </w:p>
    <w:p w:rsidR="00A3014D" w:rsidRPr="00172D97" w:rsidRDefault="00445404" w:rsidP="00A3014D">
      <w:pPr>
        <w:spacing w:after="0" w:line="360" w:lineRule="auto"/>
        <w:jc w:val="center"/>
        <w:rPr>
          <w:rFonts w:ascii="Arial" w:eastAsia="Times New Roman" w:hAnsi="Arial" w:cs="Arial"/>
          <w:b/>
          <w:color w:val="000000"/>
          <w:sz w:val="24"/>
          <w:szCs w:val="24"/>
          <w:lang w:eastAsia="es-EC"/>
        </w:rPr>
      </w:pPr>
      <w:r>
        <w:rPr>
          <w:rFonts w:ascii="Arial" w:eastAsia="Times New Roman" w:hAnsi="Arial" w:cs="Arial"/>
          <w:b/>
          <w:color w:val="000000"/>
          <w:sz w:val="24"/>
          <w:szCs w:val="24"/>
          <w:lang w:eastAsia="es-EC"/>
        </w:rPr>
        <w:t>TESIS</w:t>
      </w:r>
      <w:r w:rsidR="00A3014D" w:rsidRPr="00172D97">
        <w:rPr>
          <w:rFonts w:ascii="Arial" w:eastAsia="Times New Roman" w:hAnsi="Arial" w:cs="Arial"/>
          <w:b/>
          <w:color w:val="000000"/>
          <w:sz w:val="24"/>
          <w:szCs w:val="24"/>
          <w:lang w:eastAsia="es-EC"/>
        </w:rPr>
        <w:t xml:space="preserve"> DE GRADO </w:t>
      </w:r>
    </w:p>
    <w:p w:rsidR="00A3014D" w:rsidRPr="00172D97" w:rsidRDefault="00A3014D" w:rsidP="00A3014D">
      <w:pPr>
        <w:spacing w:after="0" w:line="360" w:lineRule="auto"/>
        <w:jc w:val="center"/>
        <w:rPr>
          <w:rFonts w:ascii="Arial" w:eastAsia="Times New Roman" w:hAnsi="Arial" w:cs="Arial"/>
          <w:b/>
          <w:color w:val="000000"/>
          <w:sz w:val="24"/>
          <w:szCs w:val="24"/>
          <w:lang w:eastAsia="es-EC"/>
        </w:rPr>
      </w:pPr>
    </w:p>
    <w:p w:rsidR="00A3014D" w:rsidRPr="00172D97" w:rsidRDefault="00A3014D" w:rsidP="00A3014D">
      <w:pPr>
        <w:spacing w:after="0" w:line="360" w:lineRule="auto"/>
        <w:jc w:val="center"/>
        <w:rPr>
          <w:rFonts w:ascii="Arial" w:eastAsia="Times New Roman" w:hAnsi="Arial" w:cs="Arial"/>
          <w:b/>
          <w:color w:val="000000"/>
          <w:sz w:val="24"/>
          <w:szCs w:val="24"/>
          <w:lang w:eastAsia="es-EC"/>
        </w:rPr>
      </w:pPr>
      <w:r w:rsidRPr="00172D97">
        <w:rPr>
          <w:rFonts w:ascii="Arial" w:eastAsia="Times New Roman" w:hAnsi="Arial" w:cs="Arial"/>
          <w:b/>
          <w:color w:val="000000"/>
          <w:sz w:val="24"/>
          <w:szCs w:val="24"/>
          <w:lang w:eastAsia="es-EC"/>
        </w:rPr>
        <w:t xml:space="preserve">Previa a la obtención del Título de: </w:t>
      </w:r>
    </w:p>
    <w:p w:rsidR="00A3014D" w:rsidRPr="00172D97" w:rsidRDefault="00A3014D" w:rsidP="00A3014D">
      <w:pPr>
        <w:spacing w:after="0" w:line="360" w:lineRule="auto"/>
        <w:rPr>
          <w:rFonts w:ascii="Arial" w:eastAsia="Times New Roman" w:hAnsi="Arial" w:cs="Arial"/>
          <w:b/>
          <w:color w:val="000000"/>
          <w:sz w:val="24"/>
          <w:szCs w:val="24"/>
          <w:lang w:eastAsia="es-EC"/>
        </w:rPr>
      </w:pPr>
    </w:p>
    <w:p w:rsidR="00A3014D" w:rsidRPr="008C7092" w:rsidRDefault="00A3014D" w:rsidP="00A3014D">
      <w:pPr>
        <w:spacing w:after="0" w:line="360" w:lineRule="auto"/>
        <w:jc w:val="center"/>
        <w:rPr>
          <w:rFonts w:ascii="Arial" w:eastAsia="Times New Roman" w:hAnsi="Arial" w:cs="Arial"/>
          <w:b/>
          <w:color w:val="000000"/>
          <w:sz w:val="28"/>
          <w:szCs w:val="28"/>
          <w:lang w:eastAsia="es-EC"/>
        </w:rPr>
      </w:pPr>
      <w:r w:rsidRPr="008C7092">
        <w:rPr>
          <w:rFonts w:ascii="Arial" w:eastAsia="Times New Roman" w:hAnsi="Arial" w:cs="Arial"/>
          <w:b/>
          <w:color w:val="000000"/>
          <w:sz w:val="28"/>
          <w:szCs w:val="28"/>
          <w:lang w:eastAsia="es-EC"/>
        </w:rPr>
        <w:t xml:space="preserve">INGENIERÍA COMERCIAL </w:t>
      </w:r>
    </w:p>
    <w:p w:rsidR="00A3014D" w:rsidRPr="008C7092" w:rsidRDefault="00A3014D" w:rsidP="00A3014D">
      <w:pPr>
        <w:spacing w:after="0" w:line="360" w:lineRule="auto"/>
        <w:jc w:val="center"/>
        <w:rPr>
          <w:rFonts w:ascii="Arial" w:eastAsia="Times New Roman" w:hAnsi="Arial" w:cs="Arial"/>
          <w:b/>
          <w:color w:val="000000"/>
          <w:sz w:val="28"/>
          <w:szCs w:val="28"/>
          <w:lang w:eastAsia="es-EC"/>
        </w:rPr>
      </w:pPr>
      <w:r w:rsidRPr="008C7092">
        <w:rPr>
          <w:rFonts w:ascii="Arial" w:eastAsia="Times New Roman" w:hAnsi="Arial" w:cs="Arial"/>
          <w:b/>
          <w:color w:val="000000"/>
          <w:sz w:val="28"/>
          <w:szCs w:val="28"/>
          <w:lang w:eastAsia="es-EC"/>
        </w:rPr>
        <w:t>ESPECIALIZACIÓN</w:t>
      </w:r>
      <w:r>
        <w:rPr>
          <w:rFonts w:ascii="Arial" w:eastAsia="Times New Roman" w:hAnsi="Arial" w:cs="Arial"/>
          <w:b/>
          <w:color w:val="000000"/>
          <w:sz w:val="28"/>
          <w:szCs w:val="28"/>
          <w:lang w:eastAsia="es-EC"/>
        </w:rPr>
        <w:t>:</w:t>
      </w:r>
      <w:r w:rsidRPr="008C7092">
        <w:rPr>
          <w:rFonts w:ascii="Arial" w:eastAsia="Times New Roman" w:hAnsi="Arial" w:cs="Arial"/>
          <w:b/>
          <w:color w:val="000000"/>
          <w:sz w:val="28"/>
          <w:szCs w:val="28"/>
          <w:lang w:eastAsia="es-EC"/>
        </w:rPr>
        <w:t xml:space="preserve"> FINANZAS</w:t>
      </w:r>
    </w:p>
    <w:p w:rsidR="00A3014D" w:rsidRPr="00172D97" w:rsidRDefault="00A3014D" w:rsidP="00A3014D">
      <w:pPr>
        <w:spacing w:after="0" w:line="360" w:lineRule="auto"/>
        <w:rPr>
          <w:rFonts w:ascii="Arial" w:eastAsia="Times New Roman" w:hAnsi="Arial" w:cs="Arial"/>
          <w:b/>
          <w:color w:val="000000"/>
          <w:sz w:val="24"/>
          <w:szCs w:val="24"/>
          <w:lang w:eastAsia="es-EC"/>
        </w:rPr>
      </w:pPr>
    </w:p>
    <w:p w:rsidR="00A3014D" w:rsidRPr="00172D97" w:rsidRDefault="00A3014D" w:rsidP="00A3014D">
      <w:pPr>
        <w:spacing w:after="0" w:line="360" w:lineRule="auto"/>
        <w:jc w:val="center"/>
        <w:rPr>
          <w:rFonts w:ascii="Arial" w:eastAsia="Times New Roman" w:hAnsi="Arial" w:cs="Arial"/>
          <w:b/>
          <w:color w:val="000000"/>
          <w:sz w:val="24"/>
          <w:szCs w:val="24"/>
          <w:lang w:eastAsia="es-EC"/>
        </w:rPr>
      </w:pPr>
      <w:r w:rsidRPr="00172D97">
        <w:rPr>
          <w:rFonts w:ascii="Arial" w:eastAsia="Times New Roman" w:hAnsi="Arial" w:cs="Arial"/>
          <w:b/>
          <w:color w:val="000000"/>
          <w:sz w:val="24"/>
          <w:szCs w:val="24"/>
          <w:lang w:eastAsia="es-EC"/>
        </w:rPr>
        <w:t xml:space="preserve">Presentado por: </w:t>
      </w:r>
    </w:p>
    <w:p w:rsidR="00A3014D" w:rsidRPr="00172D97" w:rsidRDefault="00A3014D" w:rsidP="00A3014D">
      <w:pPr>
        <w:spacing w:after="0" w:line="360" w:lineRule="auto"/>
        <w:rPr>
          <w:rFonts w:ascii="Arial" w:eastAsia="Times New Roman" w:hAnsi="Arial" w:cs="Arial"/>
          <w:b/>
          <w:color w:val="000000"/>
          <w:sz w:val="24"/>
          <w:szCs w:val="24"/>
          <w:lang w:eastAsia="es-EC"/>
        </w:rPr>
      </w:pPr>
    </w:p>
    <w:p w:rsidR="00A3014D" w:rsidRPr="00172D97" w:rsidRDefault="00A3014D" w:rsidP="00A3014D">
      <w:pPr>
        <w:spacing w:after="0" w:line="360" w:lineRule="auto"/>
        <w:jc w:val="center"/>
        <w:rPr>
          <w:rFonts w:ascii="Arial" w:eastAsia="Times New Roman" w:hAnsi="Arial" w:cs="Arial"/>
          <w:b/>
          <w:color w:val="000000"/>
          <w:sz w:val="24"/>
          <w:szCs w:val="24"/>
          <w:lang w:eastAsia="es-EC"/>
        </w:rPr>
      </w:pPr>
      <w:r w:rsidRPr="00172D97">
        <w:rPr>
          <w:rFonts w:ascii="Arial" w:eastAsia="Times New Roman" w:hAnsi="Arial" w:cs="Arial"/>
          <w:b/>
          <w:color w:val="000000"/>
          <w:sz w:val="24"/>
          <w:szCs w:val="24"/>
          <w:lang w:eastAsia="es-EC"/>
        </w:rPr>
        <w:t>Diana Jenniffer Chiriboga Rodríguez</w:t>
      </w:r>
    </w:p>
    <w:p w:rsidR="00A3014D" w:rsidRPr="00172D97" w:rsidRDefault="00A3014D" w:rsidP="00A3014D">
      <w:pPr>
        <w:spacing w:after="0" w:line="360" w:lineRule="auto"/>
        <w:jc w:val="center"/>
        <w:rPr>
          <w:rFonts w:ascii="Arial" w:eastAsia="Times New Roman" w:hAnsi="Arial" w:cs="Arial"/>
          <w:b/>
          <w:color w:val="000000"/>
          <w:sz w:val="24"/>
          <w:szCs w:val="24"/>
          <w:lang w:eastAsia="es-EC"/>
        </w:rPr>
      </w:pPr>
      <w:r w:rsidRPr="00172D97">
        <w:rPr>
          <w:rFonts w:ascii="Arial" w:eastAsia="Times New Roman" w:hAnsi="Arial" w:cs="Arial"/>
          <w:b/>
          <w:color w:val="000000"/>
          <w:sz w:val="24"/>
          <w:szCs w:val="24"/>
          <w:lang w:eastAsia="es-EC"/>
        </w:rPr>
        <w:t>Rosalía Dennise Paredes Alvarado</w:t>
      </w:r>
    </w:p>
    <w:p w:rsidR="00A3014D" w:rsidRPr="00172D97" w:rsidRDefault="00A3014D" w:rsidP="00A3014D">
      <w:pPr>
        <w:spacing w:after="0" w:line="360" w:lineRule="auto"/>
        <w:jc w:val="center"/>
        <w:rPr>
          <w:rFonts w:ascii="Arial" w:eastAsia="Times New Roman" w:hAnsi="Arial" w:cs="Arial"/>
          <w:b/>
          <w:color w:val="000000"/>
          <w:sz w:val="24"/>
          <w:szCs w:val="24"/>
          <w:lang w:eastAsia="es-EC"/>
        </w:rPr>
      </w:pPr>
      <w:r w:rsidRPr="00172D97">
        <w:rPr>
          <w:rFonts w:ascii="Arial" w:eastAsia="Times New Roman" w:hAnsi="Arial" w:cs="Arial"/>
          <w:b/>
          <w:color w:val="000000"/>
          <w:sz w:val="24"/>
          <w:szCs w:val="24"/>
          <w:lang w:eastAsia="es-EC"/>
        </w:rPr>
        <w:t>Luis Xavier Ramírez Gómez</w:t>
      </w:r>
    </w:p>
    <w:p w:rsidR="00A3014D" w:rsidRPr="00172D97" w:rsidRDefault="00A3014D" w:rsidP="00A3014D">
      <w:pPr>
        <w:spacing w:after="0" w:line="360" w:lineRule="auto"/>
        <w:jc w:val="center"/>
        <w:rPr>
          <w:rFonts w:ascii="Arial" w:eastAsia="Times New Roman" w:hAnsi="Arial" w:cs="Arial"/>
          <w:b/>
          <w:color w:val="000000"/>
          <w:sz w:val="24"/>
          <w:szCs w:val="24"/>
          <w:lang w:eastAsia="es-EC"/>
        </w:rPr>
      </w:pPr>
    </w:p>
    <w:p w:rsidR="00A3014D" w:rsidRPr="00172D97" w:rsidRDefault="00A3014D" w:rsidP="00A3014D">
      <w:pPr>
        <w:spacing w:after="0" w:line="360" w:lineRule="auto"/>
        <w:jc w:val="center"/>
        <w:rPr>
          <w:rFonts w:ascii="Arial" w:eastAsia="Times New Roman" w:hAnsi="Arial" w:cs="Arial"/>
          <w:b/>
          <w:color w:val="000000"/>
          <w:sz w:val="24"/>
          <w:szCs w:val="24"/>
          <w:lang w:eastAsia="es-EC"/>
        </w:rPr>
      </w:pPr>
    </w:p>
    <w:p w:rsidR="00A3014D" w:rsidRPr="00172D97" w:rsidRDefault="00A3014D" w:rsidP="007524A7">
      <w:pPr>
        <w:spacing w:after="0" w:line="360" w:lineRule="auto"/>
        <w:jc w:val="center"/>
        <w:rPr>
          <w:rFonts w:ascii="Arial" w:eastAsia="Times New Roman" w:hAnsi="Arial" w:cs="Arial"/>
          <w:b/>
          <w:color w:val="000000"/>
          <w:sz w:val="24"/>
          <w:szCs w:val="24"/>
          <w:lang w:eastAsia="es-EC"/>
        </w:rPr>
      </w:pPr>
      <w:r w:rsidRPr="00172D97">
        <w:rPr>
          <w:rFonts w:ascii="Arial" w:eastAsia="Times New Roman" w:hAnsi="Arial" w:cs="Arial"/>
          <w:b/>
          <w:color w:val="000000"/>
          <w:sz w:val="24"/>
          <w:szCs w:val="24"/>
          <w:lang w:eastAsia="es-EC"/>
        </w:rPr>
        <w:t>GUAYAQUIL – ECUADOR</w:t>
      </w:r>
    </w:p>
    <w:p w:rsidR="00A3014D" w:rsidRPr="00172D97" w:rsidRDefault="00A3014D" w:rsidP="00A3014D">
      <w:pPr>
        <w:spacing w:after="0" w:line="360" w:lineRule="auto"/>
        <w:jc w:val="center"/>
        <w:rPr>
          <w:rFonts w:ascii="Arial" w:eastAsia="Times New Roman" w:hAnsi="Arial" w:cs="Arial"/>
          <w:b/>
          <w:color w:val="000000"/>
          <w:sz w:val="24"/>
          <w:szCs w:val="24"/>
          <w:lang w:eastAsia="es-EC"/>
        </w:rPr>
      </w:pPr>
    </w:p>
    <w:p w:rsidR="00A3014D" w:rsidRPr="00172D97" w:rsidRDefault="00A3014D" w:rsidP="00A3014D">
      <w:pPr>
        <w:spacing w:after="0" w:line="360" w:lineRule="auto"/>
        <w:jc w:val="center"/>
        <w:rPr>
          <w:rFonts w:ascii="Arial" w:eastAsia="Times New Roman" w:hAnsi="Arial" w:cs="Arial"/>
          <w:b/>
          <w:color w:val="000000"/>
          <w:sz w:val="24"/>
          <w:szCs w:val="24"/>
          <w:lang w:eastAsia="es-EC"/>
        </w:rPr>
        <w:sectPr w:rsidR="00A3014D" w:rsidRPr="00172D97" w:rsidSect="00F27DFF">
          <w:footerReference w:type="even" r:id="rId9"/>
          <w:footerReference w:type="default" r:id="rId10"/>
          <w:footnotePr>
            <w:pos w:val="beneathText"/>
          </w:footnotePr>
          <w:type w:val="continuous"/>
          <w:pgSz w:w="11907" w:h="16840" w:code="9"/>
          <w:pgMar w:top="1985" w:right="1418" w:bottom="1985" w:left="2268" w:header="720" w:footer="720" w:gutter="0"/>
          <w:cols w:space="720"/>
          <w:docGrid w:linePitch="360"/>
        </w:sectPr>
      </w:pPr>
    </w:p>
    <w:p w:rsidR="00A3014D" w:rsidRPr="00172D97" w:rsidRDefault="00A3014D" w:rsidP="00A3014D">
      <w:pPr>
        <w:spacing w:after="0" w:line="360" w:lineRule="auto"/>
        <w:jc w:val="center"/>
        <w:rPr>
          <w:rFonts w:ascii="Arial" w:eastAsia="Times New Roman" w:hAnsi="Arial" w:cs="Arial"/>
          <w:b/>
          <w:color w:val="000000"/>
          <w:sz w:val="24"/>
          <w:szCs w:val="24"/>
          <w:lang w:eastAsia="es-EC"/>
        </w:rPr>
      </w:pPr>
      <w:r w:rsidRPr="00172D97">
        <w:rPr>
          <w:rFonts w:ascii="Arial" w:eastAsia="Times New Roman" w:hAnsi="Arial" w:cs="Arial"/>
          <w:b/>
          <w:color w:val="000000"/>
          <w:sz w:val="24"/>
          <w:szCs w:val="24"/>
          <w:lang w:eastAsia="es-EC"/>
        </w:rPr>
        <w:lastRenderedPageBreak/>
        <w:t xml:space="preserve">AÑO 2008 </w:t>
      </w:r>
    </w:p>
    <w:p w:rsidR="00A3014D" w:rsidRDefault="00A3014D" w:rsidP="00A3014D">
      <w:pPr>
        <w:spacing w:after="0" w:line="360" w:lineRule="auto"/>
        <w:rPr>
          <w:rFonts w:ascii="Arial" w:eastAsia="Times New Roman" w:hAnsi="Arial" w:cs="Arial"/>
          <w:b/>
          <w:color w:val="000000"/>
          <w:sz w:val="20"/>
          <w:szCs w:val="20"/>
          <w:lang w:eastAsia="es-EC"/>
        </w:rPr>
        <w:sectPr w:rsidR="00A3014D" w:rsidSect="00F27DFF">
          <w:footnotePr>
            <w:pos w:val="beneathText"/>
          </w:footnotePr>
          <w:type w:val="continuous"/>
          <w:pgSz w:w="11907" w:h="16840" w:code="9"/>
          <w:pgMar w:top="1985" w:right="1418" w:bottom="1985" w:left="2268" w:header="720" w:footer="720" w:gutter="0"/>
          <w:cols w:space="720"/>
          <w:docGrid w:linePitch="360"/>
        </w:sectPr>
      </w:pPr>
    </w:p>
    <w:p w:rsidR="00A3014D" w:rsidRPr="00256395" w:rsidRDefault="00A3014D" w:rsidP="00A3014D">
      <w:pPr>
        <w:spacing w:after="0" w:line="360" w:lineRule="auto"/>
        <w:jc w:val="center"/>
        <w:rPr>
          <w:rFonts w:ascii="Arial" w:eastAsia="Times New Roman" w:hAnsi="Arial" w:cs="Arial"/>
          <w:b/>
          <w:color w:val="000000"/>
          <w:sz w:val="24"/>
          <w:szCs w:val="24"/>
          <w:lang w:eastAsia="es-EC"/>
        </w:rPr>
      </w:pPr>
      <w:r w:rsidRPr="00256395">
        <w:rPr>
          <w:rFonts w:ascii="Arial" w:eastAsia="Times New Roman" w:hAnsi="Arial" w:cs="Arial"/>
          <w:b/>
          <w:color w:val="000000"/>
          <w:sz w:val="24"/>
          <w:szCs w:val="24"/>
          <w:lang w:eastAsia="es-EC"/>
        </w:rPr>
        <w:lastRenderedPageBreak/>
        <w:t>TRIBUNAL DE GRADO</w:t>
      </w:r>
    </w:p>
    <w:p w:rsidR="00A3014D" w:rsidRPr="00256395" w:rsidRDefault="00A3014D" w:rsidP="00A3014D">
      <w:pPr>
        <w:spacing w:after="0" w:line="360" w:lineRule="auto"/>
        <w:jc w:val="center"/>
        <w:rPr>
          <w:rFonts w:ascii="Arial" w:eastAsia="Times New Roman" w:hAnsi="Arial" w:cs="Arial"/>
          <w:b/>
          <w:color w:val="000000"/>
          <w:sz w:val="24"/>
          <w:szCs w:val="24"/>
          <w:lang w:eastAsia="es-EC"/>
        </w:rPr>
      </w:pPr>
    </w:p>
    <w:p w:rsidR="00A3014D" w:rsidRPr="00256395" w:rsidRDefault="00A3014D" w:rsidP="00A3014D">
      <w:pPr>
        <w:spacing w:after="0" w:line="360" w:lineRule="auto"/>
        <w:jc w:val="center"/>
        <w:rPr>
          <w:rFonts w:ascii="Arial" w:eastAsia="Times New Roman" w:hAnsi="Arial" w:cs="Arial"/>
          <w:b/>
          <w:color w:val="000000"/>
          <w:sz w:val="24"/>
          <w:szCs w:val="24"/>
          <w:lang w:eastAsia="es-EC"/>
        </w:rPr>
      </w:pPr>
    </w:p>
    <w:p w:rsidR="00A3014D" w:rsidRPr="00256395" w:rsidRDefault="00A3014D" w:rsidP="00A3014D">
      <w:pPr>
        <w:spacing w:after="0" w:line="360" w:lineRule="auto"/>
        <w:jc w:val="center"/>
        <w:rPr>
          <w:rFonts w:ascii="Arial" w:eastAsia="Times New Roman" w:hAnsi="Arial" w:cs="Arial"/>
          <w:b/>
          <w:color w:val="000000"/>
          <w:sz w:val="24"/>
          <w:szCs w:val="24"/>
          <w:lang w:eastAsia="es-EC"/>
        </w:rPr>
      </w:pPr>
    </w:p>
    <w:p w:rsidR="00A3014D" w:rsidRPr="00256395" w:rsidRDefault="00A3014D" w:rsidP="00A3014D">
      <w:pPr>
        <w:spacing w:after="0" w:line="360" w:lineRule="auto"/>
        <w:jc w:val="center"/>
        <w:rPr>
          <w:rFonts w:ascii="Arial" w:eastAsia="Times New Roman" w:hAnsi="Arial" w:cs="Arial"/>
          <w:b/>
          <w:color w:val="000000"/>
          <w:sz w:val="24"/>
          <w:szCs w:val="24"/>
          <w:lang w:eastAsia="es-EC"/>
        </w:rPr>
      </w:pPr>
    </w:p>
    <w:p w:rsidR="00A3014D" w:rsidRPr="00256395" w:rsidRDefault="001B008E" w:rsidP="00A3014D">
      <w:pPr>
        <w:spacing w:after="0" w:line="360" w:lineRule="auto"/>
        <w:jc w:val="center"/>
        <w:rPr>
          <w:rFonts w:ascii="Arial" w:eastAsia="Times New Roman" w:hAnsi="Arial" w:cs="Arial"/>
          <w:color w:val="000000"/>
          <w:sz w:val="24"/>
          <w:szCs w:val="24"/>
          <w:lang w:eastAsia="es-EC"/>
        </w:rPr>
      </w:pPr>
      <w:r>
        <w:rPr>
          <w:rFonts w:ascii="Arial" w:eastAsia="Times New Roman" w:hAnsi="Arial" w:cs="Arial"/>
          <w:color w:val="000000"/>
          <w:sz w:val="24"/>
          <w:szCs w:val="24"/>
          <w:lang w:eastAsia="es-EC"/>
        </w:rPr>
        <w:t>_________</w:t>
      </w:r>
      <w:r w:rsidR="00A3014D" w:rsidRPr="00256395">
        <w:rPr>
          <w:rFonts w:ascii="Arial" w:eastAsia="Times New Roman" w:hAnsi="Arial" w:cs="Arial"/>
          <w:color w:val="000000"/>
          <w:sz w:val="24"/>
          <w:szCs w:val="24"/>
          <w:lang w:eastAsia="es-EC"/>
        </w:rPr>
        <w:t>_____________________________</w:t>
      </w:r>
    </w:p>
    <w:p w:rsidR="00A3014D" w:rsidRDefault="002417E6" w:rsidP="00A3014D">
      <w:pPr>
        <w:spacing w:after="0" w:line="360" w:lineRule="auto"/>
        <w:jc w:val="center"/>
        <w:rPr>
          <w:rFonts w:ascii="Arial" w:eastAsia="Times New Roman" w:hAnsi="Arial" w:cs="Arial"/>
          <w:color w:val="000000"/>
          <w:sz w:val="24"/>
          <w:szCs w:val="24"/>
          <w:lang w:eastAsia="es-EC"/>
        </w:rPr>
      </w:pPr>
      <w:r>
        <w:rPr>
          <w:rFonts w:ascii="Arial" w:eastAsia="Times New Roman" w:hAnsi="Arial" w:cs="Arial"/>
          <w:color w:val="000000"/>
          <w:sz w:val="24"/>
          <w:szCs w:val="24"/>
          <w:lang w:eastAsia="es-EC"/>
        </w:rPr>
        <w:t>Econ. Geova</w:t>
      </w:r>
      <w:r w:rsidR="00B04835">
        <w:rPr>
          <w:rFonts w:ascii="Arial" w:eastAsia="Times New Roman" w:hAnsi="Arial" w:cs="Arial"/>
          <w:color w:val="000000"/>
          <w:sz w:val="24"/>
          <w:szCs w:val="24"/>
          <w:lang w:eastAsia="es-EC"/>
        </w:rPr>
        <w:t>n</w:t>
      </w:r>
      <w:r>
        <w:rPr>
          <w:rFonts w:ascii="Arial" w:eastAsia="Times New Roman" w:hAnsi="Arial" w:cs="Arial"/>
          <w:color w:val="000000"/>
          <w:sz w:val="24"/>
          <w:szCs w:val="24"/>
          <w:lang w:eastAsia="es-EC"/>
        </w:rPr>
        <w:t>ny Bastidas Riofrìo</w:t>
      </w:r>
      <w:r w:rsidR="00A3014D" w:rsidRPr="00256395">
        <w:rPr>
          <w:rFonts w:ascii="Arial" w:eastAsia="Times New Roman" w:hAnsi="Arial" w:cs="Arial"/>
          <w:color w:val="000000"/>
          <w:sz w:val="24"/>
          <w:szCs w:val="24"/>
          <w:lang w:eastAsia="es-EC"/>
        </w:rPr>
        <w:t>,</w:t>
      </w:r>
      <w:r>
        <w:rPr>
          <w:rFonts w:ascii="Arial" w:eastAsia="Times New Roman" w:hAnsi="Arial" w:cs="Arial"/>
          <w:color w:val="000000"/>
          <w:sz w:val="24"/>
          <w:szCs w:val="24"/>
          <w:lang w:eastAsia="es-EC"/>
        </w:rPr>
        <w:t xml:space="preserve"> Sub-decano</w:t>
      </w:r>
    </w:p>
    <w:p w:rsidR="002417E6" w:rsidRPr="00256395" w:rsidRDefault="002417E6" w:rsidP="00A3014D">
      <w:pPr>
        <w:spacing w:after="0" w:line="360" w:lineRule="auto"/>
        <w:jc w:val="center"/>
        <w:rPr>
          <w:rFonts w:ascii="Arial" w:eastAsia="Times New Roman" w:hAnsi="Arial" w:cs="Arial"/>
          <w:color w:val="000000"/>
          <w:sz w:val="24"/>
          <w:szCs w:val="24"/>
          <w:lang w:eastAsia="es-EC"/>
        </w:rPr>
      </w:pPr>
      <w:r>
        <w:rPr>
          <w:rFonts w:ascii="Arial" w:eastAsia="Times New Roman" w:hAnsi="Arial" w:cs="Arial"/>
          <w:color w:val="000000"/>
          <w:sz w:val="24"/>
          <w:szCs w:val="24"/>
          <w:lang w:eastAsia="es-EC"/>
        </w:rPr>
        <w:t>Presidente</w:t>
      </w:r>
    </w:p>
    <w:p w:rsidR="00A3014D" w:rsidRPr="00256395" w:rsidRDefault="00A3014D" w:rsidP="00A3014D">
      <w:pPr>
        <w:spacing w:after="0" w:line="360" w:lineRule="auto"/>
        <w:jc w:val="center"/>
        <w:rPr>
          <w:rFonts w:ascii="Arial" w:eastAsia="Times New Roman" w:hAnsi="Arial" w:cs="Arial"/>
          <w:color w:val="000000"/>
          <w:sz w:val="24"/>
          <w:szCs w:val="24"/>
          <w:lang w:eastAsia="es-EC"/>
        </w:rPr>
      </w:pPr>
    </w:p>
    <w:p w:rsidR="00A3014D" w:rsidRPr="00256395" w:rsidRDefault="00A3014D" w:rsidP="00A3014D">
      <w:pPr>
        <w:spacing w:after="0" w:line="360" w:lineRule="auto"/>
        <w:jc w:val="center"/>
        <w:rPr>
          <w:rFonts w:ascii="Arial" w:eastAsia="Times New Roman" w:hAnsi="Arial" w:cs="Arial"/>
          <w:color w:val="000000"/>
          <w:sz w:val="24"/>
          <w:szCs w:val="24"/>
          <w:lang w:eastAsia="es-EC"/>
        </w:rPr>
      </w:pPr>
    </w:p>
    <w:p w:rsidR="00A3014D" w:rsidRPr="00256395" w:rsidRDefault="00A3014D" w:rsidP="00A3014D">
      <w:pPr>
        <w:spacing w:after="0" w:line="360" w:lineRule="auto"/>
        <w:jc w:val="center"/>
        <w:rPr>
          <w:rFonts w:ascii="Arial" w:eastAsia="Times New Roman" w:hAnsi="Arial" w:cs="Arial"/>
          <w:color w:val="000000"/>
          <w:sz w:val="24"/>
          <w:szCs w:val="24"/>
          <w:lang w:eastAsia="es-EC"/>
        </w:rPr>
      </w:pPr>
      <w:r w:rsidRPr="00256395">
        <w:rPr>
          <w:rFonts w:ascii="Arial" w:eastAsia="Times New Roman" w:hAnsi="Arial" w:cs="Arial"/>
          <w:color w:val="000000"/>
          <w:sz w:val="24"/>
          <w:szCs w:val="24"/>
          <w:lang w:eastAsia="es-EC"/>
        </w:rPr>
        <w:t>________________________________________</w:t>
      </w:r>
    </w:p>
    <w:p w:rsidR="001B008E" w:rsidRDefault="00445404" w:rsidP="00A3014D">
      <w:pPr>
        <w:spacing w:after="0" w:line="360" w:lineRule="auto"/>
        <w:jc w:val="center"/>
        <w:rPr>
          <w:rFonts w:ascii="Arial" w:eastAsia="Times New Roman" w:hAnsi="Arial" w:cs="Arial"/>
          <w:color w:val="000000"/>
          <w:sz w:val="24"/>
          <w:szCs w:val="24"/>
          <w:lang w:eastAsia="es-EC"/>
        </w:rPr>
      </w:pPr>
      <w:r>
        <w:rPr>
          <w:rFonts w:ascii="Arial" w:eastAsia="Times New Roman" w:hAnsi="Arial" w:cs="Arial"/>
          <w:color w:val="000000"/>
          <w:sz w:val="24"/>
          <w:szCs w:val="24"/>
          <w:lang w:eastAsia="es-EC"/>
        </w:rPr>
        <w:t>Ing. Constantino Tobalina Ditto</w:t>
      </w:r>
      <w:r w:rsidR="00A3014D" w:rsidRPr="00256395">
        <w:rPr>
          <w:rFonts w:ascii="Arial" w:eastAsia="Times New Roman" w:hAnsi="Arial" w:cs="Arial"/>
          <w:color w:val="000000"/>
          <w:sz w:val="24"/>
          <w:szCs w:val="24"/>
          <w:lang w:eastAsia="es-EC"/>
        </w:rPr>
        <w:t xml:space="preserve">, </w:t>
      </w:r>
    </w:p>
    <w:p w:rsidR="00A3014D" w:rsidRPr="00256395" w:rsidRDefault="00A3014D" w:rsidP="00A3014D">
      <w:pPr>
        <w:spacing w:after="0" w:line="360" w:lineRule="auto"/>
        <w:jc w:val="center"/>
        <w:rPr>
          <w:rFonts w:ascii="Arial" w:eastAsia="Times New Roman" w:hAnsi="Arial" w:cs="Arial"/>
          <w:color w:val="000000"/>
          <w:sz w:val="24"/>
          <w:szCs w:val="24"/>
          <w:lang w:eastAsia="es-EC"/>
        </w:rPr>
      </w:pPr>
      <w:r w:rsidRPr="00256395">
        <w:rPr>
          <w:rFonts w:ascii="Arial" w:eastAsia="Times New Roman" w:hAnsi="Arial" w:cs="Arial"/>
          <w:color w:val="000000"/>
          <w:sz w:val="24"/>
          <w:szCs w:val="24"/>
          <w:lang w:eastAsia="es-EC"/>
        </w:rPr>
        <w:t>Director de Tesis</w:t>
      </w:r>
    </w:p>
    <w:p w:rsidR="00A3014D" w:rsidRPr="00256395" w:rsidRDefault="00A3014D" w:rsidP="00A3014D">
      <w:pPr>
        <w:spacing w:after="0" w:line="360" w:lineRule="auto"/>
        <w:jc w:val="center"/>
        <w:rPr>
          <w:rFonts w:ascii="Arial" w:eastAsia="Times New Roman" w:hAnsi="Arial" w:cs="Arial"/>
          <w:color w:val="000000"/>
          <w:sz w:val="24"/>
          <w:szCs w:val="24"/>
          <w:lang w:eastAsia="es-EC"/>
        </w:rPr>
      </w:pPr>
    </w:p>
    <w:p w:rsidR="00A3014D" w:rsidRPr="00256395" w:rsidRDefault="00A3014D" w:rsidP="00A3014D">
      <w:pPr>
        <w:spacing w:after="0" w:line="360" w:lineRule="auto"/>
        <w:jc w:val="center"/>
        <w:rPr>
          <w:rFonts w:ascii="Arial" w:eastAsia="Times New Roman" w:hAnsi="Arial" w:cs="Arial"/>
          <w:color w:val="000000"/>
          <w:sz w:val="24"/>
          <w:szCs w:val="24"/>
          <w:lang w:eastAsia="es-EC"/>
        </w:rPr>
      </w:pPr>
    </w:p>
    <w:p w:rsidR="00A3014D" w:rsidRPr="00256395" w:rsidRDefault="00A3014D" w:rsidP="00A3014D">
      <w:pPr>
        <w:spacing w:after="0" w:line="360" w:lineRule="auto"/>
        <w:jc w:val="center"/>
        <w:rPr>
          <w:rFonts w:ascii="Arial" w:eastAsia="Times New Roman" w:hAnsi="Arial" w:cs="Arial"/>
          <w:color w:val="000000"/>
          <w:sz w:val="24"/>
          <w:szCs w:val="24"/>
          <w:lang w:eastAsia="es-EC"/>
        </w:rPr>
      </w:pPr>
    </w:p>
    <w:p w:rsidR="00A3014D" w:rsidRPr="00256395" w:rsidRDefault="00A3014D" w:rsidP="00A3014D">
      <w:pPr>
        <w:spacing w:after="0" w:line="360" w:lineRule="auto"/>
        <w:jc w:val="center"/>
        <w:rPr>
          <w:rFonts w:ascii="Arial" w:eastAsia="Times New Roman" w:hAnsi="Arial" w:cs="Arial"/>
          <w:color w:val="000000"/>
          <w:sz w:val="24"/>
          <w:szCs w:val="24"/>
          <w:lang w:eastAsia="es-EC"/>
        </w:rPr>
      </w:pPr>
    </w:p>
    <w:p w:rsidR="00A3014D" w:rsidRPr="00256395" w:rsidRDefault="00A3014D" w:rsidP="00A3014D">
      <w:pPr>
        <w:spacing w:after="0" w:line="360" w:lineRule="auto"/>
        <w:jc w:val="center"/>
        <w:rPr>
          <w:rFonts w:ascii="Arial" w:eastAsia="Times New Roman" w:hAnsi="Arial" w:cs="Arial"/>
          <w:color w:val="000000"/>
          <w:sz w:val="24"/>
          <w:szCs w:val="24"/>
          <w:lang w:eastAsia="es-EC"/>
        </w:rPr>
      </w:pPr>
      <w:r w:rsidRPr="00256395">
        <w:rPr>
          <w:rFonts w:ascii="Arial" w:eastAsia="Times New Roman" w:hAnsi="Arial" w:cs="Arial"/>
          <w:color w:val="000000"/>
          <w:sz w:val="24"/>
          <w:szCs w:val="24"/>
          <w:lang w:eastAsia="es-EC"/>
        </w:rPr>
        <w:t>________________________________________</w:t>
      </w:r>
    </w:p>
    <w:p w:rsidR="001B008E" w:rsidRDefault="00445404" w:rsidP="00A3014D">
      <w:pPr>
        <w:spacing w:after="0" w:line="360" w:lineRule="auto"/>
        <w:jc w:val="center"/>
        <w:rPr>
          <w:rFonts w:ascii="Arial" w:eastAsia="Times New Roman" w:hAnsi="Arial" w:cs="Arial"/>
          <w:color w:val="000000"/>
          <w:sz w:val="24"/>
          <w:szCs w:val="24"/>
          <w:lang w:eastAsia="es-EC"/>
        </w:rPr>
      </w:pPr>
      <w:r>
        <w:rPr>
          <w:rFonts w:ascii="Arial" w:eastAsia="Times New Roman" w:hAnsi="Arial" w:cs="Arial"/>
          <w:color w:val="000000"/>
          <w:sz w:val="24"/>
          <w:szCs w:val="24"/>
          <w:lang w:eastAsia="es-EC"/>
        </w:rPr>
        <w:t>Eco</w:t>
      </w:r>
      <w:r w:rsidR="002417E6">
        <w:rPr>
          <w:rFonts w:ascii="Arial" w:eastAsia="Times New Roman" w:hAnsi="Arial" w:cs="Arial"/>
          <w:color w:val="000000"/>
          <w:sz w:val="24"/>
          <w:szCs w:val="24"/>
          <w:lang w:eastAsia="es-EC"/>
        </w:rPr>
        <w:t>n</w:t>
      </w:r>
      <w:r>
        <w:rPr>
          <w:rFonts w:ascii="Arial" w:eastAsia="Times New Roman" w:hAnsi="Arial" w:cs="Arial"/>
          <w:color w:val="000000"/>
          <w:sz w:val="24"/>
          <w:szCs w:val="24"/>
          <w:lang w:eastAsia="es-EC"/>
        </w:rPr>
        <w:t>. María Elena Romero Montoya</w:t>
      </w:r>
      <w:r w:rsidR="00A3014D" w:rsidRPr="00256395">
        <w:rPr>
          <w:rFonts w:ascii="Arial" w:eastAsia="Times New Roman" w:hAnsi="Arial" w:cs="Arial"/>
          <w:color w:val="000000"/>
          <w:sz w:val="24"/>
          <w:szCs w:val="24"/>
          <w:lang w:eastAsia="es-EC"/>
        </w:rPr>
        <w:t xml:space="preserve">, </w:t>
      </w:r>
    </w:p>
    <w:p w:rsidR="00A3014D" w:rsidRPr="00256395" w:rsidRDefault="00A3014D" w:rsidP="00A3014D">
      <w:pPr>
        <w:spacing w:after="0" w:line="360" w:lineRule="auto"/>
        <w:jc w:val="center"/>
        <w:rPr>
          <w:rFonts w:ascii="Arial" w:eastAsia="Times New Roman" w:hAnsi="Arial" w:cs="Arial"/>
          <w:color w:val="000000"/>
          <w:sz w:val="24"/>
          <w:szCs w:val="24"/>
          <w:lang w:eastAsia="es-EC"/>
        </w:rPr>
      </w:pPr>
      <w:r w:rsidRPr="00256395">
        <w:rPr>
          <w:rFonts w:ascii="Arial" w:eastAsia="Times New Roman" w:hAnsi="Arial" w:cs="Arial"/>
          <w:color w:val="000000"/>
          <w:sz w:val="24"/>
          <w:szCs w:val="24"/>
          <w:lang w:eastAsia="es-EC"/>
        </w:rPr>
        <w:t>Vocal</w:t>
      </w:r>
      <w:r w:rsidR="001B008E">
        <w:rPr>
          <w:rFonts w:ascii="Arial" w:eastAsia="Times New Roman" w:hAnsi="Arial" w:cs="Arial"/>
          <w:color w:val="000000"/>
          <w:sz w:val="24"/>
          <w:szCs w:val="24"/>
          <w:lang w:eastAsia="es-EC"/>
        </w:rPr>
        <w:t xml:space="preserve"> Principal</w:t>
      </w:r>
    </w:p>
    <w:p w:rsidR="00A3014D" w:rsidRPr="00256395" w:rsidRDefault="00A3014D" w:rsidP="00A3014D">
      <w:pPr>
        <w:spacing w:after="0" w:line="360" w:lineRule="auto"/>
        <w:jc w:val="center"/>
        <w:rPr>
          <w:rFonts w:ascii="Arial" w:eastAsia="Times New Roman" w:hAnsi="Arial" w:cs="Arial"/>
          <w:color w:val="000000"/>
          <w:sz w:val="24"/>
          <w:szCs w:val="24"/>
          <w:lang w:eastAsia="es-EC"/>
        </w:rPr>
      </w:pPr>
    </w:p>
    <w:p w:rsidR="00A3014D" w:rsidRPr="00256395" w:rsidRDefault="00A3014D" w:rsidP="00A3014D">
      <w:pPr>
        <w:spacing w:after="0" w:line="360" w:lineRule="auto"/>
        <w:jc w:val="center"/>
        <w:rPr>
          <w:rFonts w:ascii="Arial" w:eastAsia="Times New Roman" w:hAnsi="Arial" w:cs="Arial"/>
          <w:color w:val="000000"/>
          <w:sz w:val="24"/>
          <w:szCs w:val="24"/>
          <w:lang w:eastAsia="es-EC"/>
        </w:rPr>
      </w:pPr>
    </w:p>
    <w:p w:rsidR="00A3014D" w:rsidRPr="00256395" w:rsidRDefault="00A3014D" w:rsidP="00A3014D">
      <w:pPr>
        <w:spacing w:after="0" w:line="360" w:lineRule="auto"/>
        <w:jc w:val="center"/>
        <w:rPr>
          <w:rFonts w:ascii="Arial" w:eastAsia="Times New Roman" w:hAnsi="Arial" w:cs="Arial"/>
          <w:color w:val="000000"/>
          <w:sz w:val="24"/>
          <w:szCs w:val="24"/>
          <w:lang w:eastAsia="es-EC"/>
        </w:rPr>
      </w:pPr>
    </w:p>
    <w:p w:rsidR="00A3014D" w:rsidRPr="00256395" w:rsidRDefault="00A3014D" w:rsidP="00A3014D">
      <w:pPr>
        <w:spacing w:after="0" w:line="360" w:lineRule="auto"/>
        <w:jc w:val="center"/>
        <w:rPr>
          <w:rFonts w:ascii="Arial" w:eastAsia="Times New Roman" w:hAnsi="Arial" w:cs="Arial"/>
          <w:color w:val="000000"/>
          <w:sz w:val="24"/>
          <w:szCs w:val="24"/>
          <w:lang w:eastAsia="es-EC"/>
        </w:rPr>
      </w:pPr>
    </w:p>
    <w:p w:rsidR="00A3014D" w:rsidRPr="00256395" w:rsidRDefault="00D3424F" w:rsidP="00A3014D">
      <w:pPr>
        <w:spacing w:after="0" w:line="360" w:lineRule="auto"/>
        <w:jc w:val="center"/>
        <w:rPr>
          <w:rFonts w:ascii="Arial" w:eastAsia="Times New Roman" w:hAnsi="Arial" w:cs="Arial"/>
          <w:color w:val="000000"/>
          <w:sz w:val="24"/>
          <w:szCs w:val="24"/>
          <w:lang w:eastAsia="es-EC"/>
        </w:rPr>
      </w:pPr>
      <w:r>
        <w:rPr>
          <w:rFonts w:ascii="Arial" w:eastAsia="Times New Roman" w:hAnsi="Arial" w:cs="Arial"/>
          <w:color w:val="000000"/>
          <w:sz w:val="24"/>
          <w:szCs w:val="24"/>
          <w:lang w:eastAsia="es-EC"/>
        </w:rPr>
        <w:t>__________________</w:t>
      </w:r>
      <w:r w:rsidR="00A3014D" w:rsidRPr="00256395">
        <w:rPr>
          <w:rFonts w:ascii="Arial" w:eastAsia="Times New Roman" w:hAnsi="Arial" w:cs="Arial"/>
          <w:color w:val="000000"/>
          <w:sz w:val="24"/>
          <w:szCs w:val="24"/>
          <w:lang w:eastAsia="es-EC"/>
        </w:rPr>
        <w:t>_____________________</w:t>
      </w:r>
    </w:p>
    <w:p w:rsidR="001B008E" w:rsidRDefault="00445404" w:rsidP="00A3014D">
      <w:pPr>
        <w:spacing w:after="0" w:line="360" w:lineRule="auto"/>
        <w:jc w:val="center"/>
        <w:rPr>
          <w:rFonts w:ascii="Arial" w:eastAsia="Times New Roman" w:hAnsi="Arial" w:cs="Arial"/>
          <w:color w:val="000000"/>
          <w:sz w:val="24"/>
          <w:szCs w:val="24"/>
          <w:lang w:eastAsia="es-EC"/>
        </w:rPr>
      </w:pPr>
      <w:r>
        <w:rPr>
          <w:rFonts w:ascii="Arial" w:eastAsia="Times New Roman" w:hAnsi="Arial" w:cs="Arial"/>
          <w:color w:val="000000"/>
          <w:sz w:val="24"/>
          <w:szCs w:val="24"/>
          <w:lang w:eastAsia="es-EC"/>
        </w:rPr>
        <w:t>Ing. Linda Moreno Aguí</w:t>
      </w:r>
      <w:r w:rsidR="00A3014D" w:rsidRPr="00256395">
        <w:rPr>
          <w:rFonts w:ascii="Arial" w:eastAsia="Times New Roman" w:hAnsi="Arial" w:cs="Arial"/>
          <w:color w:val="000000"/>
          <w:sz w:val="24"/>
          <w:szCs w:val="24"/>
          <w:lang w:eastAsia="es-EC"/>
        </w:rPr>
        <w:t xml:space="preserve">, </w:t>
      </w:r>
    </w:p>
    <w:p w:rsidR="00A3014D" w:rsidRPr="00256395" w:rsidRDefault="00A3014D" w:rsidP="00A3014D">
      <w:pPr>
        <w:spacing w:after="0" w:line="360" w:lineRule="auto"/>
        <w:jc w:val="center"/>
        <w:rPr>
          <w:rFonts w:ascii="Arial" w:eastAsia="Times New Roman" w:hAnsi="Arial" w:cs="Arial"/>
          <w:color w:val="000000"/>
          <w:sz w:val="24"/>
          <w:szCs w:val="24"/>
          <w:lang w:eastAsia="es-EC"/>
        </w:rPr>
      </w:pPr>
      <w:r w:rsidRPr="00256395">
        <w:rPr>
          <w:rFonts w:ascii="Arial" w:eastAsia="Times New Roman" w:hAnsi="Arial" w:cs="Arial"/>
          <w:color w:val="000000"/>
          <w:sz w:val="24"/>
          <w:szCs w:val="24"/>
          <w:lang w:eastAsia="es-EC"/>
        </w:rPr>
        <w:t>Vocal</w:t>
      </w:r>
      <w:r w:rsidR="001B008E">
        <w:rPr>
          <w:rFonts w:ascii="Arial" w:eastAsia="Times New Roman" w:hAnsi="Arial" w:cs="Arial"/>
          <w:color w:val="000000"/>
          <w:sz w:val="24"/>
          <w:szCs w:val="24"/>
          <w:lang w:eastAsia="es-EC"/>
        </w:rPr>
        <w:t xml:space="preserve"> Principal</w:t>
      </w:r>
    </w:p>
    <w:p w:rsidR="00A3014D" w:rsidRPr="00256395" w:rsidRDefault="00A3014D" w:rsidP="00A3014D">
      <w:pPr>
        <w:spacing w:after="0" w:line="360" w:lineRule="auto"/>
        <w:rPr>
          <w:rFonts w:ascii="Arial" w:eastAsia="Times New Roman" w:hAnsi="Arial" w:cs="Arial"/>
          <w:b/>
          <w:color w:val="000000"/>
          <w:sz w:val="24"/>
          <w:szCs w:val="24"/>
          <w:lang w:eastAsia="es-EC"/>
        </w:rPr>
      </w:pPr>
    </w:p>
    <w:p w:rsidR="00A3014D" w:rsidRPr="00256395" w:rsidRDefault="00A3014D" w:rsidP="00A3014D">
      <w:pPr>
        <w:spacing w:after="0" w:line="360" w:lineRule="auto"/>
        <w:jc w:val="center"/>
        <w:rPr>
          <w:rFonts w:ascii="Arial" w:eastAsia="Times New Roman" w:hAnsi="Arial" w:cs="Arial"/>
          <w:b/>
          <w:color w:val="000000"/>
          <w:sz w:val="24"/>
          <w:szCs w:val="24"/>
          <w:lang w:eastAsia="es-EC"/>
        </w:rPr>
        <w:sectPr w:rsidR="00A3014D" w:rsidRPr="00256395" w:rsidSect="00F27DFF">
          <w:footnotePr>
            <w:pos w:val="beneathText"/>
          </w:footnotePr>
          <w:pgSz w:w="11907" w:h="16840" w:code="9"/>
          <w:pgMar w:top="1985" w:right="1418" w:bottom="1985" w:left="2268" w:header="720" w:footer="720" w:gutter="0"/>
          <w:cols w:space="720"/>
          <w:docGrid w:linePitch="360"/>
        </w:sectPr>
      </w:pPr>
    </w:p>
    <w:p w:rsidR="008275DC" w:rsidRDefault="008275DC" w:rsidP="008275DC">
      <w:pPr>
        <w:jc w:val="right"/>
      </w:pPr>
    </w:p>
    <w:p w:rsidR="008275DC" w:rsidRDefault="008275DC" w:rsidP="008275DC">
      <w:pPr>
        <w:jc w:val="right"/>
      </w:pPr>
    </w:p>
    <w:p w:rsidR="008275DC" w:rsidRDefault="008275DC" w:rsidP="008275DC">
      <w:pPr>
        <w:jc w:val="right"/>
      </w:pPr>
    </w:p>
    <w:p w:rsidR="008275DC" w:rsidRDefault="008275DC" w:rsidP="008275DC">
      <w:pPr>
        <w:jc w:val="right"/>
      </w:pPr>
    </w:p>
    <w:p w:rsidR="008275DC" w:rsidRDefault="008275DC" w:rsidP="008275DC">
      <w:pPr>
        <w:jc w:val="right"/>
      </w:pPr>
    </w:p>
    <w:p w:rsidR="008275DC" w:rsidRDefault="008275DC" w:rsidP="008275DC">
      <w:pPr>
        <w:jc w:val="right"/>
        <w:rPr>
          <w:rFonts w:ascii="Arial" w:hAnsi="Arial" w:cs="Arial"/>
          <w:sz w:val="24"/>
          <w:szCs w:val="24"/>
        </w:rPr>
      </w:pPr>
    </w:p>
    <w:p w:rsidR="008275DC" w:rsidRDefault="008275DC" w:rsidP="008275DC">
      <w:pPr>
        <w:jc w:val="right"/>
        <w:rPr>
          <w:rFonts w:ascii="Arial" w:hAnsi="Arial" w:cs="Arial"/>
          <w:sz w:val="24"/>
          <w:szCs w:val="24"/>
        </w:rPr>
      </w:pPr>
    </w:p>
    <w:p w:rsidR="008275DC" w:rsidRPr="008275DC" w:rsidRDefault="008275DC" w:rsidP="008275DC">
      <w:pPr>
        <w:jc w:val="right"/>
        <w:rPr>
          <w:rFonts w:ascii="Arial" w:hAnsi="Arial" w:cs="Arial"/>
          <w:sz w:val="24"/>
          <w:szCs w:val="24"/>
        </w:rPr>
      </w:pPr>
      <w:r w:rsidRPr="008275DC">
        <w:rPr>
          <w:rFonts w:ascii="Arial" w:hAnsi="Arial" w:cs="Arial"/>
          <w:sz w:val="24"/>
          <w:szCs w:val="24"/>
        </w:rPr>
        <w:t xml:space="preserve">Este trabajo está dedicado </w:t>
      </w:r>
    </w:p>
    <w:p w:rsidR="008275DC" w:rsidRPr="008275DC" w:rsidRDefault="008275DC" w:rsidP="008275DC">
      <w:pPr>
        <w:jc w:val="right"/>
        <w:rPr>
          <w:rFonts w:ascii="Arial" w:hAnsi="Arial" w:cs="Arial"/>
          <w:sz w:val="24"/>
          <w:szCs w:val="24"/>
        </w:rPr>
      </w:pPr>
      <w:r w:rsidRPr="008275DC">
        <w:rPr>
          <w:rFonts w:ascii="Arial" w:hAnsi="Arial" w:cs="Arial"/>
          <w:sz w:val="24"/>
          <w:szCs w:val="24"/>
        </w:rPr>
        <w:t>A Dios, a mis padres</w:t>
      </w:r>
    </w:p>
    <w:p w:rsidR="008275DC" w:rsidRPr="008275DC" w:rsidRDefault="008275DC" w:rsidP="008275DC">
      <w:pPr>
        <w:jc w:val="right"/>
        <w:rPr>
          <w:rFonts w:ascii="Arial" w:hAnsi="Arial" w:cs="Arial"/>
          <w:sz w:val="24"/>
          <w:szCs w:val="24"/>
        </w:rPr>
      </w:pPr>
      <w:r w:rsidRPr="008275DC">
        <w:rPr>
          <w:rFonts w:ascii="Arial" w:hAnsi="Arial" w:cs="Arial"/>
          <w:sz w:val="24"/>
          <w:szCs w:val="24"/>
        </w:rPr>
        <w:t>Y todas  las personas que</w:t>
      </w:r>
    </w:p>
    <w:p w:rsidR="008275DC" w:rsidRPr="008275DC" w:rsidRDefault="008275DC" w:rsidP="008275DC">
      <w:pPr>
        <w:jc w:val="right"/>
        <w:rPr>
          <w:rFonts w:ascii="Arial" w:hAnsi="Arial" w:cs="Arial"/>
          <w:sz w:val="24"/>
          <w:szCs w:val="24"/>
        </w:rPr>
      </w:pPr>
      <w:r w:rsidRPr="008275DC">
        <w:rPr>
          <w:rFonts w:ascii="Arial" w:hAnsi="Arial" w:cs="Arial"/>
          <w:sz w:val="24"/>
          <w:szCs w:val="24"/>
        </w:rPr>
        <w:t xml:space="preserve">Han contribuido en mi formación </w:t>
      </w:r>
    </w:p>
    <w:p w:rsidR="008275DC" w:rsidRPr="008275DC" w:rsidRDefault="008275DC" w:rsidP="008275DC">
      <w:pPr>
        <w:jc w:val="right"/>
        <w:rPr>
          <w:rFonts w:ascii="Arial" w:hAnsi="Arial" w:cs="Arial"/>
          <w:sz w:val="24"/>
          <w:szCs w:val="24"/>
        </w:rPr>
      </w:pPr>
      <w:r w:rsidRPr="008275DC">
        <w:rPr>
          <w:rFonts w:ascii="Arial" w:hAnsi="Arial" w:cs="Arial"/>
          <w:sz w:val="24"/>
          <w:szCs w:val="24"/>
        </w:rPr>
        <w:t>Personal y profesional</w:t>
      </w:r>
    </w:p>
    <w:p w:rsidR="0003780B" w:rsidRDefault="008275DC" w:rsidP="008275DC">
      <w:pPr>
        <w:spacing w:after="0" w:line="360" w:lineRule="auto"/>
        <w:jc w:val="right"/>
        <w:rPr>
          <w:rFonts w:ascii="Arial" w:eastAsia="Times New Roman" w:hAnsi="Arial" w:cs="Arial"/>
          <w:b/>
          <w:color w:val="000000"/>
          <w:sz w:val="24"/>
          <w:szCs w:val="24"/>
          <w:lang w:eastAsia="es-EC"/>
        </w:rPr>
      </w:pPr>
      <w:r w:rsidRPr="008275DC">
        <w:rPr>
          <w:rFonts w:ascii="Arial" w:hAnsi="Arial" w:cs="Arial"/>
          <w:sz w:val="24"/>
          <w:szCs w:val="24"/>
        </w:rPr>
        <w:t>Este es el principio de nuevas metas</w:t>
      </w:r>
      <w:r w:rsidRPr="008275DC">
        <w:rPr>
          <w:rFonts w:ascii="Arial" w:eastAsia="Times New Roman" w:hAnsi="Arial" w:cs="Arial"/>
          <w:b/>
          <w:color w:val="000000"/>
          <w:sz w:val="24"/>
          <w:szCs w:val="24"/>
          <w:lang w:eastAsia="es-EC"/>
        </w:rPr>
        <w:t xml:space="preserve"> </w:t>
      </w:r>
    </w:p>
    <w:p w:rsidR="0003780B" w:rsidRDefault="0003780B" w:rsidP="008275DC">
      <w:pPr>
        <w:spacing w:after="0" w:line="360" w:lineRule="auto"/>
        <w:jc w:val="right"/>
        <w:rPr>
          <w:rFonts w:ascii="Arial" w:eastAsia="Times New Roman" w:hAnsi="Arial" w:cs="Arial"/>
          <w:b/>
          <w:color w:val="000000"/>
          <w:sz w:val="24"/>
          <w:szCs w:val="24"/>
          <w:lang w:eastAsia="es-EC"/>
        </w:rPr>
      </w:pPr>
    </w:p>
    <w:p w:rsidR="0003780B" w:rsidRDefault="0003780B" w:rsidP="008275DC">
      <w:pPr>
        <w:spacing w:after="0" w:line="360" w:lineRule="auto"/>
        <w:jc w:val="right"/>
        <w:rPr>
          <w:rFonts w:ascii="Arial" w:eastAsia="Times New Roman" w:hAnsi="Arial" w:cs="Arial"/>
          <w:b/>
          <w:color w:val="000000"/>
          <w:sz w:val="24"/>
          <w:szCs w:val="24"/>
          <w:lang w:eastAsia="es-EC"/>
        </w:rPr>
      </w:pPr>
    </w:p>
    <w:p w:rsidR="0003780B" w:rsidRDefault="0003780B" w:rsidP="008275DC">
      <w:pPr>
        <w:spacing w:after="0" w:line="360" w:lineRule="auto"/>
        <w:jc w:val="right"/>
        <w:rPr>
          <w:rFonts w:ascii="Arial" w:eastAsia="Times New Roman" w:hAnsi="Arial" w:cs="Arial"/>
          <w:b/>
          <w:color w:val="000000"/>
          <w:sz w:val="24"/>
          <w:szCs w:val="24"/>
          <w:lang w:eastAsia="es-EC"/>
        </w:rPr>
      </w:pPr>
    </w:p>
    <w:p w:rsidR="0003780B" w:rsidRDefault="0003780B" w:rsidP="008275DC">
      <w:pPr>
        <w:spacing w:after="0" w:line="360" w:lineRule="auto"/>
        <w:jc w:val="right"/>
        <w:rPr>
          <w:rFonts w:ascii="Arial" w:eastAsia="Times New Roman" w:hAnsi="Arial" w:cs="Arial"/>
          <w:b/>
          <w:color w:val="000000"/>
          <w:sz w:val="24"/>
          <w:szCs w:val="24"/>
          <w:lang w:eastAsia="es-EC"/>
        </w:rPr>
      </w:pPr>
    </w:p>
    <w:p w:rsidR="0003780B" w:rsidRDefault="0003780B" w:rsidP="008275DC">
      <w:pPr>
        <w:spacing w:after="0" w:line="360" w:lineRule="auto"/>
        <w:jc w:val="right"/>
        <w:rPr>
          <w:rFonts w:ascii="Arial" w:eastAsia="Times New Roman" w:hAnsi="Arial" w:cs="Arial"/>
          <w:b/>
          <w:color w:val="000000"/>
          <w:sz w:val="24"/>
          <w:szCs w:val="24"/>
          <w:lang w:eastAsia="es-EC"/>
        </w:rPr>
      </w:pPr>
    </w:p>
    <w:p w:rsidR="0003780B" w:rsidRDefault="0003780B" w:rsidP="008275DC">
      <w:pPr>
        <w:spacing w:after="0" w:line="360" w:lineRule="auto"/>
        <w:jc w:val="right"/>
        <w:rPr>
          <w:rFonts w:ascii="Arial" w:eastAsia="Times New Roman" w:hAnsi="Arial" w:cs="Arial"/>
          <w:i/>
          <w:color w:val="000000"/>
          <w:sz w:val="24"/>
          <w:szCs w:val="24"/>
          <w:lang w:eastAsia="es-EC"/>
        </w:rPr>
      </w:pPr>
      <w:r w:rsidRPr="0003780B">
        <w:rPr>
          <w:rFonts w:ascii="Arial" w:eastAsia="Times New Roman" w:hAnsi="Arial" w:cs="Arial"/>
          <w:i/>
          <w:color w:val="000000"/>
          <w:sz w:val="24"/>
          <w:szCs w:val="24"/>
          <w:lang w:eastAsia="es-EC"/>
        </w:rPr>
        <w:t>Rosalía Paredes Alvarado</w:t>
      </w:r>
    </w:p>
    <w:p w:rsidR="0003780B" w:rsidRDefault="0003780B" w:rsidP="008275DC">
      <w:pPr>
        <w:spacing w:after="0" w:line="360" w:lineRule="auto"/>
        <w:jc w:val="right"/>
        <w:rPr>
          <w:rFonts w:ascii="Arial" w:eastAsia="Times New Roman" w:hAnsi="Arial" w:cs="Arial"/>
          <w:i/>
          <w:color w:val="000000"/>
          <w:sz w:val="24"/>
          <w:szCs w:val="24"/>
          <w:lang w:eastAsia="es-EC"/>
        </w:rPr>
      </w:pPr>
    </w:p>
    <w:p w:rsidR="0003780B" w:rsidRDefault="0003780B" w:rsidP="0003780B">
      <w:pPr>
        <w:spacing w:line="360" w:lineRule="auto"/>
        <w:jc w:val="right"/>
        <w:rPr>
          <w:rFonts w:ascii="Arial" w:eastAsia="Times New Roman" w:hAnsi="Arial" w:cs="Arial"/>
          <w:i/>
          <w:color w:val="000000"/>
          <w:sz w:val="24"/>
          <w:szCs w:val="24"/>
          <w:lang w:eastAsia="es-EC"/>
        </w:rPr>
      </w:pPr>
    </w:p>
    <w:p w:rsidR="00B11F15" w:rsidRDefault="00B11F15" w:rsidP="0003780B">
      <w:pPr>
        <w:spacing w:line="360" w:lineRule="auto"/>
        <w:jc w:val="right"/>
        <w:rPr>
          <w:rFonts w:ascii="Arial" w:eastAsia="Times New Roman" w:hAnsi="Arial" w:cs="Arial"/>
          <w:i/>
          <w:color w:val="000000"/>
          <w:sz w:val="24"/>
          <w:szCs w:val="24"/>
          <w:lang w:eastAsia="es-EC"/>
        </w:rPr>
      </w:pPr>
    </w:p>
    <w:p w:rsidR="00B11F15" w:rsidRDefault="00B11F15" w:rsidP="0003780B">
      <w:pPr>
        <w:spacing w:line="360" w:lineRule="auto"/>
        <w:jc w:val="right"/>
        <w:rPr>
          <w:rFonts w:ascii="Arial" w:eastAsia="Times New Roman" w:hAnsi="Arial" w:cs="Arial"/>
          <w:i/>
          <w:color w:val="000000"/>
          <w:sz w:val="24"/>
          <w:szCs w:val="24"/>
          <w:lang w:eastAsia="es-EC"/>
        </w:rPr>
      </w:pPr>
    </w:p>
    <w:p w:rsidR="00B11F15" w:rsidRDefault="00B11F15" w:rsidP="0003780B">
      <w:pPr>
        <w:spacing w:line="360" w:lineRule="auto"/>
        <w:jc w:val="right"/>
        <w:rPr>
          <w:rFonts w:ascii="Arial" w:eastAsia="Times New Roman" w:hAnsi="Arial" w:cs="Arial"/>
          <w:i/>
          <w:color w:val="000000"/>
          <w:sz w:val="24"/>
          <w:szCs w:val="24"/>
          <w:lang w:eastAsia="es-EC"/>
        </w:rPr>
      </w:pPr>
    </w:p>
    <w:p w:rsidR="0003780B" w:rsidRDefault="0003780B" w:rsidP="0003780B">
      <w:pPr>
        <w:spacing w:line="360" w:lineRule="auto"/>
        <w:jc w:val="right"/>
        <w:rPr>
          <w:rFonts w:ascii="Arial" w:eastAsia="Times New Roman" w:hAnsi="Arial" w:cs="Arial"/>
          <w:i/>
          <w:color w:val="000000"/>
          <w:sz w:val="24"/>
          <w:szCs w:val="24"/>
          <w:lang w:eastAsia="es-EC"/>
        </w:rPr>
      </w:pPr>
    </w:p>
    <w:p w:rsidR="0003780B" w:rsidRDefault="0003780B" w:rsidP="0003780B">
      <w:pPr>
        <w:spacing w:line="360" w:lineRule="auto"/>
        <w:jc w:val="right"/>
        <w:rPr>
          <w:rFonts w:ascii="Arial" w:eastAsia="Times New Roman" w:hAnsi="Arial" w:cs="Arial"/>
          <w:i/>
          <w:color w:val="000000"/>
          <w:sz w:val="24"/>
          <w:szCs w:val="24"/>
          <w:lang w:eastAsia="es-EC"/>
        </w:rPr>
      </w:pPr>
    </w:p>
    <w:p w:rsidR="00422CB7" w:rsidRDefault="00422CB7" w:rsidP="0003780B">
      <w:pPr>
        <w:spacing w:line="360" w:lineRule="auto"/>
        <w:jc w:val="right"/>
        <w:rPr>
          <w:rFonts w:ascii="Arial" w:hAnsi="Arial" w:cs="Arial"/>
        </w:rPr>
      </w:pPr>
      <w:r>
        <w:rPr>
          <w:rFonts w:ascii="Arial" w:hAnsi="Arial" w:cs="Arial"/>
        </w:rPr>
        <w:lastRenderedPageBreak/>
        <w:t xml:space="preserve">Agradezco y Dedico éste </w:t>
      </w:r>
    </w:p>
    <w:p w:rsidR="00422CB7" w:rsidRDefault="00422CB7" w:rsidP="0003780B">
      <w:pPr>
        <w:spacing w:line="360" w:lineRule="auto"/>
        <w:jc w:val="right"/>
        <w:rPr>
          <w:rFonts w:ascii="Arial" w:hAnsi="Arial" w:cs="Arial"/>
        </w:rPr>
      </w:pPr>
      <w:r>
        <w:rPr>
          <w:rFonts w:ascii="Arial" w:hAnsi="Arial" w:cs="Arial"/>
        </w:rPr>
        <w:t>Trabajo a Dios y al</w:t>
      </w:r>
    </w:p>
    <w:p w:rsidR="0003780B" w:rsidRDefault="00422CB7" w:rsidP="00422CB7">
      <w:pPr>
        <w:spacing w:line="360" w:lineRule="auto"/>
        <w:jc w:val="right"/>
        <w:rPr>
          <w:rFonts w:ascii="Arial" w:hAnsi="Arial" w:cs="Arial"/>
        </w:rPr>
      </w:pPr>
      <w:r w:rsidRPr="00935057">
        <w:rPr>
          <w:rFonts w:ascii="Arial" w:hAnsi="Arial" w:cs="Arial"/>
        </w:rPr>
        <w:t>M</w:t>
      </w:r>
      <w:r w:rsidR="0003780B" w:rsidRPr="00935057">
        <w:rPr>
          <w:rFonts w:ascii="Arial" w:hAnsi="Arial" w:cs="Arial"/>
        </w:rPr>
        <w:t>ismo</w:t>
      </w:r>
      <w:r>
        <w:rPr>
          <w:rFonts w:ascii="Arial" w:hAnsi="Arial" w:cs="Arial"/>
        </w:rPr>
        <w:t xml:space="preserve"> tiempo a mi mamá que</w:t>
      </w:r>
      <w:r w:rsidR="0003780B" w:rsidRPr="00935057">
        <w:rPr>
          <w:rFonts w:ascii="Arial" w:hAnsi="Arial" w:cs="Arial"/>
        </w:rPr>
        <w:t xml:space="preserve"> </w:t>
      </w:r>
    </w:p>
    <w:p w:rsidR="0003780B" w:rsidRDefault="0003780B" w:rsidP="0003780B">
      <w:pPr>
        <w:spacing w:line="360" w:lineRule="auto"/>
        <w:jc w:val="right"/>
        <w:rPr>
          <w:rFonts w:ascii="Arial" w:hAnsi="Arial" w:cs="Arial"/>
        </w:rPr>
      </w:pPr>
      <w:r w:rsidRPr="00935057">
        <w:rPr>
          <w:rFonts w:ascii="Arial" w:hAnsi="Arial" w:cs="Arial"/>
        </w:rPr>
        <w:t xml:space="preserve">siempre ha estado al frente de </w:t>
      </w:r>
    </w:p>
    <w:p w:rsidR="0003780B" w:rsidRDefault="0003780B" w:rsidP="0003780B">
      <w:pPr>
        <w:spacing w:line="360" w:lineRule="auto"/>
        <w:jc w:val="right"/>
        <w:rPr>
          <w:rFonts w:ascii="Arial" w:hAnsi="Arial" w:cs="Arial"/>
        </w:rPr>
      </w:pPr>
      <w:r>
        <w:rPr>
          <w:rFonts w:ascii="Arial" w:hAnsi="Arial" w:cs="Arial"/>
        </w:rPr>
        <w:t xml:space="preserve">mi carrera </w:t>
      </w:r>
      <w:r w:rsidRPr="00935057">
        <w:rPr>
          <w:rFonts w:ascii="Arial" w:hAnsi="Arial" w:cs="Arial"/>
        </w:rPr>
        <w:t>estudiantil</w:t>
      </w:r>
      <w:r w:rsidR="006778A7">
        <w:rPr>
          <w:rFonts w:ascii="Arial" w:hAnsi="Arial" w:cs="Arial"/>
        </w:rPr>
        <w:t xml:space="preserve"> y me ha</w:t>
      </w:r>
      <w:r>
        <w:rPr>
          <w:rFonts w:ascii="Arial" w:hAnsi="Arial" w:cs="Arial"/>
        </w:rPr>
        <w:t xml:space="preserve"> </w:t>
      </w:r>
    </w:p>
    <w:p w:rsidR="0003780B" w:rsidRDefault="0003780B" w:rsidP="0003780B">
      <w:pPr>
        <w:spacing w:line="360" w:lineRule="auto"/>
        <w:jc w:val="right"/>
        <w:rPr>
          <w:rFonts w:ascii="Arial" w:hAnsi="Arial" w:cs="Arial"/>
        </w:rPr>
      </w:pPr>
      <w:r>
        <w:rPr>
          <w:rFonts w:ascii="Arial" w:hAnsi="Arial" w:cs="Arial"/>
        </w:rPr>
        <w:t xml:space="preserve">hecho ser una excelente persona </w:t>
      </w:r>
    </w:p>
    <w:p w:rsidR="0003780B" w:rsidRDefault="0003780B" w:rsidP="0003780B">
      <w:pPr>
        <w:spacing w:line="360" w:lineRule="auto"/>
        <w:jc w:val="right"/>
        <w:rPr>
          <w:rFonts w:ascii="Arial" w:hAnsi="Arial" w:cs="Arial"/>
        </w:rPr>
      </w:pPr>
      <w:r>
        <w:rPr>
          <w:rFonts w:ascii="Arial" w:hAnsi="Arial" w:cs="Arial"/>
        </w:rPr>
        <w:t xml:space="preserve">con ganas de superación personal </w:t>
      </w:r>
    </w:p>
    <w:p w:rsidR="0003780B" w:rsidRDefault="0003780B" w:rsidP="0003780B">
      <w:pPr>
        <w:spacing w:line="360" w:lineRule="auto"/>
        <w:jc w:val="right"/>
        <w:rPr>
          <w:rFonts w:ascii="Arial" w:hAnsi="Arial" w:cs="Arial"/>
        </w:rPr>
      </w:pPr>
      <w:r>
        <w:rPr>
          <w:rFonts w:ascii="Arial" w:hAnsi="Arial" w:cs="Arial"/>
        </w:rPr>
        <w:t>y profesional</w:t>
      </w:r>
      <w:r w:rsidRPr="00935057">
        <w:rPr>
          <w:rFonts w:ascii="Arial" w:hAnsi="Arial" w:cs="Arial"/>
        </w:rPr>
        <w:t xml:space="preserve">, a mi papá por el </w:t>
      </w:r>
    </w:p>
    <w:p w:rsidR="0003780B" w:rsidRDefault="0003780B" w:rsidP="0003780B">
      <w:pPr>
        <w:spacing w:line="360" w:lineRule="auto"/>
        <w:jc w:val="right"/>
        <w:rPr>
          <w:rFonts w:ascii="Arial" w:hAnsi="Arial" w:cs="Arial"/>
        </w:rPr>
      </w:pPr>
      <w:r w:rsidRPr="00935057">
        <w:rPr>
          <w:rFonts w:ascii="Arial" w:hAnsi="Arial" w:cs="Arial"/>
        </w:rPr>
        <w:t>apoyo que demostró,</w:t>
      </w:r>
      <w:r>
        <w:rPr>
          <w:rFonts w:ascii="Arial" w:hAnsi="Arial" w:cs="Arial"/>
        </w:rPr>
        <w:t xml:space="preserve"> </w:t>
      </w:r>
      <w:r w:rsidRPr="00935057">
        <w:rPr>
          <w:rFonts w:ascii="Arial" w:hAnsi="Arial" w:cs="Arial"/>
        </w:rPr>
        <w:t xml:space="preserve">a mis hermanos </w:t>
      </w:r>
    </w:p>
    <w:p w:rsidR="0003780B" w:rsidRDefault="0003780B" w:rsidP="0003780B">
      <w:pPr>
        <w:spacing w:line="360" w:lineRule="auto"/>
        <w:jc w:val="right"/>
        <w:rPr>
          <w:rFonts w:ascii="Arial" w:hAnsi="Arial" w:cs="Arial"/>
        </w:rPr>
      </w:pPr>
      <w:r w:rsidRPr="00935057">
        <w:rPr>
          <w:rFonts w:ascii="Arial" w:hAnsi="Arial" w:cs="Arial"/>
        </w:rPr>
        <w:t xml:space="preserve">que juntos </w:t>
      </w:r>
      <w:r>
        <w:rPr>
          <w:rFonts w:ascii="Arial" w:hAnsi="Arial" w:cs="Arial"/>
        </w:rPr>
        <w:t xml:space="preserve">hemos sabido salir </w:t>
      </w:r>
    </w:p>
    <w:p w:rsidR="0003780B" w:rsidRDefault="0003780B" w:rsidP="0003780B">
      <w:pPr>
        <w:spacing w:line="360" w:lineRule="auto"/>
        <w:jc w:val="right"/>
        <w:rPr>
          <w:rFonts w:ascii="Arial" w:hAnsi="Arial" w:cs="Arial"/>
        </w:rPr>
      </w:pPr>
      <w:r>
        <w:rPr>
          <w:rFonts w:ascii="Arial" w:hAnsi="Arial" w:cs="Arial"/>
        </w:rPr>
        <w:t>adelante</w:t>
      </w:r>
      <w:r w:rsidRPr="00935057">
        <w:rPr>
          <w:rFonts w:ascii="Arial" w:hAnsi="Arial" w:cs="Arial"/>
        </w:rPr>
        <w:t xml:space="preserve">, a Eric quien me </w:t>
      </w:r>
      <w:r>
        <w:rPr>
          <w:rFonts w:ascii="Arial" w:hAnsi="Arial" w:cs="Arial"/>
        </w:rPr>
        <w:t>ayudó</w:t>
      </w:r>
      <w:r w:rsidRPr="00935057">
        <w:rPr>
          <w:rFonts w:ascii="Arial" w:hAnsi="Arial" w:cs="Arial"/>
        </w:rPr>
        <w:t xml:space="preserve"> </w:t>
      </w:r>
    </w:p>
    <w:p w:rsidR="0003780B" w:rsidRDefault="0003780B" w:rsidP="0003780B">
      <w:pPr>
        <w:spacing w:line="360" w:lineRule="auto"/>
        <w:jc w:val="right"/>
        <w:rPr>
          <w:rFonts w:ascii="Arial" w:hAnsi="Arial" w:cs="Arial"/>
        </w:rPr>
      </w:pPr>
      <w:r w:rsidRPr="00935057">
        <w:rPr>
          <w:rFonts w:ascii="Arial" w:hAnsi="Arial" w:cs="Arial"/>
        </w:rPr>
        <w:t xml:space="preserve">desde el principio a la realización de </w:t>
      </w:r>
    </w:p>
    <w:p w:rsidR="0003780B" w:rsidRDefault="0003780B" w:rsidP="0003780B">
      <w:pPr>
        <w:spacing w:line="360" w:lineRule="auto"/>
        <w:jc w:val="right"/>
        <w:rPr>
          <w:rFonts w:ascii="Arial" w:hAnsi="Arial" w:cs="Arial"/>
        </w:rPr>
      </w:pPr>
      <w:r w:rsidRPr="00935057">
        <w:rPr>
          <w:rFonts w:ascii="Arial" w:hAnsi="Arial" w:cs="Arial"/>
        </w:rPr>
        <w:t xml:space="preserve">mi tesis, a mis compañeros Luis y </w:t>
      </w:r>
    </w:p>
    <w:p w:rsidR="0003780B" w:rsidRDefault="0003780B" w:rsidP="0003780B">
      <w:pPr>
        <w:spacing w:line="360" w:lineRule="auto"/>
        <w:jc w:val="right"/>
        <w:rPr>
          <w:rFonts w:ascii="Arial" w:hAnsi="Arial" w:cs="Arial"/>
        </w:rPr>
      </w:pPr>
      <w:r w:rsidRPr="00935057">
        <w:rPr>
          <w:rFonts w:ascii="Arial" w:hAnsi="Arial" w:cs="Arial"/>
        </w:rPr>
        <w:t xml:space="preserve">Rosalía </w:t>
      </w:r>
      <w:r>
        <w:rPr>
          <w:rFonts w:ascii="Arial" w:hAnsi="Arial" w:cs="Arial"/>
        </w:rPr>
        <w:t xml:space="preserve">que sin ellos no hubiese sido </w:t>
      </w:r>
    </w:p>
    <w:p w:rsidR="0003780B" w:rsidRDefault="0003780B" w:rsidP="0003780B">
      <w:pPr>
        <w:spacing w:line="360" w:lineRule="auto"/>
        <w:jc w:val="right"/>
        <w:rPr>
          <w:rFonts w:ascii="Arial" w:hAnsi="Arial" w:cs="Arial"/>
        </w:rPr>
      </w:pPr>
      <w:r>
        <w:rPr>
          <w:rFonts w:ascii="Arial" w:hAnsi="Arial" w:cs="Arial"/>
        </w:rPr>
        <w:t xml:space="preserve">posible realizar este sueño </w:t>
      </w:r>
      <w:r w:rsidRPr="00935057">
        <w:rPr>
          <w:rFonts w:ascii="Arial" w:hAnsi="Arial" w:cs="Arial"/>
        </w:rPr>
        <w:t xml:space="preserve">y a todos </w:t>
      </w:r>
    </w:p>
    <w:p w:rsidR="0003780B" w:rsidRDefault="0003780B" w:rsidP="0003780B">
      <w:pPr>
        <w:spacing w:line="360" w:lineRule="auto"/>
        <w:jc w:val="right"/>
        <w:rPr>
          <w:rFonts w:ascii="Arial" w:hAnsi="Arial" w:cs="Arial"/>
        </w:rPr>
      </w:pPr>
      <w:r w:rsidRPr="00935057">
        <w:rPr>
          <w:rFonts w:ascii="Arial" w:hAnsi="Arial" w:cs="Arial"/>
        </w:rPr>
        <w:t xml:space="preserve">aquellos amigos </w:t>
      </w:r>
      <w:r>
        <w:rPr>
          <w:rFonts w:ascii="Arial" w:hAnsi="Arial" w:cs="Arial"/>
        </w:rPr>
        <w:t xml:space="preserve">los </w:t>
      </w:r>
      <w:r w:rsidRPr="00935057">
        <w:rPr>
          <w:rFonts w:ascii="Arial" w:hAnsi="Arial" w:cs="Arial"/>
        </w:rPr>
        <w:t xml:space="preserve">cuales conocí en </w:t>
      </w:r>
    </w:p>
    <w:p w:rsidR="0003780B" w:rsidRDefault="0003780B" w:rsidP="0003780B">
      <w:pPr>
        <w:spacing w:line="360" w:lineRule="auto"/>
        <w:jc w:val="right"/>
        <w:rPr>
          <w:rFonts w:ascii="Arial" w:hAnsi="Arial" w:cs="Arial"/>
        </w:rPr>
      </w:pPr>
      <w:r w:rsidRPr="00935057">
        <w:rPr>
          <w:rFonts w:ascii="Arial" w:hAnsi="Arial" w:cs="Arial"/>
        </w:rPr>
        <w:t>el transcurso de mi carrera universitaria.</w:t>
      </w:r>
    </w:p>
    <w:p w:rsidR="0003780B" w:rsidRDefault="0003780B" w:rsidP="0003780B">
      <w:pPr>
        <w:spacing w:line="360" w:lineRule="auto"/>
        <w:jc w:val="right"/>
        <w:rPr>
          <w:rFonts w:ascii="Arial" w:hAnsi="Arial" w:cs="Arial"/>
        </w:rPr>
      </w:pPr>
    </w:p>
    <w:p w:rsidR="0003780B" w:rsidRDefault="0003780B" w:rsidP="0003780B">
      <w:pPr>
        <w:spacing w:line="360" w:lineRule="auto"/>
        <w:jc w:val="right"/>
        <w:rPr>
          <w:rFonts w:ascii="Arial" w:hAnsi="Arial" w:cs="Arial"/>
        </w:rPr>
      </w:pPr>
    </w:p>
    <w:p w:rsidR="0003780B" w:rsidRDefault="0003780B" w:rsidP="0003780B">
      <w:pPr>
        <w:spacing w:line="360" w:lineRule="auto"/>
        <w:jc w:val="right"/>
        <w:rPr>
          <w:rFonts w:ascii="Arial" w:hAnsi="Arial" w:cs="Arial"/>
          <w:i/>
        </w:rPr>
      </w:pPr>
      <w:r w:rsidRPr="001859ED">
        <w:rPr>
          <w:rFonts w:ascii="Arial" w:hAnsi="Arial" w:cs="Arial"/>
          <w:i/>
        </w:rPr>
        <w:t>Diana Chiriboga Rodríguez</w:t>
      </w:r>
    </w:p>
    <w:p w:rsidR="0003780B" w:rsidRDefault="0003780B" w:rsidP="0003780B">
      <w:pPr>
        <w:spacing w:line="360" w:lineRule="auto"/>
        <w:jc w:val="right"/>
        <w:rPr>
          <w:rFonts w:ascii="Arial" w:hAnsi="Arial" w:cs="Arial"/>
          <w:i/>
        </w:rPr>
      </w:pPr>
      <w:r>
        <w:rPr>
          <w:rFonts w:ascii="Arial" w:hAnsi="Arial" w:cs="Arial"/>
          <w:i/>
        </w:rPr>
        <w:br w:type="page"/>
      </w:r>
    </w:p>
    <w:p w:rsidR="0003780B" w:rsidRDefault="0003780B" w:rsidP="0003780B">
      <w:pPr>
        <w:spacing w:line="360" w:lineRule="auto"/>
        <w:jc w:val="right"/>
        <w:rPr>
          <w:rFonts w:ascii="Arial" w:hAnsi="Arial" w:cs="Arial"/>
          <w:i/>
        </w:rPr>
      </w:pPr>
    </w:p>
    <w:p w:rsidR="0003780B" w:rsidRDefault="0003780B" w:rsidP="0003780B">
      <w:pPr>
        <w:spacing w:line="360" w:lineRule="auto"/>
        <w:jc w:val="right"/>
        <w:rPr>
          <w:rFonts w:ascii="Arial" w:hAnsi="Arial" w:cs="Arial"/>
          <w:i/>
        </w:rPr>
      </w:pPr>
    </w:p>
    <w:p w:rsidR="0003780B" w:rsidRDefault="0003780B" w:rsidP="0003780B">
      <w:pPr>
        <w:spacing w:line="360" w:lineRule="auto"/>
        <w:jc w:val="right"/>
        <w:rPr>
          <w:rFonts w:ascii="Arial" w:hAnsi="Arial" w:cs="Arial"/>
          <w:i/>
        </w:rPr>
      </w:pPr>
    </w:p>
    <w:p w:rsidR="0003780B" w:rsidRDefault="0003780B" w:rsidP="0003780B">
      <w:pPr>
        <w:spacing w:line="360" w:lineRule="auto"/>
        <w:jc w:val="right"/>
        <w:rPr>
          <w:rFonts w:ascii="Arial" w:hAnsi="Arial" w:cs="Arial"/>
          <w:i/>
        </w:rPr>
      </w:pPr>
    </w:p>
    <w:p w:rsidR="0003780B" w:rsidRDefault="0003780B" w:rsidP="0003780B">
      <w:pPr>
        <w:spacing w:line="360" w:lineRule="auto"/>
        <w:jc w:val="right"/>
        <w:rPr>
          <w:rFonts w:ascii="Arial" w:hAnsi="Arial" w:cs="Arial"/>
          <w:i/>
        </w:rPr>
      </w:pPr>
    </w:p>
    <w:p w:rsidR="0003780B" w:rsidRDefault="0003780B" w:rsidP="0003780B">
      <w:pPr>
        <w:spacing w:line="360" w:lineRule="auto"/>
        <w:jc w:val="right"/>
        <w:rPr>
          <w:rFonts w:ascii="Arial" w:hAnsi="Arial" w:cs="Arial"/>
          <w:i/>
        </w:rPr>
      </w:pPr>
    </w:p>
    <w:p w:rsidR="0003780B" w:rsidRPr="0003780B" w:rsidRDefault="0003780B" w:rsidP="00B11F15">
      <w:pPr>
        <w:spacing w:line="360" w:lineRule="auto"/>
        <w:jc w:val="right"/>
        <w:rPr>
          <w:rFonts w:ascii="Arial" w:hAnsi="Arial" w:cs="Arial"/>
          <w:sz w:val="24"/>
          <w:szCs w:val="24"/>
        </w:rPr>
      </w:pPr>
      <w:r w:rsidRPr="0003780B">
        <w:rPr>
          <w:rFonts w:ascii="Arial" w:hAnsi="Arial" w:cs="Arial"/>
          <w:sz w:val="24"/>
          <w:szCs w:val="24"/>
        </w:rPr>
        <w:t>Agradezco a Dios por darme la fuerza</w:t>
      </w:r>
    </w:p>
    <w:p w:rsidR="0003780B" w:rsidRPr="0003780B" w:rsidRDefault="0003780B" w:rsidP="00B11F15">
      <w:pPr>
        <w:spacing w:line="360" w:lineRule="auto"/>
        <w:jc w:val="right"/>
        <w:rPr>
          <w:rFonts w:ascii="Arial" w:hAnsi="Arial" w:cs="Arial"/>
          <w:sz w:val="24"/>
          <w:szCs w:val="24"/>
        </w:rPr>
      </w:pPr>
      <w:r w:rsidRPr="0003780B">
        <w:rPr>
          <w:rFonts w:ascii="Arial" w:hAnsi="Arial" w:cs="Arial"/>
          <w:sz w:val="24"/>
          <w:szCs w:val="24"/>
        </w:rPr>
        <w:t xml:space="preserve">y la entereza para cumplir mis metas </w:t>
      </w:r>
    </w:p>
    <w:p w:rsidR="0003780B" w:rsidRPr="0003780B" w:rsidRDefault="0003780B" w:rsidP="00B11F15">
      <w:pPr>
        <w:spacing w:line="360" w:lineRule="auto"/>
        <w:jc w:val="right"/>
        <w:rPr>
          <w:rFonts w:ascii="Arial" w:hAnsi="Arial" w:cs="Arial"/>
          <w:sz w:val="24"/>
          <w:szCs w:val="24"/>
        </w:rPr>
      </w:pPr>
      <w:r>
        <w:rPr>
          <w:rFonts w:ascii="Arial" w:hAnsi="Arial" w:cs="Arial"/>
          <w:sz w:val="24"/>
          <w:szCs w:val="24"/>
        </w:rPr>
        <w:t>y dedicó</w:t>
      </w:r>
      <w:r w:rsidRPr="0003780B">
        <w:rPr>
          <w:rFonts w:ascii="Arial" w:hAnsi="Arial" w:cs="Arial"/>
          <w:sz w:val="24"/>
          <w:szCs w:val="24"/>
        </w:rPr>
        <w:t xml:space="preserve"> este trabajo a mi mamá y a </w:t>
      </w:r>
    </w:p>
    <w:p w:rsidR="0003780B" w:rsidRPr="0003780B" w:rsidRDefault="0003780B" w:rsidP="00B11F15">
      <w:pPr>
        <w:tabs>
          <w:tab w:val="left" w:pos="735"/>
          <w:tab w:val="right" w:pos="9169"/>
        </w:tabs>
        <w:spacing w:line="360" w:lineRule="auto"/>
        <w:jc w:val="right"/>
        <w:rPr>
          <w:rFonts w:ascii="Arial" w:hAnsi="Arial" w:cs="Arial"/>
          <w:sz w:val="24"/>
          <w:szCs w:val="24"/>
        </w:rPr>
      </w:pPr>
      <w:r w:rsidRPr="0003780B">
        <w:rPr>
          <w:rFonts w:ascii="Arial" w:hAnsi="Arial" w:cs="Arial"/>
          <w:sz w:val="24"/>
          <w:szCs w:val="24"/>
        </w:rPr>
        <w:t>mi papá, impulsores de mi desarrollo</w:t>
      </w:r>
    </w:p>
    <w:p w:rsidR="0003780B" w:rsidRPr="0003780B" w:rsidRDefault="0003780B" w:rsidP="00B11F15">
      <w:pPr>
        <w:spacing w:line="360" w:lineRule="auto"/>
        <w:jc w:val="right"/>
        <w:rPr>
          <w:rFonts w:ascii="Arial" w:hAnsi="Arial" w:cs="Arial"/>
          <w:sz w:val="24"/>
          <w:szCs w:val="24"/>
        </w:rPr>
      </w:pPr>
      <w:r w:rsidRPr="0003780B">
        <w:rPr>
          <w:rFonts w:ascii="Arial" w:hAnsi="Arial" w:cs="Arial"/>
          <w:sz w:val="24"/>
          <w:szCs w:val="24"/>
        </w:rPr>
        <w:t>académico y personal.</w:t>
      </w:r>
    </w:p>
    <w:p w:rsidR="0003780B" w:rsidRDefault="0003780B" w:rsidP="0003780B">
      <w:pPr>
        <w:spacing w:line="360" w:lineRule="auto"/>
        <w:jc w:val="right"/>
      </w:pPr>
    </w:p>
    <w:p w:rsidR="0003780B" w:rsidRDefault="0003780B" w:rsidP="0003780B">
      <w:pPr>
        <w:spacing w:line="360" w:lineRule="auto"/>
        <w:jc w:val="right"/>
      </w:pPr>
    </w:p>
    <w:p w:rsidR="0003780B" w:rsidRDefault="0003780B" w:rsidP="0003780B">
      <w:pPr>
        <w:spacing w:line="360" w:lineRule="auto"/>
        <w:jc w:val="right"/>
      </w:pPr>
    </w:p>
    <w:p w:rsidR="0003780B" w:rsidRDefault="0003780B" w:rsidP="0003780B">
      <w:pPr>
        <w:spacing w:line="360" w:lineRule="auto"/>
        <w:jc w:val="right"/>
      </w:pPr>
    </w:p>
    <w:p w:rsidR="0003780B" w:rsidRPr="0003780B" w:rsidRDefault="0003780B" w:rsidP="0003780B">
      <w:pPr>
        <w:spacing w:line="360" w:lineRule="auto"/>
        <w:jc w:val="right"/>
        <w:rPr>
          <w:rFonts w:ascii="Arial" w:hAnsi="Arial" w:cs="Arial"/>
          <w:sz w:val="24"/>
          <w:szCs w:val="24"/>
        </w:rPr>
      </w:pPr>
    </w:p>
    <w:p w:rsidR="0003780B" w:rsidRPr="0003780B" w:rsidRDefault="0003780B" w:rsidP="0003780B">
      <w:pPr>
        <w:spacing w:line="360" w:lineRule="auto"/>
        <w:jc w:val="right"/>
        <w:rPr>
          <w:rFonts w:ascii="Arial" w:hAnsi="Arial" w:cs="Arial"/>
          <w:i/>
          <w:sz w:val="24"/>
          <w:szCs w:val="24"/>
        </w:rPr>
      </w:pPr>
      <w:r w:rsidRPr="0003780B">
        <w:rPr>
          <w:rFonts w:ascii="Arial" w:hAnsi="Arial" w:cs="Arial"/>
          <w:i/>
          <w:sz w:val="24"/>
          <w:szCs w:val="24"/>
        </w:rPr>
        <w:t>Luis Ramírez Gómez</w:t>
      </w:r>
    </w:p>
    <w:p w:rsidR="0003780B" w:rsidRPr="001859ED" w:rsidRDefault="0003780B" w:rsidP="0003780B">
      <w:pPr>
        <w:spacing w:line="360" w:lineRule="auto"/>
        <w:jc w:val="right"/>
        <w:rPr>
          <w:rFonts w:ascii="Arial" w:hAnsi="Arial" w:cs="Arial"/>
          <w:i/>
        </w:rPr>
      </w:pPr>
    </w:p>
    <w:p w:rsidR="0003780B" w:rsidRPr="0003780B" w:rsidRDefault="0003780B" w:rsidP="008275DC">
      <w:pPr>
        <w:spacing w:after="0" w:line="360" w:lineRule="auto"/>
        <w:jc w:val="right"/>
        <w:rPr>
          <w:rFonts w:ascii="Arial" w:eastAsia="Times New Roman" w:hAnsi="Arial" w:cs="Arial"/>
          <w:i/>
          <w:color w:val="000000"/>
          <w:sz w:val="24"/>
          <w:szCs w:val="24"/>
          <w:lang w:eastAsia="es-EC"/>
        </w:rPr>
      </w:pPr>
    </w:p>
    <w:p w:rsidR="00A3014D" w:rsidRPr="008275DC" w:rsidRDefault="008275DC" w:rsidP="008275DC">
      <w:pPr>
        <w:spacing w:after="0" w:line="360" w:lineRule="auto"/>
        <w:jc w:val="right"/>
        <w:rPr>
          <w:rFonts w:ascii="Arial" w:eastAsia="Times New Roman" w:hAnsi="Arial" w:cs="Arial"/>
          <w:b/>
          <w:color w:val="000000"/>
          <w:sz w:val="24"/>
          <w:szCs w:val="24"/>
          <w:lang w:eastAsia="es-EC"/>
        </w:rPr>
      </w:pPr>
      <w:r w:rsidRPr="008275DC">
        <w:rPr>
          <w:rFonts w:ascii="Arial" w:eastAsia="Times New Roman" w:hAnsi="Arial" w:cs="Arial"/>
          <w:b/>
          <w:color w:val="000000"/>
          <w:sz w:val="24"/>
          <w:szCs w:val="24"/>
          <w:lang w:eastAsia="es-EC"/>
        </w:rPr>
        <w:br w:type="page"/>
      </w:r>
    </w:p>
    <w:p w:rsidR="00A3014D" w:rsidRDefault="00A3014D" w:rsidP="00A3014D">
      <w:pPr>
        <w:spacing w:after="0" w:line="360" w:lineRule="auto"/>
        <w:jc w:val="center"/>
        <w:rPr>
          <w:rFonts w:ascii="Arial" w:eastAsia="Times New Roman" w:hAnsi="Arial" w:cs="Arial"/>
          <w:b/>
          <w:color w:val="000000"/>
          <w:sz w:val="20"/>
          <w:szCs w:val="20"/>
          <w:lang w:eastAsia="es-EC"/>
        </w:rPr>
      </w:pPr>
    </w:p>
    <w:p w:rsidR="00A3014D" w:rsidRDefault="00A3014D" w:rsidP="00A3014D">
      <w:pPr>
        <w:spacing w:after="0" w:line="360" w:lineRule="auto"/>
        <w:jc w:val="center"/>
        <w:rPr>
          <w:rFonts w:ascii="Arial" w:eastAsia="Times New Roman" w:hAnsi="Arial" w:cs="Arial"/>
          <w:b/>
          <w:color w:val="000000"/>
          <w:sz w:val="20"/>
          <w:szCs w:val="20"/>
          <w:lang w:eastAsia="es-EC"/>
        </w:rPr>
      </w:pPr>
    </w:p>
    <w:p w:rsidR="00A3014D" w:rsidRDefault="00A3014D" w:rsidP="00A3014D">
      <w:pPr>
        <w:spacing w:after="0" w:line="360" w:lineRule="auto"/>
        <w:jc w:val="center"/>
        <w:rPr>
          <w:rFonts w:ascii="Arial" w:eastAsia="Times New Roman" w:hAnsi="Arial" w:cs="Arial"/>
          <w:b/>
          <w:color w:val="000000"/>
          <w:sz w:val="20"/>
          <w:szCs w:val="20"/>
          <w:lang w:eastAsia="es-EC"/>
        </w:rPr>
      </w:pPr>
    </w:p>
    <w:p w:rsidR="00A3014D" w:rsidRDefault="00A3014D" w:rsidP="00A3014D">
      <w:pPr>
        <w:spacing w:after="0" w:line="360" w:lineRule="auto"/>
        <w:jc w:val="center"/>
        <w:rPr>
          <w:rFonts w:ascii="Arial" w:eastAsia="Times New Roman" w:hAnsi="Arial" w:cs="Arial"/>
          <w:b/>
          <w:color w:val="000000"/>
          <w:sz w:val="20"/>
          <w:szCs w:val="20"/>
          <w:lang w:eastAsia="es-EC"/>
        </w:rPr>
      </w:pPr>
    </w:p>
    <w:p w:rsidR="00A3014D" w:rsidRDefault="00A3014D" w:rsidP="0031074E">
      <w:pPr>
        <w:spacing w:after="0" w:line="360" w:lineRule="auto"/>
        <w:jc w:val="both"/>
        <w:rPr>
          <w:rFonts w:ascii="Arial" w:eastAsia="Times New Roman" w:hAnsi="Arial" w:cs="Arial"/>
          <w:b/>
          <w:color w:val="000000"/>
          <w:sz w:val="20"/>
          <w:szCs w:val="20"/>
          <w:lang w:eastAsia="es-EC"/>
        </w:rPr>
      </w:pPr>
    </w:p>
    <w:p w:rsidR="00A3014D" w:rsidRDefault="00A3014D" w:rsidP="00A3014D">
      <w:pPr>
        <w:spacing w:after="0" w:line="360" w:lineRule="auto"/>
        <w:jc w:val="center"/>
        <w:rPr>
          <w:rFonts w:ascii="Arial" w:eastAsia="Times New Roman" w:hAnsi="Arial" w:cs="Arial"/>
          <w:b/>
          <w:color w:val="000000"/>
          <w:sz w:val="20"/>
          <w:szCs w:val="20"/>
          <w:lang w:eastAsia="es-EC"/>
        </w:rPr>
      </w:pPr>
    </w:p>
    <w:p w:rsidR="00A3014D" w:rsidRPr="00256395" w:rsidRDefault="00A3014D" w:rsidP="00A3014D">
      <w:pPr>
        <w:spacing w:after="0" w:line="360" w:lineRule="auto"/>
        <w:jc w:val="center"/>
        <w:rPr>
          <w:rFonts w:ascii="Arial" w:eastAsia="Times New Roman" w:hAnsi="Arial" w:cs="Arial"/>
          <w:b/>
          <w:color w:val="000000"/>
          <w:sz w:val="24"/>
          <w:szCs w:val="24"/>
          <w:lang w:eastAsia="es-EC"/>
        </w:rPr>
      </w:pPr>
      <w:r w:rsidRPr="00256395">
        <w:rPr>
          <w:rFonts w:ascii="Arial" w:eastAsia="Times New Roman" w:hAnsi="Arial" w:cs="Arial"/>
          <w:b/>
          <w:color w:val="000000"/>
          <w:sz w:val="24"/>
          <w:szCs w:val="24"/>
          <w:lang w:eastAsia="es-EC"/>
        </w:rPr>
        <w:t>DECLARACIÓN EXPRESA</w:t>
      </w:r>
    </w:p>
    <w:p w:rsidR="00A3014D" w:rsidRPr="00256395" w:rsidRDefault="00A3014D" w:rsidP="00A3014D">
      <w:pPr>
        <w:spacing w:after="0" w:line="360" w:lineRule="auto"/>
        <w:jc w:val="center"/>
        <w:rPr>
          <w:rFonts w:ascii="Arial" w:eastAsia="Times New Roman" w:hAnsi="Arial" w:cs="Arial"/>
          <w:b/>
          <w:color w:val="000000"/>
          <w:sz w:val="24"/>
          <w:szCs w:val="24"/>
          <w:lang w:eastAsia="es-EC"/>
        </w:rPr>
      </w:pPr>
    </w:p>
    <w:p w:rsidR="00A3014D" w:rsidRPr="00256395" w:rsidRDefault="00A3014D" w:rsidP="00A3014D">
      <w:pPr>
        <w:spacing w:after="0" w:line="360" w:lineRule="auto"/>
        <w:jc w:val="center"/>
        <w:rPr>
          <w:rFonts w:ascii="Arial" w:eastAsia="Times New Roman" w:hAnsi="Arial" w:cs="Arial"/>
          <w:b/>
          <w:color w:val="000000"/>
          <w:sz w:val="24"/>
          <w:szCs w:val="24"/>
          <w:lang w:eastAsia="es-EC"/>
        </w:rPr>
      </w:pPr>
    </w:p>
    <w:p w:rsidR="00A3014D" w:rsidRPr="00256395" w:rsidRDefault="00A3014D" w:rsidP="007524A7">
      <w:pPr>
        <w:spacing w:after="0" w:line="360" w:lineRule="auto"/>
        <w:ind w:left="851"/>
        <w:jc w:val="both"/>
        <w:rPr>
          <w:rFonts w:ascii="Arial" w:eastAsia="Times New Roman" w:hAnsi="Arial" w:cs="Arial"/>
          <w:color w:val="000000"/>
          <w:sz w:val="24"/>
          <w:szCs w:val="24"/>
          <w:lang w:eastAsia="es-EC"/>
        </w:rPr>
      </w:pPr>
      <w:r w:rsidRPr="00256395">
        <w:rPr>
          <w:rFonts w:ascii="Arial" w:eastAsia="Times New Roman" w:hAnsi="Arial" w:cs="Arial"/>
          <w:color w:val="000000"/>
          <w:sz w:val="24"/>
          <w:szCs w:val="24"/>
          <w:lang w:eastAsia="es-EC"/>
        </w:rPr>
        <w:t>La respon</w:t>
      </w:r>
      <w:r w:rsidR="006D3003">
        <w:rPr>
          <w:rFonts w:ascii="Arial" w:eastAsia="Times New Roman" w:hAnsi="Arial" w:cs="Arial"/>
          <w:color w:val="000000"/>
          <w:sz w:val="24"/>
          <w:szCs w:val="24"/>
          <w:lang w:eastAsia="es-EC"/>
        </w:rPr>
        <w:t xml:space="preserve">sabilidad del contenido de esta Tesis </w:t>
      </w:r>
      <w:r w:rsidRPr="00256395">
        <w:rPr>
          <w:rFonts w:ascii="Arial" w:eastAsia="Times New Roman" w:hAnsi="Arial" w:cs="Arial"/>
          <w:color w:val="000000"/>
          <w:sz w:val="24"/>
          <w:szCs w:val="24"/>
          <w:lang w:eastAsia="es-EC"/>
        </w:rPr>
        <w:t xml:space="preserve">de Grado corresponde exclusivamente a los autores y el patrimonio intelectual de la misma a </w:t>
      </w:r>
      <w:smartTag w:uri="urn:schemas-microsoft-com:office:smarttags" w:element="PersonName">
        <w:smartTagPr>
          <w:attr w:name="ProductID" w:val="la Escuela Superior"/>
        </w:smartTagPr>
        <w:r w:rsidRPr="00256395">
          <w:rPr>
            <w:rFonts w:ascii="Arial" w:eastAsia="Times New Roman" w:hAnsi="Arial" w:cs="Arial"/>
            <w:color w:val="000000"/>
            <w:sz w:val="24"/>
            <w:szCs w:val="24"/>
            <w:lang w:eastAsia="es-EC"/>
          </w:rPr>
          <w:t>la Escuela Superior</w:t>
        </w:r>
      </w:smartTag>
      <w:r w:rsidRPr="00256395">
        <w:rPr>
          <w:rFonts w:ascii="Arial" w:eastAsia="Times New Roman" w:hAnsi="Arial" w:cs="Arial"/>
          <w:color w:val="000000"/>
          <w:sz w:val="24"/>
          <w:szCs w:val="24"/>
          <w:lang w:eastAsia="es-EC"/>
        </w:rPr>
        <w:t xml:space="preserve"> Politécnica del Litoral.</w:t>
      </w:r>
    </w:p>
    <w:p w:rsidR="00A3014D" w:rsidRPr="00256395" w:rsidRDefault="00A3014D" w:rsidP="0031074E">
      <w:pPr>
        <w:spacing w:after="0" w:line="360" w:lineRule="auto"/>
        <w:jc w:val="both"/>
        <w:rPr>
          <w:rFonts w:ascii="Arial" w:eastAsia="Times New Roman" w:hAnsi="Arial" w:cs="Arial"/>
          <w:color w:val="000000"/>
          <w:sz w:val="24"/>
          <w:szCs w:val="24"/>
          <w:lang w:eastAsia="es-EC"/>
        </w:rPr>
      </w:pPr>
    </w:p>
    <w:p w:rsidR="00A3014D" w:rsidRPr="00256395" w:rsidRDefault="00A3014D" w:rsidP="00A3014D">
      <w:pPr>
        <w:spacing w:after="0" w:line="360" w:lineRule="auto"/>
        <w:jc w:val="both"/>
        <w:rPr>
          <w:rFonts w:ascii="Arial" w:eastAsia="Times New Roman" w:hAnsi="Arial" w:cs="Arial"/>
          <w:color w:val="000000"/>
          <w:sz w:val="24"/>
          <w:szCs w:val="24"/>
          <w:lang w:eastAsia="es-EC"/>
        </w:rPr>
      </w:pPr>
    </w:p>
    <w:p w:rsidR="00A3014D" w:rsidRPr="00256395" w:rsidRDefault="00A3014D" w:rsidP="00A3014D">
      <w:pPr>
        <w:spacing w:after="0" w:line="360" w:lineRule="auto"/>
        <w:jc w:val="both"/>
        <w:rPr>
          <w:rFonts w:ascii="Arial" w:eastAsia="Times New Roman" w:hAnsi="Arial" w:cs="Arial"/>
          <w:color w:val="000000"/>
          <w:sz w:val="24"/>
          <w:szCs w:val="24"/>
          <w:lang w:eastAsia="es-EC"/>
        </w:rPr>
      </w:pPr>
    </w:p>
    <w:p w:rsidR="00A3014D" w:rsidRPr="00256395" w:rsidRDefault="00A3014D" w:rsidP="00A3014D">
      <w:pPr>
        <w:spacing w:after="0" w:line="360" w:lineRule="auto"/>
        <w:jc w:val="both"/>
        <w:rPr>
          <w:rFonts w:ascii="Arial" w:eastAsia="Times New Roman" w:hAnsi="Arial" w:cs="Arial"/>
          <w:color w:val="000000"/>
          <w:sz w:val="24"/>
          <w:szCs w:val="24"/>
          <w:lang w:eastAsia="es-EC"/>
        </w:rPr>
      </w:pPr>
    </w:p>
    <w:p w:rsidR="00A3014D" w:rsidRPr="00256395" w:rsidRDefault="00A3014D" w:rsidP="00A3014D">
      <w:pPr>
        <w:spacing w:after="0" w:line="360" w:lineRule="auto"/>
        <w:jc w:val="both"/>
        <w:rPr>
          <w:rFonts w:ascii="Arial" w:eastAsia="Times New Roman" w:hAnsi="Arial" w:cs="Arial"/>
          <w:color w:val="000000"/>
          <w:sz w:val="24"/>
          <w:szCs w:val="24"/>
          <w:lang w:eastAsia="es-EC"/>
        </w:rPr>
      </w:pPr>
    </w:p>
    <w:p w:rsidR="00A3014D" w:rsidRPr="00256395" w:rsidRDefault="00A3014D" w:rsidP="00A3014D">
      <w:pPr>
        <w:spacing w:after="0" w:line="360" w:lineRule="auto"/>
        <w:jc w:val="both"/>
        <w:rPr>
          <w:rFonts w:ascii="Arial" w:eastAsia="Times New Roman" w:hAnsi="Arial" w:cs="Arial"/>
          <w:color w:val="000000"/>
          <w:sz w:val="24"/>
          <w:szCs w:val="24"/>
          <w:lang w:eastAsia="es-EC"/>
        </w:rPr>
      </w:pPr>
    </w:p>
    <w:p w:rsidR="00A3014D" w:rsidRPr="00256395" w:rsidRDefault="00A3014D" w:rsidP="00A3014D">
      <w:pPr>
        <w:spacing w:after="0" w:line="360" w:lineRule="auto"/>
        <w:jc w:val="both"/>
        <w:rPr>
          <w:rFonts w:ascii="Arial" w:eastAsia="Times New Roman" w:hAnsi="Arial" w:cs="Arial"/>
          <w:color w:val="000000"/>
          <w:sz w:val="24"/>
          <w:szCs w:val="24"/>
          <w:lang w:eastAsia="es-EC"/>
        </w:rPr>
      </w:pPr>
    </w:p>
    <w:p w:rsidR="00A3014D" w:rsidRPr="00256395" w:rsidRDefault="00A3014D" w:rsidP="00A3014D">
      <w:pPr>
        <w:spacing w:after="0" w:line="360" w:lineRule="auto"/>
        <w:jc w:val="both"/>
        <w:rPr>
          <w:rFonts w:ascii="Arial" w:eastAsia="Times New Roman" w:hAnsi="Arial" w:cs="Arial"/>
          <w:color w:val="000000"/>
          <w:sz w:val="24"/>
          <w:szCs w:val="24"/>
          <w:lang w:eastAsia="es-EC"/>
        </w:rPr>
      </w:pPr>
    </w:p>
    <w:p w:rsidR="00A3014D" w:rsidRPr="00256395" w:rsidRDefault="00A3014D" w:rsidP="00A3014D">
      <w:pPr>
        <w:spacing w:after="0" w:line="360" w:lineRule="auto"/>
        <w:jc w:val="both"/>
        <w:rPr>
          <w:rFonts w:ascii="Arial" w:eastAsia="Times New Roman" w:hAnsi="Arial" w:cs="Arial"/>
          <w:color w:val="000000"/>
          <w:sz w:val="24"/>
          <w:szCs w:val="24"/>
          <w:lang w:eastAsia="es-EC"/>
        </w:rPr>
      </w:pPr>
    </w:p>
    <w:p w:rsidR="00A3014D" w:rsidRPr="00256395" w:rsidRDefault="00A3014D" w:rsidP="00B11F15">
      <w:pPr>
        <w:spacing w:after="0" w:line="360" w:lineRule="auto"/>
        <w:jc w:val="both"/>
        <w:rPr>
          <w:rFonts w:ascii="Arial" w:eastAsia="Times New Roman" w:hAnsi="Arial" w:cs="Arial"/>
          <w:color w:val="000000"/>
          <w:sz w:val="24"/>
          <w:szCs w:val="24"/>
          <w:lang w:eastAsia="es-EC"/>
        </w:rPr>
        <w:sectPr w:rsidR="00A3014D" w:rsidRPr="00256395" w:rsidSect="00A2504D">
          <w:footnotePr>
            <w:pos w:val="beneathText"/>
          </w:footnotePr>
          <w:pgSz w:w="11907" w:h="16840" w:code="9"/>
          <w:pgMar w:top="1985" w:right="1418" w:bottom="1985" w:left="2268" w:header="720" w:footer="720" w:gutter="0"/>
          <w:cols w:space="720"/>
          <w:titlePg/>
          <w:docGrid w:linePitch="360"/>
        </w:sectPr>
      </w:pPr>
      <w:r w:rsidRPr="00256395">
        <w:rPr>
          <w:rFonts w:ascii="Arial" w:eastAsia="Times New Roman" w:hAnsi="Arial" w:cs="Arial"/>
          <w:color w:val="000000"/>
          <w:sz w:val="24"/>
          <w:szCs w:val="24"/>
          <w:lang w:eastAsia="es-EC"/>
        </w:rPr>
        <w:t>-</w:t>
      </w:r>
      <w:r w:rsidR="00B11F15">
        <w:rPr>
          <w:rFonts w:ascii="Arial" w:eastAsia="Times New Roman" w:hAnsi="Arial" w:cs="Arial"/>
          <w:color w:val="000000"/>
          <w:sz w:val="24"/>
          <w:szCs w:val="24"/>
          <w:lang w:eastAsia="es-EC"/>
        </w:rPr>
        <w:t>-----------------------------</w:t>
      </w:r>
      <w:r>
        <w:rPr>
          <w:rFonts w:ascii="Arial" w:eastAsia="Times New Roman" w:hAnsi="Arial" w:cs="Arial"/>
          <w:color w:val="000000"/>
          <w:sz w:val="24"/>
          <w:szCs w:val="24"/>
          <w:lang w:eastAsia="es-EC"/>
        </w:rPr>
        <w:t xml:space="preserve"> </w:t>
      </w:r>
      <w:r w:rsidR="00B11F15">
        <w:rPr>
          <w:rFonts w:ascii="Arial" w:eastAsia="Times New Roman" w:hAnsi="Arial" w:cs="Arial"/>
          <w:color w:val="000000"/>
          <w:sz w:val="24"/>
          <w:szCs w:val="24"/>
          <w:lang w:eastAsia="es-EC"/>
        </w:rPr>
        <w:t xml:space="preserve">   </w:t>
      </w:r>
      <w:r>
        <w:rPr>
          <w:rFonts w:ascii="Arial" w:eastAsia="Times New Roman" w:hAnsi="Arial" w:cs="Arial"/>
          <w:color w:val="000000"/>
          <w:sz w:val="24"/>
          <w:szCs w:val="24"/>
          <w:lang w:eastAsia="es-EC"/>
        </w:rPr>
        <w:t xml:space="preserve"> </w:t>
      </w:r>
      <w:r w:rsidRPr="00256395">
        <w:rPr>
          <w:rFonts w:ascii="Arial" w:eastAsia="Times New Roman" w:hAnsi="Arial" w:cs="Arial"/>
          <w:color w:val="000000"/>
          <w:sz w:val="24"/>
          <w:szCs w:val="24"/>
          <w:lang w:eastAsia="es-EC"/>
        </w:rPr>
        <w:t>-----</w:t>
      </w:r>
      <w:r>
        <w:rPr>
          <w:rFonts w:ascii="Arial" w:eastAsia="Times New Roman" w:hAnsi="Arial" w:cs="Arial"/>
          <w:color w:val="000000"/>
          <w:sz w:val="24"/>
          <w:szCs w:val="24"/>
          <w:lang w:eastAsia="es-EC"/>
        </w:rPr>
        <w:t>---------------------------</w:t>
      </w:r>
      <w:r w:rsidR="00B11F15">
        <w:rPr>
          <w:rFonts w:ascii="Arial" w:eastAsia="Times New Roman" w:hAnsi="Arial" w:cs="Arial"/>
          <w:color w:val="000000"/>
          <w:sz w:val="24"/>
          <w:szCs w:val="24"/>
          <w:lang w:eastAsia="es-EC"/>
        </w:rPr>
        <w:t xml:space="preserve">     </w:t>
      </w:r>
      <w:r w:rsidRPr="00256395">
        <w:rPr>
          <w:rFonts w:ascii="Arial" w:eastAsia="Times New Roman" w:hAnsi="Arial" w:cs="Arial"/>
          <w:color w:val="000000"/>
          <w:sz w:val="24"/>
          <w:szCs w:val="24"/>
          <w:lang w:eastAsia="es-EC"/>
        </w:rPr>
        <w:t>-------------------</w:t>
      </w:r>
      <w:r w:rsidR="00B11F15">
        <w:rPr>
          <w:rFonts w:ascii="Arial" w:eastAsia="Times New Roman" w:hAnsi="Arial" w:cs="Arial"/>
          <w:color w:val="000000"/>
          <w:sz w:val="24"/>
          <w:szCs w:val="24"/>
          <w:lang w:eastAsia="es-EC"/>
        </w:rPr>
        <w:t>-----------Diana Chiriboga R.</w:t>
      </w:r>
      <w:r w:rsidR="00B11F15">
        <w:rPr>
          <w:rFonts w:ascii="Arial" w:eastAsia="Times New Roman" w:hAnsi="Arial" w:cs="Arial"/>
          <w:color w:val="000000"/>
          <w:sz w:val="24"/>
          <w:szCs w:val="24"/>
          <w:lang w:eastAsia="es-EC"/>
        </w:rPr>
        <w:tab/>
      </w:r>
      <w:r w:rsidR="00B11F15">
        <w:rPr>
          <w:rFonts w:ascii="Arial" w:eastAsia="Times New Roman" w:hAnsi="Arial" w:cs="Arial"/>
          <w:color w:val="000000"/>
          <w:sz w:val="24"/>
          <w:szCs w:val="24"/>
          <w:lang w:eastAsia="es-EC"/>
        </w:rPr>
        <w:tab/>
        <w:t xml:space="preserve"> Rosalía Paredes A.</w:t>
      </w:r>
      <w:r w:rsidR="00B11F15">
        <w:rPr>
          <w:rFonts w:ascii="Arial" w:eastAsia="Times New Roman" w:hAnsi="Arial" w:cs="Arial"/>
          <w:color w:val="000000"/>
          <w:sz w:val="24"/>
          <w:szCs w:val="24"/>
          <w:lang w:eastAsia="es-EC"/>
        </w:rPr>
        <w:tab/>
        <w:t xml:space="preserve">         </w:t>
      </w:r>
      <w:r>
        <w:rPr>
          <w:rFonts w:ascii="Arial" w:eastAsia="Times New Roman" w:hAnsi="Arial" w:cs="Arial"/>
          <w:color w:val="000000"/>
          <w:sz w:val="24"/>
          <w:szCs w:val="24"/>
          <w:lang w:eastAsia="es-EC"/>
        </w:rPr>
        <w:t xml:space="preserve">Luis </w:t>
      </w:r>
      <w:r w:rsidR="00B11F15">
        <w:rPr>
          <w:rFonts w:ascii="Arial" w:eastAsia="Times New Roman" w:hAnsi="Arial" w:cs="Arial"/>
          <w:color w:val="000000"/>
          <w:sz w:val="24"/>
          <w:szCs w:val="24"/>
          <w:lang w:eastAsia="es-EC"/>
        </w:rPr>
        <w:t>Ramírez G.</w:t>
      </w:r>
    </w:p>
    <w:p w:rsidR="00A3014D" w:rsidRPr="00256395" w:rsidRDefault="00A3014D" w:rsidP="00A3014D">
      <w:pPr>
        <w:spacing w:after="0" w:line="360" w:lineRule="auto"/>
        <w:jc w:val="both"/>
        <w:rPr>
          <w:rFonts w:ascii="Arial" w:eastAsia="Times New Roman" w:hAnsi="Arial" w:cs="Arial"/>
          <w:color w:val="000000"/>
          <w:sz w:val="24"/>
          <w:szCs w:val="24"/>
          <w:lang w:eastAsia="es-EC"/>
        </w:rPr>
      </w:pPr>
    </w:p>
    <w:p w:rsidR="00A3014D" w:rsidRDefault="00A3014D" w:rsidP="00A3014D">
      <w:pPr>
        <w:spacing w:after="0" w:line="360" w:lineRule="auto"/>
        <w:jc w:val="both"/>
        <w:rPr>
          <w:rFonts w:ascii="Arial" w:eastAsia="Times New Roman" w:hAnsi="Arial" w:cs="Arial"/>
          <w:color w:val="000000"/>
          <w:sz w:val="20"/>
          <w:szCs w:val="20"/>
          <w:lang w:eastAsia="es-EC"/>
        </w:rPr>
      </w:pPr>
    </w:p>
    <w:p w:rsidR="00A3014D" w:rsidRDefault="00A3014D" w:rsidP="00A3014D">
      <w:pPr>
        <w:spacing w:after="0" w:line="360" w:lineRule="auto"/>
        <w:jc w:val="both"/>
        <w:rPr>
          <w:rFonts w:ascii="Arial" w:eastAsia="Times New Roman" w:hAnsi="Arial" w:cs="Arial"/>
          <w:color w:val="000000"/>
          <w:sz w:val="20"/>
          <w:szCs w:val="20"/>
          <w:lang w:eastAsia="es-EC"/>
        </w:rPr>
      </w:pPr>
    </w:p>
    <w:p w:rsidR="00A3014D" w:rsidRDefault="00A3014D" w:rsidP="00A3014D">
      <w:pPr>
        <w:spacing w:after="0" w:line="360" w:lineRule="auto"/>
        <w:jc w:val="both"/>
        <w:rPr>
          <w:rFonts w:ascii="Arial" w:eastAsia="Times New Roman" w:hAnsi="Arial" w:cs="Arial"/>
          <w:color w:val="000000"/>
          <w:sz w:val="20"/>
          <w:szCs w:val="20"/>
          <w:lang w:eastAsia="es-EC"/>
        </w:rPr>
      </w:pPr>
    </w:p>
    <w:p w:rsidR="00A3014D" w:rsidRDefault="00A3014D" w:rsidP="00A3014D">
      <w:pPr>
        <w:spacing w:after="0" w:line="360" w:lineRule="auto"/>
        <w:jc w:val="both"/>
        <w:rPr>
          <w:rFonts w:ascii="Arial" w:eastAsia="Times New Roman" w:hAnsi="Arial" w:cs="Arial"/>
          <w:color w:val="000000"/>
          <w:sz w:val="20"/>
          <w:szCs w:val="20"/>
          <w:lang w:eastAsia="es-EC"/>
        </w:rPr>
        <w:sectPr w:rsidR="00A3014D" w:rsidSect="00F27DFF">
          <w:footnotePr>
            <w:pos w:val="beneathText"/>
          </w:footnotePr>
          <w:type w:val="continuous"/>
          <w:pgSz w:w="11907" w:h="16840" w:code="9"/>
          <w:pgMar w:top="1985" w:right="1418" w:bottom="1985" w:left="2268" w:header="720" w:footer="720" w:gutter="0"/>
          <w:cols w:space="720"/>
          <w:docGrid w:linePitch="360"/>
        </w:sectPr>
      </w:pPr>
    </w:p>
    <w:p w:rsidR="00035035" w:rsidRPr="00D64ACF" w:rsidRDefault="00035035" w:rsidP="00035035">
      <w:pPr>
        <w:spacing w:after="0" w:line="360" w:lineRule="auto"/>
        <w:ind w:left="540"/>
        <w:jc w:val="center"/>
        <w:rPr>
          <w:rFonts w:ascii="Arial" w:hAnsi="Arial" w:cs="Arial"/>
          <w:b/>
          <w:sz w:val="28"/>
          <w:szCs w:val="28"/>
          <w:u w:val="single"/>
        </w:rPr>
      </w:pPr>
      <w:r w:rsidRPr="00D64ACF">
        <w:rPr>
          <w:rFonts w:ascii="Arial" w:hAnsi="Arial" w:cs="Arial"/>
          <w:b/>
          <w:sz w:val="28"/>
          <w:szCs w:val="28"/>
          <w:u w:val="single"/>
        </w:rPr>
        <w:lastRenderedPageBreak/>
        <w:t>ÍNDICE GENERAL</w:t>
      </w:r>
    </w:p>
    <w:p w:rsidR="00035035" w:rsidRPr="00D64ACF" w:rsidRDefault="00035035" w:rsidP="00035035">
      <w:pPr>
        <w:spacing w:after="0" w:line="360" w:lineRule="auto"/>
        <w:ind w:left="540" w:right="-362"/>
        <w:rPr>
          <w:rFonts w:ascii="Arial" w:hAnsi="Arial" w:cs="Arial"/>
          <w:b/>
        </w:rPr>
      </w:pPr>
      <w:r>
        <w:rPr>
          <w:rFonts w:ascii="Arial" w:hAnsi="Arial" w:cs="Arial"/>
          <w:b/>
        </w:rPr>
        <w:tab/>
      </w:r>
      <w:r>
        <w:rPr>
          <w:rFonts w:ascii="Arial" w:hAnsi="Arial" w:cs="Arial"/>
          <w:b/>
        </w:rPr>
        <w:tab/>
        <w:t xml:space="preserve"> </w:t>
      </w:r>
      <w:r>
        <w:rPr>
          <w:rFonts w:ascii="Arial" w:hAnsi="Arial" w:cs="Arial"/>
          <w:b/>
        </w:rPr>
        <w:tab/>
        <w:t xml:space="preserve"> </w:t>
      </w:r>
      <w:r>
        <w:rPr>
          <w:rFonts w:ascii="Arial" w:hAnsi="Arial" w:cs="Arial"/>
          <w:b/>
        </w:rPr>
        <w:tab/>
      </w:r>
      <w:r>
        <w:rPr>
          <w:rFonts w:ascii="Arial" w:hAnsi="Arial" w:cs="Arial"/>
          <w:b/>
        </w:rPr>
        <w:tab/>
      </w:r>
      <w:r>
        <w:rPr>
          <w:rFonts w:ascii="Arial" w:hAnsi="Arial" w:cs="Arial"/>
          <w:b/>
        </w:rPr>
        <w:tab/>
      </w:r>
      <w:r>
        <w:rPr>
          <w:rFonts w:ascii="Arial" w:hAnsi="Arial" w:cs="Arial"/>
          <w:b/>
        </w:rPr>
        <w:tab/>
      </w:r>
      <w:r>
        <w:rPr>
          <w:rFonts w:ascii="Arial" w:hAnsi="Arial" w:cs="Arial"/>
          <w:b/>
        </w:rPr>
        <w:tab/>
        <w:t xml:space="preserve"> </w:t>
      </w:r>
      <w:r>
        <w:rPr>
          <w:rFonts w:ascii="Arial" w:hAnsi="Arial" w:cs="Arial"/>
          <w:b/>
        </w:rPr>
        <w:tab/>
      </w:r>
      <w:r>
        <w:rPr>
          <w:rFonts w:ascii="Arial" w:hAnsi="Arial" w:cs="Arial"/>
          <w:b/>
        </w:rPr>
        <w:tab/>
      </w:r>
      <w:r>
        <w:rPr>
          <w:rFonts w:ascii="Arial" w:hAnsi="Arial" w:cs="Arial"/>
          <w:b/>
        </w:rPr>
        <w:tab/>
      </w:r>
      <w:r w:rsidRPr="00D64ACF">
        <w:rPr>
          <w:rFonts w:ascii="Arial" w:hAnsi="Arial" w:cs="Arial"/>
          <w:b/>
        </w:rPr>
        <w:t>PÁG.</w:t>
      </w:r>
    </w:p>
    <w:p w:rsidR="00035035" w:rsidRDefault="00035035" w:rsidP="00035035">
      <w:pPr>
        <w:spacing w:after="0" w:line="360" w:lineRule="auto"/>
        <w:ind w:right="-182"/>
        <w:rPr>
          <w:rFonts w:ascii="Arial" w:hAnsi="Arial" w:cs="Arial"/>
          <w:b/>
        </w:rPr>
      </w:pPr>
      <w:r w:rsidRPr="00D64ACF">
        <w:rPr>
          <w:rFonts w:ascii="Arial" w:hAnsi="Arial" w:cs="Arial"/>
          <w:b/>
        </w:rPr>
        <w:t>TRIBUNAL DE GRADO</w:t>
      </w:r>
      <w:r>
        <w:rPr>
          <w:rFonts w:ascii="Arial" w:hAnsi="Arial" w:cs="Arial"/>
          <w:b/>
        </w:rPr>
        <w:tab/>
      </w:r>
      <w:r>
        <w:rPr>
          <w:rFonts w:ascii="Arial" w:hAnsi="Arial" w:cs="Arial"/>
          <w:b/>
        </w:rPr>
        <w:tab/>
      </w:r>
      <w:r>
        <w:rPr>
          <w:rFonts w:ascii="Arial" w:hAnsi="Arial" w:cs="Arial"/>
          <w:b/>
        </w:rPr>
        <w:tab/>
      </w:r>
      <w:r>
        <w:rPr>
          <w:rFonts w:ascii="Arial" w:hAnsi="Arial" w:cs="Arial"/>
          <w:b/>
        </w:rPr>
        <w:tab/>
      </w:r>
      <w:r>
        <w:rPr>
          <w:rFonts w:ascii="Arial" w:hAnsi="Arial" w:cs="Arial"/>
          <w:b/>
        </w:rPr>
        <w:tab/>
      </w:r>
      <w:r>
        <w:rPr>
          <w:rFonts w:ascii="Arial" w:hAnsi="Arial" w:cs="Arial"/>
          <w:b/>
        </w:rPr>
        <w:tab/>
      </w:r>
      <w:r>
        <w:rPr>
          <w:rFonts w:ascii="Arial" w:hAnsi="Arial" w:cs="Arial"/>
          <w:b/>
        </w:rPr>
        <w:tab/>
      </w:r>
      <w:r>
        <w:rPr>
          <w:rFonts w:ascii="Arial" w:hAnsi="Arial" w:cs="Arial"/>
          <w:b/>
        </w:rPr>
        <w:tab/>
        <w:t>II</w:t>
      </w:r>
    </w:p>
    <w:p w:rsidR="00035035" w:rsidRPr="00D64ACF" w:rsidRDefault="00035035" w:rsidP="00035035">
      <w:pPr>
        <w:spacing w:after="0" w:line="360" w:lineRule="auto"/>
        <w:ind w:right="-182"/>
        <w:rPr>
          <w:rFonts w:ascii="Arial" w:hAnsi="Arial" w:cs="Arial"/>
          <w:b/>
        </w:rPr>
      </w:pPr>
      <w:r>
        <w:rPr>
          <w:rFonts w:ascii="Arial" w:hAnsi="Arial" w:cs="Arial"/>
          <w:b/>
        </w:rPr>
        <w:t>AGRADECIMIENTOS / DEDICATORIAS</w:t>
      </w:r>
      <w:r>
        <w:rPr>
          <w:rFonts w:ascii="Arial" w:hAnsi="Arial" w:cs="Arial"/>
          <w:b/>
        </w:rPr>
        <w:tab/>
      </w:r>
      <w:r>
        <w:rPr>
          <w:rFonts w:ascii="Arial" w:hAnsi="Arial" w:cs="Arial"/>
          <w:b/>
        </w:rPr>
        <w:tab/>
      </w:r>
      <w:r>
        <w:rPr>
          <w:rFonts w:ascii="Arial" w:hAnsi="Arial" w:cs="Arial"/>
          <w:b/>
        </w:rPr>
        <w:tab/>
      </w:r>
      <w:r>
        <w:rPr>
          <w:rFonts w:ascii="Arial" w:hAnsi="Arial" w:cs="Arial"/>
          <w:b/>
        </w:rPr>
        <w:tab/>
      </w:r>
      <w:r>
        <w:rPr>
          <w:rFonts w:ascii="Arial" w:hAnsi="Arial" w:cs="Arial"/>
          <w:b/>
        </w:rPr>
        <w:tab/>
      </w:r>
      <w:r>
        <w:rPr>
          <w:rFonts w:ascii="Arial" w:hAnsi="Arial" w:cs="Arial"/>
          <w:b/>
        </w:rPr>
        <w:tab/>
        <w:t>III</w:t>
      </w:r>
    </w:p>
    <w:p w:rsidR="00035035" w:rsidRPr="00D64ACF" w:rsidRDefault="00035035" w:rsidP="00035035">
      <w:pPr>
        <w:spacing w:after="0" w:line="360" w:lineRule="auto"/>
        <w:ind w:right="-182"/>
        <w:rPr>
          <w:rFonts w:ascii="Arial" w:hAnsi="Arial" w:cs="Arial"/>
          <w:b/>
        </w:rPr>
      </w:pPr>
      <w:r w:rsidRPr="00D64ACF">
        <w:rPr>
          <w:rFonts w:ascii="Arial" w:hAnsi="Arial" w:cs="Arial"/>
          <w:b/>
        </w:rPr>
        <w:t>DECLARACIÓN EXPRESA</w:t>
      </w:r>
      <w:r>
        <w:rPr>
          <w:rFonts w:ascii="Arial" w:hAnsi="Arial" w:cs="Arial"/>
          <w:b/>
        </w:rPr>
        <w:tab/>
      </w:r>
      <w:r>
        <w:rPr>
          <w:rFonts w:ascii="Arial" w:hAnsi="Arial" w:cs="Arial"/>
          <w:b/>
        </w:rPr>
        <w:tab/>
      </w:r>
      <w:r>
        <w:rPr>
          <w:rFonts w:ascii="Arial" w:hAnsi="Arial" w:cs="Arial"/>
          <w:b/>
        </w:rPr>
        <w:tab/>
      </w:r>
      <w:r>
        <w:rPr>
          <w:rFonts w:ascii="Arial" w:hAnsi="Arial" w:cs="Arial"/>
          <w:b/>
        </w:rPr>
        <w:tab/>
      </w:r>
      <w:r>
        <w:rPr>
          <w:rFonts w:ascii="Arial" w:hAnsi="Arial" w:cs="Arial"/>
          <w:b/>
        </w:rPr>
        <w:tab/>
      </w:r>
      <w:r>
        <w:rPr>
          <w:rFonts w:ascii="Arial" w:hAnsi="Arial" w:cs="Arial"/>
          <w:b/>
        </w:rPr>
        <w:tab/>
      </w:r>
      <w:r>
        <w:rPr>
          <w:rFonts w:ascii="Arial" w:hAnsi="Arial" w:cs="Arial"/>
          <w:b/>
        </w:rPr>
        <w:tab/>
      </w:r>
      <w:r>
        <w:rPr>
          <w:rFonts w:ascii="Arial" w:hAnsi="Arial" w:cs="Arial"/>
          <w:b/>
        </w:rPr>
        <w:tab/>
        <w:t>VI</w:t>
      </w:r>
    </w:p>
    <w:p w:rsidR="00035035" w:rsidRDefault="00035035" w:rsidP="00035035">
      <w:pPr>
        <w:spacing w:after="0" w:line="360" w:lineRule="auto"/>
        <w:ind w:right="-181"/>
        <w:rPr>
          <w:rFonts w:ascii="Arial" w:hAnsi="Arial" w:cs="Arial"/>
          <w:b/>
        </w:rPr>
      </w:pPr>
      <w:r w:rsidRPr="00B63F96">
        <w:rPr>
          <w:rFonts w:ascii="Arial" w:hAnsi="Arial" w:cs="Arial"/>
          <w:b/>
        </w:rPr>
        <w:t>ÍNDICE GENERAL</w:t>
      </w:r>
      <w:r w:rsidRPr="00B63F96">
        <w:rPr>
          <w:rFonts w:ascii="Arial" w:hAnsi="Arial" w:cs="Arial"/>
          <w:b/>
        </w:rPr>
        <w:tab/>
      </w:r>
      <w:r w:rsidRPr="00B63F96">
        <w:rPr>
          <w:rFonts w:ascii="Arial" w:hAnsi="Arial" w:cs="Arial"/>
          <w:b/>
        </w:rPr>
        <w:tab/>
      </w:r>
      <w:r w:rsidRPr="00B63F96">
        <w:rPr>
          <w:rFonts w:ascii="Arial" w:hAnsi="Arial" w:cs="Arial"/>
          <w:b/>
        </w:rPr>
        <w:tab/>
      </w:r>
      <w:r w:rsidRPr="00B63F96">
        <w:rPr>
          <w:rFonts w:ascii="Arial" w:hAnsi="Arial" w:cs="Arial"/>
          <w:b/>
        </w:rPr>
        <w:tab/>
      </w:r>
      <w:r w:rsidRPr="00B63F96">
        <w:rPr>
          <w:rFonts w:ascii="Arial" w:hAnsi="Arial" w:cs="Arial"/>
          <w:b/>
        </w:rPr>
        <w:tab/>
      </w:r>
      <w:r w:rsidRPr="00B63F96">
        <w:rPr>
          <w:rFonts w:ascii="Arial" w:hAnsi="Arial" w:cs="Arial"/>
          <w:b/>
        </w:rPr>
        <w:tab/>
      </w:r>
      <w:r w:rsidRPr="00B63F96">
        <w:rPr>
          <w:rFonts w:ascii="Arial" w:hAnsi="Arial" w:cs="Arial"/>
          <w:b/>
        </w:rPr>
        <w:tab/>
      </w:r>
      <w:r w:rsidRPr="00B63F96">
        <w:rPr>
          <w:rFonts w:ascii="Arial" w:hAnsi="Arial" w:cs="Arial"/>
          <w:b/>
        </w:rPr>
        <w:tab/>
      </w:r>
      <w:r w:rsidRPr="00B63F96">
        <w:rPr>
          <w:rFonts w:ascii="Arial" w:hAnsi="Arial" w:cs="Arial"/>
          <w:b/>
        </w:rPr>
        <w:tab/>
        <w:t>VI</w:t>
      </w:r>
      <w:r>
        <w:rPr>
          <w:rFonts w:ascii="Arial" w:hAnsi="Arial" w:cs="Arial"/>
          <w:b/>
        </w:rPr>
        <w:t>I</w:t>
      </w:r>
    </w:p>
    <w:p w:rsidR="00035035" w:rsidRPr="00B63F96" w:rsidRDefault="00035035" w:rsidP="00035035">
      <w:pPr>
        <w:spacing w:after="0" w:line="360" w:lineRule="auto"/>
        <w:ind w:right="-181"/>
        <w:rPr>
          <w:rFonts w:ascii="Arial" w:hAnsi="Arial" w:cs="Arial"/>
          <w:b/>
        </w:rPr>
      </w:pPr>
    </w:p>
    <w:p w:rsidR="00035035" w:rsidRPr="00957B91" w:rsidRDefault="00035035" w:rsidP="00035035">
      <w:pPr>
        <w:spacing w:after="0" w:line="360" w:lineRule="auto"/>
        <w:rPr>
          <w:b/>
          <w:sz w:val="24"/>
          <w:szCs w:val="24"/>
        </w:rPr>
      </w:pPr>
      <w:r w:rsidRPr="00B63F96">
        <w:rPr>
          <w:rFonts w:ascii="Arial" w:hAnsi="Arial" w:cs="Arial"/>
          <w:b/>
        </w:rPr>
        <w:t>INTRODUCCIÓN</w:t>
      </w:r>
      <w:r w:rsidRPr="00957B91">
        <w:rPr>
          <w:b/>
          <w:sz w:val="24"/>
          <w:szCs w:val="24"/>
        </w:rPr>
        <w:tab/>
      </w:r>
      <w:r w:rsidRPr="00957B91">
        <w:rPr>
          <w:b/>
          <w:sz w:val="24"/>
          <w:szCs w:val="24"/>
        </w:rPr>
        <w:tab/>
      </w:r>
      <w:r w:rsidRPr="00957B91">
        <w:rPr>
          <w:b/>
          <w:sz w:val="24"/>
          <w:szCs w:val="24"/>
        </w:rPr>
        <w:tab/>
      </w:r>
      <w:r w:rsidRPr="00957B91">
        <w:rPr>
          <w:b/>
          <w:sz w:val="24"/>
          <w:szCs w:val="24"/>
        </w:rPr>
        <w:tab/>
      </w:r>
      <w:r w:rsidRPr="00957B91">
        <w:rPr>
          <w:b/>
          <w:sz w:val="24"/>
          <w:szCs w:val="24"/>
        </w:rPr>
        <w:tab/>
      </w:r>
      <w:r w:rsidRPr="00957B91">
        <w:rPr>
          <w:b/>
          <w:sz w:val="24"/>
          <w:szCs w:val="24"/>
        </w:rPr>
        <w:tab/>
      </w:r>
      <w:r w:rsidRPr="00957B91">
        <w:rPr>
          <w:b/>
          <w:sz w:val="24"/>
          <w:szCs w:val="24"/>
        </w:rPr>
        <w:tab/>
      </w:r>
      <w:r w:rsidRPr="00957B91">
        <w:rPr>
          <w:b/>
          <w:sz w:val="24"/>
          <w:szCs w:val="24"/>
        </w:rPr>
        <w:tab/>
      </w:r>
      <w:r w:rsidRPr="00957B91">
        <w:rPr>
          <w:b/>
          <w:sz w:val="24"/>
          <w:szCs w:val="24"/>
        </w:rPr>
        <w:tab/>
        <w:t>11</w:t>
      </w:r>
    </w:p>
    <w:p w:rsidR="00035035" w:rsidRPr="00957B91" w:rsidRDefault="00035035" w:rsidP="00035035">
      <w:pPr>
        <w:spacing w:after="0" w:line="360" w:lineRule="auto"/>
        <w:rPr>
          <w:b/>
          <w:sz w:val="24"/>
          <w:szCs w:val="24"/>
        </w:rPr>
      </w:pPr>
      <w:hyperlink w:anchor="_Toc122704834" w:history="1">
        <w:r>
          <w:rPr>
            <w:b/>
            <w:sz w:val="24"/>
            <w:szCs w:val="24"/>
          </w:rPr>
          <w:t>CAPÍ</w:t>
        </w:r>
        <w:r w:rsidRPr="00957B91">
          <w:rPr>
            <w:b/>
            <w:sz w:val="24"/>
            <w:szCs w:val="24"/>
          </w:rPr>
          <w:t>TULO I:</w:t>
        </w:r>
        <w:r w:rsidRPr="00957B91">
          <w:rPr>
            <w:b/>
            <w:sz w:val="24"/>
            <w:szCs w:val="24"/>
          </w:rPr>
          <w:tab/>
        </w:r>
      </w:hyperlink>
      <w:r w:rsidRPr="00957B91">
        <w:rPr>
          <w:b/>
          <w:sz w:val="24"/>
          <w:szCs w:val="24"/>
        </w:rPr>
        <w:t>ENTORNO BANCARIO Y PRODUBANCO</w:t>
      </w:r>
      <w:r w:rsidR="00DD0614">
        <w:rPr>
          <w:b/>
          <w:sz w:val="24"/>
          <w:szCs w:val="24"/>
        </w:rPr>
        <w:tab/>
      </w:r>
      <w:r w:rsidR="00DD0614">
        <w:rPr>
          <w:b/>
          <w:sz w:val="24"/>
          <w:szCs w:val="24"/>
        </w:rPr>
        <w:tab/>
      </w:r>
      <w:r w:rsidR="00DD0614">
        <w:rPr>
          <w:b/>
          <w:sz w:val="24"/>
          <w:szCs w:val="24"/>
        </w:rPr>
        <w:tab/>
      </w:r>
      <w:r>
        <w:rPr>
          <w:b/>
          <w:sz w:val="24"/>
          <w:szCs w:val="24"/>
        </w:rPr>
        <w:t>14</w:t>
      </w:r>
    </w:p>
    <w:p w:rsidR="00035035" w:rsidRPr="00957B91" w:rsidRDefault="00DD0614" w:rsidP="00035035">
      <w:pPr>
        <w:spacing w:after="0" w:line="360" w:lineRule="auto"/>
        <w:rPr>
          <w:rFonts w:ascii="Arial" w:hAnsi="Arial" w:cs="Arial"/>
          <w:b/>
          <w:noProof/>
        </w:rPr>
      </w:pPr>
      <w:r w:rsidRPr="00DD0614">
        <w:rPr>
          <w:rFonts w:ascii="Arial" w:hAnsi="Arial" w:cs="Arial"/>
          <w:b/>
          <w:bCs/>
          <w:noProof/>
        </w:rPr>
        <w:t>1.1</w:t>
      </w:r>
      <w:r>
        <w:t xml:space="preserve"> </w:t>
      </w:r>
      <w:hyperlink w:anchor="_Toc122704835" w:history="1">
        <w:r w:rsidR="00035035" w:rsidRPr="00957B91">
          <w:rPr>
            <w:rFonts w:ascii="Arial" w:hAnsi="Arial" w:cs="Arial"/>
            <w:b/>
            <w:noProof/>
          </w:rPr>
          <w:t>Antecedente</w:t>
        </w:r>
        <w:r>
          <w:rPr>
            <w:rFonts w:ascii="Arial" w:hAnsi="Arial" w:cs="Arial"/>
            <w:b/>
            <w:noProof/>
          </w:rPr>
          <w:t>s</w:t>
        </w:r>
        <w:r w:rsidR="00035035" w:rsidRPr="00957B91">
          <w:rPr>
            <w:rFonts w:ascii="Arial" w:hAnsi="Arial" w:cs="Arial"/>
            <w:b/>
            <w:noProof/>
          </w:rPr>
          <w:t xml:space="preserve"> Históricos del sistema financiero</w:t>
        </w:r>
      </w:hyperlink>
      <w:r>
        <w:rPr>
          <w:rFonts w:ascii="Arial" w:hAnsi="Arial" w:cs="Arial"/>
          <w:b/>
          <w:noProof/>
        </w:rPr>
        <w:tab/>
      </w:r>
      <w:r>
        <w:rPr>
          <w:rFonts w:ascii="Arial" w:hAnsi="Arial" w:cs="Arial"/>
          <w:b/>
          <w:noProof/>
        </w:rPr>
        <w:tab/>
      </w:r>
      <w:r>
        <w:rPr>
          <w:rFonts w:ascii="Arial" w:hAnsi="Arial" w:cs="Arial"/>
          <w:b/>
          <w:noProof/>
        </w:rPr>
        <w:tab/>
      </w:r>
      <w:r>
        <w:rPr>
          <w:rFonts w:ascii="Arial" w:hAnsi="Arial" w:cs="Arial"/>
          <w:b/>
          <w:noProof/>
        </w:rPr>
        <w:tab/>
      </w:r>
      <w:r w:rsidR="00035035">
        <w:rPr>
          <w:rFonts w:ascii="Arial" w:hAnsi="Arial" w:cs="Arial"/>
          <w:b/>
          <w:noProof/>
        </w:rPr>
        <w:t>14</w:t>
      </w:r>
    </w:p>
    <w:p w:rsidR="00035035" w:rsidRDefault="00035035" w:rsidP="00035035">
      <w:pPr>
        <w:spacing w:after="0" w:line="360" w:lineRule="auto"/>
        <w:rPr>
          <w:rFonts w:ascii="Arial" w:hAnsi="Arial" w:cs="Arial"/>
          <w:b/>
          <w:noProof/>
        </w:rPr>
      </w:pPr>
      <w:hyperlink w:anchor="_Toc122704835" w:history="1">
        <w:r w:rsidRPr="00B8725D">
          <w:rPr>
            <w:rFonts w:ascii="Arial" w:hAnsi="Arial" w:cs="Arial"/>
            <w:b/>
            <w:bCs/>
            <w:noProof/>
          </w:rPr>
          <w:t>1.2</w:t>
        </w:r>
        <w:r w:rsidRPr="00B8725D">
          <w:rPr>
            <w:rFonts w:ascii="Arial" w:hAnsi="Arial" w:cs="Arial"/>
            <w:noProof/>
          </w:rPr>
          <w:t xml:space="preserve"> </w:t>
        </w:r>
      </w:hyperlink>
      <w:r w:rsidRPr="00B8725D">
        <w:rPr>
          <w:rFonts w:ascii="Arial" w:hAnsi="Arial" w:cs="Arial"/>
          <w:b/>
          <w:noProof/>
        </w:rPr>
        <w:t>La actividad bancaria en el Ecuador</w:t>
      </w:r>
      <w:r w:rsidR="00DD0614">
        <w:rPr>
          <w:rFonts w:ascii="Arial" w:hAnsi="Arial" w:cs="Arial"/>
          <w:b/>
          <w:noProof/>
        </w:rPr>
        <w:tab/>
      </w:r>
      <w:r w:rsidR="00DD0614">
        <w:rPr>
          <w:rFonts w:ascii="Arial" w:hAnsi="Arial" w:cs="Arial"/>
          <w:b/>
          <w:noProof/>
        </w:rPr>
        <w:tab/>
      </w:r>
      <w:r w:rsidR="00DD0614">
        <w:rPr>
          <w:rFonts w:ascii="Arial" w:hAnsi="Arial" w:cs="Arial"/>
          <w:b/>
          <w:noProof/>
        </w:rPr>
        <w:tab/>
      </w:r>
      <w:r w:rsidR="00DD0614">
        <w:rPr>
          <w:rFonts w:ascii="Arial" w:hAnsi="Arial" w:cs="Arial"/>
          <w:b/>
          <w:noProof/>
        </w:rPr>
        <w:tab/>
      </w:r>
      <w:r w:rsidR="00DD0614">
        <w:rPr>
          <w:rFonts w:ascii="Arial" w:hAnsi="Arial" w:cs="Arial"/>
          <w:b/>
          <w:noProof/>
        </w:rPr>
        <w:tab/>
      </w:r>
      <w:r w:rsidR="00DD0614">
        <w:rPr>
          <w:rFonts w:ascii="Arial" w:hAnsi="Arial" w:cs="Arial"/>
          <w:b/>
          <w:noProof/>
        </w:rPr>
        <w:tab/>
        <w:t>23</w:t>
      </w:r>
    </w:p>
    <w:p w:rsidR="00035035" w:rsidRDefault="00035035" w:rsidP="00035035">
      <w:pPr>
        <w:spacing w:after="0" w:line="360" w:lineRule="auto"/>
        <w:rPr>
          <w:rFonts w:ascii="Arial" w:hAnsi="Arial" w:cs="Arial"/>
          <w:noProof/>
        </w:rPr>
      </w:pPr>
      <w:hyperlink w:anchor="_Toc122704836" w:history="1">
        <w:r>
          <w:rPr>
            <w:rFonts w:ascii="Arial" w:hAnsi="Arial" w:cs="Arial"/>
            <w:bCs/>
            <w:noProof/>
          </w:rPr>
          <w:t>1.2.1 Descripción del sistema financiero</w:t>
        </w:r>
      </w:hyperlink>
      <w:r w:rsidR="00DD0614">
        <w:rPr>
          <w:rFonts w:ascii="Arial" w:hAnsi="Arial" w:cs="Arial"/>
          <w:noProof/>
        </w:rPr>
        <w:tab/>
      </w:r>
      <w:r w:rsidR="00DD0614">
        <w:rPr>
          <w:rFonts w:ascii="Arial" w:hAnsi="Arial" w:cs="Arial"/>
          <w:noProof/>
        </w:rPr>
        <w:tab/>
      </w:r>
      <w:r w:rsidR="00DD0614">
        <w:rPr>
          <w:rFonts w:ascii="Arial" w:hAnsi="Arial" w:cs="Arial"/>
          <w:noProof/>
        </w:rPr>
        <w:tab/>
      </w:r>
      <w:r w:rsidR="00DD0614">
        <w:rPr>
          <w:rFonts w:ascii="Arial" w:hAnsi="Arial" w:cs="Arial"/>
          <w:noProof/>
        </w:rPr>
        <w:tab/>
      </w:r>
      <w:r w:rsidR="00DD0614">
        <w:rPr>
          <w:rFonts w:ascii="Arial" w:hAnsi="Arial" w:cs="Arial"/>
          <w:noProof/>
        </w:rPr>
        <w:tab/>
      </w:r>
      <w:r w:rsidR="00DD0614">
        <w:rPr>
          <w:rFonts w:ascii="Arial" w:hAnsi="Arial" w:cs="Arial"/>
          <w:noProof/>
        </w:rPr>
        <w:tab/>
        <w:t>23</w:t>
      </w:r>
    </w:p>
    <w:p w:rsidR="00035035" w:rsidRDefault="00035035" w:rsidP="00035035">
      <w:pPr>
        <w:spacing w:after="0" w:line="360" w:lineRule="auto"/>
        <w:rPr>
          <w:rFonts w:ascii="Arial" w:hAnsi="Arial" w:cs="Arial"/>
          <w:noProof/>
        </w:rPr>
      </w:pPr>
      <w:hyperlink w:anchor="_Toc122704837" w:history="1">
        <w:r w:rsidRPr="00D64ACF">
          <w:rPr>
            <w:rFonts w:ascii="Arial" w:hAnsi="Arial" w:cs="Arial"/>
            <w:bCs/>
            <w:noProof/>
          </w:rPr>
          <w:t>1.</w:t>
        </w:r>
        <w:r>
          <w:rPr>
            <w:rFonts w:ascii="Arial" w:hAnsi="Arial" w:cs="Arial"/>
            <w:bCs/>
            <w:noProof/>
          </w:rPr>
          <w:t>2.2 Descripción y Estructura de los Estados Financieron de un banco</w:t>
        </w:r>
      </w:hyperlink>
      <w:r w:rsidR="00DD0614">
        <w:rPr>
          <w:rFonts w:ascii="Arial" w:hAnsi="Arial" w:cs="Arial"/>
          <w:noProof/>
        </w:rPr>
        <w:tab/>
      </w:r>
      <w:r w:rsidR="00DD0614">
        <w:rPr>
          <w:rFonts w:ascii="Arial" w:hAnsi="Arial" w:cs="Arial"/>
          <w:noProof/>
        </w:rPr>
        <w:tab/>
        <w:t>26</w:t>
      </w:r>
    </w:p>
    <w:p w:rsidR="00035035" w:rsidRDefault="00035035" w:rsidP="00035035">
      <w:pPr>
        <w:spacing w:after="0" w:line="360" w:lineRule="auto"/>
        <w:rPr>
          <w:rFonts w:ascii="Arial" w:hAnsi="Arial" w:cs="Arial"/>
          <w:b/>
        </w:rPr>
      </w:pPr>
      <w:hyperlink w:anchor="_Toc122704835" w:history="1">
        <w:r>
          <w:rPr>
            <w:rFonts w:ascii="Arial" w:hAnsi="Arial" w:cs="Arial"/>
            <w:b/>
            <w:bCs/>
            <w:noProof/>
          </w:rPr>
          <w:t>1.3</w:t>
        </w:r>
        <w:r w:rsidRPr="00D64ACF">
          <w:rPr>
            <w:rFonts w:ascii="Arial" w:hAnsi="Arial" w:cs="Arial"/>
            <w:noProof/>
          </w:rPr>
          <w:t xml:space="preserve"> </w:t>
        </w:r>
      </w:hyperlink>
      <w:r w:rsidRPr="00977FE4">
        <w:rPr>
          <w:rFonts w:ascii="Arial" w:hAnsi="Arial" w:cs="Arial"/>
          <w:b/>
          <w:sz w:val="32"/>
          <w:szCs w:val="32"/>
        </w:rPr>
        <w:t xml:space="preserve"> </w:t>
      </w:r>
      <w:r>
        <w:rPr>
          <w:rFonts w:ascii="Arial" w:hAnsi="Arial" w:cs="Arial"/>
          <w:b/>
        </w:rPr>
        <w:t>Descripción</w:t>
      </w:r>
      <w:r w:rsidR="00DD0614">
        <w:rPr>
          <w:rFonts w:ascii="Arial" w:hAnsi="Arial" w:cs="Arial"/>
          <w:b/>
        </w:rPr>
        <w:t xml:space="preserve"> y Análisis de Produbanco</w:t>
      </w:r>
      <w:r w:rsidR="00DD0614">
        <w:rPr>
          <w:rFonts w:ascii="Arial" w:hAnsi="Arial" w:cs="Arial"/>
          <w:b/>
        </w:rPr>
        <w:tab/>
      </w:r>
      <w:r w:rsidR="00DD0614">
        <w:rPr>
          <w:rFonts w:ascii="Arial" w:hAnsi="Arial" w:cs="Arial"/>
          <w:b/>
        </w:rPr>
        <w:tab/>
      </w:r>
      <w:r w:rsidR="00DD0614">
        <w:rPr>
          <w:rFonts w:ascii="Arial" w:hAnsi="Arial" w:cs="Arial"/>
          <w:b/>
        </w:rPr>
        <w:tab/>
      </w:r>
      <w:r w:rsidR="00DD0614">
        <w:rPr>
          <w:rFonts w:ascii="Arial" w:hAnsi="Arial" w:cs="Arial"/>
          <w:b/>
        </w:rPr>
        <w:tab/>
      </w:r>
      <w:r w:rsidR="00DD0614">
        <w:rPr>
          <w:rFonts w:ascii="Arial" w:hAnsi="Arial" w:cs="Arial"/>
          <w:b/>
        </w:rPr>
        <w:tab/>
        <w:t>37</w:t>
      </w:r>
    </w:p>
    <w:p w:rsidR="00035035" w:rsidRDefault="00035035" w:rsidP="00035035">
      <w:pPr>
        <w:spacing w:after="0" w:line="360" w:lineRule="auto"/>
        <w:rPr>
          <w:rFonts w:ascii="Arial" w:hAnsi="Arial" w:cs="Arial"/>
          <w:noProof/>
        </w:rPr>
      </w:pPr>
      <w:hyperlink w:anchor="_Toc122704838" w:history="1">
        <w:r>
          <w:rPr>
            <w:rFonts w:ascii="Arial" w:hAnsi="Arial" w:cs="Arial"/>
            <w:bCs/>
            <w:noProof/>
          </w:rPr>
          <w:t>1.3.1</w:t>
        </w:r>
        <w:r w:rsidRPr="00D64ACF">
          <w:rPr>
            <w:rFonts w:ascii="Arial" w:hAnsi="Arial" w:cs="Arial"/>
            <w:bCs/>
            <w:noProof/>
          </w:rPr>
          <w:t xml:space="preserve"> </w:t>
        </w:r>
        <w:r>
          <w:rPr>
            <w:rFonts w:ascii="Arial" w:hAnsi="Arial" w:cs="Arial"/>
            <w:bCs/>
            <w:noProof/>
          </w:rPr>
          <w:t>Antecedentes</w:t>
        </w:r>
      </w:hyperlink>
      <w:r w:rsidR="00DD0614">
        <w:rPr>
          <w:rFonts w:ascii="Arial" w:hAnsi="Arial" w:cs="Arial"/>
          <w:noProof/>
        </w:rPr>
        <w:t xml:space="preserve"> Históricos</w:t>
      </w:r>
      <w:r w:rsidR="00DD0614">
        <w:rPr>
          <w:rFonts w:ascii="Arial" w:hAnsi="Arial" w:cs="Arial"/>
          <w:noProof/>
        </w:rPr>
        <w:tab/>
      </w:r>
      <w:r w:rsidR="00DD0614">
        <w:rPr>
          <w:rFonts w:ascii="Arial" w:hAnsi="Arial" w:cs="Arial"/>
          <w:noProof/>
        </w:rPr>
        <w:tab/>
      </w:r>
      <w:r w:rsidR="00DD0614">
        <w:rPr>
          <w:rFonts w:ascii="Arial" w:hAnsi="Arial" w:cs="Arial"/>
          <w:noProof/>
        </w:rPr>
        <w:tab/>
      </w:r>
      <w:r w:rsidR="00DD0614">
        <w:rPr>
          <w:rFonts w:ascii="Arial" w:hAnsi="Arial" w:cs="Arial"/>
          <w:noProof/>
        </w:rPr>
        <w:tab/>
      </w:r>
      <w:r w:rsidR="00DD0614">
        <w:rPr>
          <w:rFonts w:ascii="Arial" w:hAnsi="Arial" w:cs="Arial"/>
          <w:noProof/>
        </w:rPr>
        <w:tab/>
      </w:r>
      <w:r w:rsidR="00DD0614">
        <w:rPr>
          <w:rFonts w:ascii="Arial" w:hAnsi="Arial" w:cs="Arial"/>
          <w:noProof/>
        </w:rPr>
        <w:tab/>
      </w:r>
      <w:r w:rsidR="00DD0614">
        <w:rPr>
          <w:rFonts w:ascii="Arial" w:hAnsi="Arial" w:cs="Arial"/>
          <w:noProof/>
        </w:rPr>
        <w:tab/>
        <w:t>37</w:t>
      </w:r>
    </w:p>
    <w:p w:rsidR="00035035" w:rsidRDefault="00035035" w:rsidP="00035035">
      <w:pPr>
        <w:spacing w:after="0" w:line="360" w:lineRule="auto"/>
        <w:rPr>
          <w:rFonts w:ascii="Arial" w:hAnsi="Arial" w:cs="Arial"/>
          <w:bCs/>
          <w:noProof/>
        </w:rPr>
      </w:pPr>
      <w:r>
        <w:rPr>
          <w:rFonts w:ascii="Arial" w:hAnsi="Arial" w:cs="Arial"/>
          <w:bCs/>
          <w:noProof/>
        </w:rPr>
        <w:t>1.3.</w:t>
      </w:r>
      <w:r w:rsidR="00DD0614">
        <w:rPr>
          <w:rFonts w:ascii="Arial" w:hAnsi="Arial" w:cs="Arial"/>
          <w:bCs/>
          <w:noProof/>
        </w:rPr>
        <w:t>2 Estructura del banco</w:t>
      </w:r>
      <w:r w:rsidR="00DD0614">
        <w:rPr>
          <w:rFonts w:ascii="Arial" w:hAnsi="Arial" w:cs="Arial"/>
          <w:bCs/>
          <w:noProof/>
        </w:rPr>
        <w:tab/>
      </w:r>
      <w:r w:rsidR="00DD0614">
        <w:rPr>
          <w:rFonts w:ascii="Arial" w:hAnsi="Arial" w:cs="Arial"/>
          <w:bCs/>
          <w:noProof/>
        </w:rPr>
        <w:tab/>
      </w:r>
      <w:r w:rsidR="00DD0614">
        <w:rPr>
          <w:rFonts w:ascii="Arial" w:hAnsi="Arial" w:cs="Arial"/>
          <w:bCs/>
          <w:noProof/>
        </w:rPr>
        <w:tab/>
      </w:r>
      <w:r w:rsidR="00DD0614">
        <w:rPr>
          <w:rFonts w:ascii="Arial" w:hAnsi="Arial" w:cs="Arial"/>
          <w:bCs/>
          <w:noProof/>
        </w:rPr>
        <w:tab/>
      </w:r>
      <w:r w:rsidR="00DD0614">
        <w:rPr>
          <w:rFonts w:ascii="Arial" w:hAnsi="Arial" w:cs="Arial"/>
          <w:bCs/>
          <w:noProof/>
        </w:rPr>
        <w:tab/>
      </w:r>
      <w:r w:rsidR="00DD0614">
        <w:rPr>
          <w:rFonts w:ascii="Arial" w:hAnsi="Arial" w:cs="Arial"/>
          <w:bCs/>
          <w:noProof/>
        </w:rPr>
        <w:tab/>
      </w:r>
      <w:r w:rsidR="00DD0614">
        <w:rPr>
          <w:rFonts w:ascii="Arial" w:hAnsi="Arial" w:cs="Arial"/>
          <w:bCs/>
          <w:noProof/>
        </w:rPr>
        <w:tab/>
      </w:r>
      <w:r w:rsidR="00DD0614">
        <w:rPr>
          <w:rFonts w:ascii="Arial" w:hAnsi="Arial" w:cs="Arial"/>
          <w:bCs/>
          <w:noProof/>
        </w:rPr>
        <w:tab/>
        <w:t>40</w:t>
      </w:r>
    </w:p>
    <w:p w:rsidR="00035035" w:rsidRDefault="00035035" w:rsidP="00035035">
      <w:pPr>
        <w:spacing w:after="0" w:line="360" w:lineRule="auto"/>
        <w:rPr>
          <w:rFonts w:ascii="Arial" w:hAnsi="Arial" w:cs="Arial"/>
          <w:noProof/>
        </w:rPr>
      </w:pPr>
      <w:hyperlink w:anchor="_Toc122704838" w:history="1">
        <w:r>
          <w:rPr>
            <w:rFonts w:ascii="Arial" w:hAnsi="Arial" w:cs="Arial"/>
            <w:bCs/>
            <w:noProof/>
          </w:rPr>
          <w:t>1.3.3 Situación Financiera de Produbanco</w:t>
        </w:r>
      </w:hyperlink>
      <w:r w:rsidR="00DD0614">
        <w:rPr>
          <w:rFonts w:ascii="Arial" w:hAnsi="Arial" w:cs="Arial"/>
          <w:noProof/>
        </w:rPr>
        <w:tab/>
      </w:r>
      <w:r w:rsidR="00DD0614">
        <w:rPr>
          <w:rFonts w:ascii="Arial" w:hAnsi="Arial" w:cs="Arial"/>
          <w:noProof/>
        </w:rPr>
        <w:tab/>
      </w:r>
      <w:r w:rsidR="00DD0614">
        <w:rPr>
          <w:rFonts w:ascii="Arial" w:hAnsi="Arial" w:cs="Arial"/>
          <w:noProof/>
        </w:rPr>
        <w:tab/>
      </w:r>
      <w:r w:rsidR="00DD0614">
        <w:rPr>
          <w:rFonts w:ascii="Arial" w:hAnsi="Arial" w:cs="Arial"/>
          <w:noProof/>
        </w:rPr>
        <w:tab/>
      </w:r>
      <w:r w:rsidR="00DD0614">
        <w:rPr>
          <w:rFonts w:ascii="Arial" w:hAnsi="Arial" w:cs="Arial"/>
          <w:noProof/>
        </w:rPr>
        <w:tab/>
      </w:r>
      <w:r w:rsidR="00DD0614">
        <w:rPr>
          <w:rFonts w:ascii="Arial" w:hAnsi="Arial" w:cs="Arial"/>
          <w:noProof/>
        </w:rPr>
        <w:tab/>
        <w:t>43</w:t>
      </w:r>
    </w:p>
    <w:p w:rsidR="00035035" w:rsidRDefault="00035035" w:rsidP="00035035">
      <w:pPr>
        <w:spacing w:after="0" w:line="360" w:lineRule="auto"/>
        <w:rPr>
          <w:rFonts w:ascii="Arial" w:hAnsi="Arial" w:cs="Arial"/>
          <w:noProof/>
        </w:rPr>
      </w:pPr>
    </w:p>
    <w:p w:rsidR="00035035" w:rsidRPr="00957B91" w:rsidRDefault="00035035" w:rsidP="00035035">
      <w:pPr>
        <w:spacing w:after="0" w:line="360" w:lineRule="auto"/>
        <w:rPr>
          <w:b/>
          <w:sz w:val="24"/>
          <w:szCs w:val="24"/>
        </w:rPr>
      </w:pPr>
      <w:hyperlink w:anchor="_Toc122704839" w:history="1">
        <w:r>
          <w:rPr>
            <w:b/>
            <w:sz w:val="24"/>
            <w:szCs w:val="24"/>
          </w:rPr>
          <w:t>CAPÍTULO</w:t>
        </w:r>
        <w:r w:rsidRPr="00957B91">
          <w:rPr>
            <w:b/>
            <w:sz w:val="24"/>
            <w:szCs w:val="24"/>
          </w:rPr>
          <w:t xml:space="preserve"> II</w:t>
        </w:r>
        <w:r w:rsidR="00DD0614" w:rsidRPr="00957B91">
          <w:rPr>
            <w:b/>
            <w:sz w:val="24"/>
            <w:szCs w:val="24"/>
          </w:rPr>
          <w:t>: METODOLOGÍA</w:t>
        </w:r>
        <w:r w:rsidRPr="00957B91">
          <w:rPr>
            <w:b/>
            <w:sz w:val="24"/>
            <w:szCs w:val="24"/>
          </w:rPr>
          <w:t xml:space="preserve"> PARA PROYECCIÓN DE ESTADOS</w:t>
        </w:r>
        <w:r>
          <w:rPr>
            <w:b/>
            <w:sz w:val="24"/>
            <w:szCs w:val="24"/>
          </w:rPr>
          <w:br/>
        </w:r>
        <w:r w:rsidRPr="00957B91">
          <w:rPr>
            <w:b/>
            <w:sz w:val="24"/>
            <w:szCs w:val="24"/>
          </w:rPr>
          <w:t>FINAN</w:t>
        </w:r>
        <w:r>
          <w:rPr>
            <w:b/>
            <w:sz w:val="24"/>
            <w:szCs w:val="24"/>
          </w:rPr>
          <w:t>C</w:t>
        </w:r>
        <w:r w:rsidRPr="00957B91">
          <w:rPr>
            <w:b/>
            <w:sz w:val="24"/>
            <w:szCs w:val="24"/>
          </w:rPr>
          <w:t>IEROS</w:t>
        </w:r>
        <w:r>
          <w:rPr>
            <w:b/>
            <w:sz w:val="24"/>
            <w:szCs w:val="24"/>
          </w:rPr>
          <w:t xml:space="preserve"> </w:t>
        </w:r>
        <w:r w:rsidRPr="00957B91">
          <w:rPr>
            <w:b/>
            <w:sz w:val="24"/>
            <w:szCs w:val="24"/>
          </w:rPr>
          <w:t>Y VALORACIÓN DE PRODUBANCO</w:t>
        </w:r>
      </w:hyperlink>
      <w:r w:rsidR="008431A6">
        <w:rPr>
          <w:b/>
          <w:sz w:val="24"/>
          <w:szCs w:val="24"/>
        </w:rPr>
        <w:tab/>
      </w:r>
      <w:r w:rsidR="008431A6">
        <w:rPr>
          <w:b/>
          <w:sz w:val="24"/>
          <w:szCs w:val="24"/>
        </w:rPr>
        <w:tab/>
      </w:r>
      <w:r w:rsidR="008431A6">
        <w:rPr>
          <w:b/>
          <w:sz w:val="24"/>
          <w:szCs w:val="24"/>
        </w:rPr>
        <w:tab/>
      </w:r>
      <w:r w:rsidR="008431A6">
        <w:rPr>
          <w:b/>
          <w:sz w:val="24"/>
          <w:szCs w:val="24"/>
        </w:rPr>
        <w:tab/>
        <w:t>47</w:t>
      </w:r>
    </w:p>
    <w:p w:rsidR="00035035" w:rsidRPr="00957B91" w:rsidRDefault="00035035" w:rsidP="00035035">
      <w:pPr>
        <w:spacing w:after="0" w:line="360" w:lineRule="auto"/>
        <w:rPr>
          <w:rFonts w:ascii="Arial" w:hAnsi="Arial" w:cs="Arial"/>
          <w:b/>
          <w:noProof/>
        </w:rPr>
      </w:pPr>
      <w:hyperlink w:anchor="_Toc122704835" w:history="1">
        <w:r w:rsidRPr="00957B91">
          <w:rPr>
            <w:rFonts w:ascii="Arial" w:hAnsi="Arial" w:cs="Arial"/>
            <w:b/>
            <w:bCs/>
            <w:noProof/>
          </w:rPr>
          <w:t>2.1</w:t>
        </w:r>
        <w:r w:rsidRPr="00957B91">
          <w:rPr>
            <w:rFonts w:ascii="Arial" w:hAnsi="Arial" w:cs="Arial"/>
            <w:b/>
            <w:noProof/>
          </w:rPr>
          <w:t xml:space="preserve"> Descripción del Método correcto de proyección de</w:t>
        </w:r>
        <w:r w:rsidRPr="00957B91">
          <w:rPr>
            <w:rFonts w:ascii="Arial" w:hAnsi="Arial" w:cs="Arial"/>
            <w:b/>
            <w:noProof/>
          </w:rPr>
          <w:br/>
          <w:t>Estados Financieros</w:t>
        </w:r>
      </w:hyperlink>
      <w:r w:rsidRPr="00957B91">
        <w:rPr>
          <w:rFonts w:ascii="Arial" w:hAnsi="Arial" w:cs="Arial"/>
          <w:b/>
          <w:noProof/>
        </w:rPr>
        <w:tab/>
      </w:r>
      <w:r w:rsidRPr="00957B91">
        <w:rPr>
          <w:rFonts w:ascii="Arial" w:hAnsi="Arial" w:cs="Arial"/>
          <w:b/>
          <w:noProof/>
        </w:rPr>
        <w:tab/>
      </w:r>
      <w:r w:rsidRPr="00957B91">
        <w:rPr>
          <w:rFonts w:ascii="Arial" w:hAnsi="Arial" w:cs="Arial"/>
          <w:b/>
          <w:noProof/>
        </w:rPr>
        <w:tab/>
      </w:r>
      <w:r w:rsidRPr="00957B91">
        <w:rPr>
          <w:rFonts w:ascii="Arial" w:hAnsi="Arial" w:cs="Arial"/>
          <w:b/>
          <w:noProof/>
        </w:rPr>
        <w:tab/>
      </w:r>
      <w:r w:rsidRPr="00957B91">
        <w:rPr>
          <w:rFonts w:ascii="Arial" w:hAnsi="Arial" w:cs="Arial"/>
          <w:b/>
          <w:noProof/>
        </w:rPr>
        <w:tab/>
      </w:r>
      <w:r w:rsidRPr="00957B91">
        <w:rPr>
          <w:rFonts w:ascii="Arial" w:hAnsi="Arial" w:cs="Arial"/>
          <w:b/>
          <w:noProof/>
        </w:rPr>
        <w:tab/>
      </w:r>
      <w:r w:rsidRPr="00957B91">
        <w:rPr>
          <w:rFonts w:ascii="Arial" w:hAnsi="Arial" w:cs="Arial"/>
          <w:b/>
          <w:noProof/>
        </w:rPr>
        <w:tab/>
      </w:r>
      <w:r w:rsidRPr="00957B91">
        <w:rPr>
          <w:rFonts w:ascii="Arial" w:hAnsi="Arial" w:cs="Arial"/>
          <w:b/>
          <w:noProof/>
        </w:rPr>
        <w:tab/>
      </w:r>
      <w:r w:rsidR="008431A6">
        <w:rPr>
          <w:rFonts w:ascii="Arial" w:hAnsi="Arial" w:cs="Arial"/>
          <w:b/>
          <w:noProof/>
        </w:rPr>
        <w:t>48</w:t>
      </w:r>
    </w:p>
    <w:p w:rsidR="00035035" w:rsidRDefault="00035035" w:rsidP="00035035">
      <w:pPr>
        <w:spacing w:after="0" w:line="360" w:lineRule="auto"/>
        <w:rPr>
          <w:rFonts w:ascii="Arial" w:hAnsi="Arial" w:cs="Arial"/>
          <w:bCs/>
          <w:noProof/>
        </w:rPr>
      </w:pPr>
      <w:r w:rsidRPr="00424A0A">
        <w:rPr>
          <w:rFonts w:ascii="Arial" w:hAnsi="Arial" w:cs="Arial"/>
          <w:bCs/>
          <w:noProof/>
        </w:rPr>
        <w:t xml:space="preserve">2.1.1 </w:t>
      </w:r>
      <w:r>
        <w:rPr>
          <w:rFonts w:ascii="Arial" w:hAnsi="Arial" w:cs="Arial"/>
          <w:bCs/>
          <w:noProof/>
        </w:rPr>
        <w:t>Modelos de Proyección de los Estados Financieros y Modelo de</w:t>
      </w:r>
      <w:r>
        <w:rPr>
          <w:rFonts w:ascii="Arial" w:hAnsi="Arial" w:cs="Arial"/>
          <w:bCs/>
          <w:noProof/>
        </w:rPr>
        <w:br/>
        <w:t>Pro</w:t>
      </w:r>
      <w:r w:rsidR="008431A6">
        <w:rPr>
          <w:rFonts w:ascii="Arial" w:hAnsi="Arial" w:cs="Arial"/>
          <w:bCs/>
          <w:noProof/>
        </w:rPr>
        <w:t>yección para Produbanco</w:t>
      </w:r>
      <w:r w:rsidR="008431A6">
        <w:rPr>
          <w:rFonts w:ascii="Arial" w:hAnsi="Arial" w:cs="Arial"/>
          <w:bCs/>
          <w:noProof/>
        </w:rPr>
        <w:tab/>
      </w:r>
      <w:r w:rsidR="008431A6">
        <w:rPr>
          <w:rFonts w:ascii="Arial" w:hAnsi="Arial" w:cs="Arial"/>
          <w:bCs/>
          <w:noProof/>
        </w:rPr>
        <w:tab/>
      </w:r>
      <w:r w:rsidR="008431A6">
        <w:rPr>
          <w:rFonts w:ascii="Arial" w:hAnsi="Arial" w:cs="Arial"/>
          <w:bCs/>
          <w:noProof/>
        </w:rPr>
        <w:tab/>
      </w:r>
      <w:r w:rsidR="008431A6">
        <w:rPr>
          <w:rFonts w:ascii="Arial" w:hAnsi="Arial" w:cs="Arial"/>
          <w:bCs/>
          <w:noProof/>
        </w:rPr>
        <w:tab/>
      </w:r>
      <w:r w:rsidR="008431A6">
        <w:rPr>
          <w:rFonts w:ascii="Arial" w:hAnsi="Arial" w:cs="Arial"/>
          <w:bCs/>
          <w:noProof/>
        </w:rPr>
        <w:tab/>
      </w:r>
      <w:r w:rsidR="008431A6">
        <w:rPr>
          <w:rFonts w:ascii="Arial" w:hAnsi="Arial" w:cs="Arial"/>
          <w:bCs/>
          <w:noProof/>
        </w:rPr>
        <w:tab/>
      </w:r>
      <w:r w:rsidR="008431A6">
        <w:rPr>
          <w:rFonts w:ascii="Arial" w:hAnsi="Arial" w:cs="Arial"/>
          <w:bCs/>
          <w:noProof/>
        </w:rPr>
        <w:tab/>
        <w:t>48</w:t>
      </w:r>
    </w:p>
    <w:p w:rsidR="00035035" w:rsidRDefault="00035035" w:rsidP="00035035">
      <w:pPr>
        <w:spacing w:after="0" w:line="360" w:lineRule="auto"/>
        <w:rPr>
          <w:rFonts w:ascii="Arial" w:hAnsi="Arial" w:cs="Arial"/>
          <w:bCs/>
          <w:noProof/>
        </w:rPr>
      </w:pPr>
      <w:r w:rsidRPr="00424A0A">
        <w:rPr>
          <w:rFonts w:ascii="Arial" w:hAnsi="Arial" w:cs="Arial"/>
          <w:bCs/>
          <w:noProof/>
        </w:rPr>
        <w:t xml:space="preserve">2.1.2 </w:t>
      </w:r>
      <w:r>
        <w:rPr>
          <w:rFonts w:ascii="Arial" w:hAnsi="Arial" w:cs="Arial"/>
          <w:bCs/>
          <w:noProof/>
        </w:rPr>
        <w:t>Estudio de las Cuentas Relevantes y Ratios para e</w:t>
      </w:r>
      <w:r w:rsidR="008431A6">
        <w:rPr>
          <w:rFonts w:ascii="Arial" w:hAnsi="Arial" w:cs="Arial"/>
          <w:bCs/>
          <w:noProof/>
        </w:rPr>
        <w:t>l</w:t>
      </w:r>
      <w:r w:rsidR="008431A6">
        <w:rPr>
          <w:rFonts w:ascii="Arial" w:hAnsi="Arial" w:cs="Arial"/>
          <w:bCs/>
          <w:noProof/>
        </w:rPr>
        <w:br/>
        <w:t>modelo de Proyección</w:t>
      </w:r>
      <w:r w:rsidR="008431A6">
        <w:rPr>
          <w:rFonts w:ascii="Arial" w:hAnsi="Arial" w:cs="Arial"/>
          <w:bCs/>
          <w:noProof/>
        </w:rPr>
        <w:tab/>
      </w:r>
      <w:r w:rsidR="008431A6">
        <w:rPr>
          <w:rFonts w:ascii="Arial" w:hAnsi="Arial" w:cs="Arial"/>
          <w:bCs/>
          <w:noProof/>
        </w:rPr>
        <w:tab/>
      </w:r>
      <w:r w:rsidR="008431A6">
        <w:rPr>
          <w:rFonts w:ascii="Arial" w:hAnsi="Arial" w:cs="Arial"/>
          <w:bCs/>
          <w:noProof/>
        </w:rPr>
        <w:tab/>
      </w:r>
      <w:r w:rsidR="008431A6">
        <w:rPr>
          <w:rFonts w:ascii="Arial" w:hAnsi="Arial" w:cs="Arial"/>
          <w:bCs/>
          <w:noProof/>
        </w:rPr>
        <w:tab/>
      </w:r>
      <w:r w:rsidR="008431A6">
        <w:rPr>
          <w:rFonts w:ascii="Arial" w:hAnsi="Arial" w:cs="Arial"/>
          <w:bCs/>
          <w:noProof/>
        </w:rPr>
        <w:tab/>
      </w:r>
      <w:r w:rsidR="008431A6">
        <w:rPr>
          <w:rFonts w:ascii="Arial" w:hAnsi="Arial" w:cs="Arial"/>
          <w:bCs/>
          <w:noProof/>
        </w:rPr>
        <w:tab/>
      </w:r>
      <w:r w:rsidR="008431A6">
        <w:rPr>
          <w:rFonts w:ascii="Arial" w:hAnsi="Arial" w:cs="Arial"/>
          <w:bCs/>
          <w:noProof/>
        </w:rPr>
        <w:tab/>
      </w:r>
      <w:r w:rsidR="008431A6">
        <w:rPr>
          <w:rFonts w:ascii="Arial" w:hAnsi="Arial" w:cs="Arial"/>
          <w:bCs/>
          <w:noProof/>
        </w:rPr>
        <w:tab/>
        <w:t>50</w:t>
      </w:r>
    </w:p>
    <w:p w:rsidR="00035035" w:rsidRDefault="00035035" w:rsidP="00035035">
      <w:pPr>
        <w:spacing w:after="0" w:line="360" w:lineRule="auto"/>
      </w:pPr>
      <w:r w:rsidRPr="00B8725D">
        <w:t xml:space="preserve">2.2 </w:t>
      </w:r>
      <w:r w:rsidRPr="00DD0614">
        <w:rPr>
          <w:rFonts w:ascii="Arial" w:hAnsi="Arial" w:cs="Arial"/>
        </w:rPr>
        <w:t>Descripción del Método de Valoración</w:t>
      </w:r>
      <w:r w:rsidR="00DD0614">
        <w:tab/>
      </w:r>
      <w:r w:rsidR="00DD0614">
        <w:tab/>
      </w:r>
      <w:r w:rsidR="00DD0614">
        <w:tab/>
      </w:r>
      <w:r w:rsidR="00DD0614">
        <w:tab/>
      </w:r>
      <w:r w:rsidR="00DD0614">
        <w:tab/>
      </w:r>
      <w:r w:rsidR="00DD0614">
        <w:tab/>
      </w:r>
      <w:r w:rsidR="008431A6">
        <w:rPr>
          <w:rFonts w:ascii="Arial" w:hAnsi="Arial" w:cs="Arial"/>
        </w:rPr>
        <w:t>71</w:t>
      </w:r>
    </w:p>
    <w:p w:rsidR="00035035" w:rsidRDefault="00035035" w:rsidP="00035035">
      <w:pPr>
        <w:spacing w:after="0" w:line="360" w:lineRule="auto"/>
        <w:rPr>
          <w:rFonts w:ascii="Arial" w:hAnsi="Arial" w:cs="Arial"/>
          <w:bCs/>
          <w:noProof/>
        </w:rPr>
      </w:pPr>
      <w:r w:rsidRPr="00310CAB">
        <w:rPr>
          <w:rFonts w:ascii="Arial" w:hAnsi="Arial" w:cs="Arial"/>
          <w:bCs/>
          <w:noProof/>
        </w:rPr>
        <w:t xml:space="preserve">2.2.1 </w:t>
      </w:r>
      <w:r>
        <w:rPr>
          <w:rFonts w:ascii="Arial" w:hAnsi="Arial" w:cs="Arial"/>
          <w:bCs/>
          <w:noProof/>
        </w:rPr>
        <w:t xml:space="preserve">Descripción de </w:t>
      </w:r>
      <w:r w:rsidR="008431A6">
        <w:rPr>
          <w:rFonts w:ascii="Arial" w:hAnsi="Arial" w:cs="Arial"/>
          <w:bCs/>
          <w:noProof/>
        </w:rPr>
        <w:t>los métodos de valoración</w:t>
      </w:r>
      <w:r w:rsidR="008431A6">
        <w:rPr>
          <w:rFonts w:ascii="Arial" w:hAnsi="Arial" w:cs="Arial"/>
          <w:bCs/>
          <w:noProof/>
        </w:rPr>
        <w:tab/>
      </w:r>
      <w:r w:rsidR="008431A6">
        <w:rPr>
          <w:rFonts w:ascii="Arial" w:hAnsi="Arial" w:cs="Arial"/>
          <w:bCs/>
          <w:noProof/>
        </w:rPr>
        <w:tab/>
      </w:r>
      <w:r w:rsidR="008431A6">
        <w:rPr>
          <w:rFonts w:ascii="Arial" w:hAnsi="Arial" w:cs="Arial"/>
          <w:bCs/>
          <w:noProof/>
        </w:rPr>
        <w:tab/>
      </w:r>
      <w:r w:rsidR="008431A6">
        <w:rPr>
          <w:rFonts w:ascii="Arial" w:hAnsi="Arial" w:cs="Arial"/>
          <w:bCs/>
          <w:noProof/>
        </w:rPr>
        <w:tab/>
      </w:r>
      <w:r w:rsidR="008431A6">
        <w:rPr>
          <w:rFonts w:ascii="Arial" w:hAnsi="Arial" w:cs="Arial"/>
          <w:bCs/>
          <w:noProof/>
        </w:rPr>
        <w:tab/>
        <w:t>71</w:t>
      </w:r>
    </w:p>
    <w:p w:rsidR="00035035" w:rsidRDefault="00035035" w:rsidP="00035035">
      <w:pPr>
        <w:spacing w:after="0" w:line="360" w:lineRule="auto"/>
        <w:rPr>
          <w:rFonts w:ascii="Arial" w:hAnsi="Arial" w:cs="Arial"/>
          <w:bCs/>
          <w:noProof/>
        </w:rPr>
      </w:pPr>
      <w:r>
        <w:rPr>
          <w:rFonts w:ascii="Arial" w:hAnsi="Arial" w:cs="Arial"/>
          <w:bCs/>
          <w:noProof/>
        </w:rPr>
        <w:t>2.2.2</w:t>
      </w:r>
      <w:r w:rsidRPr="00310CAB">
        <w:rPr>
          <w:rFonts w:ascii="Arial" w:hAnsi="Arial" w:cs="Arial"/>
          <w:bCs/>
          <w:noProof/>
        </w:rPr>
        <w:t xml:space="preserve"> </w:t>
      </w:r>
      <w:r>
        <w:rPr>
          <w:rFonts w:ascii="Arial" w:hAnsi="Arial" w:cs="Arial"/>
          <w:bCs/>
          <w:noProof/>
        </w:rPr>
        <w:t>Modelos de Exce</w:t>
      </w:r>
      <w:r w:rsidR="008431A6">
        <w:rPr>
          <w:rFonts w:ascii="Arial" w:hAnsi="Arial" w:cs="Arial"/>
          <w:bCs/>
          <w:noProof/>
        </w:rPr>
        <w:t>sos de Retorno de Capital</w:t>
      </w:r>
      <w:r w:rsidR="008431A6">
        <w:rPr>
          <w:rFonts w:ascii="Arial" w:hAnsi="Arial" w:cs="Arial"/>
          <w:bCs/>
          <w:noProof/>
        </w:rPr>
        <w:tab/>
      </w:r>
      <w:r w:rsidR="008431A6">
        <w:rPr>
          <w:rFonts w:ascii="Arial" w:hAnsi="Arial" w:cs="Arial"/>
          <w:bCs/>
          <w:noProof/>
        </w:rPr>
        <w:tab/>
      </w:r>
      <w:r w:rsidR="008431A6">
        <w:rPr>
          <w:rFonts w:ascii="Arial" w:hAnsi="Arial" w:cs="Arial"/>
          <w:bCs/>
          <w:noProof/>
        </w:rPr>
        <w:tab/>
      </w:r>
      <w:r w:rsidR="008431A6">
        <w:rPr>
          <w:rFonts w:ascii="Arial" w:hAnsi="Arial" w:cs="Arial"/>
          <w:bCs/>
          <w:noProof/>
        </w:rPr>
        <w:tab/>
      </w:r>
      <w:r w:rsidR="008431A6">
        <w:rPr>
          <w:rFonts w:ascii="Arial" w:hAnsi="Arial" w:cs="Arial"/>
          <w:bCs/>
          <w:noProof/>
        </w:rPr>
        <w:tab/>
        <w:t>75</w:t>
      </w:r>
    </w:p>
    <w:p w:rsidR="00035035" w:rsidRDefault="00035035" w:rsidP="00035035">
      <w:pPr>
        <w:spacing w:after="0" w:line="360" w:lineRule="auto"/>
        <w:rPr>
          <w:rFonts w:ascii="Arial" w:hAnsi="Arial" w:cs="Arial"/>
          <w:bCs/>
          <w:noProof/>
        </w:rPr>
      </w:pPr>
      <w:r>
        <w:rPr>
          <w:rFonts w:ascii="Arial" w:hAnsi="Arial" w:cs="Arial"/>
          <w:bCs/>
          <w:noProof/>
        </w:rPr>
        <w:t>2.2.3</w:t>
      </w:r>
      <w:r w:rsidRPr="00310CAB">
        <w:rPr>
          <w:rFonts w:ascii="Arial" w:hAnsi="Arial" w:cs="Arial"/>
          <w:bCs/>
          <w:noProof/>
        </w:rPr>
        <w:t xml:space="preserve"> </w:t>
      </w:r>
      <w:r>
        <w:rPr>
          <w:rFonts w:ascii="Arial" w:hAnsi="Arial" w:cs="Arial"/>
          <w:bCs/>
          <w:noProof/>
        </w:rPr>
        <w:t xml:space="preserve">Métodología de </w:t>
      </w:r>
      <w:smartTag w:uri="urn:schemas-microsoft-com:office:smarttags" w:element="PersonName">
        <w:smartTagPr>
          <w:attr w:name="ProductID" w:val="la Tasa"/>
        </w:smartTagPr>
        <w:r>
          <w:rPr>
            <w:rFonts w:ascii="Arial" w:hAnsi="Arial" w:cs="Arial"/>
            <w:bCs/>
            <w:noProof/>
          </w:rPr>
          <w:t>la Tasa</w:t>
        </w:r>
      </w:smartTag>
      <w:r>
        <w:rPr>
          <w:rFonts w:ascii="Arial" w:hAnsi="Arial" w:cs="Arial"/>
          <w:bCs/>
          <w:noProof/>
        </w:rPr>
        <w:t xml:space="preserve"> de Descuento a Utilizar o</w:t>
      </w:r>
      <w:r>
        <w:rPr>
          <w:rFonts w:ascii="Arial" w:hAnsi="Arial" w:cs="Arial"/>
          <w:bCs/>
          <w:noProof/>
        </w:rPr>
        <w:br/>
        <w:t>Tas</w:t>
      </w:r>
      <w:r w:rsidR="008431A6">
        <w:rPr>
          <w:rFonts w:ascii="Arial" w:hAnsi="Arial" w:cs="Arial"/>
          <w:bCs/>
          <w:noProof/>
        </w:rPr>
        <w:t>a de Costo Patrimonial</w:t>
      </w:r>
      <w:r w:rsidR="008431A6">
        <w:rPr>
          <w:rFonts w:ascii="Arial" w:hAnsi="Arial" w:cs="Arial"/>
          <w:bCs/>
          <w:noProof/>
        </w:rPr>
        <w:tab/>
      </w:r>
      <w:r w:rsidR="008431A6">
        <w:rPr>
          <w:rFonts w:ascii="Arial" w:hAnsi="Arial" w:cs="Arial"/>
          <w:bCs/>
          <w:noProof/>
        </w:rPr>
        <w:tab/>
      </w:r>
      <w:r w:rsidR="008431A6">
        <w:rPr>
          <w:rFonts w:ascii="Arial" w:hAnsi="Arial" w:cs="Arial"/>
          <w:bCs/>
          <w:noProof/>
        </w:rPr>
        <w:tab/>
      </w:r>
      <w:r w:rsidR="008431A6">
        <w:rPr>
          <w:rFonts w:ascii="Arial" w:hAnsi="Arial" w:cs="Arial"/>
          <w:bCs/>
          <w:noProof/>
        </w:rPr>
        <w:tab/>
      </w:r>
      <w:r w:rsidR="008431A6">
        <w:rPr>
          <w:rFonts w:ascii="Arial" w:hAnsi="Arial" w:cs="Arial"/>
          <w:bCs/>
          <w:noProof/>
        </w:rPr>
        <w:tab/>
      </w:r>
      <w:r w:rsidR="008431A6">
        <w:rPr>
          <w:rFonts w:ascii="Arial" w:hAnsi="Arial" w:cs="Arial"/>
          <w:bCs/>
          <w:noProof/>
        </w:rPr>
        <w:tab/>
      </w:r>
      <w:r w:rsidR="008431A6">
        <w:rPr>
          <w:rFonts w:ascii="Arial" w:hAnsi="Arial" w:cs="Arial"/>
          <w:bCs/>
          <w:noProof/>
        </w:rPr>
        <w:tab/>
      </w:r>
      <w:r w:rsidR="008431A6">
        <w:rPr>
          <w:rFonts w:ascii="Arial" w:hAnsi="Arial" w:cs="Arial"/>
          <w:bCs/>
          <w:noProof/>
        </w:rPr>
        <w:tab/>
        <w:t>78</w:t>
      </w:r>
    </w:p>
    <w:p w:rsidR="00035035" w:rsidRDefault="00035035" w:rsidP="00035035">
      <w:pPr>
        <w:spacing w:after="0" w:line="360" w:lineRule="auto"/>
        <w:rPr>
          <w:rFonts w:ascii="Arial" w:hAnsi="Arial" w:cs="Arial"/>
          <w:bCs/>
          <w:noProof/>
        </w:rPr>
      </w:pPr>
    </w:p>
    <w:p w:rsidR="00035035" w:rsidRPr="00957B91" w:rsidRDefault="00035035" w:rsidP="00035035">
      <w:pPr>
        <w:spacing w:after="0" w:line="360" w:lineRule="auto"/>
        <w:rPr>
          <w:b/>
          <w:sz w:val="24"/>
          <w:szCs w:val="24"/>
        </w:rPr>
      </w:pPr>
      <w:hyperlink w:anchor="_Toc122704853" w:history="1">
        <w:r>
          <w:rPr>
            <w:b/>
            <w:sz w:val="24"/>
            <w:szCs w:val="24"/>
          </w:rPr>
          <w:t>CAPÍ</w:t>
        </w:r>
        <w:r w:rsidRPr="00957B91">
          <w:rPr>
            <w:b/>
            <w:sz w:val="24"/>
            <w:szCs w:val="24"/>
          </w:rPr>
          <w:t>TULO III: PROYECCIÓN DE LAS PRINCIPALES CUENTAS DE LOS</w:t>
        </w:r>
        <w:r>
          <w:rPr>
            <w:b/>
            <w:sz w:val="24"/>
            <w:szCs w:val="24"/>
          </w:rPr>
          <w:br/>
        </w:r>
        <w:r w:rsidRPr="00957B91">
          <w:rPr>
            <w:b/>
            <w:sz w:val="24"/>
            <w:szCs w:val="24"/>
          </w:rPr>
          <w:t>ESTADOS FINANCIEROS</w:t>
        </w:r>
        <w:r>
          <w:rPr>
            <w:b/>
            <w:sz w:val="24"/>
            <w:szCs w:val="24"/>
          </w:rPr>
          <w:t xml:space="preserve"> </w:t>
        </w:r>
        <w:r w:rsidRPr="00957B91">
          <w:rPr>
            <w:b/>
            <w:sz w:val="24"/>
            <w:szCs w:val="24"/>
          </w:rPr>
          <w:t>Y VALORACIÓN PARA PRODUBANCO</w:t>
        </w:r>
      </w:hyperlink>
      <w:r w:rsidR="00DD0614">
        <w:rPr>
          <w:b/>
          <w:sz w:val="24"/>
          <w:szCs w:val="24"/>
        </w:rPr>
        <w:tab/>
      </w:r>
      <w:r w:rsidR="00DD0614">
        <w:rPr>
          <w:b/>
          <w:sz w:val="24"/>
          <w:szCs w:val="24"/>
        </w:rPr>
        <w:tab/>
      </w:r>
      <w:r w:rsidR="008431A6">
        <w:rPr>
          <w:b/>
          <w:sz w:val="24"/>
          <w:szCs w:val="24"/>
        </w:rPr>
        <w:t>83</w:t>
      </w:r>
    </w:p>
    <w:p w:rsidR="00035035" w:rsidRDefault="00035035" w:rsidP="00035035">
      <w:pPr>
        <w:spacing w:after="0" w:line="360" w:lineRule="auto"/>
        <w:rPr>
          <w:rFonts w:ascii="Arial" w:hAnsi="Arial" w:cs="Arial"/>
          <w:noProof/>
        </w:rPr>
      </w:pPr>
      <w:hyperlink w:anchor="_Toc122704835" w:history="1">
        <w:r w:rsidRPr="00D64ACF">
          <w:rPr>
            <w:rFonts w:ascii="Arial" w:hAnsi="Arial" w:cs="Arial"/>
            <w:b/>
            <w:bCs/>
            <w:noProof/>
          </w:rPr>
          <w:t>3.1</w:t>
        </w:r>
        <w:r w:rsidRPr="00D64ACF">
          <w:rPr>
            <w:rFonts w:ascii="Arial" w:hAnsi="Arial" w:cs="Arial"/>
            <w:noProof/>
          </w:rPr>
          <w:t xml:space="preserve"> </w:t>
        </w:r>
        <w:r w:rsidRPr="00D64ACF">
          <w:rPr>
            <w:rFonts w:ascii="Arial" w:hAnsi="Arial" w:cs="Arial"/>
            <w:b/>
            <w:noProof/>
          </w:rPr>
          <w:t>Pro</w:t>
        </w:r>
        <w:r>
          <w:rPr>
            <w:rFonts w:ascii="Arial" w:hAnsi="Arial" w:cs="Arial"/>
            <w:b/>
            <w:noProof/>
          </w:rPr>
          <w:t>yección y Análisis de los ratios de los Estados Financieros</w:t>
        </w:r>
      </w:hyperlink>
      <w:r w:rsidR="008431A6">
        <w:rPr>
          <w:rFonts w:ascii="Arial" w:hAnsi="Arial" w:cs="Arial"/>
          <w:noProof/>
        </w:rPr>
        <w:tab/>
      </w:r>
      <w:r w:rsidR="008431A6">
        <w:rPr>
          <w:rFonts w:ascii="Arial" w:hAnsi="Arial" w:cs="Arial"/>
          <w:noProof/>
        </w:rPr>
        <w:tab/>
        <w:t>83</w:t>
      </w:r>
    </w:p>
    <w:p w:rsidR="00035035" w:rsidRDefault="00035035" w:rsidP="00035035">
      <w:pPr>
        <w:spacing w:after="0" w:line="360" w:lineRule="auto"/>
        <w:rPr>
          <w:rFonts w:ascii="Arial" w:hAnsi="Arial" w:cs="Arial"/>
          <w:bCs/>
          <w:noProof/>
        </w:rPr>
      </w:pPr>
      <w:r>
        <w:rPr>
          <w:rFonts w:ascii="Arial" w:hAnsi="Arial" w:cs="Arial"/>
          <w:bCs/>
          <w:noProof/>
        </w:rPr>
        <w:t>3.1.1</w:t>
      </w:r>
      <w:r w:rsidRPr="00310CAB">
        <w:rPr>
          <w:rFonts w:ascii="Arial" w:hAnsi="Arial" w:cs="Arial"/>
          <w:bCs/>
          <w:noProof/>
        </w:rPr>
        <w:t xml:space="preserve"> </w:t>
      </w:r>
      <w:r>
        <w:rPr>
          <w:rFonts w:ascii="Arial" w:hAnsi="Arial" w:cs="Arial"/>
          <w:bCs/>
          <w:noProof/>
        </w:rPr>
        <w:t xml:space="preserve">Proyección de la </w:t>
      </w:r>
      <w:r w:rsidR="008431A6">
        <w:rPr>
          <w:rFonts w:ascii="Arial" w:hAnsi="Arial" w:cs="Arial"/>
          <w:bCs/>
          <w:noProof/>
        </w:rPr>
        <w:t>cuenta Colocaciones Brutas</w:t>
      </w:r>
      <w:r w:rsidR="008431A6">
        <w:rPr>
          <w:rFonts w:ascii="Arial" w:hAnsi="Arial" w:cs="Arial"/>
          <w:bCs/>
          <w:noProof/>
        </w:rPr>
        <w:tab/>
      </w:r>
      <w:r w:rsidR="008431A6">
        <w:rPr>
          <w:rFonts w:ascii="Arial" w:hAnsi="Arial" w:cs="Arial"/>
          <w:bCs/>
          <w:noProof/>
        </w:rPr>
        <w:tab/>
      </w:r>
      <w:r w:rsidR="008431A6">
        <w:rPr>
          <w:rFonts w:ascii="Arial" w:hAnsi="Arial" w:cs="Arial"/>
          <w:bCs/>
          <w:noProof/>
        </w:rPr>
        <w:tab/>
      </w:r>
      <w:r w:rsidR="008431A6">
        <w:rPr>
          <w:rFonts w:ascii="Arial" w:hAnsi="Arial" w:cs="Arial"/>
          <w:bCs/>
          <w:noProof/>
        </w:rPr>
        <w:tab/>
        <w:t>84</w:t>
      </w:r>
    </w:p>
    <w:p w:rsidR="00035035" w:rsidRDefault="00035035" w:rsidP="00035035">
      <w:pPr>
        <w:spacing w:after="0" w:line="360" w:lineRule="auto"/>
        <w:rPr>
          <w:rFonts w:ascii="Arial" w:hAnsi="Arial" w:cs="Arial"/>
          <w:bCs/>
          <w:noProof/>
        </w:rPr>
      </w:pPr>
      <w:r>
        <w:rPr>
          <w:rFonts w:ascii="Arial" w:hAnsi="Arial" w:cs="Arial"/>
          <w:bCs/>
          <w:noProof/>
        </w:rPr>
        <w:t>3.1.2</w:t>
      </w:r>
      <w:r w:rsidRPr="00310CAB">
        <w:rPr>
          <w:rFonts w:ascii="Arial" w:hAnsi="Arial" w:cs="Arial"/>
          <w:bCs/>
          <w:noProof/>
        </w:rPr>
        <w:t xml:space="preserve"> </w:t>
      </w:r>
      <w:r>
        <w:rPr>
          <w:rFonts w:ascii="Arial" w:hAnsi="Arial" w:cs="Arial"/>
          <w:bCs/>
          <w:noProof/>
        </w:rPr>
        <w:t>Proyección de las demás cuentas n</w:t>
      </w:r>
      <w:r w:rsidR="008431A6">
        <w:rPr>
          <w:rFonts w:ascii="Arial" w:hAnsi="Arial" w:cs="Arial"/>
          <w:bCs/>
          <w:noProof/>
        </w:rPr>
        <w:t>ecesarias para la valoración</w:t>
      </w:r>
      <w:r w:rsidR="008431A6">
        <w:rPr>
          <w:rFonts w:ascii="Arial" w:hAnsi="Arial" w:cs="Arial"/>
          <w:bCs/>
          <w:noProof/>
        </w:rPr>
        <w:tab/>
      </w:r>
      <w:r w:rsidR="008431A6">
        <w:rPr>
          <w:rFonts w:ascii="Arial" w:hAnsi="Arial" w:cs="Arial"/>
          <w:bCs/>
          <w:noProof/>
        </w:rPr>
        <w:tab/>
        <w:t>88</w:t>
      </w:r>
    </w:p>
    <w:p w:rsidR="00035035" w:rsidRDefault="00035035" w:rsidP="00035035">
      <w:pPr>
        <w:spacing w:after="0" w:line="360" w:lineRule="auto"/>
        <w:rPr>
          <w:rFonts w:ascii="Arial" w:hAnsi="Arial" w:cs="Arial"/>
          <w:b/>
          <w:noProof/>
        </w:rPr>
      </w:pPr>
      <w:hyperlink w:anchor="_Toc122704835" w:history="1">
        <w:r w:rsidRPr="00D64ACF">
          <w:rPr>
            <w:rFonts w:ascii="Arial" w:hAnsi="Arial" w:cs="Arial"/>
            <w:b/>
            <w:bCs/>
            <w:noProof/>
          </w:rPr>
          <w:t>3.2</w:t>
        </w:r>
        <w:r w:rsidRPr="00D64ACF">
          <w:rPr>
            <w:rFonts w:ascii="Arial" w:hAnsi="Arial" w:cs="Arial"/>
            <w:noProof/>
            <w:webHidden/>
          </w:rPr>
          <w:tab/>
        </w:r>
      </w:hyperlink>
      <w:r w:rsidRPr="00D273D0">
        <w:rPr>
          <w:rFonts w:ascii="Arial" w:hAnsi="Arial" w:cs="Arial"/>
          <w:b/>
          <w:noProof/>
        </w:rPr>
        <w:t>C</w:t>
      </w:r>
      <w:r>
        <w:rPr>
          <w:rFonts w:ascii="Arial" w:hAnsi="Arial" w:cs="Arial"/>
          <w:b/>
          <w:noProof/>
        </w:rPr>
        <w:t>á</w:t>
      </w:r>
      <w:r w:rsidRPr="00D273D0">
        <w:rPr>
          <w:rFonts w:ascii="Arial" w:hAnsi="Arial" w:cs="Arial"/>
          <w:b/>
          <w:noProof/>
        </w:rPr>
        <w:t xml:space="preserve">lculo de </w:t>
      </w:r>
      <w:smartTag w:uri="urn:schemas-microsoft-com:office:smarttags" w:element="PersonName">
        <w:smartTagPr>
          <w:attr w:name="ProductID" w:val="la Valoración"/>
        </w:smartTagPr>
        <w:r w:rsidRPr="00D273D0">
          <w:rPr>
            <w:rFonts w:ascii="Arial" w:hAnsi="Arial" w:cs="Arial"/>
            <w:b/>
            <w:noProof/>
          </w:rPr>
          <w:t>la Valoración</w:t>
        </w:r>
      </w:smartTag>
      <w:r w:rsidRPr="00D273D0">
        <w:rPr>
          <w:rFonts w:ascii="Arial" w:hAnsi="Arial" w:cs="Arial"/>
          <w:b/>
          <w:noProof/>
        </w:rPr>
        <w:t xml:space="preserve"> de Produbanco</w:t>
      </w:r>
      <w:r w:rsidR="00D8535B">
        <w:rPr>
          <w:rFonts w:ascii="Arial" w:hAnsi="Arial" w:cs="Arial"/>
          <w:b/>
          <w:noProof/>
        </w:rPr>
        <w:tab/>
      </w:r>
      <w:r w:rsidR="00D8535B">
        <w:rPr>
          <w:rFonts w:ascii="Arial" w:hAnsi="Arial" w:cs="Arial"/>
          <w:b/>
          <w:noProof/>
        </w:rPr>
        <w:tab/>
      </w:r>
      <w:r w:rsidR="00D8535B">
        <w:rPr>
          <w:rFonts w:ascii="Arial" w:hAnsi="Arial" w:cs="Arial"/>
          <w:b/>
          <w:noProof/>
        </w:rPr>
        <w:tab/>
      </w:r>
      <w:r w:rsidR="00D8535B">
        <w:rPr>
          <w:rFonts w:ascii="Arial" w:hAnsi="Arial" w:cs="Arial"/>
          <w:b/>
          <w:noProof/>
        </w:rPr>
        <w:tab/>
      </w:r>
      <w:r w:rsidR="00D8535B">
        <w:rPr>
          <w:rFonts w:ascii="Arial" w:hAnsi="Arial" w:cs="Arial"/>
          <w:b/>
          <w:noProof/>
        </w:rPr>
        <w:tab/>
        <w:t>98</w:t>
      </w:r>
    </w:p>
    <w:p w:rsidR="00035035" w:rsidRDefault="00035035" w:rsidP="00035035">
      <w:pPr>
        <w:spacing w:after="0" w:line="360" w:lineRule="auto"/>
        <w:rPr>
          <w:rFonts w:ascii="Arial" w:hAnsi="Arial" w:cs="Arial"/>
          <w:bCs/>
          <w:noProof/>
        </w:rPr>
      </w:pPr>
      <w:r>
        <w:rPr>
          <w:rFonts w:ascii="Arial" w:hAnsi="Arial" w:cs="Arial"/>
          <w:bCs/>
          <w:noProof/>
        </w:rPr>
        <w:t>3.2.1</w:t>
      </w:r>
      <w:r w:rsidRPr="00310CAB">
        <w:rPr>
          <w:rFonts w:ascii="Arial" w:hAnsi="Arial" w:cs="Arial"/>
          <w:bCs/>
          <w:noProof/>
        </w:rPr>
        <w:t xml:space="preserve"> </w:t>
      </w:r>
      <w:r>
        <w:rPr>
          <w:rFonts w:ascii="Arial" w:hAnsi="Arial" w:cs="Arial"/>
          <w:bCs/>
          <w:noProof/>
        </w:rPr>
        <w:t>Proyección</w:t>
      </w:r>
      <w:r w:rsidR="00D8535B">
        <w:rPr>
          <w:rFonts w:ascii="Arial" w:hAnsi="Arial" w:cs="Arial"/>
          <w:bCs/>
          <w:noProof/>
        </w:rPr>
        <w:t xml:space="preserve"> del Estado de Resultado</w:t>
      </w:r>
      <w:r w:rsidR="00D8535B">
        <w:rPr>
          <w:rFonts w:ascii="Arial" w:hAnsi="Arial" w:cs="Arial"/>
          <w:bCs/>
          <w:noProof/>
        </w:rPr>
        <w:tab/>
      </w:r>
      <w:r w:rsidR="00D8535B">
        <w:rPr>
          <w:rFonts w:ascii="Arial" w:hAnsi="Arial" w:cs="Arial"/>
          <w:bCs/>
          <w:noProof/>
        </w:rPr>
        <w:tab/>
      </w:r>
      <w:r w:rsidR="00D8535B">
        <w:rPr>
          <w:rFonts w:ascii="Arial" w:hAnsi="Arial" w:cs="Arial"/>
          <w:bCs/>
          <w:noProof/>
        </w:rPr>
        <w:tab/>
      </w:r>
      <w:r w:rsidR="00D8535B">
        <w:rPr>
          <w:rFonts w:ascii="Arial" w:hAnsi="Arial" w:cs="Arial"/>
          <w:bCs/>
          <w:noProof/>
        </w:rPr>
        <w:tab/>
      </w:r>
      <w:r w:rsidR="00D8535B">
        <w:rPr>
          <w:rFonts w:ascii="Arial" w:hAnsi="Arial" w:cs="Arial"/>
          <w:bCs/>
          <w:noProof/>
        </w:rPr>
        <w:tab/>
      </w:r>
      <w:r w:rsidR="00D8535B">
        <w:rPr>
          <w:rFonts w:ascii="Arial" w:hAnsi="Arial" w:cs="Arial"/>
          <w:bCs/>
          <w:noProof/>
        </w:rPr>
        <w:tab/>
        <w:t>98</w:t>
      </w:r>
    </w:p>
    <w:p w:rsidR="00035035" w:rsidRDefault="00035035" w:rsidP="00035035">
      <w:pPr>
        <w:spacing w:after="0" w:line="360" w:lineRule="auto"/>
        <w:rPr>
          <w:rFonts w:ascii="Arial" w:hAnsi="Arial" w:cs="Arial"/>
          <w:bCs/>
          <w:noProof/>
        </w:rPr>
      </w:pPr>
      <w:r>
        <w:rPr>
          <w:rFonts w:ascii="Arial" w:hAnsi="Arial" w:cs="Arial"/>
          <w:bCs/>
          <w:noProof/>
        </w:rPr>
        <w:t>3.2.2</w:t>
      </w:r>
      <w:r w:rsidRPr="00310CAB">
        <w:rPr>
          <w:rFonts w:ascii="Arial" w:hAnsi="Arial" w:cs="Arial"/>
          <w:bCs/>
          <w:noProof/>
        </w:rPr>
        <w:t xml:space="preserve"> </w:t>
      </w:r>
      <w:r>
        <w:rPr>
          <w:rFonts w:ascii="Arial" w:hAnsi="Arial" w:cs="Arial"/>
          <w:bCs/>
          <w:noProof/>
        </w:rPr>
        <w:t xml:space="preserve">Cálculo de </w:t>
      </w:r>
      <w:smartTag w:uri="urn:schemas-microsoft-com:office:smarttags" w:element="PersonName">
        <w:smartTagPr>
          <w:attr w:name="ProductID" w:val="la Tasa"/>
        </w:smartTagPr>
        <w:r>
          <w:rPr>
            <w:rFonts w:ascii="Arial" w:hAnsi="Arial" w:cs="Arial"/>
            <w:bCs/>
            <w:noProof/>
          </w:rPr>
          <w:t>la Tasa</w:t>
        </w:r>
      </w:smartTag>
      <w:r w:rsidR="00D8535B">
        <w:rPr>
          <w:rFonts w:ascii="Arial" w:hAnsi="Arial" w:cs="Arial"/>
          <w:bCs/>
          <w:noProof/>
        </w:rPr>
        <w:t xml:space="preserve"> del Costo Patrimonial</w:t>
      </w:r>
      <w:r w:rsidR="00D8535B">
        <w:rPr>
          <w:rFonts w:ascii="Arial" w:hAnsi="Arial" w:cs="Arial"/>
          <w:bCs/>
          <w:noProof/>
        </w:rPr>
        <w:tab/>
      </w:r>
      <w:r w:rsidR="00D8535B">
        <w:rPr>
          <w:rFonts w:ascii="Arial" w:hAnsi="Arial" w:cs="Arial"/>
          <w:bCs/>
          <w:noProof/>
        </w:rPr>
        <w:tab/>
      </w:r>
      <w:r w:rsidR="00D8535B">
        <w:rPr>
          <w:rFonts w:ascii="Arial" w:hAnsi="Arial" w:cs="Arial"/>
          <w:bCs/>
          <w:noProof/>
        </w:rPr>
        <w:tab/>
      </w:r>
      <w:r w:rsidR="00D8535B">
        <w:rPr>
          <w:rFonts w:ascii="Arial" w:hAnsi="Arial" w:cs="Arial"/>
          <w:bCs/>
          <w:noProof/>
        </w:rPr>
        <w:tab/>
      </w:r>
      <w:r w:rsidR="00D8535B">
        <w:rPr>
          <w:rFonts w:ascii="Arial" w:hAnsi="Arial" w:cs="Arial"/>
          <w:bCs/>
          <w:noProof/>
        </w:rPr>
        <w:tab/>
        <w:t>102</w:t>
      </w:r>
    </w:p>
    <w:p w:rsidR="00035035" w:rsidRDefault="00035035" w:rsidP="00035035">
      <w:pPr>
        <w:spacing w:after="0" w:line="360" w:lineRule="auto"/>
        <w:rPr>
          <w:rFonts w:ascii="Arial" w:hAnsi="Arial" w:cs="Arial"/>
          <w:bCs/>
          <w:noProof/>
        </w:rPr>
      </w:pPr>
      <w:r>
        <w:rPr>
          <w:rFonts w:ascii="Arial" w:hAnsi="Arial" w:cs="Arial"/>
          <w:bCs/>
          <w:noProof/>
        </w:rPr>
        <w:t>3.2.3</w:t>
      </w:r>
      <w:r w:rsidRPr="00310CAB">
        <w:rPr>
          <w:rFonts w:ascii="Arial" w:hAnsi="Arial" w:cs="Arial"/>
          <w:bCs/>
          <w:noProof/>
        </w:rPr>
        <w:t xml:space="preserve"> </w:t>
      </w:r>
      <w:r>
        <w:rPr>
          <w:rFonts w:ascii="Arial" w:hAnsi="Arial" w:cs="Arial"/>
          <w:bCs/>
          <w:noProof/>
        </w:rPr>
        <w:t>Cálculo del Exceso de Ret</w:t>
      </w:r>
      <w:r w:rsidR="00D8535B">
        <w:rPr>
          <w:rFonts w:ascii="Arial" w:hAnsi="Arial" w:cs="Arial"/>
          <w:bCs/>
          <w:noProof/>
        </w:rPr>
        <w:t>orno para los Accionistas</w:t>
      </w:r>
      <w:r w:rsidR="00D8535B">
        <w:rPr>
          <w:rFonts w:ascii="Arial" w:hAnsi="Arial" w:cs="Arial"/>
          <w:bCs/>
          <w:noProof/>
        </w:rPr>
        <w:tab/>
      </w:r>
      <w:r w:rsidR="00D8535B">
        <w:rPr>
          <w:rFonts w:ascii="Arial" w:hAnsi="Arial" w:cs="Arial"/>
          <w:bCs/>
          <w:noProof/>
        </w:rPr>
        <w:tab/>
      </w:r>
      <w:r w:rsidR="00D8535B">
        <w:rPr>
          <w:rFonts w:ascii="Arial" w:hAnsi="Arial" w:cs="Arial"/>
          <w:bCs/>
          <w:noProof/>
        </w:rPr>
        <w:tab/>
      </w:r>
      <w:r w:rsidR="00D8535B">
        <w:rPr>
          <w:rFonts w:ascii="Arial" w:hAnsi="Arial" w:cs="Arial"/>
          <w:bCs/>
          <w:noProof/>
        </w:rPr>
        <w:tab/>
        <w:t>104</w:t>
      </w:r>
    </w:p>
    <w:p w:rsidR="00035035" w:rsidRDefault="00035035" w:rsidP="00035035">
      <w:pPr>
        <w:spacing w:after="0" w:line="360" w:lineRule="auto"/>
        <w:rPr>
          <w:rFonts w:ascii="Arial" w:hAnsi="Arial" w:cs="Arial"/>
          <w:bCs/>
          <w:noProof/>
        </w:rPr>
      </w:pPr>
    </w:p>
    <w:p w:rsidR="00035035" w:rsidRPr="00957B91" w:rsidRDefault="00035035" w:rsidP="00035035">
      <w:pPr>
        <w:spacing w:after="0" w:line="360" w:lineRule="auto"/>
        <w:rPr>
          <w:b/>
          <w:sz w:val="24"/>
          <w:szCs w:val="24"/>
        </w:rPr>
      </w:pPr>
      <w:hyperlink w:anchor="_Toc122704853" w:history="1">
        <w:r>
          <w:rPr>
            <w:b/>
            <w:sz w:val="24"/>
            <w:szCs w:val="24"/>
          </w:rPr>
          <w:t>CAPÍ</w:t>
        </w:r>
        <w:r w:rsidRPr="00957B91">
          <w:rPr>
            <w:b/>
            <w:sz w:val="24"/>
            <w:szCs w:val="24"/>
          </w:rPr>
          <w:t>TULO IV: ANÁLISIS DE LOS RESULTADOS OBTENIDOS Y</w:t>
        </w:r>
        <w:r w:rsidRPr="00957B91">
          <w:rPr>
            <w:b/>
            <w:sz w:val="24"/>
            <w:szCs w:val="24"/>
          </w:rPr>
          <w:br/>
          <w:t>CÁLCULO DE SENSIBILIDADES</w:t>
        </w:r>
      </w:hyperlink>
      <w:r w:rsidR="00D8535B">
        <w:rPr>
          <w:b/>
          <w:sz w:val="24"/>
          <w:szCs w:val="24"/>
        </w:rPr>
        <w:tab/>
      </w:r>
      <w:r w:rsidR="00D8535B">
        <w:rPr>
          <w:b/>
          <w:sz w:val="24"/>
          <w:szCs w:val="24"/>
        </w:rPr>
        <w:tab/>
      </w:r>
      <w:r w:rsidR="00D8535B">
        <w:rPr>
          <w:b/>
          <w:sz w:val="24"/>
          <w:szCs w:val="24"/>
        </w:rPr>
        <w:tab/>
      </w:r>
      <w:r w:rsidR="00D8535B">
        <w:rPr>
          <w:b/>
          <w:sz w:val="24"/>
          <w:szCs w:val="24"/>
        </w:rPr>
        <w:tab/>
      </w:r>
      <w:r w:rsidR="00D8535B">
        <w:rPr>
          <w:b/>
          <w:sz w:val="24"/>
          <w:szCs w:val="24"/>
        </w:rPr>
        <w:tab/>
      </w:r>
      <w:r w:rsidR="00D8535B">
        <w:rPr>
          <w:b/>
          <w:sz w:val="24"/>
          <w:szCs w:val="24"/>
        </w:rPr>
        <w:tab/>
      </w:r>
      <w:r w:rsidR="00D8535B">
        <w:rPr>
          <w:b/>
          <w:sz w:val="24"/>
          <w:szCs w:val="24"/>
        </w:rPr>
        <w:tab/>
        <w:t>108</w:t>
      </w:r>
    </w:p>
    <w:p w:rsidR="00035035" w:rsidRDefault="00035035" w:rsidP="00035035">
      <w:pPr>
        <w:spacing w:after="0" w:line="360" w:lineRule="auto"/>
        <w:rPr>
          <w:rFonts w:ascii="Arial" w:hAnsi="Arial" w:cs="Arial"/>
          <w:noProof/>
        </w:rPr>
      </w:pPr>
      <w:hyperlink w:anchor="_Toc122704835" w:history="1">
        <w:r w:rsidRPr="00D64ACF">
          <w:rPr>
            <w:rFonts w:ascii="Arial" w:hAnsi="Arial" w:cs="Arial"/>
            <w:b/>
            <w:bCs/>
            <w:noProof/>
          </w:rPr>
          <w:t>4.1</w:t>
        </w:r>
        <w:r w:rsidRPr="00D64ACF">
          <w:rPr>
            <w:rFonts w:ascii="Arial" w:hAnsi="Arial" w:cs="Arial"/>
            <w:noProof/>
          </w:rPr>
          <w:t xml:space="preserve"> </w:t>
        </w:r>
        <w:r>
          <w:rPr>
            <w:rFonts w:ascii="Arial" w:hAnsi="Arial" w:cs="Arial"/>
            <w:b/>
            <w:noProof/>
          </w:rPr>
          <w:t>Cálculo y Análisis de Sensibilidades</w:t>
        </w:r>
      </w:hyperlink>
      <w:r w:rsidR="00D8535B">
        <w:rPr>
          <w:rFonts w:ascii="Arial" w:hAnsi="Arial" w:cs="Arial"/>
          <w:noProof/>
        </w:rPr>
        <w:tab/>
      </w:r>
      <w:r w:rsidR="00D8535B">
        <w:rPr>
          <w:rFonts w:ascii="Arial" w:hAnsi="Arial" w:cs="Arial"/>
          <w:noProof/>
        </w:rPr>
        <w:tab/>
      </w:r>
      <w:r w:rsidR="00D8535B">
        <w:rPr>
          <w:rFonts w:ascii="Arial" w:hAnsi="Arial" w:cs="Arial"/>
          <w:noProof/>
        </w:rPr>
        <w:tab/>
      </w:r>
      <w:r w:rsidR="00D8535B">
        <w:rPr>
          <w:rFonts w:ascii="Arial" w:hAnsi="Arial" w:cs="Arial"/>
          <w:noProof/>
        </w:rPr>
        <w:tab/>
      </w:r>
      <w:r w:rsidR="00D8535B">
        <w:rPr>
          <w:rFonts w:ascii="Arial" w:hAnsi="Arial" w:cs="Arial"/>
          <w:noProof/>
        </w:rPr>
        <w:tab/>
      </w:r>
      <w:r w:rsidR="00D8535B">
        <w:rPr>
          <w:rFonts w:ascii="Arial" w:hAnsi="Arial" w:cs="Arial"/>
          <w:noProof/>
        </w:rPr>
        <w:tab/>
        <w:t>109</w:t>
      </w:r>
    </w:p>
    <w:p w:rsidR="00035035" w:rsidRDefault="00035035" w:rsidP="00035035">
      <w:pPr>
        <w:spacing w:after="0" w:line="360" w:lineRule="auto"/>
        <w:rPr>
          <w:rFonts w:ascii="Arial" w:hAnsi="Arial" w:cs="Arial"/>
          <w:noProof/>
        </w:rPr>
      </w:pPr>
      <w:hyperlink w:anchor="_Toc122704835" w:history="1">
        <w:r w:rsidRPr="00D64ACF">
          <w:rPr>
            <w:rFonts w:ascii="Arial" w:hAnsi="Arial" w:cs="Arial"/>
            <w:b/>
            <w:bCs/>
            <w:noProof/>
          </w:rPr>
          <w:t>4.2</w:t>
        </w:r>
        <w:r w:rsidRPr="00D64ACF">
          <w:rPr>
            <w:rFonts w:ascii="Arial" w:hAnsi="Arial" w:cs="Arial"/>
            <w:b/>
            <w:noProof/>
          </w:rPr>
          <w:t xml:space="preserve"> Análisis d</w:t>
        </w:r>
        <w:r>
          <w:rPr>
            <w:rFonts w:ascii="Arial" w:hAnsi="Arial" w:cs="Arial"/>
            <w:b/>
            <w:noProof/>
          </w:rPr>
          <w:t>el Valor de las Acciones de Produbanco</w:t>
        </w:r>
      </w:hyperlink>
      <w:r w:rsidR="00D8535B">
        <w:rPr>
          <w:rFonts w:ascii="Arial" w:hAnsi="Arial" w:cs="Arial"/>
          <w:noProof/>
        </w:rPr>
        <w:tab/>
      </w:r>
      <w:r w:rsidR="00D8535B">
        <w:rPr>
          <w:rFonts w:ascii="Arial" w:hAnsi="Arial" w:cs="Arial"/>
          <w:noProof/>
        </w:rPr>
        <w:tab/>
      </w:r>
      <w:r w:rsidR="00D8535B">
        <w:rPr>
          <w:rFonts w:ascii="Arial" w:hAnsi="Arial" w:cs="Arial"/>
          <w:noProof/>
        </w:rPr>
        <w:tab/>
      </w:r>
      <w:r w:rsidR="00D8535B">
        <w:rPr>
          <w:rFonts w:ascii="Arial" w:hAnsi="Arial" w:cs="Arial"/>
          <w:noProof/>
        </w:rPr>
        <w:tab/>
        <w:t>113</w:t>
      </w:r>
    </w:p>
    <w:p w:rsidR="00035035" w:rsidRDefault="00035035" w:rsidP="00035035">
      <w:pPr>
        <w:spacing w:after="0" w:line="360" w:lineRule="auto"/>
        <w:rPr>
          <w:rFonts w:ascii="Arial" w:hAnsi="Arial" w:cs="Arial"/>
          <w:noProof/>
        </w:rPr>
      </w:pPr>
    </w:p>
    <w:p w:rsidR="00035035" w:rsidRPr="00917043" w:rsidRDefault="00035035" w:rsidP="00035035">
      <w:pPr>
        <w:spacing w:after="0" w:line="360" w:lineRule="auto"/>
        <w:ind w:right="-182"/>
        <w:rPr>
          <w:rFonts w:ascii="Arial" w:hAnsi="Arial" w:cs="Arial"/>
          <w:b/>
        </w:rPr>
      </w:pPr>
      <w:r>
        <w:rPr>
          <w:rFonts w:ascii="Arial" w:hAnsi="Arial" w:cs="Arial"/>
          <w:b/>
        </w:rPr>
        <w:t>CONCLUSIONES Y RECOMENDACIONES</w:t>
      </w:r>
    </w:p>
    <w:p w:rsidR="00035035" w:rsidRDefault="00035035" w:rsidP="00035035">
      <w:pPr>
        <w:spacing w:after="0" w:line="360" w:lineRule="auto"/>
        <w:ind w:right="-182"/>
        <w:rPr>
          <w:rFonts w:ascii="Arial" w:hAnsi="Arial" w:cs="Arial"/>
          <w:b/>
        </w:rPr>
      </w:pPr>
      <w:r w:rsidRPr="00821B26">
        <w:rPr>
          <w:rFonts w:ascii="Arial" w:hAnsi="Arial" w:cs="Arial"/>
          <w:b/>
        </w:rPr>
        <w:t>BIBLIOGRAFIA</w:t>
      </w:r>
    </w:p>
    <w:p w:rsidR="00035035" w:rsidRPr="00821B26" w:rsidRDefault="00035035" w:rsidP="00035035">
      <w:pPr>
        <w:spacing w:after="0" w:line="360" w:lineRule="auto"/>
        <w:ind w:right="-182"/>
        <w:rPr>
          <w:rFonts w:ascii="Arial" w:hAnsi="Arial" w:cs="Arial"/>
          <w:b/>
        </w:rPr>
      </w:pPr>
      <w:r w:rsidRPr="00821B26">
        <w:rPr>
          <w:rFonts w:ascii="Arial" w:hAnsi="Arial" w:cs="Arial"/>
          <w:b/>
        </w:rPr>
        <w:t>ANEXOS</w:t>
      </w:r>
    </w:p>
    <w:p w:rsidR="006C48E9" w:rsidRPr="00035035" w:rsidRDefault="006C48E9" w:rsidP="0031074E">
      <w:pPr>
        <w:pStyle w:val="Prrafodelista1"/>
        <w:spacing w:line="360" w:lineRule="auto"/>
        <w:ind w:left="0"/>
        <w:jc w:val="center"/>
        <w:rPr>
          <w:rFonts w:ascii="Arial" w:hAnsi="Arial" w:cs="Arial"/>
          <w:b/>
          <w:sz w:val="28"/>
          <w:szCs w:val="28"/>
        </w:rPr>
        <w:sectPr w:rsidR="006C48E9" w:rsidRPr="00035035" w:rsidSect="00E11170">
          <w:footnotePr>
            <w:pos w:val="beneathText"/>
          </w:footnotePr>
          <w:pgSz w:w="11907" w:h="16840" w:code="9"/>
          <w:pgMar w:top="1985" w:right="1418" w:bottom="1985" w:left="2268" w:header="720" w:footer="720" w:gutter="0"/>
          <w:cols w:space="720"/>
          <w:docGrid w:linePitch="360"/>
        </w:sectPr>
      </w:pPr>
    </w:p>
    <w:p w:rsidR="00A3014D" w:rsidRPr="00045D7F" w:rsidRDefault="006C48E9" w:rsidP="0031074E">
      <w:pPr>
        <w:pStyle w:val="Prrafodelista1"/>
        <w:spacing w:line="360" w:lineRule="auto"/>
        <w:ind w:left="0"/>
        <w:jc w:val="center"/>
        <w:rPr>
          <w:rFonts w:ascii="Arial" w:hAnsi="Arial" w:cs="Arial"/>
          <w:b/>
          <w:sz w:val="28"/>
          <w:szCs w:val="28"/>
          <w:lang w:val="es-ES"/>
        </w:rPr>
      </w:pPr>
      <w:r>
        <w:rPr>
          <w:rFonts w:ascii="Arial" w:hAnsi="Arial" w:cs="Arial"/>
          <w:b/>
          <w:sz w:val="28"/>
          <w:szCs w:val="28"/>
          <w:lang w:val="es-ES"/>
        </w:rPr>
        <w:lastRenderedPageBreak/>
        <w:t xml:space="preserve">RATIOS USADOS PARA </w:t>
      </w:r>
      <w:smartTag w:uri="urn:schemas-microsoft-com:office:smarttags" w:element="PersonName">
        <w:smartTagPr>
          <w:attr w:name="ProductID" w:val="LA PROYECCIÓN"/>
        </w:smartTagPr>
        <w:r>
          <w:rPr>
            <w:rFonts w:ascii="Arial" w:hAnsi="Arial" w:cs="Arial"/>
            <w:b/>
            <w:sz w:val="28"/>
            <w:szCs w:val="28"/>
            <w:lang w:val="es-ES"/>
          </w:rPr>
          <w:t>LA PROYECCIÓ</w:t>
        </w:r>
        <w:r w:rsidR="00A3014D" w:rsidRPr="00045D7F">
          <w:rPr>
            <w:rFonts w:ascii="Arial" w:hAnsi="Arial" w:cs="Arial"/>
            <w:b/>
            <w:sz w:val="28"/>
            <w:szCs w:val="28"/>
            <w:lang w:val="es-ES"/>
          </w:rPr>
          <w:t>N</w:t>
        </w:r>
      </w:smartTag>
    </w:p>
    <w:p w:rsidR="00A3014D" w:rsidRPr="002029F9" w:rsidRDefault="00A3014D" w:rsidP="0031074E">
      <w:pPr>
        <w:pStyle w:val="Prrafodelista1"/>
        <w:spacing w:line="360" w:lineRule="auto"/>
        <w:ind w:left="0"/>
        <w:jc w:val="both"/>
        <w:rPr>
          <w:rFonts w:ascii="Arial" w:hAnsi="Arial" w:cs="Arial"/>
          <w:sz w:val="20"/>
          <w:szCs w:val="20"/>
          <w:lang w:val="es-ES"/>
        </w:rPr>
      </w:pPr>
    </w:p>
    <w:p w:rsidR="00A3014D" w:rsidRPr="00445404" w:rsidRDefault="00A3014D" w:rsidP="0031074E">
      <w:pPr>
        <w:spacing w:line="360" w:lineRule="auto"/>
        <w:ind w:left="708" w:firstLine="708"/>
        <w:jc w:val="both"/>
        <w:rPr>
          <w:rFonts w:ascii="Arial" w:hAnsi="Arial" w:cs="Arial"/>
          <w:sz w:val="24"/>
          <w:szCs w:val="24"/>
          <w:vertAlign w:val="subscript"/>
        </w:rPr>
      </w:pPr>
      <w:r w:rsidRPr="00445404">
        <w:rPr>
          <w:rFonts w:ascii="Arial" w:hAnsi="Arial" w:cs="Arial"/>
          <w:sz w:val="24"/>
          <w:szCs w:val="24"/>
        </w:rPr>
        <w:t>FD</w:t>
      </w:r>
      <w:r w:rsidRPr="00445404">
        <w:rPr>
          <w:rFonts w:ascii="Arial" w:hAnsi="Arial" w:cs="Arial"/>
          <w:sz w:val="24"/>
          <w:szCs w:val="24"/>
          <w:vertAlign w:val="subscript"/>
        </w:rPr>
        <w:t>T+1</w:t>
      </w:r>
      <w:r w:rsidRPr="00445404">
        <w:rPr>
          <w:rFonts w:ascii="Arial" w:hAnsi="Arial" w:cs="Arial"/>
          <w:sz w:val="24"/>
          <w:szCs w:val="24"/>
        </w:rPr>
        <w:t xml:space="preserve"> </w:t>
      </w:r>
      <w:r w:rsidRPr="00445404">
        <w:rPr>
          <w:rFonts w:ascii="Arial" w:hAnsi="Arial" w:cs="Arial"/>
          <w:sz w:val="24"/>
          <w:szCs w:val="24"/>
        </w:rPr>
        <w:tab/>
      </w:r>
      <w:r w:rsidRPr="00445404">
        <w:rPr>
          <w:rFonts w:ascii="Arial" w:hAnsi="Arial" w:cs="Arial"/>
          <w:sz w:val="24"/>
          <w:szCs w:val="24"/>
        </w:rPr>
        <w:tab/>
        <w:t>=</w:t>
      </w:r>
      <w:r w:rsidRPr="00445404">
        <w:rPr>
          <w:rFonts w:ascii="Arial" w:hAnsi="Arial" w:cs="Arial"/>
          <w:sz w:val="24"/>
          <w:szCs w:val="24"/>
        </w:rPr>
        <w:tab/>
        <w:t xml:space="preserve"> Ratio (FD</w:t>
      </w:r>
      <w:r w:rsidRPr="00445404">
        <w:rPr>
          <w:rFonts w:ascii="Arial" w:hAnsi="Arial" w:cs="Arial"/>
          <w:sz w:val="24"/>
          <w:szCs w:val="24"/>
          <w:vertAlign w:val="subscript"/>
        </w:rPr>
        <w:t xml:space="preserve">t </w:t>
      </w:r>
      <w:r w:rsidRPr="00445404">
        <w:rPr>
          <w:rFonts w:ascii="Arial" w:hAnsi="Arial" w:cs="Arial"/>
          <w:sz w:val="24"/>
          <w:szCs w:val="24"/>
        </w:rPr>
        <w:t>, OP</w:t>
      </w:r>
      <w:r w:rsidRPr="00445404">
        <w:rPr>
          <w:rFonts w:ascii="Arial" w:hAnsi="Arial" w:cs="Arial"/>
          <w:sz w:val="24"/>
          <w:szCs w:val="24"/>
          <w:vertAlign w:val="subscript"/>
        </w:rPr>
        <w:t>t</w:t>
      </w:r>
      <w:r w:rsidRPr="00445404">
        <w:rPr>
          <w:rFonts w:ascii="Arial" w:hAnsi="Arial" w:cs="Arial"/>
          <w:sz w:val="24"/>
          <w:szCs w:val="24"/>
        </w:rPr>
        <w:t>)* OP</w:t>
      </w:r>
      <w:r w:rsidRPr="00445404">
        <w:rPr>
          <w:rFonts w:ascii="Arial" w:hAnsi="Arial" w:cs="Arial"/>
          <w:sz w:val="24"/>
          <w:szCs w:val="24"/>
          <w:vertAlign w:val="subscript"/>
        </w:rPr>
        <w:t>T+1</w:t>
      </w:r>
    </w:p>
    <w:p w:rsidR="00A3014D" w:rsidRPr="006C48E9" w:rsidRDefault="00A3014D" w:rsidP="0031074E">
      <w:pPr>
        <w:spacing w:line="360" w:lineRule="auto"/>
        <w:ind w:left="708" w:firstLine="708"/>
        <w:jc w:val="both"/>
        <w:rPr>
          <w:rFonts w:ascii="Arial" w:hAnsi="Arial" w:cs="Arial"/>
          <w:sz w:val="24"/>
          <w:szCs w:val="24"/>
          <w:vertAlign w:val="subscript"/>
        </w:rPr>
      </w:pPr>
      <w:r w:rsidRPr="006C48E9">
        <w:rPr>
          <w:rFonts w:ascii="Arial" w:hAnsi="Arial" w:cs="Arial"/>
          <w:sz w:val="24"/>
          <w:szCs w:val="24"/>
        </w:rPr>
        <w:t>IT</w:t>
      </w:r>
      <w:r w:rsidRPr="006C48E9">
        <w:rPr>
          <w:rFonts w:ascii="Arial" w:hAnsi="Arial" w:cs="Arial"/>
          <w:sz w:val="24"/>
          <w:szCs w:val="24"/>
          <w:vertAlign w:val="subscript"/>
        </w:rPr>
        <w:t>T+1</w:t>
      </w:r>
      <w:r w:rsidRPr="006C48E9">
        <w:rPr>
          <w:rFonts w:ascii="Arial" w:hAnsi="Arial" w:cs="Arial"/>
          <w:sz w:val="24"/>
          <w:szCs w:val="24"/>
        </w:rPr>
        <w:t xml:space="preserve"> </w:t>
      </w:r>
      <w:r w:rsidRPr="006C48E9">
        <w:rPr>
          <w:rFonts w:ascii="Arial" w:hAnsi="Arial" w:cs="Arial"/>
          <w:sz w:val="24"/>
          <w:szCs w:val="24"/>
        </w:rPr>
        <w:tab/>
      </w:r>
      <w:r w:rsidRPr="006C48E9">
        <w:rPr>
          <w:rFonts w:ascii="Arial" w:hAnsi="Arial" w:cs="Arial"/>
          <w:sz w:val="24"/>
          <w:szCs w:val="24"/>
        </w:rPr>
        <w:tab/>
        <w:t>=</w:t>
      </w:r>
      <w:r w:rsidRPr="006C48E9">
        <w:rPr>
          <w:rFonts w:ascii="Arial" w:hAnsi="Arial" w:cs="Arial"/>
          <w:sz w:val="24"/>
          <w:szCs w:val="24"/>
        </w:rPr>
        <w:tab/>
        <w:t xml:space="preserve"> Ratio (I</w:t>
      </w:r>
      <w:r w:rsidRPr="006C48E9">
        <w:rPr>
          <w:rFonts w:ascii="Arial" w:hAnsi="Arial" w:cs="Arial"/>
          <w:sz w:val="24"/>
          <w:szCs w:val="24"/>
          <w:vertAlign w:val="subscript"/>
        </w:rPr>
        <w:t xml:space="preserve">t </w:t>
      </w:r>
      <w:r w:rsidRPr="006C48E9">
        <w:rPr>
          <w:rFonts w:ascii="Arial" w:hAnsi="Arial" w:cs="Arial"/>
          <w:sz w:val="24"/>
          <w:szCs w:val="24"/>
        </w:rPr>
        <w:t>, FD</w:t>
      </w:r>
      <w:r w:rsidRPr="006C48E9">
        <w:rPr>
          <w:rFonts w:ascii="Arial" w:hAnsi="Arial" w:cs="Arial"/>
          <w:sz w:val="24"/>
          <w:szCs w:val="24"/>
          <w:vertAlign w:val="subscript"/>
        </w:rPr>
        <w:t>t</w:t>
      </w:r>
      <w:r w:rsidRPr="006C48E9">
        <w:rPr>
          <w:rFonts w:ascii="Arial" w:hAnsi="Arial" w:cs="Arial"/>
          <w:sz w:val="24"/>
          <w:szCs w:val="24"/>
        </w:rPr>
        <w:t>)* FD</w:t>
      </w:r>
      <w:r w:rsidRPr="006C48E9">
        <w:rPr>
          <w:rFonts w:ascii="Arial" w:hAnsi="Arial" w:cs="Arial"/>
          <w:sz w:val="24"/>
          <w:szCs w:val="24"/>
          <w:vertAlign w:val="subscript"/>
        </w:rPr>
        <w:t>T+1</w:t>
      </w:r>
    </w:p>
    <w:p w:rsidR="00A3014D" w:rsidRPr="002029F9" w:rsidRDefault="00A3014D" w:rsidP="0031074E">
      <w:pPr>
        <w:spacing w:line="360" w:lineRule="auto"/>
        <w:ind w:left="708" w:firstLine="708"/>
        <w:jc w:val="both"/>
        <w:rPr>
          <w:rFonts w:ascii="Arial" w:hAnsi="Arial" w:cs="Arial"/>
          <w:sz w:val="24"/>
          <w:szCs w:val="24"/>
          <w:vertAlign w:val="subscript"/>
          <w:lang w:val="en-GB"/>
        </w:rPr>
      </w:pPr>
      <w:r w:rsidRPr="006C48E9">
        <w:rPr>
          <w:rFonts w:ascii="Arial" w:hAnsi="Arial" w:cs="Arial"/>
          <w:sz w:val="24"/>
          <w:szCs w:val="24"/>
        </w:rPr>
        <w:t xml:space="preserve"> CV</w:t>
      </w:r>
      <w:r w:rsidRPr="006C48E9">
        <w:rPr>
          <w:rFonts w:ascii="Arial" w:hAnsi="Arial" w:cs="Arial"/>
          <w:sz w:val="24"/>
          <w:szCs w:val="24"/>
          <w:vertAlign w:val="subscript"/>
        </w:rPr>
        <w:t>T+1</w:t>
      </w:r>
      <w:r w:rsidR="0031074E" w:rsidRPr="006C48E9">
        <w:rPr>
          <w:rFonts w:ascii="Arial" w:hAnsi="Arial" w:cs="Arial"/>
          <w:sz w:val="24"/>
          <w:szCs w:val="24"/>
        </w:rPr>
        <w:t xml:space="preserve"> </w:t>
      </w:r>
      <w:r w:rsidR="0031074E" w:rsidRPr="006C48E9">
        <w:rPr>
          <w:rFonts w:ascii="Arial" w:hAnsi="Arial" w:cs="Arial"/>
          <w:sz w:val="24"/>
          <w:szCs w:val="24"/>
        </w:rPr>
        <w:tab/>
      </w:r>
      <w:r w:rsidRPr="006C48E9">
        <w:rPr>
          <w:rFonts w:ascii="Arial" w:hAnsi="Arial" w:cs="Arial"/>
          <w:sz w:val="24"/>
          <w:szCs w:val="24"/>
        </w:rPr>
        <w:t xml:space="preserve">= </w:t>
      </w:r>
      <w:r w:rsidRPr="006C48E9">
        <w:rPr>
          <w:rFonts w:ascii="Arial" w:hAnsi="Arial" w:cs="Arial"/>
          <w:sz w:val="24"/>
          <w:szCs w:val="24"/>
        </w:rPr>
        <w:tab/>
        <w:t>Ratio (</w:t>
      </w:r>
      <w:r w:rsidRPr="002029F9">
        <w:rPr>
          <w:rFonts w:ascii="Arial" w:hAnsi="Arial" w:cs="Arial"/>
          <w:sz w:val="24"/>
          <w:szCs w:val="24"/>
          <w:lang w:val="en-GB"/>
        </w:rPr>
        <w:t>CV</w:t>
      </w:r>
      <w:r w:rsidRPr="002029F9">
        <w:rPr>
          <w:rFonts w:ascii="Arial" w:hAnsi="Arial" w:cs="Arial"/>
          <w:sz w:val="24"/>
          <w:szCs w:val="24"/>
          <w:vertAlign w:val="subscript"/>
          <w:lang w:val="en-GB"/>
        </w:rPr>
        <w:t xml:space="preserve">t </w:t>
      </w:r>
      <w:r w:rsidRPr="002029F9">
        <w:rPr>
          <w:rFonts w:ascii="Arial" w:hAnsi="Arial" w:cs="Arial"/>
          <w:sz w:val="24"/>
          <w:szCs w:val="24"/>
          <w:lang w:val="en-GB"/>
        </w:rPr>
        <w:t>, CB</w:t>
      </w:r>
      <w:r w:rsidRPr="002029F9">
        <w:rPr>
          <w:rFonts w:ascii="Arial" w:hAnsi="Arial" w:cs="Arial"/>
          <w:sz w:val="24"/>
          <w:szCs w:val="24"/>
          <w:vertAlign w:val="subscript"/>
          <w:lang w:val="en-GB"/>
        </w:rPr>
        <w:t>t</w:t>
      </w:r>
      <w:r w:rsidRPr="002029F9">
        <w:rPr>
          <w:rFonts w:ascii="Arial" w:hAnsi="Arial" w:cs="Arial"/>
          <w:sz w:val="24"/>
          <w:szCs w:val="24"/>
          <w:lang w:val="en-GB"/>
        </w:rPr>
        <w:t>)* CB</w:t>
      </w:r>
      <w:r w:rsidRPr="002029F9">
        <w:rPr>
          <w:rFonts w:ascii="Arial" w:hAnsi="Arial" w:cs="Arial"/>
          <w:sz w:val="24"/>
          <w:szCs w:val="24"/>
          <w:vertAlign w:val="subscript"/>
          <w:lang w:val="en-GB"/>
        </w:rPr>
        <w:t>T+1</w:t>
      </w:r>
    </w:p>
    <w:p w:rsidR="00A3014D" w:rsidRPr="002029F9" w:rsidRDefault="00A3014D" w:rsidP="0031074E">
      <w:pPr>
        <w:spacing w:line="360" w:lineRule="auto"/>
        <w:ind w:left="708" w:firstLine="708"/>
        <w:jc w:val="both"/>
        <w:rPr>
          <w:rFonts w:ascii="Arial" w:hAnsi="Arial" w:cs="Arial"/>
          <w:sz w:val="24"/>
          <w:szCs w:val="24"/>
          <w:lang w:val="en-GB"/>
        </w:rPr>
      </w:pPr>
      <w:r w:rsidRPr="002029F9">
        <w:rPr>
          <w:rFonts w:ascii="Arial" w:hAnsi="Arial" w:cs="Arial"/>
          <w:sz w:val="24"/>
          <w:szCs w:val="24"/>
          <w:lang w:val="en-GB"/>
        </w:rPr>
        <w:t>PCI</w:t>
      </w:r>
      <w:r w:rsidRPr="002029F9">
        <w:rPr>
          <w:rFonts w:ascii="Arial" w:hAnsi="Arial" w:cs="Arial"/>
          <w:sz w:val="24"/>
          <w:szCs w:val="24"/>
          <w:vertAlign w:val="subscript"/>
          <w:lang w:val="en-GB"/>
        </w:rPr>
        <w:t>T+1</w:t>
      </w:r>
      <w:r w:rsidR="0031074E">
        <w:rPr>
          <w:rFonts w:ascii="Arial" w:hAnsi="Arial" w:cs="Arial"/>
          <w:sz w:val="24"/>
          <w:szCs w:val="24"/>
          <w:lang w:val="en-GB"/>
        </w:rPr>
        <w:t xml:space="preserve"> </w:t>
      </w:r>
      <w:r w:rsidR="0031074E">
        <w:rPr>
          <w:rFonts w:ascii="Arial" w:hAnsi="Arial" w:cs="Arial"/>
          <w:sz w:val="24"/>
          <w:szCs w:val="24"/>
          <w:lang w:val="en-GB"/>
        </w:rPr>
        <w:tab/>
      </w:r>
      <w:r w:rsidRPr="002029F9">
        <w:rPr>
          <w:rFonts w:ascii="Arial" w:hAnsi="Arial" w:cs="Arial"/>
          <w:sz w:val="24"/>
          <w:szCs w:val="24"/>
          <w:lang w:val="en-GB"/>
        </w:rPr>
        <w:t xml:space="preserve">= </w:t>
      </w:r>
      <w:r w:rsidRPr="002029F9">
        <w:rPr>
          <w:rFonts w:ascii="Arial" w:hAnsi="Arial" w:cs="Arial"/>
          <w:sz w:val="24"/>
          <w:szCs w:val="24"/>
          <w:lang w:val="en-GB"/>
        </w:rPr>
        <w:tab/>
        <w:t>Ratio (PCI</w:t>
      </w:r>
      <w:r w:rsidRPr="002029F9">
        <w:rPr>
          <w:rFonts w:ascii="Arial" w:hAnsi="Arial" w:cs="Arial"/>
          <w:sz w:val="24"/>
          <w:szCs w:val="24"/>
          <w:vertAlign w:val="subscript"/>
          <w:lang w:val="en-GB"/>
        </w:rPr>
        <w:t xml:space="preserve">t </w:t>
      </w:r>
      <w:r w:rsidRPr="002029F9">
        <w:rPr>
          <w:rFonts w:ascii="Arial" w:hAnsi="Arial" w:cs="Arial"/>
          <w:sz w:val="24"/>
          <w:szCs w:val="24"/>
          <w:lang w:val="en-GB"/>
        </w:rPr>
        <w:t>, CV</w:t>
      </w:r>
      <w:r w:rsidRPr="002029F9">
        <w:rPr>
          <w:rFonts w:ascii="Arial" w:hAnsi="Arial" w:cs="Arial"/>
          <w:sz w:val="24"/>
          <w:szCs w:val="24"/>
          <w:vertAlign w:val="subscript"/>
          <w:lang w:val="en-GB"/>
        </w:rPr>
        <w:t>t</w:t>
      </w:r>
      <w:r w:rsidRPr="002029F9">
        <w:rPr>
          <w:rFonts w:ascii="Arial" w:hAnsi="Arial" w:cs="Arial"/>
          <w:sz w:val="24"/>
          <w:szCs w:val="24"/>
          <w:lang w:val="en-GB"/>
        </w:rPr>
        <w:t>)* CV</w:t>
      </w:r>
      <w:r w:rsidRPr="002029F9">
        <w:rPr>
          <w:rFonts w:ascii="Arial" w:hAnsi="Arial" w:cs="Arial"/>
          <w:sz w:val="24"/>
          <w:szCs w:val="24"/>
          <w:vertAlign w:val="subscript"/>
          <w:lang w:val="en-GB"/>
        </w:rPr>
        <w:t>T+1</w:t>
      </w:r>
    </w:p>
    <w:p w:rsidR="00A3014D" w:rsidRPr="002029F9" w:rsidRDefault="00A3014D" w:rsidP="0031074E">
      <w:pPr>
        <w:spacing w:line="360" w:lineRule="auto"/>
        <w:ind w:left="708" w:firstLine="708"/>
        <w:jc w:val="both"/>
        <w:rPr>
          <w:rFonts w:ascii="Arial" w:hAnsi="Arial" w:cs="Arial"/>
          <w:sz w:val="24"/>
          <w:szCs w:val="24"/>
          <w:lang w:val="en-US"/>
        </w:rPr>
      </w:pPr>
      <w:r w:rsidRPr="002029F9">
        <w:rPr>
          <w:rFonts w:ascii="Arial" w:hAnsi="Arial" w:cs="Arial"/>
          <w:sz w:val="24"/>
          <w:szCs w:val="24"/>
          <w:lang w:val="en-US"/>
        </w:rPr>
        <w:t>OP</w:t>
      </w:r>
      <w:r w:rsidRPr="002029F9">
        <w:rPr>
          <w:rFonts w:ascii="Arial" w:hAnsi="Arial" w:cs="Arial"/>
          <w:sz w:val="24"/>
          <w:szCs w:val="24"/>
          <w:vertAlign w:val="subscript"/>
          <w:lang w:val="en-US"/>
        </w:rPr>
        <w:t>T+1</w:t>
      </w:r>
      <w:r w:rsidRPr="002029F9">
        <w:rPr>
          <w:rFonts w:ascii="Arial" w:hAnsi="Arial" w:cs="Arial"/>
          <w:sz w:val="24"/>
          <w:szCs w:val="24"/>
          <w:lang w:val="en-US"/>
        </w:rPr>
        <w:t xml:space="preserve"> </w:t>
      </w:r>
      <w:r w:rsidRPr="002029F9">
        <w:rPr>
          <w:rFonts w:ascii="Arial" w:hAnsi="Arial" w:cs="Arial"/>
          <w:sz w:val="24"/>
          <w:szCs w:val="24"/>
          <w:lang w:val="en-US"/>
        </w:rPr>
        <w:tab/>
      </w:r>
      <w:r w:rsidRPr="002029F9">
        <w:rPr>
          <w:rFonts w:ascii="Arial" w:hAnsi="Arial" w:cs="Arial"/>
          <w:sz w:val="24"/>
          <w:szCs w:val="24"/>
          <w:lang w:val="en-US"/>
        </w:rPr>
        <w:tab/>
        <w:t xml:space="preserve">= </w:t>
      </w:r>
      <w:r w:rsidRPr="002029F9">
        <w:rPr>
          <w:rFonts w:ascii="Arial" w:hAnsi="Arial" w:cs="Arial"/>
          <w:sz w:val="24"/>
          <w:szCs w:val="24"/>
          <w:lang w:val="en-US"/>
        </w:rPr>
        <w:tab/>
        <w:t>Ratio (OP</w:t>
      </w:r>
      <w:r w:rsidRPr="002029F9">
        <w:rPr>
          <w:rFonts w:ascii="Arial" w:hAnsi="Arial" w:cs="Arial"/>
          <w:sz w:val="24"/>
          <w:szCs w:val="24"/>
          <w:vertAlign w:val="subscript"/>
          <w:lang w:val="en-US"/>
        </w:rPr>
        <w:t xml:space="preserve">t </w:t>
      </w:r>
      <w:r w:rsidRPr="002029F9">
        <w:rPr>
          <w:rFonts w:ascii="Arial" w:hAnsi="Arial" w:cs="Arial"/>
          <w:sz w:val="24"/>
          <w:szCs w:val="24"/>
          <w:lang w:val="en-US"/>
        </w:rPr>
        <w:t>, CB</w:t>
      </w:r>
      <w:r w:rsidRPr="002029F9">
        <w:rPr>
          <w:rFonts w:ascii="Arial" w:hAnsi="Arial" w:cs="Arial"/>
          <w:sz w:val="24"/>
          <w:szCs w:val="24"/>
          <w:vertAlign w:val="subscript"/>
          <w:lang w:val="en-US"/>
        </w:rPr>
        <w:t>t</w:t>
      </w:r>
      <w:r w:rsidRPr="002029F9">
        <w:rPr>
          <w:rFonts w:ascii="Arial" w:hAnsi="Arial" w:cs="Arial"/>
          <w:sz w:val="24"/>
          <w:szCs w:val="24"/>
          <w:lang w:val="en-US"/>
        </w:rPr>
        <w:t>)* CB</w:t>
      </w:r>
      <w:r w:rsidRPr="002029F9">
        <w:rPr>
          <w:rFonts w:ascii="Arial" w:hAnsi="Arial" w:cs="Arial"/>
          <w:sz w:val="24"/>
          <w:szCs w:val="24"/>
          <w:vertAlign w:val="subscript"/>
          <w:lang w:val="en-US"/>
        </w:rPr>
        <w:t>T+1</w:t>
      </w:r>
    </w:p>
    <w:p w:rsidR="00A3014D" w:rsidRPr="002029F9" w:rsidRDefault="00A3014D" w:rsidP="0031074E">
      <w:pPr>
        <w:spacing w:line="360" w:lineRule="auto"/>
        <w:ind w:left="708" w:firstLine="708"/>
        <w:jc w:val="both"/>
        <w:rPr>
          <w:rFonts w:ascii="Arial" w:hAnsi="Arial" w:cs="Arial"/>
          <w:sz w:val="24"/>
          <w:szCs w:val="24"/>
          <w:vertAlign w:val="subscript"/>
          <w:lang w:val="en-US"/>
        </w:rPr>
      </w:pPr>
      <w:r w:rsidRPr="002029F9">
        <w:rPr>
          <w:rFonts w:ascii="Arial" w:hAnsi="Arial" w:cs="Arial"/>
          <w:sz w:val="24"/>
          <w:szCs w:val="24"/>
          <w:lang w:val="en-US"/>
        </w:rPr>
        <w:t>OB</w:t>
      </w:r>
      <w:r w:rsidRPr="002029F9">
        <w:rPr>
          <w:rFonts w:ascii="Arial" w:hAnsi="Arial" w:cs="Arial"/>
          <w:sz w:val="24"/>
          <w:szCs w:val="24"/>
          <w:vertAlign w:val="subscript"/>
          <w:lang w:val="en-US"/>
        </w:rPr>
        <w:t>T+1</w:t>
      </w:r>
      <w:r w:rsidRPr="002029F9">
        <w:rPr>
          <w:rFonts w:ascii="Arial" w:hAnsi="Arial" w:cs="Arial"/>
          <w:sz w:val="24"/>
          <w:szCs w:val="24"/>
          <w:lang w:val="en-US"/>
        </w:rPr>
        <w:t xml:space="preserve"> </w:t>
      </w:r>
      <w:r w:rsidRPr="002029F9">
        <w:rPr>
          <w:rFonts w:ascii="Arial" w:hAnsi="Arial" w:cs="Arial"/>
          <w:sz w:val="24"/>
          <w:szCs w:val="24"/>
          <w:lang w:val="en-US"/>
        </w:rPr>
        <w:tab/>
      </w:r>
      <w:r w:rsidRPr="002029F9">
        <w:rPr>
          <w:rFonts w:ascii="Arial" w:hAnsi="Arial" w:cs="Arial"/>
          <w:sz w:val="24"/>
          <w:szCs w:val="24"/>
          <w:lang w:val="en-US"/>
        </w:rPr>
        <w:tab/>
        <w:t xml:space="preserve">= </w:t>
      </w:r>
      <w:r w:rsidRPr="002029F9">
        <w:rPr>
          <w:rFonts w:ascii="Arial" w:hAnsi="Arial" w:cs="Arial"/>
          <w:sz w:val="24"/>
          <w:szCs w:val="24"/>
          <w:lang w:val="en-US"/>
        </w:rPr>
        <w:tab/>
        <w:t>Ratio (OB</w:t>
      </w:r>
      <w:r w:rsidRPr="002029F9">
        <w:rPr>
          <w:rFonts w:ascii="Arial" w:hAnsi="Arial" w:cs="Arial"/>
          <w:sz w:val="24"/>
          <w:szCs w:val="24"/>
          <w:vertAlign w:val="subscript"/>
          <w:lang w:val="en-US"/>
        </w:rPr>
        <w:t xml:space="preserve">t </w:t>
      </w:r>
      <w:r w:rsidRPr="002029F9">
        <w:rPr>
          <w:rFonts w:ascii="Arial" w:hAnsi="Arial" w:cs="Arial"/>
          <w:sz w:val="24"/>
          <w:szCs w:val="24"/>
          <w:lang w:val="en-US"/>
        </w:rPr>
        <w:t>, CB</w:t>
      </w:r>
      <w:r w:rsidRPr="002029F9">
        <w:rPr>
          <w:rFonts w:ascii="Arial" w:hAnsi="Arial" w:cs="Arial"/>
          <w:sz w:val="24"/>
          <w:szCs w:val="24"/>
          <w:vertAlign w:val="subscript"/>
          <w:lang w:val="en-US"/>
        </w:rPr>
        <w:t>t</w:t>
      </w:r>
      <w:r w:rsidRPr="002029F9">
        <w:rPr>
          <w:rFonts w:ascii="Arial" w:hAnsi="Arial" w:cs="Arial"/>
          <w:sz w:val="24"/>
          <w:szCs w:val="24"/>
          <w:lang w:val="en-US"/>
        </w:rPr>
        <w:t>)* CB</w:t>
      </w:r>
      <w:r w:rsidRPr="002029F9">
        <w:rPr>
          <w:rFonts w:ascii="Arial" w:hAnsi="Arial" w:cs="Arial"/>
          <w:sz w:val="24"/>
          <w:szCs w:val="24"/>
          <w:vertAlign w:val="subscript"/>
          <w:lang w:val="en-US"/>
        </w:rPr>
        <w:t>T+1</w:t>
      </w:r>
    </w:p>
    <w:p w:rsidR="00A3014D" w:rsidRPr="002029F9" w:rsidRDefault="00A3014D" w:rsidP="0031074E">
      <w:pPr>
        <w:spacing w:line="360" w:lineRule="auto"/>
        <w:ind w:left="708" w:firstLine="708"/>
        <w:jc w:val="both"/>
        <w:rPr>
          <w:rFonts w:ascii="Arial" w:hAnsi="Arial" w:cs="Arial"/>
          <w:sz w:val="24"/>
          <w:szCs w:val="24"/>
          <w:vertAlign w:val="subscript"/>
          <w:lang w:val="en-US"/>
        </w:rPr>
      </w:pPr>
      <w:r w:rsidRPr="002029F9">
        <w:rPr>
          <w:rFonts w:ascii="Arial" w:hAnsi="Arial" w:cs="Arial"/>
          <w:sz w:val="24"/>
          <w:szCs w:val="24"/>
          <w:lang w:val="en-US"/>
        </w:rPr>
        <w:t>PAT</w:t>
      </w:r>
      <w:r w:rsidRPr="002029F9">
        <w:rPr>
          <w:rFonts w:ascii="Arial" w:hAnsi="Arial" w:cs="Arial"/>
          <w:sz w:val="24"/>
          <w:szCs w:val="24"/>
          <w:vertAlign w:val="subscript"/>
          <w:lang w:val="en-US"/>
        </w:rPr>
        <w:t>T+1</w:t>
      </w:r>
      <w:r w:rsidR="0031074E">
        <w:rPr>
          <w:rFonts w:ascii="Arial" w:hAnsi="Arial" w:cs="Arial"/>
          <w:sz w:val="24"/>
          <w:szCs w:val="24"/>
          <w:lang w:val="en-US"/>
        </w:rPr>
        <w:t xml:space="preserve"> </w:t>
      </w:r>
      <w:r w:rsidR="0031074E">
        <w:rPr>
          <w:rFonts w:ascii="Arial" w:hAnsi="Arial" w:cs="Arial"/>
          <w:sz w:val="24"/>
          <w:szCs w:val="24"/>
          <w:lang w:val="en-US"/>
        </w:rPr>
        <w:tab/>
      </w:r>
      <w:r w:rsidRPr="002029F9">
        <w:rPr>
          <w:rFonts w:ascii="Arial" w:hAnsi="Arial" w:cs="Arial"/>
          <w:sz w:val="24"/>
          <w:szCs w:val="24"/>
          <w:lang w:val="en-US"/>
        </w:rPr>
        <w:t xml:space="preserve">= </w:t>
      </w:r>
      <w:r w:rsidRPr="002029F9">
        <w:rPr>
          <w:rFonts w:ascii="Arial" w:hAnsi="Arial" w:cs="Arial"/>
          <w:sz w:val="24"/>
          <w:szCs w:val="24"/>
          <w:lang w:val="en-US"/>
        </w:rPr>
        <w:tab/>
        <w:t>Ratio (PAT</w:t>
      </w:r>
      <w:r w:rsidRPr="002029F9">
        <w:rPr>
          <w:rFonts w:ascii="Arial" w:hAnsi="Arial" w:cs="Arial"/>
          <w:sz w:val="24"/>
          <w:szCs w:val="24"/>
          <w:vertAlign w:val="subscript"/>
          <w:lang w:val="en-US"/>
        </w:rPr>
        <w:t xml:space="preserve">t </w:t>
      </w:r>
      <w:r w:rsidRPr="002029F9">
        <w:rPr>
          <w:rFonts w:ascii="Arial" w:hAnsi="Arial" w:cs="Arial"/>
          <w:sz w:val="24"/>
          <w:szCs w:val="24"/>
          <w:lang w:val="en-US"/>
        </w:rPr>
        <w:t>, CB</w:t>
      </w:r>
      <w:r w:rsidRPr="002029F9">
        <w:rPr>
          <w:rFonts w:ascii="Arial" w:hAnsi="Arial" w:cs="Arial"/>
          <w:sz w:val="24"/>
          <w:szCs w:val="24"/>
          <w:vertAlign w:val="subscript"/>
          <w:lang w:val="en-US"/>
        </w:rPr>
        <w:t>t</w:t>
      </w:r>
      <w:r w:rsidRPr="002029F9">
        <w:rPr>
          <w:rFonts w:ascii="Arial" w:hAnsi="Arial" w:cs="Arial"/>
          <w:sz w:val="24"/>
          <w:szCs w:val="24"/>
          <w:lang w:val="en-US"/>
        </w:rPr>
        <w:t>)* CB</w:t>
      </w:r>
      <w:r w:rsidRPr="002029F9">
        <w:rPr>
          <w:rFonts w:ascii="Arial" w:hAnsi="Arial" w:cs="Arial"/>
          <w:sz w:val="24"/>
          <w:szCs w:val="24"/>
          <w:vertAlign w:val="subscript"/>
          <w:lang w:val="en-US"/>
        </w:rPr>
        <w:t>T+1</w:t>
      </w:r>
    </w:p>
    <w:p w:rsidR="00A3014D" w:rsidRPr="002029F9" w:rsidRDefault="00A3014D" w:rsidP="0031074E">
      <w:pPr>
        <w:spacing w:line="360" w:lineRule="auto"/>
        <w:ind w:left="708" w:firstLine="708"/>
        <w:jc w:val="both"/>
        <w:rPr>
          <w:rFonts w:ascii="Arial" w:hAnsi="Arial" w:cs="Arial"/>
          <w:sz w:val="24"/>
          <w:szCs w:val="24"/>
          <w:lang w:val="en-US"/>
        </w:rPr>
      </w:pPr>
      <w:r w:rsidRPr="002029F9">
        <w:rPr>
          <w:rFonts w:ascii="Arial" w:hAnsi="Arial" w:cs="Arial"/>
          <w:sz w:val="24"/>
          <w:szCs w:val="24"/>
          <w:lang w:val="en-US"/>
        </w:rPr>
        <w:t xml:space="preserve"> MNI</w:t>
      </w:r>
      <w:r w:rsidRPr="002029F9">
        <w:rPr>
          <w:rFonts w:ascii="Arial" w:hAnsi="Arial" w:cs="Arial"/>
          <w:sz w:val="24"/>
          <w:szCs w:val="24"/>
          <w:vertAlign w:val="subscript"/>
          <w:lang w:val="en-US"/>
        </w:rPr>
        <w:t>T+1</w:t>
      </w:r>
      <w:r w:rsidR="0031074E">
        <w:rPr>
          <w:rFonts w:ascii="Arial" w:hAnsi="Arial" w:cs="Arial"/>
          <w:sz w:val="24"/>
          <w:szCs w:val="24"/>
          <w:lang w:val="en-US"/>
        </w:rPr>
        <w:t xml:space="preserve"> </w:t>
      </w:r>
      <w:r w:rsidR="0031074E">
        <w:rPr>
          <w:rFonts w:ascii="Arial" w:hAnsi="Arial" w:cs="Arial"/>
          <w:sz w:val="24"/>
          <w:szCs w:val="24"/>
          <w:lang w:val="en-US"/>
        </w:rPr>
        <w:tab/>
      </w:r>
      <w:r w:rsidRPr="002029F9">
        <w:rPr>
          <w:rFonts w:ascii="Arial" w:hAnsi="Arial" w:cs="Arial"/>
          <w:sz w:val="24"/>
          <w:szCs w:val="24"/>
          <w:lang w:val="en-US"/>
        </w:rPr>
        <w:t xml:space="preserve">= </w:t>
      </w:r>
      <w:r w:rsidRPr="002029F9">
        <w:rPr>
          <w:rFonts w:ascii="Arial" w:hAnsi="Arial" w:cs="Arial"/>
          <w:sz w:val="24"/>
          <w:szCs w:val="24"/>
          <w:lang w:val="en-US"/>
        </w:rPr>
        <w:tab/>
        <w:t>Ratio (MNI</w:t>
      </w:r>
      <w:r w:rsidRPr="002029F9">
        <w:rPr>
          <w:rFonts w:ascii="Arial" w:hAnsi="Arial" w:cs="Arial"/>
          <w:sz w:val="24"/>
          <w:szCs w:val="24"/>
          <w:vertAlign w:val="subscript"/>
          <w:lang w:val="en-US"/>
        </w:rPr>
        <w:t xml:space="preserve">t </w:t>
      </w:r>
      <w:r w:rsidRPr="002029F9">
        <w:rPr>
          <w:rFonts w:ascii="Arial" w:hAnsi="Arial" w:cs="Arial"/>
          <w:sz w:val="24"/>
          <w:szCs w:val="24"/>
          <w:lang w:val="en-US"/>
        </w:rPr>
        <w:t>, CB</w:t>
      </w:r>
      <w:r w:rsidRPr="002029F9">
        <w:rPr>
          <w:rFonts w:ascii="Arial" w:hAnsi="Arial" w:cs="Arial"/>
          <w:sz w:val="24"/>
          <w:szCs w:val="24"/>
          <w:vertAlign w:val="subscript"/>
          <w:lang w:val="en-US"/>
        </w:rPr>
        <w:t>t</w:t>
      </w:r>
      <w:r w:rsidRPr="002029F9">
        <w:rPr>
          <w:rFonts w:ascii="Arial" w:hAnsi="Arial" w:cs="Arial"/>
          <w:sz w:val="24"/>
          <w:szCs w:val="24"/>
          <w:lang w:val="en-US"/>
        </w:rPr>
        <w:t>, I</w:t>
      </w:r>
      <w:r w:rsidRPr="002029F9">
        <w:rPr>
          <w:rFonts w:ascii="Arial" w:hAnsi="Arial" w:cs="Arial"/>
          <w:sz w:val="24"/>
          <w:szCs w:val="24"/>
          <w:vertAlign w:val="subscript"/>
          <w:lang w:val="en-US"/>
        </w:rPr>
        <w:t>t</w:t>
      </w:r>
      <w:r w:rsidRPr="002029F9">
        <w:rPr>
          <w:rFonts w:ascii="Arial" w:hAnsi="Arial" w:cs="Arial"/>
          <w:sz w:val="24"/>
          <w:szCs w:val="24"/>
          <w:lang w:val="en-US"/>
        </w:rPr>
        <w:t>)* (CB</w:t>
      </w:r>
      <w:r w:rsidRPr="002029F9">
        <w:rPr>
          <w:rFonts w:ascii="Arial" w:hAnsi="Arial" w:cs="Arial"/>
          <w:sz w:val="24"/>
          <w:szCs w:val="24"/>
          <w:vertAlign w:val="subscript"/>
          <w:lang w:val="en-US"/>
        </w:rPr>
        <w:t>T+1</w:t>
      </w:r>
      <w:r w:rsidRPr="002029F9">
        <w:rPr>
          <w:rFonts w:ascii="Arial" w:hAnsi="Arial" w:cs="Arial"/>
          <w:sz w:val="24"/>
          <w:szCs w:val="24"/>
          <w:lang w:val="en-US"/>
        </w:rPr>
        <w:t>+I</w:t>
      </w:r>
      <w:r w:rsidRPr="002029F9">
        <w:rPr>
          <w:rFonts w:ascii="Arial" w:hAnsi="Arial" w:cs="Arial"/>
          <w:sz w:val="24"/>
          <w:szCs w:val="24"/>
          <w:vertAlign w:val="subscript"/>
          <w:lang w:val="en-US"/>
        </w:rPr>
        <w:t>T+1</w:t>
      </w:r>
      <w:r w:rsidRPr="002029F9">
        <w:rPr>
          <w:rFonts w:ascii="Arial" w:hAnsi="Arial" w:cs="Arial"/>
          <w:sz w:val="24"/>
          <w:szCs w:val="24"/>
          <w:lang w:val="en-US"/>
        </w:rPr>
        <w:t>)</w:t>
      </w:r>
    </w:p>
    <w:p w:rsidR="00A3014D" w:rsidRPr="002029F9" w:rsidRDefault="00A3014D" w:rsidP="0031074E">
      <w:pPr>
        <w:spacing w:line="360" w:lineRule="auto"/>
        <w:ind w:left="708" w:firstLine="708"/>
        <w:jc w:val="both"/>
        <w:rPr>
          <w:rFonts w:ascii="Arial" w:hAnsi="Arial" w:cs="Arial"/>
          <w:sz w:val="24"/>
          <w:szCs w:val="24"/>
          <w:lang w:val="en-US"/>
        </w:rPr>
      </w:pPr>
      <w:r w:rsidRPr="002029F9">
        <w:rPr>
          <w:rFonts w:ascii="Arial" w:hAnsi="Arial" w:cs="Arial"/>
          <w:sz w:val="24"/>
          <w:szCs w:val="24"/>
          <w:lang w:val="en-US"/>
        </w:rPr>
        <w:t>CN</w:t>
      </w:r>
      <w:r w:rsidRPr="002029F9">
        <w:rPr>
          <w:rFonts w:ascii="Arial" w:hAnsi="Arial" w:cs="Arial"/>
          <w:sz w:val="24"/>
          <w:szCs w:val="24"/>
          <w:vertAlign w:val="subscript"/>
          <w:lang w:val="en-US"/>
        </w:rPr>
        <w:t>T+1</w:t>
      </w:r>
      <w:r w:rsidRPr="002029F9">
        <w:rPr>
          <w:rFonts w:ascii="Arial" w:hAnsi="Arial" w:cs="Arial"/>
          <w:sz w:val="24"/>
          <w:szCs w:val="24"/>
          <w:lang w:val="en-US"/>
        </w:rPr>
        <w:t xml:space="preserve"> </w:t>
      </w:r>
      <w:r w:rsidRPr="002029F9">
        <w:rPr>
          <w:rFonts w:ascii="Arial" w:hAnsi="Arial" w:cs="Arial"/>
          <w:sz w:val="24"/>
          <w:szCs w:val="24"/>
          <w:lang w:val="en-US"/>
        </w:rPr>
        <w:tab/>
      </w:r>
      <w:r w:rsidRPr="002029F9">
        <w:rPr>
          <w:rFonts w:ascii="Arial" w:hAnsi="Arial" w:cs="Arial"/>
          <w:sz w:val="24"/>
          <w:szCs w:val="24"/>
          <w:lang w:val="en-US"/>
        </w:rPr>
        <w:tab/>
        <w:t xml:space="preserve">= </w:t>
      </w:r>
      <w:r w:rsidRPr="002029F9">
        <w:rPr>
          <w:rFonts w:ascii="Arial" w:hAnsi="Arial" w:cs="Arial"/>
          <w:sz w:val="24"/>
          <w:szCs w:val="24"/>
          <w:lang w:val="en-US"/>
        </w:rPr>
        <w:tab/>
        <w:t>Ratio (CN</w:t>
      </w:r>
      <w:r w:rsidRPr="002029F9">
        <w:rPr>
          <w:rFonts w:ascii="Arial" w:hAnsi="Arial" w:cs="Arial"/>
          <w:sz w:val="24"/>
          <w:szCs w:val="24"/>
          <w:vertAlign w:val="subscript"/>
          <w:lang w:val="en-US"/>
        </w:rPr>
        <w:t xml:space="preserve">t </w:t>
      </w:r>
      <w:r w:rsidRPr="002029F9">
        <w:rPr>
          <w:rFonts w:ascii="Arial" w:hAnsi="Arial" w:cs="Arial"/>
          <w:sz w:val="24"/>
          <w:szCs w:val="24"/>
          <w:lang w:val="en-US"/>
        </w:rPr>
        <w:t>, CB</w:t>
      </w:r>
      <w:r w:rsidRPr="002029F9">
        <w:rPr>
          <w:rFonts w:ascii="Arial" w:hAnsi="Arial" w:cs="Arial"/>
          <w:sz w:val="24"/>
          <w:szCs w:val="24"/>
          <w:vertAlign w:val="subscript"/>
          <w:lang w:val="en-US"/>
        </w:rPr>
        <w:t>t</w:t>
      </w:r>
      <w:r w:rsidRPr="002029F9">
        <w:rPr>
          <w:rFonts w:ascii="Arial" w:hAnsi="Arial" w:cs="Arial"/>
          <w:sz w:val="24"/>
          <w:szCs w:val="24"/>
          <w:lang w:val="en-US"/>
        </w:rPr>
        <w:t>,)* (CB</w:t>
      </w:r>
      <w:r w:rsidRPr="002029F9">
        <w:rPr>
          <w:rFonts w:ascii="Arial" w:hAnsi="Arial" w:cs="Arial"/>
          <w:sz w:val="24"/>
          <w:szCs w:val="24"/>
          <w:vertAlign w:val="subscript"/>
          <w:lang w:val="en-US"/>
        </w:rPr>
        <w:t>T+1</w:t>
      </w:r>
      <w:r w:rsidRPr="002029F9">
        <w:rPr>
          <w:rFonts w:ascii="Arial" w:hAnsi="Arial" w:cs="Arial"/>
          <w:sz w:val="24"/>
          <w:szCs w:val="24"/>
          <w:lang w:val="en-US"/>
        </w:rPr>
        <w:t>)</w:t>
      </w:r>
    </w:p>
    <w:p w:rsidR="00A3014D" w:rsidRPr="002029F9" w:rsidRDefault="00A3014D" w:rsidP="0031074E">
      <w:pPr>
        <w:spacing w:line="360" w:lineRule="auto"/>
        <w:ind w:left="708" w:firstLine="708"/>
        <w:jc w:val="both"/>
        <w:rPr>
          <w:rFonts w:ascii="Arial" w:hAnsi="Arial" w:cs="Arial"/>
          <w:sz w:val="24"/>
          <w:szCs w:val="24"/>
          <w:lang w:val="en-US"/>
        </w:rPr>
      </w:pPr>
      <w:r w:rsidRPr="002029F9">
        <w:rPr>
          <w:rFonts w:ascii="Arial" w:hAnsi="Arial" w:cs="Arial"/>
          <w:sz w:val="24"/>
          <w:szCs w:val="24"/>
          <w:lang w:val="en-US"/>
        </w:rPr>
        <w:t>UFN</w:t>
      </w:r>
      <w:r w:rsidRPr="002029F9">
        <w:rPr>
          <w:rFonts w:ascii="Arial" w:hAnsi="Arial" w:cs="Arial"/>
          <w:sz w:val="24"/>
          <w:szCs w:val="24"/>
          <w:vertAlign w:val="subscript"/>
          <w:lang w:val="en-US"/>
        </w:rPr>
        <w:t>T+1</w:t>
      </w:r>
      <w:r w:rsidR="0031074E">
        <w:rPr>
          <w:rFonts w:ascii="Arial" w:hAnsi="Arial" w:cs="Arial"/>
          <w:sz w:val="24"/>
          <w:szCs w:val="24"/>
          <w:lang w:val="en-US"/>
        </w:rPr>
        <w:t xml:space="preserve"> </w:t>
      </w:r>
      <w:r w:rsidR="0031074E">
        <w:rPr>
          <w:rFonts w:ascii="Arial" w:hAnsi="Arial" w:cs="Arial"/>
          <w:sz w:val="24"/>
          <w:szCs w:val="24"/>
          <w:lang w:val="en-US"/>
        </w:rPr>
        <w:tab/>
      </w:r>
      <w:r w:rsidRPr="002029F9">
        <w:rPr>
          <w:rFonts w:ascii="Arial" w:hAnsi="Arial" w:cs="Arial"/>
          <w:sz w:val="24"/>
          <w:szCs w:val="24"/>
          <w:lang w:val="en-US"/>
        </w:rPr>
        <w:t xml:space="preserve">= </w:t>
      </w:r>
      <w:r w:rsidRPr="002029F9">
        <w:rPr>
          <w:rFonts w:ascii="Arial" w:hAnsi="Arial" w:cs="Arial"/>
          <w:sz w:val="24"/>
          <w:szCs w:val="24"/>
          <w:lang w:val="en-US"/>
        </w:rPr>
        <w:tab/>
        <w:t>Ratio (UFN</w:t>
      </w:r>
      <w:r w:rsidRPr="002029F9">
        <w:rPr>
          <w:rFonts w:ascii="Arial" w:hAnsi="Arial" w:cs="Arial"/>
          <w:sz w:val="24"/>
          <w:szCs w:val="24"/>
          <w:vertAlign w:val="subscript"/>
          <w:lang w:val="en-US"/>
        </w:rPr>
        <w:t xml:space="preserve">t </w:t>
      </w:r>
      <w:r w:rsidRPr="002029F9">
        <w:rPr>
          <w:rFonts w:ascii="Arial" w:hAnsi="Arial" w:cs="Arial"/>
          <w:sz w:val="24"/>
          <w:szCs w:val="24"/>
          <w:lang w:val="en-US"/>
        </w:rPr>
        <w:t>,MNI</w:t>
      </w:r>
      <w:r w:rsidRPr="002029F9">
        <w:rPr>
          <w:rFonts w:ascii="Arial" w:hAnsi="Arial" w:cs="Arial"/>
          <w:sz w:val="24"/>
          <w:szCs w:val="24"/>
          <w:vertAlign w:val="subscript"/>
          <w:lang w:val="en-US"/>
        </w:rPr>
        <w:t>t</w:t>
      </w:r>
      <w:r w:rsidRPr="002029F9">
        <w:rPr>
          <w:rFonts w:ascii="Arial" w:hAnsi="Arial" w:cs="Arial"/>
          <w:sz w:val="24"/>
          <w:szCs w:val="24"/>
          <w:lang w:val="en-US"/>
        </w:rPr>
        <w:t>,)* (MNI</w:t>
      </w:r>
      <w:r w:rsidRPr="002029F9">
        <w:rPr>
          <w:rFonts w:ascii="Arial" w:hAnsi="Arial" w:cs="Arial"/>
          <w:sz w:val="24"/>
          <w:szCs w:val="24"/>
          <w:vertAlign w:val="subscript"/>
          <w:lang w:val="en-US"/>
        </w:rPr>
        <w:t>T+1</w:t>
      </w:r>
      <w:r w:rsidRPr="002029F9">
        <w:rPr>
          <w:rFonts w:ascii="Arial" w:hAnsi="Arial" w:cs="Arial"/>
          <w:sz w:val="24"/>
          <w:szCs w:val="24"/>
          <w:lang w:val="en-US"/>
        </w:rPr>
        <w:t>)</w:t>
      </w:r>
    </w:p>
    <w:p w:rsidR="00A3014D" w:rsidRPr="002029F9" w:rsidRDefault="00A3014D" w:rsidP="0031074E">
      <w:pPr>
        <w:spacing w:line="360" w:lineRule="auto"/>
        <w:ind w:left="708" w:firstLine="708"/>
        <w:jc w:val="both"/>
        <w:rPr>
          <w:rFonts w:ascii="Arial" w:hAnsi="Arial" w:cs="Arial"/>
          <w:sz w:val="24"/>
          <w:szCs w:val="24"/>
          <w:lang w:val="en-US"/>
        </w:rPr>
      </w:pPr>
      <w:r w:rsidRPr="002029F9">
        <w:rPr>
          <w:rFonts w:ascii="Arial" w:hAnsi="Arial" w:cs="Arial"/>
          <w:sz w:val="24"/>
          <w:szCs w:val="24"/>
          <w:lang w:val="en-US"/>
        </w:rPr>
        <w:t>GTP</w:t>
      </w:r>
      <w:r w:rsidRPr="002029F9">
        <w:rPr>
          <w:rFonts w:ascii="Arial" w:hAnsi="Arial" w:cs="Arial"/>
          <w:sz w:val="24"/>
          <w:szCs w:val="24"/>
          <w:vertAlign w:val="subscript"/>
          <w:lang w:val="en-US"/>
        </w:rPr>
        <w:t>T+1</w:t>
      </w:r>
      <w:r w:rsidR="0031074E">
        <w:rPr>
          <w:rFonts w:ascii="Arial" w:hAnsi="Arial" w:cs="Arial"/>
          <w:sz w:val="24"/>
          <w:szCs w:val="24"/>
          <w:lang w:val="en-US"/>
        </w:rPr>
        <w:t xml:space="preserve"> </w:t>
      </w:r>
      <w:r w:rsidR="0031074E">
        <w:rPr>
          <w:rFonts w:ascii="Arial" w:hAnsi="Arial" w:cs="Arial"/>
          <w:sz w:val="24"/>
          <w:szCs w:val="24"/>
          <w:lang w:val="en-US"/>
        </w:rPr>
        <w:tab/>
      </w:r>
      <w:r w:rsidRPr="002029F9">
        <w:rPr>
          <w:rFonts w:ascii="Arial" w:hAnsi="Arial" w:cs="Arial"/>
          <w:sz w:val="24"/>
          <w:szCs w:val="24"/>
          <w:lang w:val="en-US"/>
        </w:rPr>
        <w:t xml:space="preserve">= </w:t>
      </w:r>
      <w:r w:rsidRPr="002029F9">
        <w:rPr>
          <w:rFonts w:ascii="Arial" w:hAnsi="Arial" w:cs="Arial"/>
          <w:sz w:val="24"/>
          <w:szCs w:val="24"/>
          <w:lang w:val="en-US"/>
        </w:rPr>
        <w:tab/>
        <w:t>Ratio (GTP</w:t>
      </w:r>
      <w:r w:rsidRPr="002029F9">
        <w:rPr>
          <w:rFonts w:ascii="Arial" w:hAnsi="Arial" w:cs="Arial"/>
          <w:sz w:val="24"/>
          <w:szCs w:val="24"/>
          <w:vertAlign w:val="subscript"/>
          <w:lang w:val="en-US"/>
        </w:rPr>
        <w:t xml:space="preserve">t </w:t>
      </w:r>
      <w:r w:rsidRPr="002029F9">
        <w:rPr>
          <w:rFonts w:ascii="Arial" w:hAnsi="Arial" w:cs="Arial"/>
          <w:sz w:val="24"/>
          <w:szCs w:val="24"/>
          <w:lang w:val="en-US"/>
        </w:rPr>
        <w:t>, CV</w:t>
      </w:r>
      <w:r w:rsidRPr="002029F9">
        <w:rPr>
          <w:rFonts w:ascii="Arial" w:hAnsi="Arial" w:cs="Arial"/>
          <w:sz w:val="24"/>
          <w:szCs w:val="24"/>
          <w:vertAlign w:val="subscript"/>
          <w:lang w:val="en-US"/>
        </w:rPr>
        <w:t>t</w:t>
      </w:r>
      <w:r w:rsidRPr="002029F9">
        <w:rPr>
          <w:rFonts w:ascii="Arial" w:hAnsi="Arial" w:cs="Arial"/>
          <w:sz w:val="24"/>
          <w:szCs w:val="24"/>
          <w:lang w:val="en-US"/>
        </w:rPr>
        <w:t>,)* (CV</w:t>
      </w:r>
      <w:r w:rsidRPr="002029F9">
        <w:rPr>
          <w:rFonts w:ascii="Arial" w:hAnsi="Arial" w:cs="Arial"/>
          <w:sz w:val="24"/>
          <w:szCs w:val="24"/>
          <w:vertAlign w:val="subscript"/>
          <w:lang w:val="en-US"/>
        </w:rPr>
        <w:t>T+1</w:t>
      </w:r>
      <w:r w:rsidRPr="002029F9">
        <w:rPr>
          <w:rFonts w:ascii="Arial" w:hAnsi="Arial" w:cs="Arial"/>
          <w:sz w:val="24"/>
          <w:szCs w:val="24"/>
          <w:lang w:val="en-US"/>
        </w:rPr>
        <w:t>)</w:t>
      </w:r>
    </w:p>
    <w:p w:rsidR="00A3014D" w:rsidRPr="002029F9" w:rsidRDefault="00A3014D" w:rsidP="0031074E">
      <w:pPr>
        <w:spacing w:line="360" w:lineRule="auto"/>
        <w:ind w:left="708" w:firstLine="708"/>
        <w:jc w:val="both"/>
        <w:rPr>
          <w:rFonts w:ascii="Arial" w:hAnsi="Arial" w:cs="Arial"/>
          <w:sz w:val="24"/>
          <w:szCs w:val="24"/>
          <w:lang w:val="en-US"/>
        </w:rPr>
      </w:pPr>
      <w:r w:rsidRPr="002029F9">
        <w:rPr>
          <w:rFonts w:ascii="Arial" w:hAnsi="Arial" w:cs="Arial"/>
          <w:sz w:val="24"/>
          <w:szCs w:val="24"/>
          <w:lang w:val="en-US"/>
        </w:rPr>
        <w:t>GTO</w:t>
      </w:r>
      <w:r w:rsidRPr="002029F9">
        <w:rPr>
          <w:rFonts w:ascii="Arial" w:hAnsi="Arial" w:cs="Arial"/>
          <w:sz w:val="24"/>
          <w:szCs w:val="24"/>
          <w:vertAlign w:val="subscript"/>
          <w:lang w:val="en-US"/>
        </w:rPr>
        <w:t>T+1</w:t>
      </w:r>
      <w:r w:rsidRPr="002029F9">
        <w:rPr>
          <w:rFonts w:ascii="Arial" w:hAnsi="Arial" w:cs="Arial"/>
          <w:sz w:val="24"/>
          <w:szCs w:val="24"/>
          <w:lang w:val="en-US"/>
        </w:rPr>
        <w:t xml:space="preserve"> </w:t>
      </w:r>
      <w:r w:rsidRPr="002029F9">
        <w:rPr>
          <w:rFonts w:ascii="Arial" w:hAnsi="Arial" w:cs="Arial"/>
          <w:sz w:val="24"/>
          <w:szCs w:val="24"/>
          <w:lang w:val="en-US"/>
        </w:rPr>
        <w:tab/>
        <w:t xml:space="preserve">= </w:t>
      </w:r>
      <w:r w:rsidRPr="002029F9">
        <w:rPr>
          <w:rFonts w:ascii="Arial" w:hAnsi="Arial" w:cs="Arial"/>
          <w:sz w:val="24"/>
          <w:szCs w:val="24"/>
          <w:lang w:val="en-US"/>
        </w:rPr>
        <w:tab/>
        <w:t>Ratio (GTO</w:t>
      </w:r>
      <w:r w:rsidRPr="002029F9">
        <w:rPr>
          <w:rFonts w:ascii="Arial" w:hAnsi="Arial" w:cs="Arial"/>
          <w:sz w:val="24"/>
          <w:szCs w:val="24"/>
          <w:vertAlign w:val="subscript"/>
          <w:lang w:val="en-US"/>
        </w:rPr>
        <w:t xml:space="preserve">t </w:t>
      </w:r>
      <w:r w:rsidRPr="002029F9">
        <w:rPr>
          <w:rFonts w:ascii="Arial" w:hAnsi="Arial" w:cs="Arial"/>
          <w:sz w:val="24"/>
          <w:szCs w:val="24"/>
          <w:lang w:val="en-US"/>
        </w:rPr>
        <w:t>, CN</w:t>
      </w:r>
      <w:r w:rsidRPr="002029F9">
        <w:rPr>
          <w:rFonts w:ascii="Arial" w:hAnsi="Arial" w:cs="Arial"/>
          <w:sz w:val="24"/>
          <w:szCs w:val="24"/>
          <w:vertAlign w:val="subscript"/>
          <w:lang w:val="en-US"/>
        </w:rPr>
        <w:t>t</w:t>
      </w:r>
      <w:r w:rsidRPr="002029F9">
        <w:rPr>
          <w:rFonts w:ascii="Arial" w:hAnsi="Arial" w:cs="Arial"/>
          <w:sz w:val="24"/>
          <w:szCs w:val="24"/>
          <w:lang w:val="en-US"/>
        </w:rPr>
        <w:t>, MNI</w:t>
      </w:r>
      <w:r w:rsidRPr="002029F9">
        <w:rPr>
          <w:rFonts w:ascii="Arial" w:hAnsi="Arial" w:cs="Arial"/>
          <w:sz w:val="24"/>
          <w:szCs w:val="24"/>
          <w:vertAlign w:val="subscript"/>
          <w:lang w:val="en-US"/>
        </w:rPr>
        <w:t>t</w:t>
      </w:r>
      <w:r w:rsidRPr="002029F9">
        <w:rPr>
          <w:rFonts w:ascii="Arial" w:hAnsi="Arial" w:cs="Arial"/>
          <w:sz w:val="24"/>
          <w:szCs w:val="24"/>
          <w:lang w:val="en-US"/>
        </w:rPr>
        <w:t>)* (CN</w:t>
      </w:r>
      <w:r w:rsidRPr="002029F9">
        <w:rPr>
          <w:rFonts w:ascii="Arial" w:hAnsi="Arial" w:cs="Arial"/>
          <w:sz w:val="24"/>
          <w:szCs w:val="24"/>
          <w:vertAlign w:val="subscript"/>
          <w:lang w:val="en-US"/>
        </w:rPr>
        <w:t>T+1</w:t>
      </w:r>
      <w:r w:rsidRPr="002029F9">
        <w:rPr>
          <w:rFonts w:ascii="Arial" w:hAnsi="Arial" w:cs="Arial"/>
          <w:sz w:val="24"/>
          <w:szCs w:val="24"/>
          <w:lang w:val="en-US"/>
        </w:rPr>
        <w:t xml:space="preserve"> + MNI</w:t>
      </w:r>
      <w:r w:rsidRPr="002029F9">
        <w:rPr>
          <w:rFonts w:ascii="Arial" w:hAnsi="Arial" w:cs="Arial"/>
          <w:sz w:val="24"/>
          <w:szCs w:val="24"/>
          <w:vertAlign w:val="subscript"/>
          <w:lang w:val="en-US"/>
        </w:rPr>
        <w:t>T+1</w:t>
      </w:r>
      <w:r w:rsidRPr="002029F9">
        <w:rPr>
          <w:rFonts w:ascii="Arial" w:hAnsi="Arial" w:cs="Arial"/>
          <w:sz w:val="24"/>
          <w:szCs w:val="24"/>
          <w:lang w:val="en-US"/>
        </w:rPr>
        <w:t>)</w:t>
      </w:r>
    </w:p>
    <w:p w:rsidR="00A3014D" w:rsidRPr="002029F9" w:rsidRDefault="00A3014D" w:rsidP="0031074E">
      <w:pPr>
        <w:spacing w:line="360" w:lineRule="auto"/>
        <w:ind w:left="708" w:firstLine="708"/>
        <w:jc w:val="both"/>
        <w:rPr>
          <w:rFonts w:ascii="Arial" w:hAnsi="Arial" w:cs="Arial"/>
          <w:sz w:val="24"/>
          <w:szCs w:val="24"/>
          <w:lang w:val="en-US"/>
        </w:rPr>
      </w:pPr>
      <w:r w:rsidRPr="002029F9">
        <w:rPr>
          <w:rFonts w:ascii="Arial" w:hAnsi="Arial" w:cs="Arial"/>
          <w:sz w:val="24"/>
          <w:szCs w:val="24"/>
          <w:lang w:val="en-US"/>
        </w:rPr>
        <w:t>OIGN</w:t>
      </w:r>
      <w:r w:rsidRPr="002029F9">
        <w:rPr>
          <w:rFonts w:ascii="Arial" w:hAnsi="Arial" w:cs="Arial"/>
          <w:sz w:val="24"/>
          <w:szCs w:val="24"/>
          <w:vertAlign w:val="subscript"/>
          <w:lang w:val="en-US"/>
        </w:rPr>
        <w:t>T+1</w:t>
      </w:r>
      <w:r w:rsidRPr="002029F9">
        <w:rPr>
          <w:rFonts w:ascii="Arial" w:hAnsi="Arial" w:cs="Arial"/>
          <w:sz w:val="24"/>
          <w:szCs w:val="24"/>
          <w:lang w:val="en-US"/>
        </w:rPr>
        <w:t xml:space="preserve"> </w:t>
      </w:r>
      <w:r w:rsidRPr="002029F9">
        <w:rPr>
          <w:rFonts w:ascii="Arial" w:hAnsi="Arial" w:cs="Arial"/>
          <w:sz w:val="24"/>
          <w:szCs w:val="24"/>
          <w:lang w:val="en-US"/>
        </w:rPr>
        <w:tab/>
        <w:t xml:space="preserve">= </w:t>
      </w:r>
      <w:r w:rsidRPr="002029F9">
        <w:rPr>
          <w:rFonts w:ascii="Arial" w:hAnsi="Arial" w:cs="Arial"/>
          <w:sz w:val="24"/>
          <w:szCs w:val="24"/>
          <w:lang w:val="en-US"/>
        </w:rPr>
        <w:tab/>
        <w:t>Ratio (OIGN</w:t>
      </w:r>
      <w:r w:rsidRPr="002029F9">
        <w:rPr>
          <w:rFonts w:ascii="Arial" w:hAnsi="Arial" w:cs="Arial"/>
          <w:sz w:val="24"/>
          <w:szCs w:val="24"/>
          <w:vertAlign w:val="subscript"/>
          <w:lang w:val="en-US"/>
        </w:rPr>
        <w:t xml:space="preserve">t </w:t>
      </w:r>
      <w:r w:rsidRPr="002029F9">
        <w:rPr>
          <w:rFonts w:ascii="Arial" w:hAnsi="Arial" w:cs="Arial"/>
          <w:sz w:val="24"/>
          <w:szCs w:val="24"/>
          <w:lang w:val="en-US"/>
        </w:rPr>
        <w:t>, CB</w:t>
      </w:r>
      <w:r w:rsidRPr="002029F9">
        <w:rPr>
          <w:rFonts w:ascii="Arial" w:hAnsi="Arial" w:cs="Arial"/>
          <w:sz w:val="24"/>
          <w:szCs w:val="24"/>
          <w:vertAlign w:val="subscript"/>
          <w:lang w:val="en-US"/>
        </w:rPr>
        <w:t>t</w:t>
      </w:r>
      <w:r w:rsidRPr="002029F9">
        <w:rPr>
          <w:rFonts w:ascii="Arial" w:hAnsi="Arial" w:cs="Arial"/>
          <w:sz w:val="24"/>
          <w:szCs w:val="24"/>
          <w:lang w:val="en-US"/>
        </w:rPr>
        <w:t>)* (CB</w:t>
      </w:r>
      <w:r w:rsidRPr="002029F9">
        <w:rPr>
          <w:rFonts w:ascii="Arial" w:hAnsi="Arial" w:cs="Arial"/>
          <w:sz w:val="24"/>
          <w:szCs w:val="24"/>
          <w:vertAlign w:val="subscript"/>
          <w:lang w:val="en-US"/>
        </w:rPr>
        <w:t>T+1</w:t>
      </w:r>
      <w:r w:rsidRPr="002029F9">
        <w:rPr>
          <w:rFonts w:ascii="Arial" w:hAnsi="Arial" w:cs="Arial"/>
          <w:sz w:val="24"/>
          <w:szCs w:val="24"/>
          <w:lang w:val="en-US"/>
        </w:rPr>
        <w:t>)</w:t>
      </w:r>
    </w:p>
    <w:p w:rsidR="00A3014D" w:rsidRPr="002029F9" w:rsidRDefault="00A3014D" w:rsidP="0031074E">
      <w:pPr>
        <w:spacing w:line="360" w:lineRule="auto"/>
        <w:ind w:left="708"/>
        <w:jc w:val="both"/>
        <w:rPr>
          <w:rFonts w:ascii="Arial" w:hAnsi="Arial" w:cs="Arial"/>
          <w:sz w:val="24"/>
          <w:szCs w:val="24"/>
          <w:lang w:val="en-US"/>
        </w:rPr>
      </w:pPr>
      <w:r w:rsidRPr="002029F9">
        <w:rPr>
          <w:rFonts w:ascii="Arial" w:hAnsi="Arial" w:cs="Arial"/>
          <w:sz w:val="24"/>
          <w:szCs w:val="24"/>
          <w:lang w:val="en-US"/>
        </w:rPr>
        <w:t xml:space="preserve">          </w:t>
      </w:r>
    </w:p>
    <w:p w:rsidR="00A3014D" w:rsidRPr="0035338C" w:rsidRDefault="00A3014D" w:rsidP="00A3014D">
      <w:pPr>
        <w:pStyle w:val="Prrafodelista1"/>
        <w:spacing w:line="360" w:lineRule="auto"/>
        <w:ind w:left="0"/>
        <w:rPr>
          <w:rFonts w:ascii="Arial" w:hAnsi="Arial" w:cs="Arial"/>
          <w:sz w:val="20"/>
          <w:szCs w:val="20"/>
          <w:lang w:val="en-GB"/>
        </w:rPr>
      </w:pPr>
    </w:p>
    <w:p w:rsidR="00A3014D" w:rsidRPr="0035338C" w:rsidRDefault="00A3014D" w:rsidP="00A3014D">
      <w:pPr>
        <w:pStyle w:val="Prrafodelista1"/>
        <w:tabs>
          <w:tab w:val="left" w:pos="900"/>
        </w:tabs>
        <w:spacing w:line="360" w:lineRule="auto"/>
        <w:ind w:left="0"/>
        <w:rPr>
          <w:rFonts w:ascii="Arial" w:hAnsi="Arial" w:cs="Arial"/>
          <w:sz w:val="20"/>
          <w:szCs w:val="20"/>
          <w:lang w:val="en-GB"/>
        </w:rPr>
      </w:pPr>
      <w:r w:rsidRPr="0035338C">
        <w:rPr>
          <w:rFonts w:ascii="Arial" w:hAnsi="Arial" w:cs="Arial"/>
          <w:sz w:val="20"/>
          <w:szCs w:val="20"/>
          <w:lang w:val="en-GB"/>
        </w:rPr>
        <w:tab/>
      </w:r>
    </w:p>
    <w:p w:rsidR="00A3014D" w:rsidRPr="0035338C" w:rsidRDefault="00A3014D" w:rsidP="00A3014D">
      <w:pPr>
        <w:pStyle w:val="Prrafodelista1"/>
        <w:spacing w:line="360" w:lineRule="auto"/>
        <w:ind w:left="0"/>
        <w:rPr>
          <w:rFonts w:ascii="Arial" w:hAnsi="Arial" w:cs="Arial"/>
          <w:sz w:val="20"/>
          <w:szCs w:val="20"/>
          <w:lang w:val="en-GB"/>
        </w:rPr>
      </w:pPr>
    </w:p>
    <w:p w:rsidR="00A3014D" w:rsidRPr="0035338C" w:rsidRDefault="00A3014D" w:rsidP="00A3014D">
      <w:pPr>
        <w:pStyle w:val="Prrafodelista1"/>
        <w:spacing w:line="360" w:lineRule="auto"/>
        <w:ind w:left="0"/>
        <w:rPr>
          <w:rFonts w:ascii="Arial" w:hAnsi="Arial" w:cs="Arial"/>
          <w:sz w:val="20"/>
          <w:szCs w:val="20"/>
          <w:lang w:val="en-GB"/>
        </w:rPr>
      </w:pPr>
    </w:p>
    <w:p w:rsidR="00A3014D" w:rsidRPr="0035338C" w:rsidRDefault="00A3014D" w:rsidP="00A3014D">
      <w:pPr>
        <w:pStyle w:val="Prrafodelista1"/>
        <w:spacing w:line="360" w:lineRule="auto"/>
        <w:ind w:left="0"/>
        <w:jc w:val="center"/>
        <w:rPr>
          <w:rFonts w:ascii="Arial" w:hAnsi="Arial" w:cs="Arial"/>
          <w:b/>
          <w:sz w:val="20"/>
          <w:szCs w:val="20"/>
          <w:lang w:val="en-US"/>
        </w:rPr>
        <w:sectPr w:rsidR="00A3014D" w:rsidRPr="0035338C" w:rsidSect="00F27DFF">
          <w:footnotePr>
            <w:pos w:val="beneathText"/>
          </w:footnotePr>
          <w:pgSz w:w="11907" w:h="16840" w:code="9"/>
          <w:pgMar w:top="1985" w:right="1418" w:bottom="1985" w:left="2268" w:header="720" w:footer="720" w:gutter="0"/>
          <w:cols w:space="720"/>
          <w:docGrid w:linePitch="360"/>
        </w:sectPr>
      </w:pPr>
    </w:p>
    <w:p w:rsidR="00A3014D" w:rsidRPr="0035338C" w:rsidRDefault="00A3014D" w:rsidP="00A3014D">
      <w:pPr>
        <w:pStyle w:val="Prrafodelista1"/>
        <w:spacing w:line="360" w:lineRule="auto"/>
        <w:ind w:left="0"/>
        <w:jc w:val="center"/>
        <w:rPr>
          <w:rFonts w:ascii="Arial" w:hAnsi="Arial" w:cs="Arial"/>
          <w:b/>
          <w:sz w:val="20"/>
          <w:szCs w:val="20"/>
          <w:lang w:val="en-US"/>
        </w:rPr>
      </w:pPr>
    </w:p>
    <w:p w:rsidR="00A3014D" w:rsidRPr="0035338C" w:rsidRDefault="00A3014D" w:rsidP="00A3014D">
      <w:pPr>
        <w:pStyle w:val="Prrafodelista1"/>
        <w:spacing w:line="360" w:lineRule="auto"/>
        <w:ind w:left="0"/>
        <w:jc w:val="center"/>
        <w:rPr>
          <w:rFonts w:ascii="Arial" w:hAnsi="Arial" w:cs="Arial"/>
          <w:b/>
          <w:sz w:val="20"/>
          <w:szCs w:val="20"/>
          <w:lang w:val="en-US"/>
        </w:rPr>
      </w:pPr>
    </w:p>
    <w:p w:rsidR="00A3014D" w:rsidRPr="00045D7F" w:rsidRDefault="00A3014D" w:rsidP="00A3014D">
      <w:pPr>
        <w:pStyle w:val="Prrafodelista1"/>
        <w:spacing w:line="360" w:lineRule="auto"/>
        <w:ind w:left="0"/>
        <w:jc w:val="center"/>
        <w:rPr>
          <w:rFonts w:ascii="Arial" w:hAnsi="Arial" w:cs="Arial"/>
          <w:b/>
          <w:sz w:val="28"/>
          <w:szCs w:val="28"/>
        </w:rPr>
      </w:pPr>
      <w:r w:rsidRPr="00045D7F">
        <w:rPr>
          <w:rFonts w:ascii="Arial" w:hAnsi="Arial" w:cs="Arial"/>
          <w:b/>
          <w:sz w:val="28"/>
          <w:szCs w:val="28"/>
        </w:rPr>
        <w:t>NOMENCLATURAS DE CUENTAS</w:t>
      </w:r>
    </w:p>
    <w:p w:rsidR="00A3014D" w:rsidRPr="002029F9" w:rsidRDefault="00A3014D" w:rsidP="00A3014D">
      <w:pPr>
        <w:pStyle w:val="Prrafodelista1"/>
        <w:spacing w:line="360" w:lineRule="auto"/>
        <w:ind w:left="0"/>
        <w:rPr>
          <w:rFonts w:ascii="Arial" w:hAnsi="Arial" w:cs="Arial"/>
          <w:sz w:val="32"/>
          <w:szCs w:val="32"/>
        </w:rPr>
      </w:pPr>
    </w:p>
    <w:p w:rsidR="00A3014D" w:rsidRPr="002029F9" w:rsidRDefault="00A3014D" w:rsidP="00045D7F">
      <w:pPr>
        <w:spacing w:line="360" w:lineRule="auto"/>
        <w:ind w:left="708" w:firstLine="708"/>
        <w:jc w:val="both"/>
        <w:rPr>
          <w:rFonts w:ascii="Arial" w:hAnsi="Arial" w:cs="Arial"/>
          <w:sz w:val="24"/>
          <w:szCs w:val="24"/>
        </w:rPr>
      </w:pPr>
      <w:r w:rsidRPr="002029F9">
        <w:rPr>
          <w:rFonts w:ascii="Arial" w:hAnsi="Arial" w:cs="Arial"/>
          <w:sz w:val="24"/>
          <w:szCs w:val="24"/>
        </w:rPr>
        <w:t xml:space="preserve">FD </w:t>
      </w:r>
      <w:r w:rsidRPr="002029F9">
        <w:rPr>
          <w:rFonts w:ascii="Arial" w:hAnsi="Arial" w:cs="Arial"/>
          <w:sz w:val="24"/>
          <w:szCs w:val="24"/>
        </w:rPr>
        <w:tab/>
      </w:r>
      <w:r w:rsidRPr="002029F9">
        <w:rPr>
          <w:rFonts w:ascii="Arial" w:hAnsi="Arial" w:cs="Arial"/>
          <w:sz w:val="24"/>
          <w:szCs w:val="24"/>
        </w:rPr>
        <w:tab/>
        <w:t xml:space="preserve">= </w:t>
      </w:r>
      <w:r w:rsidRPr="002029F9">
        <w:rPr>
          <w:rFonts w:ascii="Arial" w:hAnsi="Arial" w:cs="Arial"/>
          <w:sz w:val="24"/>
          <w:szCs w:val="24"/>
        </w:rPr>
        <w:tab/>
        <w:t xml:space="preserve"> Fondos Disponibles</w:t>
      </w:r>
    </w:p>
    <w:p w:rsidR="00A3014D" w:rsidRPr="002029F9" w:rsidRDefault="00A3014D" w:rsidP="00045D7F">
      <w:pPr>
        <w:spacing w:line="360" w:lineRule="auto"/>
        <w:ind w:left="708" w:firstLine="708"/>
        <w:jc w:val="both"/>
        <w:rPr>
          <w:rFonts w:ascii="Arial" w:hAnsi="Arial" w:cs="Arial"/>
          <w:sz w:val="24"/>
          <w:szCs w:val="24"/>
        </w:rPr>
      </w:pPr>
      <w:r w:rsidRPr="002029F9">
        <w:rPr>
          <w:rFonts w:ascii="Arial" w:hAnsi="Arial" w:cs="Arial"/>
          <w:sz w:val="24"/>
          <w:szCs w:val="24"/>
        </w:rPr>
        <w:t xml:space="preserve">OP </w:t>
      </w:r>
      <w:r w:rsidRPr="002029F9">
        <w:rPr>
          <w:rFonts w:ascii="Arial" w:hAnsi="Arial" w:cs="Arial"/>
          <w:sz w:val="24"/>
          <w:szCs w:val="24"/>
        </w:rPr>
        <w:tab/>
      </w:r>
      <w:r w:rsidRPr="002029F9">
        <w:rPr>
          <w:rFonts w:ascii="Arial" w:hAnsi="Arial" w:cs="Arial"/>
          <w:sz w:val="24"/>
          <w:szCs w:val="24"/>
        </w:rPr>
        <w:tab/>
        <w:t>=</w:t>
      </w:r>
      <w:r w:rsidRPr="002029F9">
        <w:rPr>
          <w:rFonts w:ascii="Arial" w:hAnsi="Arial" w:cs="Arial"/>
          <w:sz w:val="24"/>
          <w:szCs w:val="24"/>
        </w:rPr>
        <w:tab/>
        <w:t xml:space="preserve"> Obligaciones con el Publico</w:t>
      </w:r>
    </w:p>
    <w:p w:rsidR="00A3014D" w:rsidRPr="002029F9" w:rsidRDefault="00A3014D" w:rsidP="00045D7F">
      <w:pPr>
        <w:spacing w:line="360" w:lineRule="auto"/>
        <w:ind w:left="708" w:firstLine="708"/>
        <w:jc w:val="both"/>
        <w:rPr>
          <w:rFonts w:ascii="Arial" w:hAnsi="Arial" w:cs="Arial"/>
          <w:sz w:val="24"/>
          <w:szCs w:val="24"/>
        </w:rPr>
      </w:pPr>
      <w:r w:rsidRPr="002029F9">
        <w:rPr>
          <w:rFonts w:ascii="Arial" w:hAnsi="Arial" w:cs="Arial"/>
          <w:sz w:val="24"/>
          <w:szCs w:val="24"/>
        </w:rPr>
        <w:t xml:space="preserve">I </w:t>
      </w:r>
      <w:r w:rsidRPr="002029F9">
        <w:rPr>
          <w:rFonts w:ascii="Arial" w:hAnsi="Arial" w:cs="Arial"/>
          <w:sz w:val="24"/>
          <w:szCs w:val="24"/>
        </w:rPr>
        <w:tab/>
      </w:r>
      <w:r w:rsidRPr="002029F9">
        <w:rPr>
          <w:rFonts w:ascii="Arial" w:hAnsi="Arial" w:cs="Arial"/>
          <w:sz w:val="24"/>
          <w:szCs w:val="24"/>
        </w:rPr>
        <w:tab/>
        <w:t>=</w:t>
      </w:r>
      <w:r w:rsidRPr="002029F9">
        <w:rPr>
          <w:rFonts w:ascii="Arial" w:hAnsi="Arial" w:cs="Arial"/>
          <w:sz w:val="24"/>
          <w:szCs w:val="24"/>
        </w:rPr>
        <w:tab/>
        <w:t xml:space="preserve"> Inversiones</w:t>
      </w:r>
    </w:p>
    <w:p w:rsidR="00A3014D" w:rsidRPr="002029F9" w:rsidRDefault="00A3014D" w:rsidP="00045D7F">
      <w:pPr>
        <w:spacing w:line="360" w:lineRule="auto"/>
        <w:ind w:left="708" w:firstLine="708"/>
        <w:jc w:val="both"/>
        <w:rPr>
          <w:rFonts w:ascii="Arial" w:hAnsi="Arial" w:cs="Arial"/>
          <w:sz w:val="24"/>
          <w:szCs w:val="24"/>
        </w:rPr>
      </w:pPr>
      <w:r w:rsidRPr="002029F9">
        <w:rPr>
          <w:rFonts w:ascii="Arial" w:hAnsi="Arial" w:cs="Arial"/>
          <w:sz w:val="24"/>
          <w:szCs w:val="24"/>
        </w:rPr>
        <w:t xml:space="preserve">CV </w:t>
      </w:r>
      <w:r w:rsidRPr="002029F9">
        <w:rPr>
          <w:rFonts w:ascii="Arial" w:hAnsi="Arial" w:cs="Arial"/>
          <w:sz w:val="24"/>
          <w:szCs w:val="24"/>
        </w:rPr>
        <w:tab/>
      </w:r>
      <w:r w:rsidRPr="002029F9">
        <w:rPr>
          <w:rFonts w:ascii="Arial" w:hAnsi="Arial" w:cs="Arial"/>
          <w:sz w:val="24"/>
          <w:szCs w:val="24"/>
        </w:rPr>
        <w:tab/>
        <w:t>=</w:t>
      </w:r>
      <w:r w:rsidRPr="002029F9">
        <w:rPr>
          <w:rFonts w:ascii="Arial" w:hAnsi="Arial" w:cs="Arial"/>
          <w:sz w:val="24"/>
          <w:szCs w:val="24"/>
        </w:rPr>
        <w:tab/>
        <w:t xml:space="preserve"> Cartera Vencida</w:t>
      </w:r>
    </w:p>
    <w:p w:rsidR="00A3014D" w:rsidRPr="002029F9" w:rsidRDefault="00A3014D" w:rsidP="00045D7F">
      <w:pPr>
        <w:spacing w:line="360" w:lineRule="auto"/>
        <w:ind w:left="708" w:firstLine="708"/>
        <w:jc w:val="both"/>
        <w:rPr>
          <w:rFonts w:ascii="Arial" w:hAnsi="Arial" w:cs="Arial"/>
          <w:sz w:val="24"/>
          <w:szCs w:val="24"/>
        </w:rPr>
      </w:pPr>
      <w:r w:rsidRPr="002029F9">
        <w:rPr>
          <w:rFonts w:ascii="Arial" w:hAnsi="Arial" w:cs="Arial"/>
          <w:sz w:val="24"/>
          <w:szCs w:val="24"/>
        </w:rPr>
        <w:t xml:space="preserve">CB </w:t>
      </w:r>
      <w:r w:rsidRPr="002029F9">
        <w:rPr>
          <w:rFonts w:ascii="Arial" w:hAnsi="Arial" w:cs="Arial"/>
          <w:sz w:val="24"/>
          <w:szCs w:val="24"/>
        </w:rPr>
        <w:tab/>
      </w:r>
      <w:r w:rsidRPr="002029F9">
        <w:rPr>
          <w:rFonts w:ascii="Arial" w:hAnsi="Arial" w:cs="Arial"/>
          <w:sz w:val="24"/>
          <w:szCs w:val="24"/>
        </w:rPr>
        <w:tab/>
        <w:t>=</w:t>
      </w:r>
      <w:r w:rsidRPr="002029F9">
        <w:rPr>
          <w:rFonts w:ascii="Arial" w:hAnsi="Arial" w:cs="Arial"/>
          <w:sz w:val="24"/>
          <w:szCs w:val="24"/>
        </w:rPr>
        <w:tab/>
        <w:t xml:space="preserve"> Colocaciones Brutas</w:t>
      </w:r>
    </w:p>
    <w:p w:rsidR="00A3014D" w:rsidRPr="002029F9" w:rsidRDefault="00A3014D" w:rsidP="00045D7F">
      <w:pPr>
        <w:spacing w:line="360" w:lineRule="auto"/>
        <w:ind w:left="708" w:firstLine="708"/>
        <w:jc w:val="both"/>
        <w:rPr>
          <w:rFonts w:ascii="Arial" w:hAnsi="Arial" w:cs="Arial"/>
          <w:sz w:val="24"/>
          <w:szCs w:val="24"/>
        </w:rPr>
      </w:pPr>
      <w:r w:rsidRPr="002029F9">
        <w:rPr>
          <w:rFonts w:ascii="Arial" w:hAnsi="Arial" w:cs="Arial"/>
          <w:sz w:val="24"/>
          <w:szCs w:val="24"/>
        </w:rPr>
        <w:t xml:space="preserve">PCI </w:t>
      </w:r>
      <w:r w:rsidRPr="002029F9">
        <w:rPr>
          <w:rFonts w:ascii="Arial" w:hAnsi="Arial" w:cs="Arial"/>
          <w:sz w:val="24"/>
          <w:szCs w:val="24"/>
        </w:rPr>
        <w:tab/>
      </w:r>
      <w:r w:rsidRPr="002029F9">
        <w:rPr>
          <w:rFonts w:ascii="Arial" w:hAnsi="Arial" w:cs="Arial"/>
          <w:sz w:val="24"/>
          <w:szCs w:val="24"/>
        </w:rPr>
        <w:tab/>
        <w:t>=</w:t>
      </w:r>
      <w:r w:rsidRPr="002029F9">
        <w:rPr>
          <w:rFonts w:ascii="Arial" w:hAnsi="Arial" w:cs="Arial"/>
          <w:sz w:val="24"/>
          <w:szCs w:val="24"/>
        </w:rPr>
        <w:tab/>
        <w:t xml:space="preserve"> Provisión para Créditos Incobrables</w:t>
      </w:r>
    </w:p>
    <w:p w:rsidR="00A3014D" w:rsidRPr="002029F9" w:rsidRDefault="00A3014D" w:rsidP="00045D7F">
      <w:pPr>
        <w:spacing w:line="360" w:lineRule="auto"/>
        <w:ind w:left="708" w:firstLine="708"/>
        <w:jc w:val="both"/>
        <w:rPr>
          <w:rFonts w:ascii="Arial" w:hAnsi="Arial" w:cs="Arial"/>
          <w:sz w:val="24"/>
          <w:szCs w:val="24"/>
        </w:rPr>
      </w:pPr>
      <w:r w:rsidRPr="002029F9">
        <w:rPr>
          <w:rFonts w:ascii="Arial" w:hAnsi="Arial" w:cs="Arial"/>
          <w:sz w:val="24"/>
          <w:szCs w:val="24"/>
        </w:rPr>
        <w:t xml:space="preserve">OP </w:t>
      </w:r>
      <w:r w:rsidRPr="002029F9">
        <w:rPr>
          <w:rFonts w:ascii="Arial" w:hAnsi="Arial" w:cs="Arial"/>
          <w:sz w:val="24"/>
          <w:szCs w:val="24"/>
        </w:rPr>
        <w:tab/>
      </w:r>
      <w:r w:rsidRPr="002029F9">
        <w:rPr>
          <w:rFonts w:ascii="Arial" w:hAnsi="Arial" w:cs="Arial"/>
          <w:sz w:val="24"/>
          <w:szCs w:val="24"/>
        </w:rPr>
        <w:tab/>
        <w:t>=</w:t>
      </w:r>
      <w:r w:rsidRPr="002029F9">
        <w:rPr>
          <w:rFonts w:ascii="Arial" w:hAnsi="Arial" w:cs="Arial"/>
          <w:sz w:val="24"/>
          <w:szCs w:val="24"/>
        </w:rPr>
        <w:tab/>
        <w:t xml:space="preserve"> Obligaciones con el Publico</w:t>
      </w:r>
    </w:p>
    <w:p w:rsidR="00A3014D" w:rsidRPr="002029F9" w:rsidRDefault="00A3014D" w:rsidP="00045D7F">
      <w:pPr>
        <w:spacing w:line="360" w:lineRule="auto"/>
        <w:ind w:left="708" w:firstLine="708"/>
        <w:jc w:val="both"/>
        <w:rPr>
          <w:rFonts w:ascii="Arial" w:hAnsi="Arial" w:cs="Arial"/>
          <w:sz w:val="24"/>
          <w:szCs w:val="24"/>
        </w:rPr>
      </w:pPr>
      <w:r w:rsidRPr="002029F9">
        <w:rPr>
          <w:rFonts w:ascii="Arial" w:hAnsi="Arial" w:cs="Arial"/>
          <w:sz w:val="24"/>
          <w:szCs w:val="24"/>
        </w:rPr>
        <w:t xml:space="preserve">PAT </w:t>
      </w:r>
      <w:r w:rsidRPr="002029F9">
        <w:rPr>
          <w:rFonts w:ascii="Arial" w:hAnsi="Arial" w:cs="Arial"/>
          <w:sz w:val="24"/>
          <w:szCs w:val="24"/>
        </w:rPr>
        <w:tab/>
      </w:r>
      <w:r w:rsidRPr="002029F9">
        <w:rPr>
          <w:rFonts w:ascii="Arial" w:hAnsi="Arial" w:cs="Arial"/>
          <w:sz w:val="24"/>
          <w:szCs w:val="24"/>
        </w:rPr>
        <w:tab/>
        <w:t>=</w:t>
      </w:r>
      <w:r w:rsidRPr="002029F9">
        <w:rPr>
          <w:rFonts w:ascii="Arial" w:hAnsi="Arial" w:cs="Arial"/>
          <w:sz w:val="24"/>
          <w:szCs w:val="24"/>
        </w:rPr>
        <w:tab/>
        <w:t xml:space="preserve"> Patrimonio Total </w:t>
      </w:r>
    </w:p>
    <w:p w:rsidR="00A3014D" w:rsidRPr="002029F9" w:rsidRDefault="00A3014D" w:rsidP="00045D7F">
      <w:pPr>
        <w:spacing w:line="360" w:lineRule="auto"/>
        <w:ind w:left="708" w:firstLine="708"/>
        <w:jc w:val="both"/>
        <w:rPr>
          <w:rFonts w:ascii="Arial" w:hAnsi="Arial" w:cs="Arial"/>
          <w:sz w:val="24"/>
          <w:szCs w:val="24"/>
        </w:rPr>
      </w:pPr>
      <w:r w:rsidRPr="002029F9">
        <w:rPr>
          <w:rFonts w:ascii="Arial" w:hAnsi="Arial" w:cs="Arial"/>
          <w:sz w:val="24"/>
          <w:szCs w:val="24"/>
        </w:rPr>
        <w:t xml:space="preserve">MNI </w:t>
      </w:r>
      <w:r w:rsidRPr="002029F9">
        <w:rPr>
          <w:rFonts w:ascii="Arial" w:hAnsi="Arial" w:cs="Arial"/>
          <w:sz w:val="24"/>
          <w:szCs w:val="24"/>
        </w:rPr>
        <w:tab/>
      </w:r>
      <w:r w:rsidRPr="002029F9">
        <w:rPr>
          <w:rFonts w:ascii="Arial" w:hAnsi="Arial" w:cs="Arial"/>
          <w:sz w:val="24"/>
          <w:szCs w:val="24"/>
        </w:rPr>
        <w:tab/>
        <w:t>=</w:t>
      </w:r>
      <w:r w:rsidRPr="002029F9">
        <w:rPr>
          <w:rFonts w:ascii="Arial" w:hAnsi="Arial" w:cs="Arial"/>
          <w:sz w:val="24"/>
          <w:szCs w:val="24"/>
        </w:rPr>
        <w:tab/>
        <w:t xml:space="preserve"> Margen Neto de Interés </w:t>
      </w:r>
    </w:p>
    <w:p w:rsidR="00A3014D" w:rsidRPr="002029F9" w:rsidRDefault="00A3014D" w:rsidP="00045D7F">
      <w:pPr>
        <w:spacing w:line="360" w:lineRule="auto"/>
        <w:ind w:left="708" w:firstLine="708"/>
        <w:jc w:val="both"/>
        <w:rPr>
          <w:rFonts w:ascii="Arial" w:hAnsi="Arial" w:cs="Arial"/>
          <w:sz w:val="24"/>
          <w:szCs w:val="24"/>
        </w:rPr>
      </w:pPr>
      <w:r w:rsidRPr="002029F9">
        <w:rPr>
          <w:rFonts w:ascii="Arial" w:hAnsi="Arial" w:cs="Arial"/>
          <w:sz w:val="24"/>
          <w:szCs w:val="24"/>
        </w:rPr>
        <w:t xml:space="preserve">CN </w:t>
      </w:r>
      <w:r w:rsidRPr="002029F9">
        <w:rPr>
          <w:rFonts w:ascii="Arial" w:hAnsi="Arial" w:cs="Arial"/>
          <w:sz w:val="24"/>
          <w:szCs w:val="24"/>
        </w:rPr>
        <w:tab/>
      </w:r>
      <w:r w:rsidRPr="002029F9">
        <w:rPr>
          <w:rFonts w:ascii="Arial" w:hAnsi="Arial" w:cs="Arial"/>
          <w:sz w:val="24"/>
          <w:szCs w:val="24"/>
        </w:rPr>
        <w:tab/>
        <w:t xml:space="preserve">= </w:t>
      </w:r>
      <w:r w:rsidRPr="002029F9">
        <w:rPr>
          <w:rFonts w:ascii="Arial" w:hAnsi="Arial" w:cs="Arial"/>
          <w:sz w:val="24"/>
          <w:szCs w:val="24"/>
        </w:rPr>
        <w:tab/>
        <w:t xml:space="preserve"> Comisiones Netas</w:t>
      </w:r>
    </w:p>
    <w:p w:rsidR="00A3014D" w:rsidRPr="002029F9" w:rsidRDefault="00A3014D" w:rsidP="00045D7F">
      <w:pPr>
        <w:spacing w:line="360" w:lineRule="auto"/>
        <w:ind w:left="708" w:firstLine="708"/>
        <w:jc w:val="both"/>
        <w:rPr>
          <w:rFonts w:ascii="Arial" w:hAnsi="Arial" w:cs="Arial"/>
          <w:sz w:val="24"/>
          <w:szCs w:val="24"/>
        </w:rPr>
      </w:pPr>
      <w:r w:rsidRPr="002029F9">
        <w:rPr>
          <w:rFonts w:ascii="Arial" w:hAnsi="Arial" w:cs="Arial"/>
          <w:sz w:val="24"/>
          <w:szCs w:val="24"/>
        </w:rPr>
        <w:t xml:space="preserve">UFN </w:t>
      </w:r>
      <w:r w:rsidRPr="002029F9">
        <w:rPr>
          <w:rFonts w:ascii="Arial" w:hAnsi="Arial" w:cs="Arial"/>
          <w:sz w:val="24"/>
          <w:szCs w:val="24"/>
        </w:rPr>
        <w:tab/>
      </w:r>
      <w:r w:rsidRPr="002029F9">
        <w:rPr>
          <w:rFonts w:ascii="Arial" w:hAnsi="Arial" w:cs="Arial"/>
          <w:sz w:val="24"/>
          <w:szCs w:val="24"/>
        </w:rPr>
        <w:tab/>
        <w:t>=</w:t>
      </w:r>
      <w:r w:rsidRPr="002029F9">
        <w:rPr>
          <w:rFonts w:ascii="Arial" w:hAnsi="Arial" w:cs="Arial"/>
          <w:sz w:val="24"/>
          <w:szCs w:val="24"/>
        </w:rPr>
        <w:tab/>
        <w:t xml:space="preserve"> Utilidades Financieras Netas </w:t>
      </w:r>
    </w:p>
    <w:p w:rsidR="00A3014D" w:rsidRPr="002029F9" w:rsidRDefault="00A3014D" w:rsidP="00045D7F">
      <w:pPr>
        <w:spacing w:line="360" w:lineRule="auto"/>
        <w:ind w:left="708" w:firstLine="708"/>
        <w:jc w:val="both"/>
        <w:rPr>
          <w:rFonts w:ascii="Arial" w:hAnsi="Arial" w:cs="Arial"/>
          <w:sz w:val="24"/>
          <w:szCs w:val="24"/>
        </w:rPr>
      </w:pPr>
      <w:r w:rsidRPr="002029F9">
        <w:rPr>
          <w:rFonts w:ascii="Arial" w:hAnsi="Arial" w:cs="Arial"/>
          <w:sz w:val="24"/>
          <w:szCs w:val="24"/>
        </w:rPr>
        <w:t xml:space="preserve">GTP </w:t>
      </w:r>
      <w:r w:rsidRPr="002029F9">
        <w:rPr>
          <w:rFonts w:ascii="Arial" w:hAnsi="Arial" w:cs="Arial"/>
          <w:sz w:val="24"/>
          <w:szCs w:val="24"/>
        </w:rPr>
        <w:tab/>
      </w:r>
      <w:r w:rsidRPr="002029F9">
        <w:rPr>
          <w:rFonts w:ascii="Arial" w:hAnsi="Arial" w:cs="Arial"/>
          <w:sz w:val="24"/>
          <w:szCs w:val="24"/>
        </w:rPr>
        <w:tab/>
        <w:t>=</w:t>
      </w:r>
      <w:r w:rsidRPr="002029F9">
        <w:rPr>
          <w:rFonts w:ascii="Arial" w:hAnsi="Arial" w:cs="Arial"/>
          <w:sz w:val="24"/>
          <w:szCs w:val="24"/>
        </w:rPr>
        <w:tab/>
        <w:t xml:space="preserve"> Gastos por Provisión </w:t>
      </w:r>
    </w:p>
    <w:p w:rsidR="00045D7F" w:rsidRDefault="00A3014D" w:rsidP="00045D7F">
      <w:pPr>
        <w:pStyle w:val="Prrafodelista1"/>
        <w:spacing w:line="360" w:lineRule="auto"/>
        <w:ind w:left="708" w:firstLine="708"/>
        <w:rPr>
          <w:rFonts w:ascii="Arial" w:hAnsi="Arial" w:cs="Arial"/>
          <w:sz w:val="24"/>
          <w:szCs w:val="24"/>
        </w:rPr>
      </w:pPr>
      <w:r w:rsidRPr="002029F9">
        <w:rPr>
          <w:rFonts w:ascii="Arial" w:hAnsi="Arial" w:cs="Arial"/>
          <w:sz w:val="24"/>
          <w:szCs w:val="24"/>
        </w:rPr>
        <w:t xml:space="preserve">GTO </w:t>
      </w:r>
      <w:r w:rsidRPr="002029F9">
        <w:rPr>
          <w:rFonts w:ascii="Arial" w:hAnsi="Arial" w:cs="Arial"/>
          <w:sz w:val="24"/>
          <w:szCs w:val="24"/>
        </w:rPr>
        <w:tab/>
      </w:r>
      <w:r w:rsidRPr="002029F9">
        <w:rPr>
          <w:rFonts w:ascii="Arial" w:hAnsi="Arial" w:cs="Arial"/>
          <w:sz w:val="24"/>
          <w:szCs w:val="24"/>
        </w:rPr>
        <w:tab/>
        <w:t>=</w:t>
      </w:r>
      <w:r w:rsidRPr="002029F9">
        <w:rPr>
          <w:rFonts w:ascii="Arial" w:hAnsi="Arial" w:cs="Arial"/>
          <w:sz w:val="24"/>
          <w:szCs w:val="24"/>
        </w:rPr>
        <w:tab/>
        <w:t xml:space="preserve"> Gastos de Operación</w:t>
      </w:r>
    </w:p>
    <w:p w:rsidR="00045D7F" w:rsidRPr="002029F9" w:rsidRDefault="00045D7F" w:rsidP="00045D7F">
      <w:pPr>
        <w:pStyle w:val="Prrafodelista1"/>
        <w:spacing w:line="360" w:lineRule="auto"/>
        <w:ind w:left="708" w:firstLine="708"/>
        <w:rPr>
          <w:rFonts w:ascii="Arial" w:hAnsi="Arial" w:cs="Arial"/>
          <w:sz w:val="24"/>
          <w:szCs w:val="24"/>
        </w:rPr>
      </w:pPr>
    </w:p>
    <w:p w:rsidR="00A3014D" w:rsidRPr="002029F9" w:rsidRDefault="00A3014D" w:rsidP="00045D7F">
      <w:pPr>
        <w:pStyle w:val="Prrafodelista1"/>
        <w:spacing w:line="360" w:lineRule="auto"/>
        <w:ind w:left="708" w:firstLine="708"/>
        <w:rPr>
          <w:rFonts w:ascii="Arial" w:hAnsi="Arial" w:cs="Arial"/>
          <w:sz w:val="24"/>
          <w:szCs w:val="24"/>
        </w:rPr>
      </w:pPr>
      <w:r w:rsidRPr="002029F9">
        <w:rPr>
          <w:rFonts w:ascii="Arial" w:hAnsi="Arial" w:cs="Arial"/>
          <w:sz w:val="24"/>
          <w:szCs w:val="24"/>
        </w:rPr>
        <w:t xml:space="preserve">OIGN </w:t>
      </w:r>
      <w:r w:rsidRPr="002029F9">
        <w:rPr>
          <w:rFonts w:ascii="Arial" w:hAnsi="Arial" w:cs="Arial"/>
          <w:sz w:val="24"/>
          <w:szCs w:val="24"/>
        </w:rPr>
        <w:tab/>
      </w:r>
      <w:r w:rsidRPr="002029F9">
        <w:rPr>
          <w:rFonts w:ascii="Arial" w:hAnsi="Arial" w:cs="Arial"/>
          <w:sz w:val="24"/>
          <w:szCs w:val="24"/>
        </w:rPr>
        <w:tab/>
        <w:t>=</w:t>
      </w:r>
      <w:r w:rsidRPr="002029F9">
        <w:rPr>
          <w:rFonts w:ascii="Arial" w:hAnsi="Arial" w:cs="Arial"/>
          <w:sz w:val="24"/>
          <w:szCs w:val="24"/>
        </w:rPr>
        <w:tab/>
        <w:t xml:space="preserve"> Otros Ingresos Netos</w:t>
      </w:r>
    </w:p>
    <w:p w:rsidR="00A3014D" w:rsidRPr="002029F9" w:rsidRDefault="00A3014D" w:rsidP="00045D7F">
      <w:pPr>
        <w:spacing w:line="360" w:lineRule="auto"/>
        <w:rPr>
          <w:rFonts w:ascii="Arial" w:hAnsi="Arial" w:cs="Arial"/>
          <w:sz w:val="24"/>
          <w:szCs w:val="24"/>
        </w:rPr>
      </w:pPr>
    </w:p>
    <w:p w:rsidR="00A3014D" w:rsidRPr="0035338C" w:rsidRDefault="00A3014D" w:rsidP="00A3014D">
      <w:pPr>
        <w:spacing w:line="360" w:lineRule="auto"/>
        <w:jc w:val="center"/>
        <w:rPr>
          <w:rFonts w:ascii="Arial" w:hAnsi="Arial" w:cs="Arial"/>
          <w:b/>
          <w:sz w:val="20"/>
          <w:szCs w:val="20"/>
        </w:rPr>
        <w:sectPr w:rsidR="00A3014D" w:rsidRPr="0035338C" w:rsidSect="00F27DFF">
          <w:footnotePr>
            <w:pos w:val="beneathText"/>
          </w:footnotePr>
          <w:pgSz w:w="11907" w:h="16840" w:code="9"/>
          <w:pgMar w:top="1985" w:right="1418" w:bottom="1985" w:left="2268" w:header="720" w:footer="720" w:gutter="0"/>
          <w:cols w:space="720"/>
          <w:docGrid w:linePitch="360"/>
        </w:sectPr>
      </w:pPr>
    </w:p>
    <w:p w:rsidR="00A3014D" w:rsidRDefault="00A3014D" w:rsidP="00A3014D">
      <w:pPr>
        <w:spacing w:line="360" w:lineRule="auto"/>
        <w:jc w:val="center"/>
        <w:rPr>
          <w:rFonts w:ascii="Arial" w:hAnsi="Arial" w:cs="Arial"/>
          <w:b/>
          <w:sz w:val="20"/>
          <w:szCs w:val="20"/>
        </w:rPr>
      </w:pPr>
    </w:p>
    <w:p w:rsidR="00A3014D" w:rsidRDefault="00A3014D" w:rsidP="00A3014D">
      <w:pPr>
        <w:spacing w:line="360" w:lineRule="auto"/>
        <w:jc w:val="center"/>
        <w:rPr>
          <w:rFonts w:ascii="Arial" w:hAnsi="Arial" w:cs="Arial"/>
          <w:b/>
          <w:sz w:val="20"/>
          <w:szCs w:val="20"/>
        </w:rPr>
      </w:pPr>
    </w:p>
    <w:p w:rsidR="00A3014D" w:rsidRDefault="00A3014D" w:rsidP="00A3014D">
      <w:pPr>
        <w:spacing w:line="360" w:lineRule="auto"/>
        <w:jc w:val="center"/>
        <w:rPr>
          <w:rFonts w:ascii="Arial" w:hAnsi="Arial" w:cs="Arial"/>
          <w:b/>
          <w:sz w:val="20"/>
          <w:szCs w:val="20"/>
        </w:rPr>
      </w:pPr>
    </w:p>
    <w:p w:rsidR="00A3014D" w:rsidRDefault="00A3014D" w:rsidP="00A3014D">
      <w:pPr>
        <w:spacing w:line="360" w:lineRule="auto"/>
        <w:jc w:val="center"/>
        <w:rPr>
          <w:rFonts w:ascii="Arial" w:hAnsi="Arial" w:cs="Arial"/>
          <w:b/>
          <w:sz w:val="20"/>
          <w:szCs w:val="20"/>
        </w:rPr>
      </w:pPr>
    </w:p>
    <w:p w:rsidR="00A3014D" w:rsidRPr="0035338C" w:rsidRDefault="00A3014D" w:rsidP="00A3014D">
      <w:pPr>
        <w:spacing w:line="360" w:lineRule="auto"/>
        <w:jc w:val="center"/>
        <w:rPr>
          <w:rFonts w:ascii="Arial" w:hAnsi="Arial" w:cs="Arial"/>
          <w:b/>
          <w:sz w:val="20"/>
          <w:szCs w:val="20"/>
        </w:rPr>
      </w:pPr>
    </w:p>
    <w:p w:rsidR="00A3014D" w:rsidRPr="00045D7F" w:rsidRDefault="00A3014D" w:rsidP="00A3014D">
      <w:pPr>
        <w:spacing w:line="480" w:lineRule="auto"/>
        <w:jc w:val="center"/>
        <w:rPr>
          <w:rFonts w:ascii="Arial" w:hAnsi="Arial" w:cs="Arial"/>
          <w:b/>
          <w:sz w:val="28"/>
          <w:szCs w:val="28"/>
        </w:rPr>
      </w:pPr>
      <w:r w:rsidRPr="00045D7F">
        <w:rPr>
          <w:rFonts w:ascii="Arial" w:hAnsi="Arial" w:cs="Arial"/>
          <w:b/>
          <w:sz w:val="28"/>
          <w:szCs w:val="28"/>
        </w:rPr>
        <w:t>INTRODUCCIÓN</w:t>
      </w:r>
    </w:p>
    <w:p w:rsidR="00A3014D" w:rsidRDefault="00A3014D" w:rsidP="00045D7F">
      <w:pPr>
        <w:spacing w:line="360" w:lineRule="auto"/>
        <w:ind w:firstLine="851"/>
        <w:jc w:val="both"/>
        <w:rPr>
          <w:rFonts w:ascii="Arial" w:hAnsi="Arial" w:cs="Arial"/>
          <w:sz w:val="24"/>
          <w:szCs w:val="24"/>
          <w:lang w:val="es-ES"/>
        </w:rPr>
      </w:pPr>
      <w:r w:rsidRPr="00045D7F">
        <w:rPr>
          <w:rFonts w:ascii="Arial" w:hAnsi="Arial" w:cs="Arial"/>
          <w:sz w:val="24"/>
          <w:szCs w:val="24"/>
          <w:lang w:val="es-ES"/>
        </w:rPr>
        <w:t>En el Ecuador, debido a la crisis bancaria que vivimos hace aproximadamente 10 años, los inversionistas y/o posibles compradores de entidades financieras no confían plenamente en los valores de las acciones o de la entidad según sea el caso, por este motivo, se presenta la problemática en la valoración de los diversos entes económicos antes mencionados.</w:t>
      </w:r>
      <w:r w:rsidRPr="00045D7F">
        <w:rPr>
          <w:rFonts w:ascii="Arial" w:hAnsi="Arial" w:cs="Arial"/>
          <w:sz w:val="24"/>
          <w:szCs w:val="24"/>
          <w:lang w:val="es-ES"/>
        </w:rPr>
        <w:tab/>
      </w:r>
    </w:p>
    <w:p w:rsidR="00045D7F" w:rsidRPr="00045D7F" w:rsidRDefault="00045D7F" w:rsidP="00045D7F">
      <w:pPr>
        <w:spacing w:line="360" w:lineRule="auto"/>
        <w:ind w:firstLine="851"/>
        <w:jc w:val="both"/>
        <w:rPr>
          <w:rFonts w:ascii="Arial" w:hAnsi="Arial" w:cs="Arial"/>
          <w:sz w:val="24"/>
          <w:szCs w:val="24"/>
          <w:lang w:val="es-ES"/>
        </w:rPr>
      </w:pPr>
    </w:p>
    <w:p w:rsidR="00A3014D" w:rsidRDefault="00A3014D" w:rsidP="00045D7F">
      <w:pPr>
        <w:spacing w:line="360" w:lineRule="auto"/>
        <w:ind w:firstLine="851"/>
        <w:jc w:val="both"/>
        <w:rPr>
          <w:rFonts w:ascii="Arial" w:hAnsi="Arial" w:cs="Arial"/>
          <w:sz w:val="24"/>
          <w:szCs w:val="24"/>
          <w:lang w:val="es-ES"/>
        </w:rPr>
      </w:pPr>
      <w:r w:rsidRPr="00045D7F">
        <w:rPr>
          <w:rFonts w:ascii="Arial" w:hAnsi="Arial" w:cs="Arial"/>
          <w:sz w:val="24"/>
          <w:szCs w:val="24"/>
          <w:lang w:val="es-ES"/>
        </w:rPr>
        <w:t xml:space="preserve">Dado todos estos acontecimientos económicos es de suma importancia para los potenciales inversionistas, obtener una fuente de valoración confiable y que tome en cuenta todas las variables que ellos consideren importantes. </w:t>
      </w:r>
    </w:p>
    <w:p w:rsidR="00045D7F" w:rsidRPr="00045D7F" w:rsidRDefault="00045D7F" w:rsidP="00045D7F">
      <w:pPr>
        <w:spacing w:line="360" w:lineRule="auto"/>
        <w:ind w:firstLine="851"/>
        <w:jc w:val="both"/>
        <w:rPr>
          <w:rFonts w:ascii="Arial" w:hAnsi="Arial" w:cs="Arial"/>
          <w:sz w:val="24"/>
          <w:szCs w:val="24"/>
          <w:lang w:val="es-ES"/>
        </w:rPr>
      </w:pPr>
    </w:p>
    <w:p w:rsidR="00A3014D" w:rsidRDefault="00A3014D" w:rsidP="00045D7F">
      <w:pPr>
        <w:spacing w:line="360" w:lineRule="auto"/>
        <w:ind w:firstLine="851"/>
        <w:jc w:val="both"/>
        <w:rPr>
          <w:rFonts w:ascii="Arial" w:hAnsi="Arial" w:cs="Arial"/>
          <w:sz w:val="24"/>
          <w:szCs w:val="24"/>
          <w:lang w:val="es-ES"/>
        </w:rPr>
      </w:pPr>
      <w:r w:rsidRPr="00045D7F">
        <w:rPr>
          <w:rFonts w:ascii="Arial" w:hAnsi="Arial" w:cs="Arial"/>
          <w:sz w:val="24"/>
          <w:szCs w:val="24"/>
          <w:lang w:val="es-ES"/>
        </w:rPr>
        <w:t>En este caso una de las variables más influyentes en el sistema bancario, debería ser el riesgo que viene dado no solo por el riesgo de su cartera y sus inversiones, sino también del entorno del sistema bancario en general que se ve envuelto en un ambiente de incertidumbre debido a las restricciones que contienen las nuevas leyes financieras.</w:t>
      </w:r>
    </w:p>
    <w:p w:rsidR="00045D7F" w:rsidRPr="00045D7F" w:rsidRDefault="00045D7F" w:rsidP="00045D7F">
      <w:pPr>
        <w:spacing w:line="360" w:lineRule="auto"/>
        <w:ind w:firstLine="851"/>
        <w:jc w:val="both"/>
        <w:rPr>
          <w:rFonts w:ascii="Arial" w:hAnsi="Arial" w:cs="Arial"/>
          <w:sz w:val="24"/>
          <w:szCs w:val="24"/>
          <w:lang w:val="es-ES"/>
        </w:rPr>
      </w:pPr>
    </w:p>
    <w:p w:rsidR="00A3014D" w:rsidRPr="00045D7F" w:rsidRDefault="00A3014D" w:rsidP="00045D7F">
      <w:pPr>
        <w:spacing w:line="360" w:lineRule="auto"/>
        <w:ind w:firstLine="851"/>
        <w:jc w:val="both"/>
        <w:rPr>
          <w:rFonts w:ascii="Arial" w:hAnsi="Arial" w:cs="Arial"/>
          <w:sz w:val="24"/>
          <w:szCs w:val="24"/>
          <w:lang w:val="es-ES"/>
        </w:rPr>
      </w:pPr>
      <w:r w:rsidRPr="00045D7F">
        <w:rPr>
          <w:rFonts w:ascii="Arial" w:hAnsi="Arial" w:cs="Arial"/>
          <w:sz w:val="24"/>
          <w:szCs w:val="24"/>
          <w:lang w:val="es-ES"/>
        </w:rPr>
        <w:lastRenderedPageBreak/>
        <w:t>Por esta razón, las entidades financieras no pueden ser valoradas de la misma manera ni por los mismos métodos convencionales que las empresas productivas o de otros servicios debido a que la naturaleza de su negocio viene dado por ambas partes del balance, este es un punto que le añade importancia a la valoración de una entidad financiera.</w:t>
      </w:r>
    </w:p>
    <w:p w:rsidR="00A3014D" w:rsidRDefault="00A3014D" w:rsidP="00045D7F">
      <w:pPr>
        <w:spacing w:line="360" w:lineRule="auto"/>
        <w:ind w:firstLine="851"/>
        <w:jc w:val="both"/>
        <w:rPr>
          <w:rFonts w:ascii="Arial" w:eastAsia="Times New Roman" w:hAnsi="Arial" w:cs="Arial"/>
          <w:sz w:val="24"/>
          <w:szCs w:val="24"/>
          <w:lang w:val="es-ES" w:eastAsia="ar-SA"/>
        </w:rPr>
      </w:pPr>
      <w:r w:rsidRPr="00045D7F">
        <w:rPr>
          <w:rFonts w:ascii="Arial" w:eastAsia="Times New Roman" w:hAnsi="Arial" w:cs="Arial"/>
          <w:sz w:val="24"/>
          <w:szCs w:val="24"/>
          <w:lang w:val="es-ES" w:eastAsia="ar-SA"/>
        </w:rPr>
        <w:t>Por lo tanto el método que se utilizo se llama método de excesos de retornos, el cual toma su nombre del hecho de que lo que hace es demostrar que porcentaje de retorno que se está obteniendo sobre el esperado, siendo el retorno esperado el que obtenemos con el CAPM.</w:t>
      </w:r>
    </w:p>
    <w:p w:rsidR="00045D7F" w:rsidRPr="00045D7F" w:rsidRDefault="00045D7F" w:rsidP="00045D7F">
      <w:pPr>
        <w:spacing w:line="360" w:lineRule="auto"/>
        <w:ind w:firstLine="851"/>
        <w:jc w:val="both"/>
        <w:rPr>
          <w:rFonts w:ascii="Arial" w:eastAsia="Times New Roman" w:hAnsi="Arial" w:cs="Arial"/>
          <w:sz w:val="24"/>
          <w:szCs w:val="24"/>
          <w:lang w:val="es-ES" w:eastAsia="ar-SA"/>
        </w:rPr>
      </w:pPr>
    </w:p>
    <w:p w:rsidR="00A3014D" w:rsidRPr="00045D7F" w:rsidRDefault="00A3014D" w:rsidP="00045D7F">
      <w:pPr>
        <w:spacing w:line="360" w:lineRule="auto"/>
        <w:ind w:firstLine="851"/>
        <w:jc w:val="both"/>
        <w:rPr>
          <w:rFonts w:ascii="Arial" w:hAnsi="Arial" w:cs="Arial"/>
          <w:sz w:val="24"/>
          <w:szCs w:val="24"/>
          <w:lang w:val="es-ES"/>
        </w:rPr>
      </w:pPr>
      <w:r w:rsidRPr="00045D7F">
        <w:rPr>
          <w:rFonts w:ascii="Arial" w:hAnsi="Arial" w:cs="Arial"/>
          <w:sz w:val="24"/>
          <w:szCs w:val="24"/>
          <w:lang w:val="es-ES"/>
        </w:rPr>
        <w:t>Este estudio se encuentra dividido de la siguiente forma:</w:t>
      </w:r>
    </w:p>
    <w:p w:rsidR="00A3014D" w:rsidRDefault="00A3014D" w:rsidP="00045D7F">
      <w:pPr>
        <w:spacing w:line="360" w:lineRule="auto"/>
        <w:ind w:firstLine="851"/>
        <w:jc w:val="both"/>
        <w:rPr>
          <w:rFonts w:ascii="Arial" w:hAnsi="Arial" w:cs="Arial"/>
          <w:sz w:val="24"/>
          <w:szCs w:val="24"/>
          <w:lang w:val="es-ES"/>
        </w:rPr>
      </w:pPr>
      <w:r w:rsidRPr="00045D7F">
        <w:rPr>
          <w:rFonts w:ascii="Arial" w:hAnsi="Arial" w:cs="Arial"/>
          <w:sz w:val="24"/>
          <w:szCs w:val="24"/>
          <w:lang w:val="es-ES"/>
        </w:rPr>
        <w:t>En el Capitulo 1 se describe el entorno bancario que vivió en los últimos años y vive el Ecuador, así mismo un análisis de la situación financiera, con un análisis de la estructura de los Estados Financieros y con un breve análisis del Produbanco de su estructura y situación financiera.</w:t>
      </w:r>
    </w:p>
    <w:p w:rsidR="00045D7F" w:rsidRPr="00045D7F" w:rsidRDefault="00045D7F" w:rsidP="00045D7F">
      <w:pPr>
        <w:spacing w:line="360" w:lineRule="auto"/>
        <w:ind w:firstLine="851"/>
        <w:jc w:val="both"/>
        <w:rPr>
          <w:rFonts w:ascii="Arial" w:hAnsi="Arial" w:cs="Arial"/>
          <w:sz w:val="24"/>
          <w:szCs w:val="24"/>
          <w:lang w:val="es-ES"/>
        </w:rPr>
      </w:pPr>
    </w:p>
    <w:p w:rsidR="00A3014D" w:rsidRDefault="00A3014D" w:rsidP="00045D7F">
      <w:pPr>
        <w:spacing w:line="360" w:lineRule="auto"/>
        <w:ind w:firstLine="851"/>
        <w:jc w:val="both"/>
        <w:rPr>
          <w:rFonts w:ascii="Arial" w:hAnsi="Arial" w:cs="Arial"/>
          <w:sz w:val="24"/>
          <w:szCs w:val="24"/>
          <w:lang w:val="es-ES"/>
        </w:rPr>
      </w:pPr>
      <w:r w:rsidRPr="00045D7F">
        <w:rPr>
          <w:rFonts w:ascii="Arial" w:hAnsi="Arial" w:cs="Arial"/>
          <w:sz w:val="24"/>
          <w:szCs w:val="24"/>
          <w:lang w:val="es-ES"/>
        </w:rPr>
        <w:t xml:space="preserve">En el Capitulo 2 se presenta una descripción teoría de la metodología a usar de </w:t>
      </w:r>
      <w:smartTag w:uri="urn:schemas-microsoft-com:office:smarttags" w:element="PersonName">
        <w:smartTagPr>
          <w:attr w:name="ProductID" w:val="LA PROYECCIÓN"/>
        </w:smartTagPr>
        <w:r w:rsidRPr="00045D7F">
          <w:rPr>
            <w:rFonts w:ascii="Arial" w:hAnsi="Arial" w:cs="Arial"/>
            <w:sz w:val="24"/>
            <w:szCs w:val="24"/>
            <w:lang w:val="es-ES"/>
          </w:rPr>
          <w:t>la Proyección</w:t>
        </w:r>
      </w:smartTag>
      <w:r w:rsidRPr="00045D7F">
        <w:rPr>
          <w:rFonts w:ascii="Arial" w:hAnsi="Arial" w:cs="Arial"/>
          <w:sz w:val="24"/>
          <w:szCs w:val="24"/>
          <w:lang w:val="es-ES"/>
        </w:rPr>
        <w:t xml:space="preserve"> de Estados Financieros y Valoración del Produbanco. Se hace un análisis  de las cuentas más representativas y se presentan los ratios adecuados para la proyección. Por la forma como esta presentado este capítulo, el marco teórico es válido para cualquier institución financiera, con excepción de los ratios para la proyección de cada cuenta que pueden variar de acuerdo a la estructura y las políticas internas de cada institución así como de los criterios de los analistas.</w:t>
      </w:r>
    </w:p>
    <w:p w:rsidR="00045D7F" w:rsidRPr="00045D7F" w:rsidRDefault="00045D7F" w:rsidP="00045D7F">
      <w:pPr>
        <w:spacing w:line="360" w:lineRule="auto"/>
        <w:ind w:firstLine="851"/>
        <w:jc w:val="both"/>
        <w:rPr>
          <w:rFonts w:ascii="Arial" w:hAnsi="Arial" w:cs="Arial"/>
          <w:sz w:val="24"/>
          <w:szCs w:val="24"/>
          <w:lang w:val="es-ES"/>
        </w:rPr>
      </w:pPr>
    </w:p>
    <w:p w:rsidR="00A3014D" w:rsidRDefault="00A3014D" w:rsidP="00045D7F">
      <w:pPr>
        <w:spacing w:line="360" w:lineRule="auto"/>
        <w:ind w:firstLine="851"/>
        <w:jc w:val="both"/>
        <w:rPr>
          <w:rFonts w:ascii="Arial" w:hAnsi="Arial" w:cs="Arial"/>
          <w:sz w:val="24"/>
          <w:szCs w:val="24"/>
          <w:lang w:val="es-ES"/>
        </w:rPr>
      </w:pPr>
      <w:r w:rsidRPr="00045D7F">
        <w:rPr>
          <w:rFonts w:ascii="Arial" w:hAnsi="Arial" w:cs="Arial"/>
          <w:sz w:val="24"/>
          <w:szCs w:val="24"/>
          <w:lang w:val="es-ES"/>
        </w:rPr>
        <w:lastRenderedPageBreak/>
        <w:t xml:space="preserve">En el capítulo 3 se presentan los resultados de la proyección del Balances  y Estados de Resultados, el cálculo realizado con la finalidad de obtener el retorno esperado para la valoración del Produbanco. </w:t>
      </w:r>
    </w:p>
    <w:p w:rsidR="00045D7F" w:rsidRPr="00045D7F" w:rsidRDefault="00045D7F" w:rsidP="00045D7F">
      <w:pPr>
        <w:spacing w:line="360" w:lineRule="auto"/>
        <w:ind w:firstLine="851"/>
        <w:jc w:val="both"/>
        <w:rPr>
          <w:rFonts w:ascii="Arial" w:hAnsi="Arial" w:cs="Arial"/>
          <w:sz w:val="24"/>
          <w:szCs w:val="24"/>
          <w:lang w:val="es-ES"/>
        </w:rPr>
      </w:pPr>
    </w:p>
    <w:p w:rsidR="00A3014D" w:rsidRDefault="00A3014D" w:rsidP="00045D7F">
      <w:pPr>
        <w:spacing w:line="360" w:lineRule="auto"/>
        <w:ind w:firstLine="851"/>
        <w:jc w:val="both"/>
        <w:rPr>
          <w:rFonts w:ascii="Arial" w:hAnsi="Arial" w:cs="Arial"/>
          <w:sz w:val="24"/>
          <w:szCs w:val="24"/>
          <w:lang w:val="es-ES"/>
        </w:rPr>
      </w:pPr>
      <w:r w:rsidRPr="00045D7F">
        <w:rPr>
          <w:rFonts w:ascii="Arial" w:hAnsi="Arial" w:cs="Arial"/>
          <w:sz w:val="24"/>
          <w:szCs w:val="24"/>
          <w:lang w:val="es-ES"/>
        </w:rPr>
        <w:t>Capitulo 4, análisis de sensibilidad para ver como varia el precio de acuerdo a las cuentas principales como son Colocaciones Brutas, Cartera Vencida y Comisiones Netas.</w:t>
      </w:r>
    </w:p>
    <w:p w:rsidR="00045D7F" w:rsidRPr="00045D7F" w:rsidRDefault="00045D7F" w:rsidP="00045D7F">
      <w:pPr>
        <w:spacing w:line="360" w:lineRule="auto"/>
        <w:ind w:firstLine="851"/>
        <w:jc w:val="both"/>
        <w:rPr>
          <w:rFonts w:ascii="Arial" w:hAnsi="Arial" w:cs="Arial"/>
          <w:sz w:val="24"/>
          <w:szCs w:val="24"/>
          <w:lang w:val="es-ES"/>
        </w:rPr>
      </w:pPr>
    </w:p>
    <w:p w:rsidR="00A3014D" w:rsidRDefault="00A3014D" w:rsidP="00045D7F">
      <w:pPr>
        <w:spacing w:line="360" w:lineRule="auto"/>
        <w:ind w:firstLine="851"/>
        <w:jc w:val="both"/>
        <w:rPr>
          <w:rFonts w:ascii="Arial" w:hAnsi="Arial" w:cs="Arial"/>
          <w:sz w:val="24"/>
          <w:szCs w:val="24"/>
          <w:lang w:val="es-ES"/>
        </w:rPr>
      </w:pPr>
      <w:r w:rsidRPr="00045D7F">
        <w:rPr>
          <w:rFonts w:ascii="Arial" w:hAnsi="Arial" w:cs="Arial"/>
          <w:sz w:val="24"/>
          <w:szCs w:val="24"/>
          <w:lang w:val="es-ES"/>
        </w:rPr>
        <w:t>En último lugar, se presenta el resumen del trabajo así como las conclusiones que se obtuvieron al realizar el estudio</w:t>
      </w:r>
      <w:r>
        <w:rPr>
          <w:rFonts w:ascii="Arial" w:hAnsi="Arial" w:cs="Arial"/>
          <w:sz w:val="24"/>
          <w:szCs w:val="24"/>
          <w:lang w:val="es-ES"/>
        </w:rPr>
        <w:t>.</w:t>
      </w:r>
    </w:p>
    <w:p w:rsidR="00A3014D" w:rsidRPr="00C97BEE" w:rsidRDefault="00A3014D" w:rsidP="00A3014D">
      <w:pPr>
        <w:spacing w:line="480" w:lineRule="auto"/>
        <w:jc w:val="both"/>
        <w:rPr>
          <w:rFonts w:ascii="Arial" w:hAnsi="Arial" w:cs="Arial"/>
          <w:sz w:val="24"/>
          <w:szCs w:val="24"/>
          <w:lang w:val="es-ES"/>
        </w:rPr>
        <w:sectPr w:rsidR="00A3014D" w:rsidRPr="00C97BEE" w:rsidSect="00F27DFF">
          <w:footnotePr>
            <w:pos w:val="beneathText"/>
          </w:footnotePr>
          <w:pgSz w:w="11907" w:h="16840" w:code="9"/>
          <w:pgMar w:top="1985" w:right="1418" w:bottom="1985" w:left="2268" w:header="720" w:footer="720" w:gutter="0"/>
          <w:cols w:space="720"/>
          <w:docGrid w:linePitch="360"/>
        </w:sectPr>
      </w:pPr>
    </w:p>
    <w:p w:rsidR="00A3014D" w:rsidRPr="00045D7F" w:rsidRDefault="00A3014D" w:rsidP="00045D7F">
      <w:pPr>
        <w:spacing w:line="360" w:lineRule="auto"/>
        <w:jc w:val="center"/>
        <w:rPr>
          <w:rFonts w:ascii="Arial" w:hAnsi="Arial" w:cs="Arial"/>
          <w:b/>
          <w:sz w:val="20"/>
          <w:szCs w:val="20"/>
        </w:rPr>
      </w:pPr>
    </w:p>
    <w:p w:rsidR="00A3014D" w:rsidRPr="00045D7F" w:rsidRDefault="00A3014D" w:rsidP="00045D7F">
      <w:pPr>
        <w:spacing w:line="360" w:lineRule="auto"/>
        <w:jc w:val="center"/>
        <w:rPr>
          <w:rFonts w:ascii="Arial" w:hAnsi="Arial" w:cs="Arial"/>
          <w:b/>
          <w:sz w:val="20"/>
          <w:szCs w:val="20"/>
        </w:rPr>
      </w:pPr>
    </w:p>
    <w:p w:rsidR="00A3014D" w:rsidRPr="00045D7F" w:rsidRDefault="00A3014D" w:rsidP="00045D7F">
      <w:pPr>
        <w:spacing w:line="360" w:lineRule="auto"/>
        <w:jc w:val="center"/>
        <w:rPr>
          <w:rFonts w:ascii="Arial" w:hAnsi="Arial" w:cs="Arial"/>
          <w:b/>
          <w:sz w:val="20"/>
          <w:szCs w:val="20"/>
        </w:rPr>
      </w:pPr>
    </w:p>
    <w:p w:rsidR="00A3014D" w:rsidRPr="00045D7F" w:rsidRDefault="00A3014D" w:rsidP="00045D7F">
      <w:pPr>
        <w:spacing w:line="360" w:lineRule="auto"/>
        <w:jc w:val="center"/>
        <w:rPr>
          <w:rFonts w:ascii="Arial" w:hAnsi="Arial" w:cs="Arial"/>
          <w:b/>
          <w:sz w:val="20"/>
          <w:szCs w:val="20"/>
        </w:rPr>
      </w:pPr>
    </w:p>
    <w:p w:rsidR="00A3014D" w:rsidRPr="00045D7F" w:rsidRDefault="00A3014D" w:rsidP="00045D7F">
      <w:pPr>
        <w:spacing w:line="360" w:lineRule="auto"/>
        <w:jc w:val="center"/>
        <w:rPr>
          <w:rFonts w:ascii="Arial" w:hAnsi="Arial" w:cs="Arial"/>
          <w:b/>
          <w:sz w:val="20"/>
          <w:szCs w:val="20"/>
        </w:rPr>
      </w:pPr>
    </w:p>
    <w:p w:rsidR="00A3014D" w:rsidRPr="006D3B87" w:rsidRDefault="00993776" w:rsidP="006D3B87">
      <w:pPr>
        <w:spacing w:line="240" w:lineRule="auto"/>
        <w:jc w:val="center"/>
        <w:rPr>
          <w:rFonts w:ascii="Arial" w:hAnsi="Arial" w:cs="Arial"/>
          <w:b/>
          <w:sz w:val="28"/>
          <w:szCs w:val="28"/>
          <w:lang w:val="es-ES"/>
        </w:rPr>
        <w:sectPr w:rsidR="00A3014D" w:rsidRPr="006D3B87" w:rsidSect="00D32434">
          <w:pgSz w:w="11907" w:h="16840" w:code="9"/>
          <w:pgMar w:top="1985" w:right="1418" w:bottom="1985" w:left="2268" w:header="708" w:footer="708" w:gutter="0"/>
          <w:cols w:space="708"/>
          <w:titlePg/>
          <w:docGrid w:linePitch="360"/>
        </w:sectPr>
      </w:pPr>
      <w:r>
        <w:rPr>
          <w:rFonts w:ascii="Arial" w:hAnsi="Arial" w:cs="Arial"/>
          <w:b/>
          <w:sz w:val="28"/>
          <w:szCs w:val="28"/>
          <w:lang w:val="es-ES"/>
        </w:rPr>
        <w:t>CAPÍTULO  I</w:t>
      </w:r>
    </w:p>
    <w:p w:rsidR="00A3014D" w:rsidRPr="006D3B87" w:rsidRDefault="00A3014D" w:rsidP="006D3B87">
      <w:pPr>
        <w:spacing w:line="240" w:lineRule="auto"/>
        <w:rPr>
          <w:rFonts w:ascii="Arial" w:hAnsi="Arial" w:cs="Arial"/>
          <w:sz w:val="28"/>
          <w:szCs w:val="28"/>
        </w:rPr>
      </w:pPr>
    </w:p>
    <w:p w:rsidR="00A3014D" w:rsidRPr="006D3B87" w:rsidRDefault="00A3014D" w:rsidP="006D3B87">
      <w:pPr>
        <w:spacing w:line="240" w:lineRule="auto"/>
        <w:jc w:val="both"/>
        <w:rPr>
          <w:rFonts w:ascii="Arial" w:hAnsi="Arial" w:cs="Arial"/>
          <w:b/>
          <w:sz w:val="28"/>
          <w:szCs w:val="28"/>
        </w:rPr>
      </w:pPr>
      <w:r w:rsidRPr="006D3B87">
        <w:rPr>
          <w:rFonts w:ascii="Arial" w:hAnsi="Arial" w:cs="Arial"/>
          <w:b/>
          <w:sz w:val="28"/>
          <w:szCs w:val="28"/>
        </w:rPr>
        <w:t>1.  EL ENTORNO BANCARIO Y DEL PRODUBANCO</w:t>
      </w:r>
    </w:p>
    <w:p w:rsidR="00A3014D" w:rsidRPr="006D3B87" w:rsidRDefault="00A3014D" w:rsidP="006D3B87">
      <w:pPr>
        <w:pStyle w:val="Prrafodelista1"/>
        <w:spacing w:line="360" w:lineRule="auto"/>
        <w:ind w:left="567"/>
        <w:rPr>
          <w:rFonts w:ascii="Arial" w:hAnsi="Arial" w:cs="Arial"/>
          <w:b/>
          <w:sz w:val="28"/>
          <w:szCs w:val="28"/>
        </w:rPr>
      </w:pPr>
    </w:p>
    <w:p w:rsidR="00A3014D" w:rsidRPr="006D3B87" w:rsidRDefault="00A3014D" w:rsidP="006D3B87">
      <w:pPr>
        <w:pStyle w:val="Prrafodelista1"/>
        <w:numPr>
          <w:ilvl w:val="1"/>
          <w:numId w:val="1"/>
        </w:numPr>
        <w:spacing w:line="360" w:lineRule="auto"/>
        <w:ind w:left="709"/>
        <w:jc w:val="both"/>
        <w:rPr>
          <w:rFonts w:ascii="Arial" w:hAnsi="Arial" w:cs="Arial"/>
          <w:b/>
          <w:sz w:val="28"/>
          <w:szCs w:val="28"/>
        </w:rPr>
      </w:pPr>
      <w:r w:rsidRPr="006D3B87">
        <w:rPr>
          <w:rFonts w:ascii="Arial" w:hAnsi="Arial" w:cs="Arial"/>
          <w:b/>
          <w:sz w:val="28"/>
          <w:szCs w:val="28"/>
        </w:rPr>
        <w:t>ANTECEDENTES HISTÓRICOS DEL SISTEMA FINANCIERO EN EL ECUADOR</w:t>
      </w:r>
    </w:p>
    <w:p w:rsidR="00A3014D" w:rsidRPr="00C17E2C" w:rsidRDefault="00A3014D" w:rsidP="00A3014D">
      <w:pPr>
        <w:pStyle w:val="Prrafodelista1"/>
        <w:spacing w:line="480" w:lineRule="auto"/>
        <w:jc w:val="both"/>
        <w:rPr>
          <w:rFonts w:ascii="Arial" w:hAnsi="Arial" w:cs="Arial"/>
          <w:sz w:val="24"/>
          <w:szCs w:val="24"/>
        </w:rPr>
      </w:pPr>
    </w:p>
    <w:p w:rsidR="00A3014D" w:rsidRDefault="00A3014D" w:rsidP="00350D83">
      <w:pPr>
        <w:pStyle w:val="Prrafodelista1"/>
        <w:spacing w:line="360" w:lineRule="auto"/>
        <w:ind w:left="0" w:firstLine="454"/>
        <w:jc w:val="both"/>
        <w:rPr>
          <w:rFonts w:ascii="Arial" w:eastAsia="Times New Roman" w:hAnsi="Arial" w:cs="Arial"/>
          <w:sz w:val="24"/>
          <w:szCs w:val="24"/>
          <w:lang w:eastAsia="es-EC"/>
        </w:rPr>
      </w:pPr>
      <w:r w:rsidRPr="00C17E2C">
        <w:rPr>
          <w:rFonts w:ascii="Arial" w:hAnsi="Arial" w:cs="Arial"/>
          <w:sz w:val="24"/>
          <w:szCs w:val="24"/>
        </w:rPr>
        <w:t>En la década de los 30 hasta mediado de los 80, el gobierno era el encargado de manejar mayoritariamente todos los programas de créditos, tasas de interés tipos de cambios monetarios. Todo este lo dirigía y manipulaba a través de instituciones como el</w:t>
      </w:r>
      <w:r w:rsidRPr="00C17E2C">
        <w:rPr>
          <w:rFonts w:ascii="Arial" w:eastAsia="Times New Roman" w:hAnsi="Arial" w:cs="Arial"/>
          <w:sz w:val="24"/>
          <w:szCs w:val="24"/>
          <w:lang w:eastAsia="es-EC"/>
        </w:rPr>
        <w:t xml:space="preserve"> BCE, el Banco de Fomento, </w:t>
      </w:r>
      <w:smartTag w:uri="urn:schemas-microsoft-com:office:smarttags" w:element="PersonName">
        <w:smartTagPr>
          <w:attr w:name="ProductID" w:val="la Comisión"/>
        </w:smartTagPr>
        <w:r w:rsidRPr="00C17E2C">
          <w:rPr>
            <w:rFonts w:ascii="Arial" w:eastAsia="Times New Roman" w:hAnsi="Arial" w:cs="Arial"/>
            <w:sz w:val="24"/>
            <w:szCs w:val="24"/>
            <w:lang w:eastAsia="es-EC"/>
          </w:rPr>
          <w:t>la Comisión</w:t>
        </w:r>
      </w:smartTag>
      <w:r w:rsidRPr="00C17E2C">
        <w:rPr>
          <w:rFonts w:ascii="Arial" w:eastAsia="Times New Roman" w:hAnsi="Arial" w:cs="Arial"/>
          <w:sz w:val="24"/>
          <w:szCs w:val="24"/>
          <w:lang w:eastAsia="es-EC"/>
        </w:rPr>
        <w:t xml:space="preserve"> de Valores (más tarde Corporación Financiera Nacional), el Banco de Vivienda, etc.., lo cual caracterizaba la llamada “REPRESION FINANCIERA”. Además de todo esto, los bancos ecuatoriano solo podían captar depósitos u otorgar préstamos en divisas extranjeras.</w:t>
      </w:r>
    </w:p>
    <w:p w:rsidR="00045D7F" w:rsidRPr="00C17E2C" w:rsidRDefault="00045D7F" w:rsidP="00350D83">
      <w:pPr>
        <w:pStyle w:val="Prrafodelista1"/>
        <w:spacing w:line="360" w:lineRule="auto"/>
        <w:ind w:left="902" w:firstLine="454"/>
        <w:jc w:val="both"/>
        <w:rPr>
          <w:rFonts w:ascii="Arial" w:eastAsia="Times New Roman" w:hAnsi="Arial" w:cs="Arial"/>
          <w:sz w:val="24"/>
          <w:szCs w:val="24"/>
          <w:lang w:eastAsia="es-EC"/>
        </w:rPr>
      </w:pPr>
    </w:p>
    <w:p w:rsidR="00A3014D" w:rsidRDefault="00A3014D" w:rsidP="00350D83">
      <w:pPr>
        <w:pStyle w:val="Prrafodelista1"/>
        <w:spacing w:line="360" w:lineRule="auto"/>
        <w:ind w:left="0" w:firstLine="454"/>
        <w:jc w:val="both"/>
        <w:rPr>
          <w:rFonts w:ascii="Arial" w:eastAsia="Times New Roman" w:hAnsi="Arial" w:cs="Arial"/>
          <w:sz w:val="28"/>
          <w:szCs w:val="24"/>
          <w:vertAlign w:val="superscript"/>
          <w:lang w:eastAsia="es-EC"/>
        </w:rPr>
      </w:pPr>
      <w:r w:rsidRPr="00C17E2C">
        <w:rPr>
          <w:rFonts w:ascii="Arial" w:eastAsia="Times New Roman" w:hAnsi="Arial" w:cs="Arial"/>
          <w:sz w:val="24"/>
          <w:szCs w:val="24"/>
          <w:lang w:eastAsia="es-EC"/>
        </w:rPr>
        <w:t xml:space="preserve">En 1926 antes de la fundación del BCE existían seis bancos de emisión y dieciséis bancos y cooperativas de ahorro y crédito. Para 1971, el BCE tenía el monopolio de la emisión y había quince bancos ecuatorianos y extranjeros que prestaban los otros servicios de tipo </w:t>
      </w:r>
      <w:r w:rsidRPr="00C17E2C">
        <w:rPr>
          <w:rFonts w:ascii="Arial" w:eastAsia="Times New Roman" w:hAnsi="Arial" w:cs="Arial"/>
          <w:bCs/>
          <w:sz w:val="24"/>
          <w:szCs w:val="24"/>
          <w:shd w:val="clear" w:color="auto" w:fill="FFFFFF"/>
          <w:lang w:eastAsia="es-EC"/>
        </w:rPr>
        <w:t>bancario</w:t>
      </w:r>
      <w:r w:rsidRPr="00C17E2C">
        <w:rPr>
          <w:rFonts w:ascii="Arial" w:eastAsia="Times New Roman" w:hAnsi="Arial" w:cs="Arial"/>
          <w:sz w:val="24"/>
          <w:szCs w:val="24"/>
          <w:lang w:eastAsia="es-EC"/>
        </w:rPr>
        <w:t>. En 1976, cincuenta años después, el número de bancos privados creció a veintiuno.</w:t>
      </w:r>
      <w:r>
        <w:rPr>
          <w:rFonts w:ascii="Arial" w:eastAsia="Times New Roman" w:hAnsi="Arial" w:cs="Arial"/>
          <w:color w:val="FF0000"/>
          <w:sz w:val="24"/>
          <w:szCs w:val="24"/>
          <w:lang w:eastAsia="es-EC"/>
        </w:rPr>
        <w:t xml:space="preserve"> </w:t>
      </w:r>
      <w:r w:rsidRPr="00D667F1">
        <w:rPr>
          <w:rFonts w:ascii="Arial" w:eastAsia="Times New Roman" w:hAnsi="Arial" w:cs="Arial"/>
          <w:sz w:val="28"/>
          <w:szCs w:val="24"/>
          <w:vertAlign w:val="superscript"/>
          <w:lang w:eastAsia="es-EC"/>
        </w:rPr>
        <w:t>1</w:t>
      </w:r>
    </w:p>
    <w:p w:rsidR="006D3B87" w:rsidRDefault="006D3B87" w:rsidP="006D3B87">
      <w:pPr>
        <w:pStyle w:val="Prrafodelista1"/>
        <w:spacing w:line="240" w:lineRule="auto"/>
        <w:ind w:left="0"/>
        <w:jc w:val="both"/>
        <w:rPr>
          <w:rFonts w:ascii="Arial" w:eastAsia="Times New Roman" w:hAnsi="Arial" w:cs="Arial"/>
          <w:sz w:val="24"/>
          <w:szCs w:val="24"/>
          <w:lang w:eastAsia="es-EC"/>
        </w:rPr>
      </w:pPr>
      <w:r>
        <w:rPr>
          <w:rFonts w:ascii="Arial" w:eastAsia="Times New Roman" w:hAnsi="Arial" w:cs="Arial"/>
          <w:noProof/>
          <w:sz w:val="24"/>
          <w:szCs w:val="24"/>
          <w:lang w:eastAsia="es-EC"/>
        </w:rPr>
        <w:pict>
          <v:shapetype id="_x0000_t32" coordsize="21600,21600" o:spt="32" o:oned="t" path="m,l21600,21600e" filled="f">
            <v:path arrowok="t" fillok="f" o:connecttype="none"/>
            <o:lock v:ext="edit" shapetype="t"/>
          </v:shapetype>
          <v:shape id="_x0000_s1032" type="#_x0000_t32" style="position:absolute;left:0;text-align:left;margin-left:4.8pt;margin-top:11.45pt;width:167.4pt;height:0;z-index:251642368" o:connectortype="straight" strokeweight="1.5pt"/>
        </w:pict>
      </w:r>
    </w:p>
    <w:p w:rsidR="006D3B87" w:rsidRPr="007356F2" w:rsidRDefault="006D3B87" w:rsidP="007356F2">
      <w:pPr>
        <w:pStyle w:val="Prrafodelista1"/>
        <w:numPr>
          <w:ilvl w:val="0"/>
          <w:numId w:val="2"/>
        </w:numPr>
        <w:spacing w:line="240" w:lineRule="auto"/>
        <w:ind w:hanging="1069"/>
        <w:jc w:val="both"/>
        <w:rPr>
          <w:rFonts w:ascii="Arial" w:eastAsia="Times New Roman" w:hAnsi="Arial" w:cs="Arial"/>
          <w:sz w:val="17"/>
          <w:szCs w:val="17"/>
          <w:lang w:eastAsia="es-EC"/>
        </w:rPr>
      </w:pPr>
      <w:r w:rsidRPr="00322983">
        <w:rPr>
          <w:rFonts w:ascii="Arial" w:eastAsia="Times New Roman" w:hAnsi="Arial" w:cs="Arial"/>
          <w:sz w:val="17"/>
          <w:szCs w:val="17"/>
          <w:lang w:eastAsia="es-EC"/>
        </w:rPr>
        <w:t>Arosemena (1998) Cap. 3 y Cap.4</w:t>
      </w:r>
    </w:p>
    <w:p w:rsidR="00A3014D" w:rsidRPr="00C17E2C" w:rsidRDefault="00A3014D" w:rsidP="00600E99">
      <w:pPr>
        <w:pStyle w:val="Prrafodelista1"/>
        <w:spacing w:line="360" w:lineRule="auto"/>
        <w:ind w:left="0" w:firstLine="454"/>
        <w:jc w:val="both"/>
        <w:rPr>
          <w:rFonts w:ascii="Arial" w:eastAsia="Times New Roman" w:hAnsi="Arial" w:cs="Arial"/>
          <w:sz w:val="24"/>
          <w:szCs w:val="24"/>
          <w:lang w:eastAsia="es-EC"/>
        </w:rPr>
      </w:pPr>
      <w:r w:rsidRPr="00C17E2C">
        <w:rPr>
          <w:rFonts w:ascii="Arial" w:eastAsia="Times New Roman" w:hAnsi="Arial" w:cs="Arial"/>
          <w:sz w:val="24"/>
          <w:szCs w:val="24"/>
          <w:lang w:eastAsia="es-EC"/>
        </w:rPr>
        <w:lastRenderedPageBreak/>
        <w:t xml:space="preserve">En 1982, "De la noche a la mañana dejaron de ser rentables"2 los bancos en Ecuador, sostiene Guillermo Arosemena. Las causas subyacentes de la crisis, recesión y permanente estancamiento de la denominada “década perdida” en 1980, fue producto de la expansión crediticia sin un crecimiento paralelo de ahorro, además de una equivocada percepción empresarial de que el crecimiento de precios generalizados no traería consecuencias en el mediano plazo. Todo esto ocurrió después del boom económico promovido por el auge petrolero, el cual tuvo lugar en el país en la década de 1970. </w:t>
      </w:r>
    </w:p>
    <w:p w:rsidR="00A3014D" w:rsidRPr="00C17E2C" w:rsidRDefault="00A3014D" w:rsidP="00600E99">
      <w:pPr>
        <w:pStyle w:val="Prrafodelista1"/>
        <w:spacing w:line="360" w:lineRule="auto"/>
        <w:ind w:left="0" w:firstLine="454"/>
        <w:jc w:val="both"/>
        <w:rPr>
          <w:rFonts w:ascii="Arial" w:eastAsia="Times New Roman" w:hAnsi="Arial" w:cs="Arial"/>
          <w:sz w:val="24"/>
          <w:szCs w:val="24"/>
          <w:lang w:eastAsia="es-EC"/>
        </w:rPr>
      </w:pPr>
    </w:p>
    <w:p w:rsidR="00A3014D" w:rsidRDefault="00A3014D" w:rsidP="00600E99">
      <w:pPr>
        <w:pStyle w:val="Prrafodelista1"/>
        <w:spacing w:line="360" w:lineRule="auto"/>
        <w:ind w:left="0" w:firstLine="454"/>
        <w:jc w:val="both"/>
        <w:rPr>
          <w:rFonts w:ascii="Arial" w:eastAsia="Times New Roman" w:hAnsi="Arial" w:cs="Arial"/>
          <w:sz w:val="24"/>
          <w:szCs w:val="24"/>
          <w:lang w:eastAsia="es-EC"/>
        </w:rPr>
      </w:pPr>
      <w:r w:rsidRPr="00C17E2C">
        <w:rPr>
          <w:rFonts w:ascii="Arial" w:eastAsia="Times New Roman" w:hAnsi="Arial" w:cs="Arial"/>
          <w:sz w:val="24"/>
          <w:szCs w:val="24"/>
          <w:lang w:eastAsia="es-EC"/>
        </w:rPr>
        <w:t xml:space="preserve">Desde ese mismo año hasta 1992, bajo el respaldo del BCE, </w:t>
      </w:r>
      <w:smartTag w:uri="urn:schemas-microsoft-com:office:smarttags" w:element="PersonName">
        <w:smartTagPr>
          <w:attr w:name="ProductID" w:val="la Junta Monetaria"/>
        </w:smartTagPr>
        <w:r w:rsidRPr="00C17E2C">
          <w:rPr>
            <w:rFonts w:ascii="Arial" w:eastAsia="Times New Roman" w:hAnsi="Arial" w:cs="Arial"/>
            <w:sz w:val="24"/>
            <w:szCs w:val="24"/>
            <w:lang w:eastAsia="es-EC"/>
          </w:rPr>
          <w:t>la Junta Monetaria</w:t>
        </w:r>
      </w:smartTag>
      <w:r w:rsidRPr="00C17E2C">
        <w:rPr>
          <w:rFonts w:ascii="Arial" w:eastAsia="Times New Roman" w:hAnsi="Arial" w:cs="Arial"/>
          <w:sz w:val="24"/>
          <w:szCs w:val="24"/>
          <w:lang w:eastAsia="es-EC"/>
        </w:rPr>
        <w:t xml:space="preserve"> y </w:t>
      </w:r>
      <w:smartTag w:uri="urn:schemas-microsoft-com:office:smarttags" w:element="PersonName">
        <w:smartTagPr>
          <w:attr w:name="ProductID" w:val="la Superintendencia"/>
        </w:smartTagPr>
        <w:r w:rsidRPr="00C17E2C">
          <w:rPr>
            <w:rFonts w:ascii="Arial" w:eastAsia="Times New Roman" w:hAnsi="Arial" w:cs="Arial"/>
            <w:sz w:val="24"/>
            <w:szCs w:val="24"/>
            <w:lang w:eastAsia="es-EC"/>
          </w:rPr>
          <w:t>la Superintendencia</w:t>
        </w:r>
      </w:smartTag>
      <w:r w:rsidRPr="00C17E2C">
        <w:rPr>
          <w:rFonts w:ascii="Arial" w:eastAsia="Times New Roman" w:hAnsi="Arial" w:cs="Arial"/>
          <w:sz w:val="24"/>
          <w:szCs w:val="24"/>
          <w:lang w:eastAsia="es-EC"/>
        </w:rPr>
        <w:t xml:space="preserve"> de Bancos aprobaron, debido al problema que se estaba presentando,  programas financieros y anticipos extraordinarios para rehabilitación de bancos con problemas de liquidez y hasta de solvencia. </w:t>
      </w:r>
    </w:p>
    <w:p w:rsidR="005625B2" w:rsidRDefault="005625B2" w:rsidP="00600E99">
      <w:pPr>
        <w:pStyle w:val="Prrafodelista1"/>
        <w:spacing w:line="240" w:lineRule="auto"/>
        <w:ind w:left="0" w:firstLine="454"/>
        <w:jc w:val="both"/>
        <w:rPr>
          <w:rFonts w:ascii="Arial" w:eastAsia="Times New Roman" w:hAnsi="Arial" w:cs="Arial"/>
          <w:sz w:val="24"/>
          <w:szCs w:val="24"/>
          <w:lang w:eastAsia="es-EC"/>
        </w:rPr>
      </w:pPr>
    </w:p>
    <w:p w:rsidR="00A3014D" w:rsidRPr="005625B2" w:rsidRDefault="00A3014D" w:rsidP="00600E99">
      <w:pPr>
        <w:pStyle w:val="Prrafodelista1"/>
        <w:spacing w:line="360" w:lineRule="auto"/>
        <w:ind w:left="0" w:firstLine="454"/>
        <w:jc w:val="both"/>
        <w:rPr>
          <w:rFonts w:ascii="Arial" w:eastAsia="Times New Roman" w:hAnsi="Arial" w:cs="Arial"/>
          <w:sz w:val="24"/>
          <w:szCs w:val="24"/>
          <w:lang w:eastAsia="es-EC"/>
        </w:rPr>
      </w:pPr>
      <w:r w:rsidRPr="005625B2">
        <w:rPr>
          <w:rFonts w:ascii="Arial" w:eastAsia="Times New Roman" w:hAnsi="Arial" w:cs="Arial"/>
          <w:sz w:val="24"/>
          <w:szCs w:val="24"/>
          <w:lang w:eastAsia="es-EC"/>
        </w:rPr>
        <w:t xml:space="preserve">En otras palabras, un prolongado proceso de salvataje y proteccionismo de la banca ecuatoriana se dio durante estos años. Esta socialización de perdidas le representó un alto costo al pueblo ecuatoriano, no sólo por los montos entregados a la banca, sino también porque el escaso ahorro interno se despilfarró de esta manera por no contar con intermediarios financieros eficientes. Se debe subrayar que, previo a las reformas dadas en 1993 y 1994, este salvataje </w:t>
      </w:r>
      <w:r w:rsidRPr="005625B2">
        <w:rPr>
          <w:rFonts w:ascii="Arial" w:eastAsia="Times New Roman" w:hAnsi="Arial" w:cs="Arial"/>
          <w:bCs/>
          <w:color w:val="000000"/>
          <w:sz w:val="24"/>
          <w:szCs w:val="24"/>
          <w:lang w:eastAsia="es-EC"/>
        </w:rPr>
        <w:t>bancario</w:t>
      </w:r>
      <w:r w:rsidRPr="005625B2">
        <w:rPr>
          <w:rFonts w:ascii="Arial" w:eastAsia="Times New Roman" w:hAnsi="Arial" w:cs="Arial"/>
          <w:sz w:val="24"/>
          <w:szCs w:val="24"/>
          <w:lang w:eastAsia="es-EC"/>
        </w:rPr>
        <w:t xml:space="preserve"> no obligó a los accionistas de los bancos a afrontar directamente con sus recursos el costo de este subsidio.</w:t>
      </w:r>
    </w:p>
    <w:p w:rsidR="00A3014D" w:rsidRPr="00C17E2C" w:rsidRDefault="00A3014D" w:rsidP="00600E99">
      <w:pPr>
        <w:pStyle w:val="Prrafodelista1"/>
        <w:spacing w:line="360" w:lineRule="auto"/>
        <w:ind w:left="0" w:firstLine="454"/>
        <w:jc w:val="both"/>
        <w:rPr>
          <w:rFonts w:ascii="Arial" w:eastAsia="Times New Roman" w:hAnsi="Arial" w:cs="Arial"/>
          <w:sz w:val="24"/>
          <w:szCs w:val="24"/>
          <w:lang w:eastAsia="es-EC"/>
        </w:rPr>
      </w:pPr>
    </w:p>
    <w:p w:rsidR="00A3014D" w:rsidRPr="00C17E2C" w:rsidRDefault="00A3014D" w:rsidP="00600E99">
      <w:pPr>
        <w:pStyle w:val="Prrafodelista1"/>
        <w:spacing w:line="360" w:lineRule="auto"/>
        <w:ind w:left="0" w:firstLine="454"/>
        <w:jc w:val="both"/>
        <w:rPr>
          <w:rFonts w:ascii="Arial" w:hAnsi="Arial" w:cs="Arial"/>
          <w:sz w:val="24"/>
          <w:szCs w:val="24"/>
          <w:lang w:val="es-MX"/>
        </w:rPr>
      </w:pPr>
      <w:r w:rsidRPr="00C17E2C">
        <w:rPr>
          <w:rFonts w:ascii="Arial" w:hAnsi="Arial" w:cs="Arial"/>
          <w:sz w:val="24"/>
          <w:szCs w:val="24"/>
          <w:lang w:val="es-MX"/>
        </w:rPr>
        <w:t xml:space="preserve">El gobierno entrante de Sixto Durán Ballén, a partir de agosto de 1992, cambió el esquema de mini devaluaciones previamente existente a un esquema de 'flexibilidad controlada'. Este término, aunque suene contradictorio, es el que utilizan los economistas para referirse al esquema cambiario mediante el cual, el tipo de cambio nominal fluctúa de acuerdo a la demanda y oferta en el mercado, siempre y cuando no pase los límites </w:t>
      </w:r>
      <w:r w:rsidRPr="00C17E2C">
        <w:rPr>
          <w:rFonts w:ascii="Arial" w:hAnsi="Arial" w:cs="Arial"/>
          <w:sz w:val="24"/>
          <w:szCs w:val="24"/>
          <w:lang w:val="es-MX"/>
        </w:rPr>
        <w:lastRenderedPageBreak/>
        <w:t>fijados por la autoridad monetaria. En otras palabras, el nuevo sistema era en la práctica manipulado por dicha autoridad como un ancla ajustable.</w:t>
      </w:r>
    </w:p>
    <w:p w:rsidR="00A3014D" w:rsidRPr="00C17E2C" w:rsidRDefault="00A3014D" w:rsidP="00600E99">
      <w:pPr>
        <w:pStyle w:val="Prrafodelista1"/>
        <w:spacing w:line="360" w:lineRule="auto"/>
        <w:ind w:left="0" w:firstLine="454"/>
        <w:jc w:val="both"/>
        <w:rPr>
          <w:rFonts w:ascii="Arial" w:hAnsi="Arial" w:cs="Arial"/>
          <w:sz w:val="24"/>
          <w:szCs w:val="24"/>
          <w:lang w:val="es-MX"/>
        </w:rPr>
      </w:pPr>
    </w:p>
    <w:p w:rsidR="00A3014D" w:rsidRDefault="00A3014D" w:rsidP="00600E99">
      <w:pPr>
        <w:pStyle w:val="Prrafodelista1"/>
        <w:spacing w:line="360" w:lineRule="auto"/>
        <w:ind w:left="0" w:firstLine="454"/>
        <w:jc w:val="both"/>
        <w:rPr>
          <w:rFonts w:ascii="Arial" w:eastAsia="Times New Roman" w:hAnsi="Arial" w:cs="Arial"/>
          <w:sz w:val="24"/>
          <w:szCs w:val="24"/>
          <w:lang w:eastAsia="es-EC"/>
        </w:rPr>
      </w:pPr>
      <w:r w:rsidRPr="00C17E2C">
        <w:rPr>
          <w:rFonts w:ascii="Arial" w:eastAsia="Times New Roman" w:hAnsi="Arial" w:cs="Arial"/>
          <w:sz w:val="24"/>
          <w:szCs w:val="24"/>
          <w:lang w:eastAsia="es-EC"/>
        </w:rPr>
        <w:t xml:space="preserve">En mayo y julio de 1994, se publicaron en el registro oficial respectivamente, </w:t>
      </w:r>
      <w:smartTag w:uri="urn:schemas-microsoft-com:office:smarttags" w:element="PersonName">
        <w:smartTagPr>
          <w:attr w:name="ProductID" w:val="la Ley General"/>
        </w:smartTagPr>
        <w:r w:rsidRPr="00C17E2C">
          <w:rPr>
            <w:rFonts w:ascii="Arial" w:eastAsia="Times New Roman" w:hAnsi="Arial" w:cs="Arial"/>
            <w:sz w:val="24"/>
            <w:szCs w:val="24"/>
            <w:lang w:eastAsia="es-EC"/>
          </w:rPr>
          <w:t>la Ley General</w:t>
        </w:r>
      </w:smartTag>
      <w:r w:rsidRPr="00C17E2C">
        <w:rPr>
          <w:rFonts w:ascii="Arial" w:eastAsia="Times New Roman" w:hAnsi="Arial" w:cs="Arial"/>
          <w:sz w:val="24"/>
          <w:szCs w:val="24"/>
          <w:lang w:eastAsia="es-EC"/>
        </w:rPr>
        <w:t xml:space="preserve"> de Instituciones del Sistema Financiero (</w:t>
      </w:r>
      <w:r w:rsidRPr="00C17E2C">
        <w:rPr>
          <w:rFonts w:ascii="Arial" w:hAnsi="Arial" w:cs="Arial"/>
          <w:sz w:val="24"/>
          <w:szCs w:val="24"/>
          <w:lang w:val="es-MX"/>
        </w:rPr>
        <w:t>LGISF)</w:t>
      </w:r>
      <w:r w:rsidRPr="00C17E2C">
        <w:rPr>
          <w:rFonts w:ascii="Arial" w:eastAsia="Times New Roman" w:hAnsi="Arial" w:cs="Arial"/>
          <w:sz w:val="24"/>
          <w:szCs w:val="24"/>
          <w:lang w:eastAsia="es-EC"/>
        </w:rPr>
        <w:t xml:space="preserve"> y su Reglamento. Uno de los objetivos de esta ley era precisamente suprimir y reemplazar leyes dispersas, de hecho, las leyes y algunos de los decretos se derogaron en esta ley. Además, los programas de crédito dirigidos por el gobierno a través de los bancos privados se terminaron, se redujeron y racionalizaron los encajes bancarios, se eliminaron los controles explícitos de las tasas de interés, se le permitió a los bancos ecuatorianos realizar transacciones de créditos y depósitos en dólares o moneda extr</w:t>
      </w:r>
      <w:r>
        <w:rPr>
          <w:rFonts w:ascii="Arial" w:eastAsia="Times New Roman" w:hAnsi="Arial" w:cs="Arial"/>
          <w:sz w:val="24"/>
          <w:szCs w:val="24"/>
          <w:lang w:eastAsia="es-EC"/>
        </w:rPr>
        <w:t xml:space="preserve">anjera y en unidades de cuenta </w:t>
      </w:r>
      <w:r w:rsidRPr="00F13768">
        <w:rPr>
          <w:rFonts w:ascii="Arial" w:eastAsia="Times New Roman" w:hAnsi="Arial" w:cs="Arial"/>
          <w:sz w:val="28"/>
          <w:szCs w:val="24"/>
          <w:vertAlign w:val="superscript"/>
          <w:lang w:eastAsia="es-EC"/>
        </w:rPr>
        <w:t>2</w:t>
      </w:r>
      <w:r w:rsidRPr="00C17E2C">
        <w:rPr>
          <w:rFonts w:ascii="Arial" w:eastAsia="Times New Roman" w:hAnsi="Arial" w:cs="Arial"/>
          <w:sz w:val="24"/>
          <w:szCs w:val="24"/>
          <w:lang w:eastAsia="es-EC"/>
        </w:rPr>
        <w:t xml:space="preserve">, se eliminó la prohibición que impedía a los bancos extranjeros captar recursos locales en depósitos de ahorro y a plazo, y se permitió que los bancos ecuatorianos </w:t>
      </w:r>
      <w:r>
        <w:rPr>
          <w:rFonts w:ascii="Arial" w:eastAsia="Times New Roman" w:hAnsi="Arial" w:cs="Arial"/>
          <w:sz w:val="24"/>
          <w:szCs w:val="24"/>
          <w:lang w:eastAsia="es-EC"/>
        </w:rPr>
        <w:t xml:space="preserve">realicen operaciones off-shore </w:t>
      </w:r>
      <w:r w:rsidRPr="00F13768">
        <w:rPr>
          <w:rFonts w:ascii="Arial" w:eastAsia="Times New Roman" w:hAnsi="Arial" w:cs="Arial"/>
          <w:sz w:val="28"/>
          <w:szCs w:val="24"/>
          <w:vertAlign w:val="superscript"/>
          <w:lang w:eastAsia="es-EC"/>
        </w:rPr>
        <w:t>3</w:t>
      </w:r>
      <w:r w:rsidRPr="00C17E2C">
        <w:rPr>
          <w:rFonts w:ascii="Arial" w:eastAsia="Times New Roman" w:hAnsi="Arial" w:cs="Arial"/>
          <w:sz w:val="24"/>
          <w:szCs w:val="24"/>
          <w:lang w:eastAsia="es-EC"/>
        </w:rPr>
        <w:t>fuera del país.</w:t>
      </w:r>
    </w:p>
    <w:p w:rsidR="00A3014D" w:rsidRPr="00C17E2C" w:rsidRDefault="00A3014D" w:rsidP="00600E99">
      <w:pPr>
        <w:pStyle w:val="Prrafodelista1"/>
        <w:spacing w:line="360" w:lineRule="auto"/>
        <w:ind w:left="0" w:firstLine="454"/>
        <w:jc w:val="both"/>
        <w:rPr>
          <w:rFonts w:ascii="Arial" w:eastAsia="Times New Roman" w:hAnsi="Arial" w:cs="Arial"/>
          <w:sz w:val="24"/>
          <w:szCs w:val="24"/>
          <w:lang w:eastAsia="es-EC"/>
        </w:rPr>
      </w:pPr>
    </w:p>
    <w:p w:rsidR="00A3014D" w:rsidRPr="007356F2" w:rsidRDefault="00A3014D" w:rsidP="007356F2">
      <w:pPr>
        <w:pStyle w:val="Prrafodelista1"/>
        <w:spacing w:line="360" w:lineRule="auto"/>
        <w:ind w:left="0" w:firstLine="454"/>
        <w:jc w:val="both"/>
        <w:rPr>
          <w:rFonts w:ascii="Arial" w:hAnsi="Arial" w:cs="Arial"/>
          <w:color w:val="FF0000"/>
          <w:sz w:val="24"/>
          <w:szCs w:val="24"/>
          <w:lang w:val="es-MX"/>
        </w:rPr>
      </w:pPr>
      <w:r w:rsidRPr="00C17E2C">
        <w:rPr>
          <w:rFonts w:ascii="Arial" w:hAnsi="Arial" w:cs="Arial"/>
          <w:sz w:val="24"/>
          <w:szCs w:val="24"/>
        </w:rPr>
        <w:t xml:space="preserve">Una vez aprobada,  </w:t>
      </w:r>
      <w:smartTag w:uri="urn:schemas-microsoft-com:office:smarttags" w:element="PersonName">
        <w:smartTagPr>
          <w:attr w:name="ProductID" w:val="la LGISF"/>
        </w:smartTagPr>
        <w:r w:rsidRPr="00C17E2C">
          <w:rPr>
            <w:rFonts w:ascii="Arial" w:hAnsi="Arial" w:cs="Arial"/>
            <w:sz w:val="24"/>
            <w:szCs w:val="24"/>
          </w:rPr>
          <w:t xml:space="preserve">la </w:t>
        </w:r>
        <w:r w:rsidRPr="00C17E2C">
          <w:rPr>
            <w:rFonts w:ascii="Arial" w:hAnsi="Arial" w:cs="Arial"/>
            <w:sz w:val="24"/>
            <w:szCs w:val="24"/>
            <w:lang w:val="es-MX"/>
          </w:rPr>
          <w:t>LGISF</w:t>
        </w:r>
      </w:smartTag>
      <w:r w:rsidRPr="00322983">
        <w:rPr>
          <w:rFonts w:ascii="Arial" w:hAnsi="Arial" w:cs="Arial"/>
          <w:sz w:val="28"/>
          <w:szCs w:val="24"/>
          <w:vertAlign w:val="superscript"/>
          <w:lang w:val="es-MX"/>
        </w:rPr>
        <w:t>4</w:t>
      </w:r>
      <w:r w:rsidRPr="00C17E2C">
        <w:rPr>
          <w:rFonts w:ascii="Arial" w:hAnsi="Arial" w:cs="Arial"/>
          <w:sz w:val="24"/>
          <w:szCs w:val="24"/>
          <w:lang w:val="es-MX"/>
        </w:rPr>
        <w:t xml:space="preserve"> desveló parcialmente los problemas subyacentes de un sector bancario intervenido por los gobiernos. Pero en la realidad, dicha intervención gubernamental terminó, en reiteradas ocasiones, perjudicando a los propios banqueros, aunque en su discurso pretendía proteger y rescatar a los bancos. Esto fue lo que sucedió tanto en 1925 como en 1999, pero esta ley solo quería que la represión financiera que regía en el país tratara nominalmente de facilitar la transición de un esquema restringido a un sistema regulado por el mercado, es decir la competencia, y en menor grado por los organismos reguladores estatales que causaban distorsiones. Sin embargo, los grupos de presión seguían teniendo injerencia </w:t>
      </w:r>
    </w:p>
    <w:p w:rsidR="00A3014D" w:rsidRPr="00C17E2C" w:rsidRDefault="00A3014D" w:rsidP="00A3014D">
      <w:pPr>
        <w:pStyle w:val="Prrafodelista1"/>
        <w:spacing w:line="240" w:lineRule="auto"/>
        <w:ind w:left="0"/>
        <w:jc w:val="both"/>
        <w:rPr>
          <w:rFonts w:ascii="Arial" w:hAnsi="Arial" w:cs="Arial"/>
          <w:sz w:val="24"/>
          <w:szCs w:val="24"/>
          <w:lang w:val="es-MX"/>
        </w:rPr>
      </w:pPr>
      <w:r>
        <w:rPr>
          <w:rFonts w:ascii="Arial" w:hAnsi="Arial" w:cs="Arial"/>
          <w:noProof/>
          <w:sz w:val="24"/>
          <w:szCs w:val="24"/>
          <w:lang w:eastAsia="es-EC"/>
        </w:rPr>
        <w:pict>
          <v:shape id="_x0000_s1027" type="#_x0000_t32" style="position:absolute;left:0;text-align:left;margin-left:7.05pt;margin-top:12.8pt;width:167.4pt;height:0;z-index:251640320" o:connectortype="straight" strokeweight="1.5pt"/>
        </w:pict>
      </w:r>
    </w:p>
    <w:p w:rsidR="00A3014D" w:rsidRPr="00322983" w:rsidRDefault="00A3014D" w:rsidP="00A3014D">
      <w:pPr>
        <w:pStyle w:val="Prrafodelista1"/>
        <w:numPr>
          <w:ilvl w:val="0"/>
          <w:numId w:val="2"/>
        </w:numPr>
        <w:spacing w:after="0" w:line="240" w:lineRule="atLeast"/>
        <w:ind w:left="1208" w:hanging="357"/>
        <w:jc w:val="both"/>
        <w:rPr>
          <w:rFonts w:ascii="Arial" w:hAnsi="Arial" w:cs="Arial"/>
          <w:sz w:val="24"/>
          <w:szCs w:val="24"/>
          <w:lang w:val="es-MX"/>
        </w:rPr>
      </w:pPr>
      <w:r w:rsidRPr="00322983">
        <w:rPr>
          <w:rFonts w:ascii="Arial" w:hAnsi="Arial" w:cs="Arial"/>
          <w:sz w:val="17"/>
          <w:szCs w:val="17"/>
        </w:rPr>
        <w:t>Como las UVCs o unidades de valor constante</w:t>
      </w:r>
    </w:p>
    <w:p w:rsidR="00A3014D" w:rsidRPr="00322983" w:rsidRDefault="00A3014D" w:rsidP="00A3014D">
      <w:pPr>
        <w:numPr>
          <w:ilvl w:val="0"/>
          <w:numId w:val="2"/>
        </w:numPr>
        <w:spacing w:after="0" w:line="240" w:lineRule="atLeast"/>
        <w:ind w:left="1208" w:hanging="357"/>
        <w:rPr>
          <w:rFonts w:ascii="Arial" w:eastAsia="Times New Roman" w:hAnsi="Arial" w:cs="Arial"/>
          <w:sz w:val="17"/>
          <w:szCs w:val="17"/>
          <w:lang w:eastAsia="es-EC"/>
        </w:rPr>
      </w:pPr>
      <w:r w:rsidRPr="00322983">
        <w:rPr>
          <w:rFonts w:ascii="Arial" w:eastAsia="Times New Roman" w:hAnsi="Arial" w:cs="Arial"/>
          <w:sz w:val="17"/>
          <w:szCs w:val="17"/>
          <w:lang w:eastAsia="es-EC"/>
        </w:rPr>
        <w:t>Corporación de Estudios y Publicaciones, Julio (1994). Ley General de Instituciones del Sistema Financiero y su Reglamento</w:t>
      </w:r>
    </w:p>
    <w:p w:rsidR="00A3014D" w:rsidRPr="00322983" w:rsidRDefault="00A3014D" w:rsidP="00A3014D">
      <w:pPr>
        <w:numPr>
          <w:ilvl w:val="0"/>
          <w:numId w:val="2"/>
        </w:numPr>
        <w:spacing w:after="0" w:line="240" w:lineRule="atLeast"/>
        <w:ind w:left="1208" w:hanging="357"/>
        <w:rPr>
          <w:rFonts w:ascii="Arial" w:eastAsia="Times New Roman" w:hAnsi="Arial" w:cs="Arial"/>
          <w:sz w:val="17"/>
          <w:szCs w:val="17"/>
          <w:lang w:eastAsia="es-EC"/>
        </w:rPr>
      </w:pPr>
      <w:r w:rsidRPr="00322983">
        <w:rPr>
          <w:rFonts w:ascii="Arial" w:eastAsia="Times New Roman" w:hAnsi="Arial" w:cs="Arial"/>
          <w:sz w:val="17"/>
          <w:szCs w:val="17"/>
          <w:lang w:eastAsia="es-EC"/>
        </w:rPr>
        <w:t>LGISF: Ley General de Instituciones del Sistema Financiero</w:t>
      </w:r>
    </w:p>
    <w:p w:rsidR="007356F2" w:rsidRPr="007356F2" w:rsidRDefault="007356F2" w:rsidP="007356F2">
      <w:pPr>
        <w:pStyle w:val="Prrafodelista1"/>
        <w:spacing w:line="360" w:lineRule="auto"/>
        <w:ind w:left="0" w:firstLine="454"/>
        <w:jc w:val="both"/>
        <w:rPr>
          <w:rFonts w:ascii="Arial" w:hAnsi="Arial" w:cs="Arial"/>
          <w:color w:val="FF0000"/>
          <w:sz w:val="24"/>
          <w:szCs w:val="24"/>
          <w:lang w:val="es-MX"/>
        </w:rPr>
      </w:pPr>
      <w:r w:rsidRPr="00C17E2C">
        <w:rPr>
          <w:rFonts w:ascii="Arial" w:hAnsi="Arial" w:cs="Arial"/>
          <w:sz w:val="24"/>
          <w:szCs w:val="24"/>
          <w:lang w:val="es-MX"/>
        </w:rPr>
        <w:lastRenderedPageBreak/>
        <w:t xml:space="preserve">en tales organismos y en los que escribían las leyes. </w:t>
      </w:r>
    </w:p>
    <w:p w:rsidR="007356F2" w:rsidRDefault="007356F2" w:rsidP="00600E99">
      <w:pPr>
        <w:pStyle w:val="Prrafodelista1"/>
        <w:spacing w:after="0" w:line="360" w:lineRule="auto"/>
        <w:ind w:left="0" w:firstLine="454"/>
        <w:jc w:val="both"/>
        <w:rPr>
          <w:rFonts w:ascii="Arial" w:hAnsi="Arial" w:cs="Arial"/>
          <w:sz w:val="24"/>
          <w:szCs w:val="24"/>
          <w:lang w:val="es-MX"/>
        </w:rPr>
      </w:pPr>
    </w:p>
    <w:p w:rsidR="00A3014D" w:rsidRPr="00C17E2C" w:rsidRDefault="00A3014D" w:rsidP="00600E99">
      <w:pPr>
        <w:pStyle w:val="Prrafodelista1"/>
        <w:spacing w:after="0" w:line="360" w:lineRule="auto"/>
        <w:ind w:left="0" w:firstLine="454"/>
        <w:jc w:val="both"/>
        <w:rPr>
          <w:rFonts w:ascii="Arial" w:hAnsi="Arial" w:cs="Arial"/>
          <w:sz w:val="24"/>
          <w:szCs w:val="24"/>
          <w:lang w:val="es-MX"/>
        </w:rPr>
      </w:pPr>
      <w:r w:rsidRPr="00C17E2C">
        <w:rPr>
          <w:rFonts w:ascii="Arial" w:hAnsi="Arial" w:cs="Arial"/>
          <w:sz w:val="24"/>
          <w:szCs w:val="24"/>
          <w:lang w:val="es-MX"/>
        </w:rPr>
        <w:t xml:space="preserve">El objetivo del BCE era influir en los precios relativos y en las expectativas de inflación de los agentes económicos para lograr reducirla. Dejar que el tipo de cambio flote y controlar la oferta monetaria, hubiera sido simplemente la alternativa, sin embargo, ambas medidas implican que el estado intervenga en el mercado. </w:t>
      </w:r>
    </w:p>
    <w:p w:rsidR="00A3014D" w:rsidRPr="00C17E2C" w:rsidRDefault="00A3014D" w:rsidP="00600E99">
      <w:pPr>
        <w:pStyle w:val="Prrafodelista1"/>
        <w:spacing w:line="360" w:lineRule="auto"/>
        <w:ind w:left="0" w:firstLine="454"/>
        <w:jc w:val="both"/>
        <w:rPr>
          <w:rFonts w:ascii="Arial" w:hAnsi="Arial" w:cs="Arial"/>
          <w:sz w:val="24"/>
          <w:szCs w:val="24"/>
          <w:lang w:val="es-MX"/>
        </w:rPr>
      </w:pPr>
    </w:p>
    <w:p w:rsidR="00A3014D" w:rsidRPr="00C17E2C" w:rsidRDefault="00A3014D" w:rsidP="00600E99">
      <w:pPr>
        <w:pStyle w:val="Prrafodelista1"/>
        <w:spacing w:line="360" w:lineRule="auto"/>
        <w:ind w:left="0" w:firstLine="454"/>
        <w:jc w:val="both"/>
        <w:rPr>
          <w:rFonts w:ascii="Arial" w:hAnsi="Arial" w:cs="Arial"/>
          <w:sz w:val="24"/>
          <w:szCs w:val="24"/>
          <w:lang w:val="es-MX"/>
        </w:rPr>
      </w:pPr>
      <w:r w:rsidRPr="00C17E2C">
        <w:rPr>
          <w:rFonts w:ascii="Arial" w:hAnsi="Arial" w:cs="Arial"/>
          <w:sz w:val="24"/>
          <w:szCs w:val="24"/>
          <w:lang w:val="es-MX"/>
        </w:rPr>
        <w:t xml:space="preserve">Distorsiones que engendraron la crisis de 1999 </w:t>
      </w:r>
    </w:p>
    <w:p w:rsidR="00A3014D" w:rsidRPr="00C17E2C" w:rsidRDefault="00A3014D" w:rsidP="00600E99">
      <w:pPr>
        <w:pStyle w:val="Prrafodelista1"/>
        <w:spacing w:line="360" w:lineRule="auto"/>
        <w:ind w:left="0" w:firstLine="454"/>
        <w:jc w:val="both"/>
        <w:rPr>
          <w:rFonts w:ascii="Arial" w:hAnsi="Arial" w:cs="Arial"/>
          <w:sz w:val="24"/>
          <w:szCs w:val="24"/>
          <w:lang w:val="es-MX"/>
        </w:rPr>
      </w:pPr>
    </w:p>
    <w:p w:rsidR="00A3014D" w:rsidRPr="00C17E2C" w:rsidRDefault="00A3014D" w:rsidP="00600E99">
      <w:pPr>
        <w:pStyle w:val="Prrafodelista1"/>
        <w:spacing w:line="360" w:lineRule="auto"/>
        <w:ind w:left="0" w:firstLine="454"/>
        <w:jc w:val="both"/>
        <w:rPr>
          <w:rFonts w:ascii="Arial" w:hAnsi="Arial" w:cs="Arial"/>
          <w:sz w:val="24"/>
          <w:szCs w:val="24"/>
          <w:lang w:val="es-MX"/>
        </w:rPr>
      </w:pPr>
      <w:r w:rsidRPr="00C17E2C">
        <w:rPr>
          <w:rFonts w:ascii="Arial" w:hAnsi="Arial" w:cs="Arial"/>
          <w:sz w:val="24"/>
          <w:szCs w:val="24"/>
          <w:lang w:val="es-MX"/>
        </w:rPr>
        <w:t>Según el enfoque de saldos reales de dinero, los individuos demandan una cantidad de dinero con determinado poder adquisitivo. Es decir, que la utilidad del dinero radica en su poder de compra. Esta demanda real de dinero se ajusta a la oferta real de dinero en la medida en que dicha oferta o cantidad se determine dentro del mercado. Cualquier cantidad de dinero es óptima en cuanto corresponda a la demanda real de dinero.</w:t>
      </w:r>
    </w:p>
    <w:p w:rsidR="00A3014D" w:rsidRPr="00C17E2C" w:rsidRDefault="00A3014D" w:rsidP="00600E99">
      <w:pPr>
        <w:pStyle w:val="Prrafodelista1"/>
        <w:spacing w:line="360" w:lineRule="auto"/>
        <w:ind w:left="0" w:firstLine="454"/>
        <w:jc w:val="both"/>
        <w:rPr>
          <w:rFonts w:ascii="Arial" w:hAnsi="Arial" w:cs="Arial"/>
          <w:sz w:val="24"/>
          <w:szCs w:val="24"/>
          <w:lang w:val="es-MX"/>
        </w:rPr>
      </w:pPr>
    </w:p>
    <w:p w:rsidR="00A3014D" w:rsidRDefault="00A3014D" w:rsidP="00600E99">
      <w:pPr>
        <w:pStyle w:val="Prrafodelista1"/>
        <w:spacing w:line="360" w:lineRule="auto"/>
        <w:ind w:left="0" w:firstLine="454"/>
        <w:jc w:val="both"/>
        <w:rPr>
          <w:rFonts w:ascii="Arial" w:hAnsi="Arial" w:cs="Arial"/>
          <w:color w:val="FF0000"/>
          <w:sz w:val="24"/>
          <w:szCs w:val="24"/>
          <w:lang w:val="es-MX"/>
        </w:rPr>
      </w:pPr>
      <w:r w:rsidRPr="00C17E2C">
        <w:rPr>
          <w:rFonts w:ascii="Arial" w:hAnsi="Arial" w:cs="Arial"/>
          <w:sz w:val="24"/>
          <w:szCs w:val="24"/>
          <w:lang w:val="es-MX"/>
        </w:rPr>
        <w:t>Cuando el sistema monetario de un país se basa en la existencia del monopolio de emisión en un banco central, ocurre que la oferta de dinero se determina fuera del mercado. De tal forma, que tal oferta de dinero determinada arbitrariamente tiene menos probabilidades de correspondencia con la demanda real de dinero en tal país. Y ese fue nuestro caso desde la fundación del BCE en 1927 hasta marzo del 2000 en que se implementó la dolarización.</w:t>
      </w:r>
    </w:p>
    <w:p w:rsidR="00A3014D" w:rsidRDefault="00A3014D" w:rsidP="00600E99">
      <w:pPr>
        <w:pStyle w:val="Prrafodelista1"/>
        <w:spacing w:line="360" w:lineRule="auto"/>
        <w:ind w:left="0"/>
        <w:jc w:val="both"/>
        <w:rPr>
          <w:rFonts w:ascii="Arial" w:hAnsi="Arial" w:cs="Arial"/>
          <w:sz w:val="24"/>
          <w:szCs w:val="24"/>
          <w:lang w:val="es-MX"/>
        </w:rPr>
      </w:pPr>
    </w:p>
    <w:p w:rsidR="00A3014D" w:rsidRPr="00C17E2C" w:rsidRDefault="00A3014D" w:rsidP="00600E99">
      <w:pPr>
        <w:pStyle w:val="Prrafodelista1"/>
        <w:spacing w:line="360" w:lineRule="auto"/>
        <w:ind w:left="0" w:firstLine="454"/>
        <w:jc w:val="both"/>
        <w:rPr>
          <w:rFonts w:ascii="Arial" w:hAnsi="Arial" w:cs="Arial"/>
          <w:sz w:val="24"/>
          <w:szCs w:val="24"/>
          <w:lang w:val="es-MX"/>
        </w:rPr>
      </w:pPr>
      <w:r w:rsidRPr="00C17E2C">
        <w:rPr>
          <w:rFonts w:ascii="Arial" w:hAnsi="Arial" w:cs="Arial"/>
          <w:sz w:val="24"/>
          <w:szCs w:val="24"/>
          <w:lang w:val="es-MX"/>
        </w:rPr>
        <w:t xml:space="preserve"> Si la demanda real de dinero es menor que la oferta suministrada por el banco central, entonces el poder de compra de ese dinero o moneda se reduce. Es decir, los precios en el país aumentan en relación a los precios de productos extranjeros. Un dinero con menor poder de compra también implica salarios reales en el mismo país mucho más bajos en relación al exterior.</w:t>
      </w:r>
    </w:p>
    <w:p w:rsidR="00600E99" w:rsidRDefault="00A3014D" w:rsidP="00600E99">
      <w:pPr>
        <w:pStyle w:val="Prrafodelista1"/>
        <w:spacing w:line="360" w:lineRule="auto"/>
        <w:ind w:left="0" w:firstLine="454"/>
        <w:jc w:val="both"/>
        <w:rPr>
          <w:rFonts w:ascii="Arial" w:hAnsi="Arial" w:cs="Arial"/>
          <w:sz w:val="24"/>
          <w:szCs w:val="24"/>
          <w:lang w:val="es-MX"/>
        </w:rPr>
      </w:pPr>
      <w:r w:rsidRPr="00C17E2C">
        <w:rPr>
          <w:rFonts w:ascii="Arial" w:hAnsi="Arial" w:cs="Arial"/>
          <w:sz w:val="24"/>
          <w:szCs w:val="24"/>
          <w:lang w:val="es-MX"/>
        </w:rPr>
        <w:lastRenderedPageBreak/>
        <w:t xml:space="preserve">Si dentro del territorio de un país que posee una moneda devaluada, se permite la libre circulación de otra moneda con mayor poder de compra, aunque no sea de “curso legal”, los demandantes de dinero con mayor poder de compra competirán por obtener dicha moneda. El proceso de cambio podría acontecer de la siguiente manera: al inicio, la moneda de mejor calidad y con mayor poder de compra será demandada para utilizarse en negocios en el comercio exterior, y además en contratos de largo plazo y como reserva de valor. Es decir, los depósitos en moneda de mejor poder adquisitivo aumentarán en los bancos, así como su uso en el mercado de bienes raíces, de comercio exterior, e incluso en préstamos de mayores volúmenes y plazos relativamente más largos. </w:t>
      </w:r>
    </w:p>
    <w:p w:rsidR="00600E99" w:rsidRDefault="00600E99" w:rsidP="00600E99">
      <w:pPr>
        <w:pStyle w:val="Prrafodelista1"/>
        <w:spacing w:line="360" w:lineRule="auto"/>
        <w:ind w:left="0" w:firstLine="454"/>
        <w:jc w:val="both"/>
        <w:rPr>
          <w:rFonts w:ascii="Arial" w:hAnsi="Arial" w:cs="Arial"/>
          <w:sz w:val="24"/>
          <w:szCs w:val="24"/>
          <w:lang w:val="es-MX"/>
        </w:rPr>
      </w:pPr>
    </w:p>
    <w:p w:rsidR="00A3014D" w:rsidRPr="00C17E2C" w:rsidRDefault="00A3014D" w:rsidP="00600E99">
      <w:pPr>
        <w:pStyle w:val="Prrafodelista1"/>
        <w:spacing w:line="360" w:lineRule="auto"/>
        <w:ind w:left="0" w:firstLine="454"/>
        <w:jc w:val="both"/>
        <w:rPr>
          <w:rFonts w:ascii="Arial" w:hAnsi="Arial" w:cs="Arial"/>
          <w:color w:val="FF0000"/>
          <w:sz w:val="24"/>
          <w:szCs w:val="24"/>
          <w:lang w:val="es-MX"/>
        </w:rPr>
      </w:pPr>
      <w:r w:rsidRPr="00C17E2C">
        <w:rPr>
          <w:rFonts w:ascii="Arial" w:hAnsi="Arial" w:cs="Arial"/>
          <w:sz w:val="24"/>
          <w:szCs w:val="24"/>
          <w:lang w:val="es-MX"/>
        </w:rPr>
        <w:t xml:space="preserve">Si la calidad de la moneda con menor poder de compra sigue deteriorándose, entonces los individuos empezarán a demandar la moneda de mejor calidad incluso para contratos a corto plazo; por ejemplo compra-venta de productos importados; y para depósitos de corto plazo como los de cuenta corriente. </w:t>
      </w:r>
    </w:p>
    <w:p w:rsidR="00A3014D" w:rsidRPr="00C17E2C" w:rsidRDefault="00A3014D" w:rsidP="00600E99">
      <w:pPr>
        <w:pStyle w:val="Prrafodelista1"/>
        <w:spacing w:line="360" w:lineRule="auto"/>
        <w:ind w:left="0"/>
        <w:jc w:val="both"/>
        <w:rPr>
          <w:rFonts w:ascii="Arial" w:hAnsi="Arial" w:cs="Arial"/>
          <w:sz w:val="24"/>
          <w:szCs w:val="24"/>
          <w:lang w:val="es-MX"/>
        </w:rPr>
      </w:pPr>
    </w:p>
    <w:p w:rsidR="00A3014D" w:rsidRPr="00C17E2C" w:rsidRDefault="00A3014D" w:rsidP="00600E99">
      <w:pPr>
        <w:pStyle w:val="Prrafodelista1"/>
        <w:spacing w:line="360" w:lineRule="auto"/>
        <w:ind w:left="0" w:firstLine="454"/>
        <w:jc w:val="both"/>
        <w:rPr>
          <w:rFonts w:ascii="Arial" w:hAnsi="Arial" w:cs="Arial"/>
          <w:sz w:val="24"/>
          <w:szCs w:val="24"/>
          <w:lang w:val="es-MX"/>
        </w:rPr>
      </w:pPr>
      <w:r w:rsidRPr="00C17E2C">
        <w:rPr>
          <w:rFonts w:ascii="Arial" w:hAnsi="Arial" w:cs="Arial"/>
          <w:sz w:val="24"/>
          <w:szCs w:val="24"/>
          <w:lang w:val="es-MX"/>
        </w:rPr>
        <w:t xml:space="preserve"> La importancia de la moneda con mayor poder de compra es fundamental en los bancos, ya que una moneda de mejor calidad implica tasas de interés relativamente inferiores a las tasas de interés de la moneda deteriorada.</w:t>
      </w:r>
    </w:p>
    <w:p w:rsidR="00A3014D" w:rsidRPr="00C17E2C" w:rsidRDefault="00A3014D" w:rsidP="00600E99">
      <w:pPr>
        <w:pStyle w:val="Prrafodelista1"/>
        <w:spacing w:line="360" w:lineRule="auto"/>
        <w:ind w:left="0" w:firstLine="454"/>
        <w:jc w:val="both"/>
        <w:rPr>
          <w:rFonts w:ascii="Arial" w:hAnsi="Arial" w:cs="Arial"/>
          <w:sz w:val="24"/>
          <w:szCs w:val="24"/>
          <w:lang w:val="es-MX"/>
        </w:rPr>
      </w:pPr>
    </w:p>
    <w:p w:rsidR="00A3014D" w:rsidRDefault="00A3014D" w:rsidP="00600E99">
      <w:pPr>
        <w:pStyle w:val="Prrafodelista1"/>
        <w:spacing w:line="360" w:lineRule="auto"/>
        <w:ind w:left="0" w:firstLine="454"/>
        <w:jc w:val="both"/>
        <w:rPr>
          <w:rFonts w:ascii="Arial" w:hAnsi="Arial" w:cs="Arial"/>
          <w:sz w:val="24"/>
          <w:szCs w:val="24"/>
          <w:lang w:val="es-MX"/>
        </w:rPr>
      </w:pPr>
      <w:r w:rsidRPr="00C17E2C">
        <w:rPr>
          <w:rFonts w:ascii="Arial" w:hAnsi="Arial" w:cs="Arial"/>
          <w:sz w:val="24"/>
          <w:szCs w:val="24"/>
          <w:lang w:val="es-MX"/>
        </w:rPr>
        <w:t>Este comportamiento de los agentes económicos, en el caso ecuatoriano, dio origen al proceso de dolarización espontánea de la economía que antecedió a la dolarización formal adoptada por Jamil Mahuad en enero del 2000. El proceso espontáneo de dolarización era una señal de rechazo de parte de los ecuatorianos a la política monetaria del BCE y del gobierno.</w:t>
      </w:r>
    </w:p>
    <w:p w:rsidR="00A3014D" w:rsidRDefault="00A3014D" w:rsidP="00600E99">
      <w:pPr>
        <w:pStyle w:val="Prrafodelista1"/>
        <w:spacing w:line="360" w:lineRule="auto"/>
        <w:ind w:left="0" w:firstLine="454"/>
        <w:jc w:val="both"/>
        <w:rPr>
          <w:rFonts w:ascii="Arial" w:hAnsi="Arial" w:cs="Arial"/>
          <w:sz w:val="24"/>
          <w:szCs w:val="24"/>
          <w:lang w:val="es-MX"/>
        </w:rPr>
      </w:pPr>
    </w:p>
    <w:p w:rsidR="00A3014D" w:rsidRPr="00160482" w:rsidRDefault="00A3014D" w:rsidP="005B206F">
      <w:pPr>
        <w:pStyle w:val="Prrafodelista1"/>
        <w:spacing w:line="360" w:lineRule="auto"/>
        <w:ind w:left="0" w:firstLine="454"/>
        <w:jc w:val="both"/>
        <w:rPr>
          <w:rFonts w:ascii="Arial" w:hAnsi="Arial" w:cs="Arial"/>
          <w:sz w:val="24"/>
          <w:szCs w:val="24"/>
          <w:lang w:val="es-MX"/>
        </w:rPr>
      </w:pPr>
      <w:r w:rsidRPr="00C17E2C">
        <w:rPr>
          <w:rFonts w:ascii="Arial" w:hAnsi="Arial" w:cs="Arial"/>
          <w:sz w:val="24"/>
          <w:szCs w:val="24"/>
          <w:lang w:val="es-MX"/>
        </w:rPr>
        <w:lastRenderedPageBreak/>
        <w:t xml:space="preserve"> En Ecuador, el BCE no sólo que tenía que aumentar la oferta monetaria en sentido estricto, esto es la base monetaria para poder mantener el ancla cambiaria, sino que también el BCE redujo varias veces el encaje bancario en sucres (junto a aumentos del encaje en dólares) para poder mantener el tipo de cambio dentro del límite superior de la banda. Entre mayo de 1992 y marzo del 2000 se decretaron 49 regulaciones de </w:t>
      </w:r>
      <w:smartTag w:uri="urn:schemas-microsoft-com:office:smarttags" w:element="PersonName">
        <w:smartTagPr>
          <w:attr w:name="ProductID" w:val="la Junta Monetaria"/>
        </w:smartTagPr>
        <w:r w:rsidRPr="00C17E2C">
          <w:rPr>
            <w:rFonts w:ascii="Arial" w:hAnsi="Arial" w:cs="Arial"/>
            <w:sz w:val="24"/>
            <w:szCs w:val="24"/>
            <w:lang w:val="es-MX"/>
          </w:rPr>
          <w:t>la Junta Monetaria</w:t>
        </w:r>
      </w:smartTag>
      <w:r w:rsidRPr="00C17E2C">
        <w:rPr>
          <w:rFonts w:ascii="Arial" w:hAnsi="Arial" w:cs="Arial"/>
          <w:sz w:val="24"/>
          <w:szCs w:val="24"/>
          <w:lang w:val="es-MX"/>
        </w:rPr>
        <w:t xml:space="preserve"> (Directorio desde noviembre de 1998) destinadas a modificar el encaje 'legal' bancario</w:t>
      </w:r>
      <w:r w:rsidRPr="0005312D">
        <w:rPr>
          <w:rFonts w:ascii="Arial" w:hAnsi="Arial" w:cs="Arial"/>
          <w:sz w:val="28"/>
          <w:szCs w:val="24"/>
          <w:vertAlign w:val="superscript"/>
          <w:lang w:val="es-MX"/>
        </w:rPr>
        <w:t>5</w:t>
      </w:r>
      <w:r w:rsidRPr="00C17E2C">
        <w:rPr>
          <w:rFonts w:ascii="Arial" w:hAnsi="Arial" w:cs="Arial"/>
          <w:sz w:val="24"/>
          <w:szCs w:val="24"/>
          <w:lang w:val="es-MX"/>
        </w:rPr>
        <w:t xml:space="preserve">. Esto significa que más de seis veces por año se cambio el nivel de encaje para controlar el tipo de cambio. En este caso, lo que se afectaba era la oferta </w:t>
      </w:r>
      <w:r w:rsidRPr="00160482">
        <w:rPr>
          <w:rFonts w:ascii="Arial" w:hAnsi="Arial" w:cs="Arial"/>
          <w:sz w:val="28"/>
          <w:szCs w:val="28"/>
          <w:vertAlign w:val="superscript"/>
          <w:lang w:val="es-MX"/>
        </w:rPr>
        <w:t>6</w:t>
      </w:r>
      <w:r w:rsidRPr="00C17E2C">
        <w:rPr>
          <w:rFonts w:ascii="Arial" w:hAnsi="Arial" w:cs="Arial"/>
          <w:sz w:val="24"/>
          <w:szCs w:val="24"/>
          <w:lang w:val="es-MX"/>
        </w:rPr>
        <w:t xml:space="preserve">monetaria en sentido amplio, donde se incluyen los depósitos a la vista y el cuasidinero. </w:t>
      </w:r>
      <w:r w:rsidRPr="00160482">
        <w:rPr>
          <w:rFonts w:ascii="Arial" w:hAnsi="Arial" w:cs="Arial"/>
          <w:sz w:val="28"/>
          <w:szCs w:val="28"/>
          <w:vertAlign w:val="superscript"/>
          <w:lang w:val="es-MX"/>
        </w:rPr>
        <w:t>7</w:t>
      </w:r>
    </w:p>
    <w:p w:rsidR="00A3014D" w:rsidRDefault="00A3014D" w:rsidP="00964217">
      <w:pPr>
        <w:pStyle w:val="Prrafodelista1"/>
        <w:spacing w:line="360" w:lineRule="auto"/>
        <w:ind w:left="0" w:firstLine="454"/>
        <w:jc w:val="both"/>
        <w:rPr>
          <w:rFonts w:ascii="Arial" w:hAnsi="Arial" w:cs="Arial"/>
          <w:sz w:val="24"/>
          <w:szCs w:val="24"/>
          <w:lang w:val="es-MX"/>
        </w:rPr>
      </w:pPr>
    </w:p>
    <w:p w:rsidR="00A3014D" w:rsidRPr="0005312D" w:rsidRDefault="00A3014D" w:rsidP="00964217">
      <w:pPr>
        <w:pStyle w:val="Prrafodelista1"/>
        <w:spacing w:line="360" w:lineRule="auto"/>
        <w:ind w:left="0" w:firstLine="454"/>
        <w:jc w:val="both"/>
        <w:rPr>
          <w:rFonts w:ascii="Arial" w:hAnsi="Arial" w:cs="Arial"/>
          <w:sz w:val="24"/>
          <w:szCs w:val="24"/>
          <w:lang w:val="es-MX"/>
        </w:rPr>
      </w:pPr>
      <w:r w:rsidRPr="00C17E2C">
        <w:rPr>
          <w:rFonts w:ascii="Arial" w:hAnsi="Arial" w:cs="Arial"/>
          <w:sz w:val="24"/>
          <w:szCs w:val="24"/>
          <w:lang w:val="es-MX"/>
        </w:rPr>
        <w:t xml:space="preserve">Un ejemplo de una medida representativa de un esquema de represión financiera antes que el de uno liberalizado, es aquel que estableció el BCE al establecer encajes distintos para depósitos en moneda extranjera y nacional. Lamentablemente en el país, quienes han escrito sobre este tema, siguen refiriéndose a todo esto como un sistema de 'absoluta' liberalización financiera, hecho que como se demostró en la sección anterior, es falso. En los cambios de la oferta monetaria, tanto estricta e incluso como amplia, es donde la estrategia de esterilización del BCE toma un papel importante. El BCE trataba de aislar la oferta de dinero en sucres de las variaciones de sus activos en moneda externa mediante las operaciones de mercado abierto, los cuales se llevaban a cabo con la compra y venta de Bonos de </w:t>
      </w:r>
    </w:p>
    <w:p w:rsidR="00A3014D" w:rsidRDefault="00A3014D" w:rsidP="00600E99">
      <w:pPr>
        <w:pStyle w:val="Prrafodelista1"/>
        <w:spacing w:line="480" w:lineRule="auto"/>
        <w:ind w:left="0"/>
        <w:jc w:val="both"/>
        <w:rPr>
          <w:rFonts w:ascii="Arial" w:eastAsia="Times New Roman" w:hAnsi="Arial" w:cs="Arial"/>
          <w:sz w:val="24"/>
          <w:szCs w:val="24"/>
          <w:lang w:eastAsia="es-EC"/>
        </w:rPr>
      </w:pPr>
      <w:r>
        <w:rPr>
          <w:rFonts w:ascii="Arial" w:eastAsia="Times New Roman" w:hAnsi="Arial" w:cs="Arial"/>
          <w:noProof/>
          <w:sz w:val="24"/>
          <w:szCs w:val="24"/>
          <w:lang w:eastAsia="es-EC"/>
        </w:rPr>
        <w:pict>
          <v:shape id="_x0000_s1029" type="#_x0000_t32" style="position:absolute;left:0;text-align:left;margin-left:8.55pt;margin-top:37.35pt;width:167.4pt;height:.05pt;z-index:251641344" o:connectortype="straight" strokeweight="1.5pt"/>
        </w:pict>
      </w:r>
    </w:p>
    <w:p w:rsidR="00600E99" w:rsidRPr="00600E99" w:rsidRDefault="00A3014D" w:rsidP="00600E99">
      <w:pPr>
        <w:numPr>
          <w:ilvl w:val="0"/>
          <w:numId w:val="2"/>
        </w:numPr>
        <w:spacing w:after="0" w:line="240" w:lineRule="auto"/>
        <w:jc w:val="both"/>
        <w:rPr>
          <w:rFonts w:ascii="Arial" w:eastAsia="Times New Roman" w:hAnsi="Arial" w:cs="Arial"/>
          <w:sz w:val="17"/>
          <w:szCs w:val="17"/>
          <w:lang w:eastAsia="es-EC"/>
        </w:rPr>
      </w:pPr>
      <w:r w:rsidRPr="0087503D">
        <w:rPr>
          <w:rFonts w:ascii="Arial" w:eastAsia="Times New Roman" w:hAnsi="Arial" w:cs="Arial"/>
          <w:sz w:val="17"/>
          <w:szCs w:val="17"/>
          <w:lang w:eastAsia="es-EC"/>
        </w:rPr>
        <w:t>El cuasidinero está conformado principalmente por: depósitos monetarios, de ahorro, a plazo, operaciones de reporto, fondos de tarjetahabientes, tanto en moneda nacional como extranjera</w:t>
      </w:r>
    </w:p>
    <w:p w:rsidR="00600E99" w:rsidRPr="00160482" w:rsidRDefault="00600E99" w:rsidP="00600E99">
      <w:pPr>
        <w:numPr>
          <w:ilvl w:val="0"/>
          <w:numId w:val="2"/>
        </w:numPr>
        <w:spacing w:after="0" w:line="240" w:lineRule="atLeast"/>
        <w:ind w:left="1208" w:hanging="357"/>
        <w:rPr>
          <w:rFonts w:ascii="Arial" w:eastAsia="Times New Roman" w:hAnsi="Arial" w:cs="Arial"/>
          <w:sz w:val="17"/>
          <w:szCs w:val="17"/>
          <w:lang w:eastAsia="es-EC"/>
        </w:rPr>
      </w:pPr>
      <w:r w:rsidRPr="00160482">
        <w:rPr>
          <w:rFonts w:ascii="Arial" w:eastAsia="Times New Roman" w:hAnsi="Arial" w:cs="Arial"/>
          <w:sz w:val="17"/>
          <w:szCs w:val="17"/>
          <w:lang w:eastAsia="es-EC"/>
        </w:rPr>
        <w:t xml:space="preserve">Regulaciones de </w:t>
      </w:r>
      <w:smartTag w:uri="urn:schemas-microsoft-com:office:smarttags" w:element="PersonName">
        <w:smartTagPr>
          <w:attr w:name="ProductID" w:val="la Junta Monetaria."/>
        </w:smartTagPr>
        <w:r w:rsidRPr="00160482">
          <w:rPr>
            <w:rFonts w:ascii="Arial" w:eastAsia="Times New Roman" w:hAnsi="Arial" w:cs="Arial"/>
            <w:sz w:val="17"/>
            <w:szCs w:val="17"/>
            <w:lang w:eastAsia="es-EC"/>
          </w:rPr>
          <w:t>la Junta Monetaria.</w:t>
        </w:r>
      </w:smartTag>
      <w:r w:rsidRPr="00160482">
        <w:rPr>
          <w:rFonts w:ascii="Arial" w:eastAsia="Times New Roman" w:hAnsi="Arial" w:cs="Arial"/>
          <w:sz w:val="17"/>
          <w:szCs w:val="17"/>
          <w:lang w:eastAsia="es-EC"/>
        </w:rPr>
        <w:t xml:space="preserve"> Cap. I Política Monetaria - Crediticia. Título II. Detalle histórico</w:t>
      </w:r>
    </w:p>
    <w:p w:rsidR="00600E99" w:rsidRPr="0087503D" w:rsidRDefault="00600E99" w:rsidP="00600E99">
      <w:pPr>
        <w:numPr>
          <w:ilvl w:val="0"/>
          <w:numId w:val="2"/>
        </w:numPr>
        <w:spacing w:after="0" w:line="240" w:lineRule="atLeast"/>
        <w:ind w:left="1208" w:hanging="357"/>
        <w:rPr>
          <w:rFonts w:ascii="Arial" w:eastAsia="Times New Roman" w:hAnsi="Arial" w:cs="Arial"/>
          <w:sz w:val="17"/>
          <w:szCs w:val="17"/>
          <w:lang w:eastAsia="es-EC"/>
        </w:rPr>
      </w:pPr>
      <w:r w:rsidRPr="00160482">
        <w:rPr>
          <w:rFonts w:ascii="Arial" w:eastAsia="Times New Roman" w:hAnsi="Arial" w:cs="Arial"/>
          <w:sz w:val="17"/>
          <w:szCs w:val="17"/>
          <w:lang w:eastAsia="es-EC"/>
        </w:rPr>
        <w:t>Aún cuando el BCE abandonó las bandas cambiaria en febrero de 1999 para 'dejar' flotar el tipo de cambio nominal. Todavía el BCE seguía realizando operaciones de mercado abierto para esterilizar los flujos de entrada y  salida de divisas.</w:t>
      </w:r>
    </w:p>
    <w:p w:rsidR="00600E99" w:rsidRPr="0087503D" w:rsidRDefault="00600E99" w:rsidP="00600E99">
      <w:pPr>
        <w:spacing w:after="0" w:line="240" w:lineRule="auto"/>
        <w:ind w:left="1211"/>
        <w:jc w:val="both"/>
        <w:rPr>
          <w:rFonts w:ascii="Arial" w:eastAsia="Times New Roman" w:hAnsi="Arial" w:cs="Arial"/>
          <w:sz w:val="17"/>
          <w:szCs w:val="17"/>
          <w:lang w:eastAsia="es-EC"/>
        </w:rPr>
      </w:pPr>
    </w:p>
    <w:p w:rsidR="00964217" w:rsidRDefault="00964217" w:rsidP="005B206F">
      <w:pPr>
        <w:pStyle w:val="Prrafodelista1"/>
        <w:spacing w:line="360" w:lineRule="auto"/>
        <w:ind w:left="0" w:firstLine="454"/>
        <w:jc w:val="both"/>
        <w:rPr>
          <w:rFonts w:ascii="Arial" w:eastAsia="Times New Roman" w:hAnsi="Arial" w:cs="Arial"/>
          <w:sz w:val="24"/>
          <w:szCs w:val="24"/>
          <w:lang w:eastAsia="es-EC"/>
        </w:rPr>
      </w:pPr>
    </w:p>
    <w:p w:rsidR="00964217" w:rsidRPr="0005312D" w:rsidRDefault="00011CC6" w:rsidP="00964217">
      <w:pPr>
        <w:pStyle w:val="Prrafodelista1"/>
        <w:spacing w:line="360" w:lineRule="auto"/>
        <w:ind w:left="0" w:firstLine="454"/>
        <w:jc w:val="both"/>
        <w:rPr>
          <w:rFonts w:ascii="Arial" w:hAnsi="Arial" w:cs="Arial"/>
          <w:sz w:val="24"/>
          <w:szCs w:val="24"/>
          <w:lang w:val="es-MX"/>
        </w:rPr>
      </w:pPr>
      <w:r>
        <w:rPr>
          <w:rFonts w:ascii="Arial" w:hAnsi="Arial" w:cs="Arial"/>
          <w:sz w:val="24"/>
          <w:szCs w:val="24"/>
          <w:lang w:val="es-MX"/>
        </w:rPr>
        <w:lastRenderedPageBreak/>
        <w:t>e</w:t>
      </w:r>
      <w:r w:rsidR="00964217" w:rsidRPr="00C17E2C">
        <w:rPr>
          <w:rFonts w:ascii="Arial" w:hAnsi="Arial" w:cs="Arial"/>
          <w:sz w:val="24"/>
          <w:szCs w:val="24"/>
          <w:lang w:val="es-MX"/>
        </w:rPr>
        <w:t>stabilización Monetaria BEMs y operaciones de reporto entre el BCE y los bancos privados. En la medida en que la limitada competencia del sucre contra el dólar arrojara como resultado que los agentes prefirieron el dólar al sucre por su mayor poder de compra; la política de esterilización provocó un drenaje de moneda externa en el BCE hasta que se abandonó el ancla cambiaria y se devalúo el sucre.</w:t>
      </w:r>
    </w:p>
    <w:p w:rsidR="00964217" w:rsidRPr="00964217" w:rsidRDefault="00964217" w:rsidP="005B206F">
      <w:pPr>
        <w:pStyle w:val="Prrafodelista1"/>
        <w:spacing w:line="360" w:lineRule="auto"/>
        <w:ind w:left="0" w:firstLine="454"/>
        <w:jc w:val="both"/>
        <w:rPr>
          <w:rFonts w:ascii="Arial" w:eastAsia="Times New Roman" w:hAnsi="Arial" w:cs="Arial"/>
          <w:sz w:val="24"/>
          <w:szCs w:val="24"/>
          <w:lang w:val="es-MX" w:eastAsia="es-EC"/>
        </w:rPr>
      </w:pPr>
    </w:p>
    <w:p w:rsidR="00A3014D" w:rsidRPr="00160482" w:rsidRDefault="00A3014D" w:rsidP="005B206F">
      <w:pPr>
        <w:pStyle w:val="Prrafodelista1"/>
        <w:spacing w:line="360" w:lineRule="auto"/>
        <w:ind w:left="0" w:firstLine="454"/>
        <w:jc w:val="both"/>
        <w:rPr>
          <w:rFonts w:ascii="Arial" w:eastAsia="Times New Roman" w:hAnsi="Arial" w:cs="Arial"/>
          <w:sz w:val="24"/>
          <w:szCs w:val="24"/>
          <w:lang w:eastAsia="es-EC"/>
        </w:rPr>
      </w:pPr>
      <w:r w:rsidRPr="00C17E2C">
        <w:rPr>
          <w:rFonts w:ascii="Arial" w:eastAsia="Times New Roman" w:hAnsi="Arial" w:cs="Arial"/>
          <w:sz w:val="24"/>
          <w:szCs w:val="24"/>
          <w:lang w:eastAsia="es-EC"/>
        </w:rPr>
        <w:t>Cuando se esteriliza la oferta de dinero local frente a los movimientos en el flujo de la moneda extranjera, el banco central intenta hacer dos cosas a la vez, que además son mutuamente excluyentes. Esto es, tratar de mantener más o menos fijo el tipo de cambio y a su vez manipular la cantidad de dinero local. En lugar de mantener su regla de política que lo compromete a mantener el tipo de cambio (o la banda), hace todo lo necesario por desestabilizarse a sí mismo. Esto le podrá permitir al banco central controlar la oferta de dinero por un tiempo e impedir que ésta se ajuste a la demanda real de dinero. Sin embargo, esta falta de correspondencia entre oferta y demanda cuanto más duradera, tanto más distorsionará los precios relativos que guían la actividad económica.</w:t>
      </w:r>
    </w:p>
    <w:p w:rsidR="00A3014D" w:rsidRPr="00C17E2C" w:rsidRDefault="00A3014D" w:rsidP="005B206F">
      <w:pPr>
        <w:pStyle w:val="Prrafodelista1"/>
        <w:spacing w:line="360" w:lineRule="auto"/>
        <w:ind w:left="0" w:firstLine="454"/>
        <w:jc w:val="both"/>
        <w:rPr>
          <w:rFonts w:ascii="Arial" w:eastAsia="Times New Roman" w:hAnsi="Arial" w:cs="Arial"/>
          <w:color w:val="FF0000"/>
          <w:sz w:val="24"/>
          <w:szCs w:val="24"/>
          <w:lang w:eastAsia="es-EC"/>
        </w:rPr>
      </w:pPr>
    </w:p>
    <w:p w:rsidR="00011CC6" w:rsidRDefault="00A3014D" w:rsidP="00011CC6">
      <w:pPr>
        <w:pStyle w:val="Prrafodelista1"/>
        <w:spacing w:line="360" w:lineRule="auto"/>
        <w:ind w:left="0" w:firstLine="454"/>
        <w:jc w:val="both"/>
        <w:rPr>
          <w:rFonts w:ascii="Arial" w:eastAsia="Times New Roman" w:hAnsi="Arial" w:cs="Arial"/>
          <w:sz w:val="24"/>
          <w:szCs w:val="24"/>
          <w:lang w:eastAsia="es-EC"/>
        </w:rPr>
      </w:pPr>
      <w:r w:rsidRPr="00C17E2C">
        <w:rPr>
          <w:rFonts w:ascii="Arial" w:eastAsia="Times New Roman" w:hAnsi="Arial" w:cs="Arial"/>
          <w:sz w:val="24"/>
          <w:szCs w:val="24"/>
          <w:lang w:eastAsia="es-EC"/>
        </w:rPr>
        <w:t>Si la demanda real de sucres se estaba reduciendo y el BCE intervenía para evitar q</w:t>
      </w:r>
      <w:r>
        <w:rPr>
          <w:rFonts w:ascii="Arial" w:eastAsia="Times New Roman" w:hAnsi="Arial" w:cs="Arial"/>
          <w:sz w:val="24"/>
          <w:szCs w:val="24"/>
          <w:lang w:eastAsia="es-EC"/>
        </w:rPr>
        <w:t>ue la base monetaria se reduzca</w:t>
      </w:r>
      <w:r w:rsidRPr="00ED7778">
        <w:rPr>
          <w:rFonts w:ascii="Arial" w:eastAsia="Times New Roman" w:hAnsi="Arial" w:cs="Arial"/>
          <w:sz w:val="28"/>
          <w:szCs w:val="28"/>
          <w:vertAlign w:val="superscript"/>
          <w:lang w:eastAsia="es-EC"/>
        </w:rPr>
        <w:t>8</w:t>
      </w:r>
      <w:r w:rsidRPr="00C17E2C">
        <w:rPr>
          <w:rFonts w:ascii="Arial" w:eastAsia="Times New Roman" w:hAnsi="Arial" w:cs="Arial"/>
          <w:sz w:val="24"/>
          <w:szCs w:val="24"/>
          <w:lang w:eastAsia="es-EC"/>
        </w:rPr>
        <w:t xml:space="preserve">, entonces los precios en sucres de los productos en el </w:t>
      </w:r>
      <w:r w:rsidRPr="00C17E2C">
        <w:rPr>
          <w:rFonts w:ascii="Arial" w:eastAsia="Times New Roman" w:hAnsi="Arial" w:cs="Arial"/>
          <w:bCs/>
          <w:color w:val="000000"/>
          <w:sz w:val="24"/>
          <w:szCs w:val="24"/>
          <w:lang w:eastAsia="es-EC"/>
        </w:rPr>
        <w:t>Ecuador</w:t>
      </w:r>
      <w:r w:rsidRPr="00C17E2C">
        <w:rPr>
          <w:rFonts w:ascii="Arial" w:eastAsia="Times New Roman" w:hAnsi="Arial" w:cs="Arial"/>
          <w:sz w:val="24"/>
          <w:szCs w:val="24"/>
          <w:lang w:eastAsia="es-EC"/>
        </w:rPr>
        <w:t xml:space="preserve"> se encarecían. Esto concebía de parte de los agentes económicos, una mayor sustitución de sucres por dólares, que era lo que precisamente quería evitar el BCE. La mayor preferencia por dólares se debía a que los bienes transables se abarataban en el exterior. La estructura de precios resultante de las políticas de esterilización del BCE estaba distorsionada, y estimuló errores empresariales que sólo fueron parcialmente corregidos en la recesión de 1999. </w:t>
      </w:r>
    </w:p>
    <w:p w:rsidR="00011CC6" w:rsidRPr="00ED7778" w:rsidRDefault="00011CC6" w:rsidP="00011CC6">
      <w:pPr>
        <w:pStyle w:val="Prrafodelista1"/>
        <w:numPr>
          <w:ilvl w:val="0"/>
          <w:numId w:val="2"/>
        </w:numPr>
        <w:spacing w:line="360" w:lineRule="auto"/>
        <w:jc w:val="both"/>
        <w:rPr>
          <w:rFonts w:ascii="Arial" w:eastAsia="Times New Roman" w:hAnsi="Arial" w:cs="Arial"/>
          <w:sz w:val="24"/>
          <w:szCs w:val="24"/>
          <w:lang w:eastAsia="es-EC"/>
        </w:rPr>
      </w:pPr>
      <w:r>
        <w:rPr>
          <w:rFonts w:ascii="Arial" w:eastAsia="Times New Roman" w:hAnsi="Arial" w:cs="Arial"/>
          <w:noProof/>
          <w:sz w:val="24"/>
          <w:szCs w:val="24"/>
          <w:lang w:eastAsia="es-EC"/>
        </w:rPr>
        <w:pict>
          <v:shape id="_x0000_s1079" type="#_x0000_t32" style="position:absolute;left:0;text-align:left;margin-left:9.45pt;margin-top:1.05pt;width:167.4pt;height:.05pt;z-index:251666944" o:connectortype="straight" strokeweight="1.5pt"/>
        </w:pict>
      </w:r>
      <w:r w:rsidRPr="00ED7778">
        <w:rPr>
          <w:rFonts w:ascii="Arial" w:eastAsia="Times New Roman" w:hAnsi="Arial" w:cs="Arial"/>
          <w:sz w:val="17"/>
          <w:szCs w:val="17"/>
          <w:lang w:eastAsia="es-EC"/>
        </w:rPr>
        <w:t>Esto ocurre cuando los agentes económicos cambiaban sus sucres por dólares</w:t>
      </w:r>
      <w:r>
        <w:rPr>
          <w:rFonts w:ascii="Arial" w:eastAsia="Times New Roman" w:hAnsi="Arial" w:cs="Arial"/>
          <w:sz w:val="24"/>
          <w:szCs w:val="24"/>
          <w:lang w:eastAsia="es-EC"/>
        </w:rPr>
        <w:t>.</w:t>
      </w:r>
    </w:p>
    <w:p w:rsidR="00011CC6" w:rsidRDefault="00011CC6" w:rsidP="00011CC6">
      <w:pPr>
        <w:pStyle w:val="Prrafodelista1"/>
        <w:spacing w:line="360" w:lineRule="auto"/>
        <w:ind w:left="0"/>
        <w:jc w:val="both"/>
        <w:rPr>
          <w:rFonts w:ascii="Arial" w:eastAsia="Times New Roman" w:hAnsi="Arial" w:cs="Arial"/>
          <w:b/>
          <w:sz w:val="20"/>
          <w:szCs w:val="20"/>
          <w:lang w:eastAsia="es-EC"/>
        </w:rPr>
        <w:sectPr w:rsidR="00011CC6" w:rsidSect="00F27DFF">
          <w:type w:val="continuous"/>
          <w:pgSz w:w="11907" w:h="16840" w:code="9"/>
          <w:pgMar w:top="1985" w:right="1418" w:bottom="1985" w:left="2268" w:header="709" w:footer="709" w:gutter="0"/>
          <w:cols w:space="708"/>
          <w:docGrid w:linePitch="360"/>
        </w:sectPr>
      </w:pPr>
    </w:p>
    <w:p w:rsidR="00011CC6" w:rsidRDefault="00011CC6" w:rsidP="005B206F">
      <w:pPr>
        <w:pStyle w:val="Prrafodelista1"/>
        <w:spacing w:line="360" w:lineRule="auto"/>
        <w:ind w:left="0" w:firstLine="454"/>
        <w:jc w:val="both"/>
        <w:rPr>
          <w:rFonts w:ascii="Arial" w:eastAsia="Times New Roman" w:hAnsi="Arial" w:cs="Arial"/>
          <w:sz w:val="24"/>
          <w:szCs w:val="24"/>
          <w:lang w:eastAsia="es-EC"/>
        </w:rPr>
      </w:pPr>
    </w:p>
    <w:p w:rsidR="005B206F" w:rsidRDefault="00A3014D" w:rsidP="005B206F">
      <w:pPr>
        <w:pStyle w:val="Prrafodelista1"/>
        <w:spacing w:line="360" w:lineRule="auto"/>
        <w:ind w:left="0" w:firstLine="454"/>
        <w:jc w:val="both"/>
        <w:rPr>
          <w:rFonts w:ascii="Arial" w:eastAsia="Times New Roman" w:hAnsi="Arial" w:cs="Arial"/>
          <w:sz w:val="24"/>
          <w:szCs w:val="24"/>
          <w:lang w:eastAsia="es-EC"/>
        </w:rPr>
      </w:pPr>
      <w:r w:rsidRPr="00C17E2C">
        <w:rPr>
          <w:rFonts w:ascii="Arial" w:eastAsia="Times New Roman" w:hAnsi="Arial" w:cs="Arial"/>
          <w:sz w:val="24"/>
          <w:szCs w:val="24"/>
          <w:lang w:eastAsia="es-EC"/>
        </w:rPr>
        <w:t>No ha existido una corrección completa, porque existen precios importantes controlados por el gobierno, es decir determinados fuera del mercado. Esta es otra de las razones por las cuales la inflación no convergió a niveles internacionales de forma más rápida.</w:t>
      </w:r>
    </w:p>
    <w:p w:rsidR="005B206F" w:rsidRDefault="005B206F" w:rsidP="005B206F">
      <w:pPr>
        <w:pStyle w:val="Prrafodelista1"/>
        <w:spacing w:line="360" w:lineRule="auto"/>
        <w:ind w:left="0" w:firstLine="454"/>
        <w:jc w:val="both"/>
        <w:rPr>
          <w:rFonts w:ascii="Arial" w:eastAsia="Times New Roman" w:hAnsi="Arial" w:cs="Arial"/>
          <w:sz w:val="24"/>
          <w:szCs w:val="24"/>
          <w:lang w:eastAsia="es-EC"/>
        </w:rPr>
      </w:pPr>
    </w:p>
    <w:p w:rsidR="00A3014D" w:rsidRPr="005B206F" w:rsidRDefault="005B206F" w:rsidP="005B206F">
      <w:pPr>
        <w:pStyle w:val="Prrafodelista1"/>
        <w:spacing w:line="360" w:lineRule="auto"/>
        <w:ind w:left="0"/>
        <w:jc w:val="both"/>
        <w:rPr>
          <w:rFonts w:ascii="Arial" w:eastAsia="Times New Roman" w:hAnsi="Arial" w:cs="Arial"/>
          <w:b/>
          <w:sz w:val="28"/>
          <w:szCs w:val="28"/>
          <w:lang w:eastAsia="es-EC"/>
        </w:rPr>
      </w:pPr>
      <w:r w:rsidRPr="005B206F">
        <w:rPr>
          <w:rFonts w:ascii="Arial" w:eastAsia="Times New Roman" w:hAnsi="Arial" w:cs="Arial"/>
          <w:b/>
          <w:sz w:val="28"/>
          <w:szCs w:val="28"/>
          <w:lang w:eastAsia="es-EC"/>
        </w:rPr>
        <w:t>EVOLUCIÓ</w:t>
      </w:r>
      <w:r w:rsidR="00A3014D" w:rsidRPr="005B206F">
        <w:rPr>
          <w:rFonts w:ascii="Arial" w:eastAsia="Times New Roman" w:hAnsi="Arial" w:cs="Arial"/>
          <w:b/>
          <w:sz w:val="28"/>
          <w:szCs w:val="28"/>
          <w:lang w:eastAsia="es-EC"/>
        </w:rPr>
        <w:t>N DEL SISTEMA MONETARIO</w:t>
      </w:r>
    </w:p>
    <w:p w:rsidR="00A3014D" w:rsidRPr="0035338C" w:rsidRDefault="003A24B0" w:rsidP="00A3014D">
      <w:pPr>
        <w:spacing w:line="360" w:lineRule="auto"/>
        <w:jc w:val="both"/>
        <w:rPr>
          <w:rFonts w:ascii="Arial" w:eastAsia="Times New Roman" w:hAnsi="Arial" w:cs="Arial"/>
          <w:sz w:val="20"/>
          <w:szCs w:val="20"/>
          <w:lang w:eastAsia="es-EC"/>
        </w:rPr>
      </w:pPr>
      <w:r>
        <w:rPr>
          <w:rFonts w:ascii="Arial" w:hAnsi="Arial" w:cs="Arial"/>
          <w:noProof/>
          <w:sz w:val="20"/>
          <w:szCs w:val="20"/>
          <w:lang w:val="es-ES" w:eastAsia="es-ES"/>
        </w:rPr>
        <w:drawing>
          <wp:inline distT="0" distB="0" distL="0" distR="0">
            <wp:extent cx="5686425" cy="3638550"/>
            <wp:effectExtent l="0" t="0" r="0" b="0"/>
            <wp:docPr id="3" name="Diagrama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Diagrama 2"/>
                    <pic:cNvPicPr>
                      <a:picLocks noChangeArrowheads="1"/>
                    </pic:cNvPicPr>
                  </pic:nvPicPr>
                  <pic:blipFill>
                    <a:blip r:embed="rId11">
                      <a:grayscl/>
                    </a:blip>
                    <a:srcRect l="-2713" t="-1067" r="-2927" b="-4207"/>
                    <a:stretch>
                      <a:fillRect/>
                    </a:stretch>
                  </pic:blipFill>
                  <pic:spPr bwMode="auto">
                    <a:xfrm>
                      <a:off x="0" y="0"/>
                      <a:ext cx="5686425" cy="3638550"/>
                    </a:xfrm>
                    <a:prstGeom prst="rect">
                      <a:avLst/>
                    </a:prstGeom>
                    <a:noFill/>
                    <a:ln w="9525">
                      <a:noFill/>
                      <a:miter lim="800000"/>
                      <a:headEnd/>
                      <a:tailEnd/>
                    </a:ln>
                    <a:effectLst>
                      <a:outerShdw dist="35921" dir="2700000" algn="ctr" rotWithShape="0">
                        <a:srgbClr val="938953"/>
                      </a:outerShdw>
                    </a:effectLst>
                  </pic:spPr>
                </pic:pic>
              </a:graphicData>
            </a:graphic>
          </wp:inline>
        </w:drawing>
      </w:r>
    </w:p>
    <w:p w:rsidR="00A3014D" w:rsidRPr="0035338C" w:rsidRDefault="003A24B0" w:rsidP="00A3014D">
      <w:pPr>
        <w:pStyle w:val="Prrafodelista1"/>
        <w:spacing w:line="360" w:lineRule="auto"/>
        <w:jc w:val="both"/>
        <w:rPr>
          <w:rFonts w:ascii="Arial" w:hAnsi="Arial" w:cs="Arial"/>
          <w:sz w:val="20"/>
          <w:szCs w:val="20"/>
          <w:lang w:val="es-MX"/>
        </w:rPr>
      </w:pPr>
      <w:r>
        <w:rPr>
          <w:rFonts w:ascii="Arial" w:hAnsi="Arial" w:cs="Arial"/>
          <w:noProof/>
          <w:sz w:val="20"/>
          <w:szCs w:val="20"/>
          <w:lang w:val="es-ES" w:eastAsia="es-ES"/>
        </w:rPr>
        <w:lastRenderedPageBreak/>
        <w:drawing>
          <wp:inline distT="0" distB="0" distL="0" distR="0">
            <wp:extent cx="5505450" cy="3867150"/>
            <wp:effectExtent l="0" t="0" r="0" b="0"/>
            <wp:docPr id="4" name="Diagram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agrama 3"/>
                    <pic:cNvPicPr>
                      <a:picLocks noChangeAspect="1" noChangeArrowheads="1"/>
                    </pic:cNvPicPr>
                  </pic:nvPicPr>
                  <pic:blipFill>
                    <a:blip r:embed="rId12">
                      <a:grayscl/>
                    </a:blip>
                    <a:srcRect l="-2365" t="-313" r="-16159"/>
                    <a:stretch>
                      <a:fillRect/>
                    </a:stretch>
                  </pic:blipFill>
                  <pic:spPr bwMode="auto">
                    <a:xfrm>
                      <a:off x="0" y="0"/>
                      <a:ext cx="5505450" cy="3867150"/>
                    </a:xfrm>
                    <a:prstGeom prst="rect">
                      <a:avLst/>
                    </a:prstGeom>
                    <a:noFill/>
                    <a:ln w="9525">
                      <a:noFill/>
                      <a:miter lim="800000"/>
                      <a:headEnd/>
                      <a:tailEnd/>
                    </a:ln>
                  </pic:spPr>
                </pic:pic>
              </a:graphicData>
            </a:graphic>
          </wp:inline>
        </w:drawing>
      </w:r>
    </w:p>
    <w:p w:rsidR="00A3014D" w:rsidRDefault="003A24B0" w:rsidP="00A3014D">
      <w:pPr>
        <w:pStyle w:val="Prrafodelista1"/>
        <w:spacing w:line="360" w:lineRule="auto"/>
        <w:jc w:val="both"/>
        <w:rPr>
          <w:rFonts w:ascii="Arial" w:hAnsi="Arial" w:cs="Arial"/>
          <w:noProof/>
          <w:sz w:val="20"/>
          <w:szCs w:val="20"/>
          <w:lang w:eastAsia="es-EC"/>
        </w:rPr>
      </w:pPr>
      <w:r>
        <w:rPr>
          <w:rFonts w:ascii="Arial" w:hAnsi="Arial" w:cs="Arial"/>
          <w:noProof/>
          <w:sz w:val="20"/>
          <w:szCs w:val="20"/>
          <w:lang w:val="es-ES" w:eastAsia="es-ES"/>
        </w:rPr>
        <w:drawing>
          <wp:inline distT="0" distB="0" distL="0" distR="0">
            <wp:extent cx="5657850" cy="4124325"/>
            <wp:effectExtent l="19050" t="0" r="0" b="0"/>
            <wp:docPr id="5" name="Diagram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agrama 4"/>
                    <pic:cNvPicPr>
                      <a:picLocks noChangeAspect="1" noChangeArrowheads="1"/>
                    </pic:cNvPicPr>
                  </pic:nvPicPr>
                  <pic:blipFill>
                    <a:blip r:embed="rId13">
                      <a:grayscl/>
                    </a:blip>
                    <a:srcRect r="-11229" b="-310"/>
                    <a:stretch>
                      <a:fillRect/>
                    </a:stretch>
                  </pic:blipFill>
                  <pic:spPr bwMode="auto">
                    <a:xfrm>
                      <a:off x="0" y="0"/>
                      <a:ext cx="5657850" cy="4124325"/>
                    </a:xfrm>
                    <a:prstGeom prst="rect">
                      <a:avLst/>
                    </a:prstGeom>
                    <a:noFill/>
                    <a:ln w="9525">
                      <a:noFill/>
                      <a:miter lim="800000"/>
                      <a:headEnd/>
                      <a:tailEnd/>
                    </a:ln>
                  </pic:spPr>
                </pic:pic>
              </a:graphicData>
            </a:graphic>
          </wp:inline>
        </w:drawing>
      </w:r>
    </w:p>
    <w:p w:rsidR="005B206F" w:rsidRPr="0035338C" w:rsidRDefault="005B206F" w:rsidP="00A3014D">
      <w:pPr>
        <w:pStyle w:val="Prrafodelista1"/>
        <w:spacing w:line="360" w:lineRule="auto"/>
        <w:jc w:val="both"/>
        <w:rPr>
          <w:rFonts w:ascii="Arial" w:hAnsi="Arial" w:cs="Arial"/>
          <w:sz w:val="20"/>
          <w:szCs w:val="20"/>
          <w:lang w:val="es-MX"/>
        </w:rPr>
      </w:pPr>
    </w:p>
    <w:p w:rsidR="00A3014D" w:rsidRPr="005B206F" w:rsidRDefault="00A3014D" w:rsidP="005B206F">
      <w:pPr>
        <w:pStyle w:val="Prrafodelista1"/>
        <w:numPr>
          <w:ilvl w:val="1"/>
          <w:numId w:val="3"/>
        </w:numPr>
        <w:spacing w:line="360" w:lineRule="auto"/>
        <w:jc w:val="both"/>
        <w:rPr>
          <w:rFonts w:ascii="Arial" w:hAnsi="Arial" w:cs="Arial"/>
          <w:b/>
          <w:sz w:val="28"/>
          <w:szCs w:val="28"/>
        </w:rPr>
      </w:pPr>
      <w:smartTag w:uri="urn:schemas-microsoft-com:office:smarttags" w:element="PersonName">
        <w:smartTagPr>
          <w:attr w:name="ProductID" w:val="LA ACTIVIDAD BANCARIA"/>
        </w:smartTagPr>
        <w:r w:rsidRPr="005B206F">
          <w:rPr>
            <w:rFonts w:ascii="Arial" w:hAnsi="Arial" w:cs="Arial"/>
            <w:b/>
            <w:sz w:val="28"/>
            <w:szCs w:val="28"/>
          </w:rPr>
          <w:t>LA ACTIVIDAD BANCARIA</w:t>
        </w:r>
      </w:smartTag>
      <w:r w:rsidRPr="005B206F">
        <w:rPr>
          <w:rFonts w:ascii="Arial" w:hAnsi="Arial" w:cs="Arial"/>
          <w:b/>
          <w:sz w:val="28"/>
          <w:szCs w:val="28"/>
        </w:rPr>
        <w:t xml:space="preserve"> EN EL ECUADOR</w:t>
      </w:r>
    </w:p>
    <w:p w:rsidR="00A3014D" w:rsidRPr="005B206F" w:rsidRDefault="00A3014D" w:rsidP="005B206F">
      <w:pPr>
        <w:pStyle w:val="Prrafodelista1"/>
        <w:spacing w:line="360" w:lineRule="auto"/>
        <w:ind w:left="1080"/>
        <w:rPr>
          <w:rFonts w:ascii="Arial" w:hAnsi="Arial" w:cs="Arial"/>
          <w:b/>
          <w:sz w:val="28"/>
          <w:szCs w:val="28"/>
        </w:rPr>
      </w:pPr>
    </w:p>
    <w:p w:rsidR="00A3014D" w:rsidRPr="005B206F" w:rsidRDefault="00A3014D" w:rsidP="005B206F">
      <w:pPr>
        <w:pStyle w:val="Prrafodelista1"/>
        <w:numPr>
          <w:ilvl w:val="2"/>
          <w:numId w:val="3"/>
        </w:numPr>
        <w:spacing w:line="360" w:lineRule="auto"/>
        <w:ind w:left="1701" w:hanging="567"/>
        <w:jc w:val="both"/>
        <w:rPr>
          <w:rFonts w:ascii="Arial" w:hAnsi="Arial" w:cs="Arial"/>
          <w:b/>
          <w:sz w:val="28"/>
          <w:szCs w:val="28"/>
        </w:rPr>
      </w:pPr>
      <w:r w:rsidRPr="005B206F">
        <w:rPr>
          <w:rFonts w:ascii="Arial" w:hAnsi="Arial" w:cs="Arial"/>
          <w:b/>
          <w:sz w:val="28"/>
          <w:szCs w:val="28"/>
        </w:rPr>
        <w:t>DESCRPICIÓN DEL SISTEMA FINANCIERO</w:t>
      </w:r>
    </w:p>
    <w:p w:rsidR="00A3014D" w:rsidRPr="005B206F" w:rsidRDefault="00A3014D" w:rsidP="005B206F">
      <w:pPr>
        <w:pStyle w:val="Prrafodelista1"/>
        <w:spacing w:after="0" w:line="360" w:lineRule="auto"/>
        <w:jc w:val="both"/>
        <w:rPr>
          <w:rFonts w:ascii="Arial" w:eastAsia="Times New Roman" w:hAnsi="Arial" w:cs="Arial"/>
          <w:b/>
          <w:sz w:val="28"/>
          <w:szCs w:val="28"/>
          <w:lang w:eastAsia="es-EC"/>
        </w:rPr>
      </w:pPr>
    </w:p>
    <w:p w:rsidR="00A3014D" w:rsidRPr="00C17E2C" w:rsidRDefault="00A3014D" w:rsidP="005B206F">
      <w:pPr>
        <w:pStyle w:val="Prrafodelista1"/>
        <w:spacing w:after="0" w:line="360" w:lineRule="auto"/>
        <w:ind w:left="0" w:firstLine="454"/>
        <w:jc w:val="both"/>
        <w:rPr>
          <w:rFonts w:ascii="Arial" w:eastAsia="Times New Roman" w:hAnsi="Arial" w:cs="Arial"/>
          <w:sz w:val="24"/>
          <w:szCs w:val="24"/>
          <w:lang w:eastAsia="es-EC"/>
        </w:rPr>
      </w:pPr>
      <w:r w:rsidRPr="00C17E2C">
        <w:rPr>
          <w:rFonts w:ascii="Arial" w:eastAsia="Times New Roman" w:hAnsi="Arial" w:cs="Arial"/>
          <w:sz w:val="24"/>
          <w:szCs w:val="24"/>
          <w:lang w:eastAsia="es-EC"/>
        </w:rPr>
        <w:t xml:space="preserve">El </w:t>
      </w:r>
      <w:r w:rsidRPr="00C17E2C">
        <w:rPr>
          <w:rFonts w:ascii="Arial" w:eastAsia="Times New Roman" w:hAnsi="Arial" w:cs="Arial"/>
          <w:bCs/>
          <w:sz w:val="24"/>
          <w:szCs w:val="24"/>
          <w:lang w:eastAsia="es-EC"/>
        </w:rPr>
        <w:t>sistema</w:t>
      </w:r>
      <w:r w:rsidRPr="00C17E2C">
        <w:rPr>
          <w:rFonts w:ascii="Arial" w:eastAsia="Times New Roman" w:hAnsi="Arial" w:cs="Arial"/>
          <w:sz w:val="24"/>
          <w:szCs w:val="24"/>
          <w:lang w:eastAsia="es-EC"/>
        </w:rPr>
        <w:t xml:space="preserve"> </w:t>
      </w:r>
      <w:r w:rsidRPr="00C17E2C">
        <w:rPr>
          <w:rFonts w:ascii="Arial" w:eastAsia="Times New Roman" w:hAnsi="Arial" w:cs="Arial"/>
          <w:bCs/>
          <w:sz w:val="24"/>
          <w:szCs w:val="24"/>
          <w:lang w:eastAsia="es-EC"/>
        </w:rPr>
        <w:t xml:space="preserve">financiero, a partir de la dolarización en el </w:t>
      </w:r>
      <w:smartTag w:uri="urn:schemas-microsoft-com:office:smarttags" w:element="metricconverter">
        <w:smartTagPr>
          <w:attr w:name="ProductID" w:val="2000, ha"/>
        </w:smartTagPr>
        <w:r w:rsidRPr="00C17E2C">
          <w:rPr>
            <w:rFonts w:ascii="Arial" w:eastAsia="Times New Roman" w:hAnsi="Arial" w:cs="Arial"/>
            <w:bCs/>
            <w:sz w:val="24"/>
            <w:szCs w:val="24"/>
            <w:lang w:eastAsia="es-EC"/>
          </w:rPr>
          <w:t>2000,</w:t>
        </w:r>
        <w:r w:rsidRPr="00C17E2C">
          <w:rPr>
            <w:rFonts w:ascii="Arial" w:eastAsia="Times New Roman" w:hAnsi="Arial" w:cs="Arial"/>
            <w:sz w:val="24"/>
            <w:szCs w:val="24"/>
            <w:lang w:eastAsia="es-EC"/>
          </w:rPr>
          <w:t xml:space="preserve"> ha</w:t>
        </w:r>
      </w:smartTag>
      <w:r w:rsidRPr="00C17E2C">
        <w:rPr>
          <w:rFonts w:ascii="Arial" w:eastAsia="Times New Roman" w:hAnsi="Arial" w:cs="Arial"/>
          <w:sz w:val="24"/>
          <w:szCs w:val="24"/>
          <w:lang w:eastAsia="es-EC"/>
        </w:rPr>
        <w:t xml:space="preserve"> sido uno de los mayores ganadores de la economía. Una muestra de aquello es el monto de utilidades y la rentabilidad sobre el patrimonio que han obtenido </w:t>
      </w:r>
      <w:r>
        <w:rPr>
          <w:rFonts w:ascii="Arial" w:eastAsia="Times New Roman" w:hAnsi="Arial" w:cs="Arial"/>
          <w:sz w:val="24"/>
          <w:szCs w:val="24"/>
          <w:lang w:eastAsia="es-EC"/>
        </w:rPr>
        <w:t>a lo largo de los últimos</w:t>
      </w:r>
      <w:r w:rsidRPr="00C17E2C">
        <w:rPr>
          <w:rFonts w:ascii="Arial" w:eastAsia="Times New Roman" w:hAnsi="Arial" w:cs="Arial"/>
          <w:sz w:val="24"/>
          <w:szCs w:val="24"/>
          <w:lang w:eastAsia="es-EC"/>
        </w:rPr>
        <w:t xml:space="preserve"> años. </w:t>
      </w:r>
    </w:p>
    <w:p w:rsidR="00A3014D" w:rsidRPr="00C17E2C" w:rsidRDefault="00A3014D" w:rsidP="005B206F">
      <w:pPr>
        <w:pStyle w:val="Prrafodelista1"/>
        <w:spacing w:after="0" w:line="360" w:lineRule="auto"/>
        <w:ind w:firstLine="454"/>
        <w:jc w:val="both"/>
        <w:rPr>
          <w:rFonts w:ascii="Arial" w:eastAsia="Times New Roman" w:hAnsi="Arial" w:cs="Arial"/>
          <w:sz w:val="24"/>
          <w:szCs w:val="24"/>
          <w:lang w:eastAsia="es-EC"/>
        </w:rPr>
      </w:pPr>
    </w:p>
    <w:p w:rsidR="00A3014D" w:rsidRDefault="00A3014D" w:rsidP="005B206F">
      <w:pPr>
        <w:pStyle w:val="Prrafodelista1"/>
        <w:spacing w:after="0" w:line="360" w:lineRule="auto"/>
        <w:ind w:left="0" w:firstLine="454"/>
        <w:jc w:val="both"/>
        <w:rPr>
          <w:rFonts w:ascii="Arial" w:eastAsia="Times New Roman" w:hAnsi="Arial" w:cs="Arial"/>
          <w:sz w:val="24"/>
          <w:szCs w:val="24"/>
          <w:lang w:eastAsia="es-EC"/>
        </w:rPr>
      </w:pPr>
      <w:r w:rsidRPr="00C17E2C">
        <w:rPr>
          <w:rFonts w:ascii="Arial" w:eastAsia="Times New Roman" w:hAnsi="Arial" w:cs="Arial"/>
          <w:sz w:val="24"/>
          <w:szCs w:val="24"/>
          <w:lang w:eastAsia="es-EC"/>
        </w:rPr>
        <w:t xml:space="preserve">Sin embargo, el Ecuador sólo ha cumplido una de las tres condiciones que determinan la eficiencia de un </w:t>
      </w:r>
      <w:r w:rsidRPr="00C17E2C">
        <w:rPr>
          <w:rFonts w:ascii="Arial" w:eastAsia="Times New Roman" w:hAnsi="Arial" w:cs="Arial"/>
          <w:bCs/>
          <w:sz w:val="24"/>
          <w:szCs w:val="24"/>
          <w:lang w:eastAsia="es-EC"/>
        </w:rPr>
        <w:t>sistema</w:t>
      </w:r>
      <w:r w:rsidRPr="00C17E2C">
        <w:rPr>
          <w:rFonts w:ascii="Arial" w:eastAsia="Times New Roman" w:hAnsi="Arial" w:cs="Arial"/>
          <w:sz w:val="24"/>
          <w:szCs w:val="24"/>
          <w:lang w:eastAsia="es-EC"/>
        </w:rPr>
        <w:t xml:space="preserve"> </w:t>
      </w:r>
      <w:r w:rsidRPr="00C17E2C">
        <w:rPr>
          <w:rFonts w:ascii="Arial" w:eastAsia="Times New Roman" w:hAnsi="Arial" w:cs="Arial"/>
          <w:bCs/>
          <w:sz w:val="24"/>
          <w:szCs w:val="24"/>
          <w:lang w:eastAsia="es-EC"/>
        </w:rPr>
        <w:t>financiero</w:t>
      </w:r>
      <w:r w:rsidRPr="00C17E2C">
        <w:rPr>
          <w:rFonts w:ascii="Arial" w:eastAsia="Times New Roman" w:hAnsi="Arial" w:cs="Arial"/>
          <w:sz w:val="24"/>
          <w:szCs w:val="24"/>
          <w:lang w:eastAsia="es-EC"/>
        </w:rPr>
        <w:t xml:space="preserve">. Esto es, tener instituciones solventes y rentables, sin embargo, no logra contar con intermediarios financieros eficientes, que sirvan de vehículo para el desarrollo de la economía; ni a operar con un adecuado marco regulatorio. </w:t>
      </w:r>
    </w:p>
    <w:p w:rsidR="003231C2" w:rsidRPr="005B206F" w:rsidRDefault="003231C2" w:rsidP="005B206F">
      <w:pPr>
        <w:pStyle w:val="Prrafodelista1"/>
        <w:spacing w:after="0" w:line="360" w:lineRule="auto"/>
        <w:ind w:left="0" w:firstLine="454"/>
        <w:jc w:val="both"/>
        <w:rPr>
          <w:rFonts w:ascii="Arial" w:eastAsia="Times New Roman" w:hAnsi="Arial" w:cs="Arial"/>
          <w:color w:val="FF0000"/>
          <w:sz w:val="24"/>
          <w:szCs w:val="24"/>
          <w:lang w:eastAsia="es-EC"/>
        </w:rPr>
      </w:pPr>
    </w:p>
    <w:p w:rsidR="00A3014D" w:rsidRPr="00CA1DD4" w:rsidRDefault="00A3014D" w:rsidP="005B206F">
      <w:pPr>
        <w:pStyle w:val="Prrafodelista1"/>
        <w:spacing w:after="0" w:line="360" w:lineRule="auto"/>
        <w:ind w:left="0" w:firstLine="454"/>
        <w:jc w:val="both"/>
        <w:rPr>
          <w:rFonts w:ascii="Arial" w:eastAsia="Times New Roman" w:hAnsi="Arial" w:cs="Arial"/>
          <w:color w:val="FF0000"/>
          <w:sz w:val="24"/>
          <w:szCs w:val="24"/>
          <w:lang w:eastAsia="es-EC"/>
        </w:rPr>
      </w:pPr>
      <w:r w:rsidRPr="00C17E2C">
        <w:rPr>
          <w:rFonts w:ascii="Arial" w:eastAsia="Times New Roman" w:hAnsi="Arial" w:cs="Arial"/>
          <w:sz w:val="24"/>
          <w:szCs w:val="24"/>
          <w:lang w:eastAsia="es-EC"/>
        </w:rPr>
        <w:t xml:space="preserve">Este diagnóstico lo hizo el experto del Fondo Monetario Internacional, Jorge Cayazzo, invitado por el Banco Central del </w:t>
      </w:r>
      <w:r w:rsidRPr="00C17E2C">
        <w:rPr>
          <w:rFonts w:ascii="Arial" w:eastAsia="Times New Roman" w:hAnsi="Arial" w:cs="Arial"/>
          <w:bCs/>
          <w:sz w:val="24"/>
          <w:szCs w:val="24"/>
          <w:lang w:eastAsia="es-EC"/>
        </w:rPr>
        <w:t>Ecuador</w:t>
      </w:r>
      <w:r w:rsidRPr="00C17E2C">
        <w:rPr>
          <w:rFonts w:ascii="Arial" w:eastAsia="Times New Roman" w:hAnsi="Arial" w:cs="Arial"/>
          <w:sz w:val="24"/>
          <w:szCs w:val="24"/>
          <w:lang w:eastAsia="es-EC"/>
        </w:rPr>
        <w:t xml:space="preserve"> en el marco de su programa Concertación </w:t>
      </w:r>
      <w:r w:rsidRPr="00C17E2C">
        <w:rPr>
          <w:rFonts w:ascii="Arial" w:eastAsia="Times New Roman" w:hAnsi="Arial" w:cs="Arial"/>
          <w:bCs/>
          <w:sz w:val="24"/>
          <w:szCs w:val="24"/>
          <w:lang w:eastAsia="es-EC"/>
        </w:rPr>
        <w:t>Ecuador</w:t>
      </w:r>
      <w:r w:rsidRPr="00C17E2C">
        <w:rPr>
          <w:rFonts w:ascii="Arial" w:eastAsia="Times New Roman" w:hAnsi="Arial" w:cs="Arial"/>
          <w:sz w:val="24"/>
          <w:szCs w:val="24"/>
          <w:lang w:eastAsia="es-EC"/>
        </w:rPr>
        <w:t xml:space="preserve">.  La banca del </w:t>
      </w:r>
      <w:r w:rsidRPr="00C17E2C">
        <w:rPr>
          <w:rFonts w:ascii="Arial" w:eastAsia="Times New Roman" w:hAnsi="Arial" w:cs="Arial"/>
          <w:bCs/>
          <w:sz w:val="24"/>
          <w:szCs w:val="24"/>
          <w:lang w:eastAsia="es-EC"/>
        </w:rPr>
        <w:t>Ecuador</w:t>
      </w:r>
      <w:r w:rsidRPr="00C17E2C">
        <w:rPr>
          <w:rFonts w:ascii="Arial" w:eastAsia="Times New Roman" w:hAnsi="Arial" w:cs="Arial"/>
          <w:sz w:val="24"/>
          <w:szCs w:val="24"/>
          <w:lang w:eastAsia="es-EC"/>
        </w:rPr>
        <w:t xml:space="preserve"> ha mejorado en indicadores económicos, como la recuperación de la cartera vencida. Asimismo, los niveles de capitalización se estabilizaron, pero no se cumplen todos los elementos que debieran sostener un </w:t>
      </w:r>
      <w:r w:rsidRPr="00C17E2C">
        <w:rPr>
          <w:rFonts w:ascii="Arial" w:eastAsia="Times New Roman" w:hAnsi="Arial" w:cs="Arial"/>
          <w:bCs/>
          <w:sz w:val="24"/>
          <w:szCs w:val="24"/>
          <w:lang w:eastAsia="es-EC"/>
        </w:rPr>
        <w:t>sistema</w:t>
      </w:r>
      <w:r w:rsidRPr="00C17E2C">
        <w:rPr>
          <w:rFonts w:ascii="Arial" w:eastAsia="Times New Roman" w:hAnsi="Arial" w:cs="Arial"/>
          <w:sz w:val="24"/>
          <w:szCs w:val="24"/>
          <w:lang w:eastAsia="es-EC"/>
        </w:rPr>
        <w:t xml:space="preserve"> </w:t>
      </w:r>
      <w:r w:rsidRPr="00C17E2C">
        <w:rPr>
          <w:rFonts w:ascii="Arial" w:eastAsia="Times New Roman" w:hAnsi="Arial" w:cs="Arial"/>
          <w:bCs/>
          <w:sz w:val="24"/>
          <w:szCs w:val="24"/>
          <w:lang w:eastAsia="es-EC"/>
        </w:rPr>
        <w:t>financiero</w:t>
      </w:r>
      <w:r w:rsidRPr="00C17E2C">
        <w:rPr>
          <w:rFonts w:ascii="Arial" w:eastAsia="Times New Roman" w:hAnsi="Arial" w:cs="Arial"/>
          <w:sz w:val="24"/>
          <w:szCs w:val="24"/>
          <w:lang w:eastAsia="es-EC"/>
        </w:rPr>
        <w:t xml:space="preserve"> sólido. </w:t>
      </w:r>
    </w:p>
    <w:p w:rsidR="00A3014D" w:rsidRPr="00C17E2C" w:rsidRDefault="00A3014D" w:rsidP="005B206F">
      <w:pPr>
        <w:pStyle w:val="Prrafodelista1"/>
        <w:spacing w:after="0" w:line="360" w:lineRule="auto"/>
        <w:ind w:firstLine="454"/>
        <w:jc w:val="both"/>
        <w:rPr>
          <w:rFonts w:ascii="Arial" w:eastAsia="Times New Roman" w:hAnsi="Arial" w:cs="Arial"/>
          <w:sz w:val="24"/>
          <w:szCs w:val="24"/>
          <w:lang w:eastAsia="es-EC"/>
        </w:rPr>
      </w:pPr>
    </w:p>
    <w:p w:rsidR="00A3014D" w:rsidRPr="00C17E2C" w:rsidRDefault="00A3014D" w:rsidP="005B206F">
      <w:pPr>
        <w:pStyle w:val="Prrafodelista1"/>
        <w:spacing w:after="0" w:line="360" w:lineRule="auto"/>
        <w:ind w:left="0" w:firstLine="454"/>
        <w:jc w:val="both"/>
        <w:rPr>
          <w:rFonts w:ascii="Arial" w:eastAsia="Times New Roman" w:hAnsi="Arial" w:cs="Arial"/>
          <w:color w:val="FF0000"/>
          <w:sz w:val="24"/>
          <w:szCs w:val="24"/>
          <w:lang w:eastAsia="es-EC"/>
        </w:rPr>
      </w:pPr>
      <w:r w:rsidRPr="00C17E2C">
        <w:rPr>
          <w:rFonts w:ascii="Arial" w:eastAsia="Times New Roman" w:hAnsi="Arial" w:cs="Arial"/>
          <w:sz w:val="24"/>
          <w:szCs w:val="24"/>
          <w:lang w:eastAsia="es-EC"/>
        </w:rPr>
        <w:t xml:space="preserve">Para ganar fidelidad, hay que empezar por fortalecer a las instituciones de supervisión, así como definir el papel del Banco Central para que vele por la estabilidad financiera, dotar de mayor protección legal al ente supervisor (Superintendencia de Bancos), separar a </w:t>
      </w:r>
      <w:smartTag w:uri="urn:schemas-microsoft-com:office:smarttags" w:element="PersonName">
        <w:smartTagPr>
          <w:attr w:name="ProductID" w:val="la AGD"/>
        </w:smartTagPr>
        <w:r w:rsidRPr="00C17E2C">
          <w:rPr>
            <w:rFonts w:ascii="Arial" w:eastAsia="Times New Roman" w:hAnsi="Arial" w:cs="Arial"/>
            <w:sz w:val="24"/>
            <w:szCs w:val="24"/>
            <w:lang w:eastAsia="es-EC"/>
          </w:rPr>
          <w:t>la AGD</w:t>
        </w:r>
      </w:smartTag>
      <w:r w:rsidRPr="00C17E2C">
        <w:rPr>
          <w:rFonts w:ascii="Arial" w:eastAsia="Times New Roman" w:hAnsi="Arial" w:cs="Arial"/>
          <w:sz w:val="24"/>
          <w:szCs w:val="24"/>
          <w:lang w:eastAsia="es-EC"/>
        </w:rPr>
        <w:t xml:space="preserve"> y crear un nuevo fondo para afrontar riesgos financieros. En materia de tasas de interés también hay preocupación. Myriam Quispe, asesora del Bank of Atlanta de EE.UU., sostiene que la dolarización ha colaborado a mantener la estabilidad </w:t>
      </w:r>
      <w:r w:rsidRPr="00C17E2C">
        <w:rPr>
          <w:rFonts w:ascii="Arial" w:eastAsia="Times New Roman" w:hAnsi="Arial" w:cs="Arial"/>
          <w:sz w:val="24"/>
          <w:szCs w:val="24"/>
          <w:lang w:eastAsia="es-EC"/>
        </w:rPr>
        <w:lastRenderedPageBreak/>
        <w:t xml:space="preserve">financiera, pero hay que trabajar mejor en el tema de las tasas, para no desestimular la relación entre acreedor y deudor. </w:t>
      </w:r>
      <w:r w:rsidRPr="00C17E2C">
        <w:rPr>
          <w:rFonts w:ascii="Arial" w:eastAsia="Times New Roman" w:hAnsi="Arial" w:cs="Arial"/>
          <w:color w:val="FF0000"/>
          <w:sz w:val="24"/>
          <w:szCs w:val="24"/>
          <w:lang w:eastAsia="es-EC"/>
        </w:rPr>
        <w:t xml:space="preserve"> </w:t>
      </w:r>
    </w:p>
    <w:p w:rsidR="00A3014D" w:rsidRPr="00C17E2C" w:rsidRDefault="00A3014D" w:rsidP="005B206F">
      <w:pPr>
        <w:pStyle w:val="Prrafodelista1"/>
        <w:spacing w:after="0" w:line="360" w:lineRule="auto"/>
        <w:ind w:firstLine="454"/>
        <w:jc w:val="both"/>
        <w:rPr>
          <w:rFonts w:ascii="Arial" w:eastAsia="Times New Roman" w:hAnsi="Arial" w:cs="Arial"/>
          <w:color w:val="FF0000"/>
          <w:sz w:val="24"/>
          <w:szCs w:val="24"/>
          <w:lang w:eastAsia="es-EC"/>
        </w:rPr>
      </w:pPr>
    </w:p>
    <w:p w:rsidR="00A3014D" w:rsidRPr="00D40475" w:rsidRDefault="00A3014D" w:rsidP="00D40475">
      <w:pPr>
        <w:pStyle w:val="Prrafodelista1"/>
        <w:spacing w:after="0" w:line="360" w:lineRule="auto"/>
        <w:ind w:left="0" w:firstLine="454"/>
        <w:jc w:val="both"/>
        <w:rPr>
          <w:rFonts w:ascii="Arial" w:eastAsia="Times New Roman" w:hAnsi="Arial" w:cs="Arial"/>
          <w:sz w:val="24"/>
          <w:szCs w:val="24"/>
          <w:lang w:eastAsia="es-EC"/>
        </w:rPr>
      </w:pPr>
      <w:r w:rsidRPr="00C17E2C">
        <w:rPr>
          <w:rFonts w:ascii="Arial" w:eastAsia="Times New Roman" w:hAnsi="Arial" w:cs="Arial"/>
          <w:sz w:val="24"/>
          <w:szCs w:val="24"/>
          <w:lang w:eastAsia="es-EC"/>
        </w:rPr>
        <w:t xml:space="preserve">Por el momento en el sistema financiero se puede establecer que hay 27 entidades los cuales se dividen en 16 Bancos Comerciales, 8 Bancos de Consumo y 3 de Microempresas en esta etapa ya no hay los Bancos en el sector de </w:t>
      </w:r>
      <w:smartTag w:uri="urn:schemas-microsoft-com:office:smarttags" w:element="PersonName">
        <w:smartTagPr>
          <w:attr w:name="ProductID" w:val="la Vivienda"/>
        </w:smartTagPr>
        <w:r w:rsidRPr="00C17E2C">
          <w:rPr>
            <w:rFonts w:ascii="Arial" w:eastAsia="Times New Roman" w:hAnsi="Arial" w:cs="Arial"/>
            <w:sz w:val="24"/>
            <w:szCs w:val="24"/>
            <w:lang w:eastAsia="es-EC"/>
          </w:rPr>
          <w:t>la Vivienda</w:t>
        </w:r>
      </w:smartTag>
      <w:r w:rsidRPr="00C17E2C">
        <w:rPr>
          <w:rFonts w:ascii="Arial" w:eastAsia="Times New Roman" w:hAnsi="Arial" w:cs="Arial"/>
          <w:sz w:val="24"/>
          <w:szCs w:val="24"/>
          <w:lang w:eastAsia="es-EC"/>
        </w:rPr>
        <w:t>; en el siguiente Cuadro 1.1  se puede ver cuáles son los bancos que hay en el sistema y también describen el porcentaje participación de que tiene cada una ellas y también clasificar los bancos en sus diferentes sectores.</w:t>
      </w:r>
    </w:p>
    <w:p w:rsidR="005B206F" w:rsidRDefault="005B206F" w:rsidP="00A3014D">
      <w:pPr>
        <w:pStyle w:val="Prrafodelista1"/>
        <w:spacing w:after="0" w:line="360" w:lineRule="auto"/>
        <w:jc w:val="center"/>
        <w:rPr>
          <w:rFonts w:ascii="Arial" w:eastAsia="Times New Roman" w:hAnsi="Arial" w:cs="Arial"/>
          <w:b/>
          <w:sz w:val="20"/>
          <w:szCs w:val="20"/>
          <w:lang w:eastAsia="es-EC"/>
        </w:rPr>
        <w:sectPr w:rsidR="005B206F" w:rsidSect="00F27DFF">
          <w:pgSz w:w="11907" w:h="16840" w:code="9"/>
          <w:pgMar w:top="1985" w:right="1418" w:bottom="1985" w:left="2268" w:header="709" w:footer="709" w:gutter="0"/>
          <w:cols w:space="708"/>
          <w:docGrid w:linePitch="360"/>
        </w:sectPr>
      </w:pPr>
    </w:p>
    <w:p w:rsidR="00A3014D" w:rsidRPr="00BB0FED" w:rsidRDefault="00A3014D" w:rsidP="00D40475">
      <w:pPr>
        <w:pStyle w:val="Prrafodelista1"/>
        <w:spacing w:after="0" w:line="240" w:lineRule="auto"/>
        <w:jc w:val="center"/>
        <w:rPr>
          <w:rFonts w:ascii="Arial" w:eastAsia="Times New Roman" w:hAnsi="Arial" w:cs="Arial"/>
          <w:b/>
          <w:sz w:val="24"/>
          <w:szCs w:val="24"/>
          <w:lang w:eastAsia="es-EC"/>
        </w:rPr>
      </w:pPr>
      <w:r w:rsidRPr="00BB0FED">
        <w:rPr>
          <w:rFonts w:ascii="Arial" w:eastAsia="Times New Roman" w:hAnsi="Arial" w:cs="Arial"/>
          <w:b/>
          <w:sz w:val="24"/>
          <w:szCs w:val="24"/>
          <w:lang w:eastAsia="es-EC"/>
        </w:rPr>
        <w:lastRenderedPageBreak/>
        <w:t>CUADRO 1.1</w:t>
      </w:r>
    </w:p>
    <w:p w:rsidR="00A3014D" w:rsidRPr="00BB0FED" w:rsidRDefault="00A3014D" w:rsidP="003231C2">
      <w:pPr>
        <w:pStyle w:val="Prrafodelista1"/>
        <w:spacing w:after="0" w:line="240" w:lineRule="auto"/>
        <w:ind w:firstLine="696"/>
        <w:jc w:val="center"/>
        <w:rPr>
          <w:rFonts w:ascii="Arial" w:eastAsia="Times New Roman" w:hAnsi="Arial" w:cs="Arial"/>
          <w:b/>
          <w:sz w:val="24"/>
          <w:szCs w:val="24"/>
          <w:lang w:eastAsia="es-EC"/>
        </w:rPr>
      </w:pPr>
      <w:r w:rsidRPr="00BB0FED">
        <w:rPr>
          <w:rFonts w:ascii="Arial" w:eastAsia="Times New Roman" w:hAnsi="Arial" w:cs="Arial"/>
          <w:b/>
          <w:sz w:val="24"/>
          <w:szCs w:val="24"/>
          <w:lang w:eastAsia="es-EC"/>
        </w:rPr>
        <w:t xml:space="preserve">COMPARATIVO DE LOS BANCOS DE ACUERDO A SU </w:t>
      </w:r>
      <w:r w:rsidR="00D40475">
        <w:rPr>
          <w:rFonts w:ascii="Arial" w:eastAsia="Times New Roman" w:hAnsi="Arial" w:cs="Arial"/>
          <w:b/>
          <w:sz w:val="24"/>
          <w:szCs w:val="24"/>
          <w:lang w:eastAsia="es-EC"/>
        </w:rPr>
        <w:tab/>
      </w:r>
      <w:r w:rsidR="00D40475">
        <w:rPr>
          <w:rFonts w:ascii="Arial" w:eastAsia="Times New Roman" w:hAnsi="Arial" w:cs="Arial"/>
          <w:b/>
          <w:sz w:val="24"/>
          <w:szCs w:val="24"/>
          <w:lang w:eastAsia="es-EC"/>
        </w:rPr>
        <w:tab/>
      </w:r>
      <w:r w:rsidRPr="00BB0FED">
        <w:rPr>
          <w:rFonts w:ascii="Arial" w:eastAsia="Times New Roman" w:hAnsi="Arial" w:cs="Arial"/>
          <w:b/>
          <w:sz w:val="24"/>
          <w:szCs w:val="24"/>
          <w:lang w:eastAsia="es-EC"/>
        </w:rPr>
        <w:t>TAMAÑO</w:t>
      </w:r>
    </w:p>
    <w:tbl>
      <w:tblPr>
        <w:tblW w:w="5560" w:type="dxa"/>
        <w:jc w:val="center"/>
        <w:tblInd w:w="55" w:type="dxa"/>
        <w:tblCellMar>
          <w:left w:w="70" w:type="dxa"/>
          <w:right w:w="70" w:type="dxa"/>
        </w:tblCellMar>
        <w:tblLook w:val="04A0"/>
      </w:tblPr>
      <w:tblGrid>
        <w:gridCol w:w="1774"/>
        <w:gridCol w:w="1200"/>
        <w:gridCol w:w="1200"/>
        <w:gridCol w:w="1460"/>
      </w:tblGrid>
      <w:tr w:rsidR="00BB0FED" w:rsidRPr="00BB0FED">
        <w:trPr>
          <w:trHeight w:val="540"/>
          <w:jc w:val="center"/>
        </w:trPr>
        <w:tc>
          <w:tcPr>
            <w:tcW w:w="1700" w:type="dxa"/>
            <w:tcBorders>
              <w:top w:val="single" w:sz="8" w:space="0" w:color="auto"/>
              <w:left w:val="single" w:sz="8" w:space="0" w:color="auto"/>
              <w:bottom w:val="single" w:sz="8" w:space="0" w:color="auto"/>
              <w:right w:val="nil"/>
            </w:tcBorders>
            <w:shd w:val="clear" w:color="000000" w:fill="FFFFFF"/>
            <w:vAlign w:val="bottom"/>
          </w:tcPr>
          <w:p w:rsidR="00BB0FED" w:rsidRPr="00BB0FED" w:rsidRDefault="00BB0FED" w:rsidP="00BB0FED">
            <w:pPr>
              <w:spacing w:after="0" w:line="240" w:lineRule="auto"/>
              <w:rPr>
                <w:rFonts w:ascii="Arial" w:eastAsia="Times New Roman" w:hAnsi="Arial" w:cs="Arial"/>
                <w:b/>
                <w:bCs/>
                <w:color w:val="000000"/>
                <w:sz w:val="20"/>
                <w:szCs w:val="20"/>
                <w:lang w:eastAsia="es-EC"/>
              </w:rPr>
            </w:pPr>
            <w:r w:rsidRPr="00BB0FED">
              <w:rPr>
                <w:rFonts w:ascii="Arial" w:eastAsia="Times New Roman" w:hAnsi="Arial" w:cs="Arial"/>
                <w:b/>
                <w:bCs/>
                <w:color w:val="000000"/>
                <w:sz w:val="20"/>
                <w:szCs w:val="20"/>
                <w:lang w:eastAsia="es-EC"/>
              </w:rPr>
              <w:t xml:space="preserve">TOTAL SISTEMA </w:t>
            </w:r>
          </w:p>
        </w:tc>
        <w:tc>
          <w:tcPr>
            <w:tcW w:w="1200" w:type="dxa"/>
            <w:tcBorders>
              <w:top w:val="single" w:sz="8" w:space="0" w:color="auto"/>
              <w:left w:val="single" w:sz="8" w:space="0" w:color="auto"/>
              <w:bottom w:val="single" w:sz="8" w:space="0" w:color="auto"/>
              <w:right w:val="single" w:sz="8" w:space="0" w:color="auto"/>
            </w:tcBorders>
            <w:shd w:val="clear" w:color="000000" w:fill="FFFFFF"/>
            <w:vAlign w:val="bottom"/>
          </w:tcPr>
          <w:p w:rsidR="00BB0FED" w:rsidRPr="00BB0FED" w:rsidRDefault="00BB0FED" w:rsidP="00BB0FED">
            <w:pPr>
              <w:spacing w:after="0" w:line="240" w:lineRule="auto"/>
              <w:jc w:val="center"/>
              <w:rPr>
                <w:rFonts w:ascii="Arial" w:eastAsia="Times New Roman" w:hAnsi="Arial" w:cs="Arial"/>
                <w:b/>
                <w:bCs/>
                <w:color w:val="000000"/>
                <w:sz w:val="20"/>
                <w:szCs w:val="20"/>
                <w:lang w:eastAsia="es-EC"/>
              </w:rPr>
            </w:pPr>
            <w:r w:rsidRPr="00BB0FED">
              <w:rPr>
                <w:rFonts w:ascii="Arial" w:eastAsia="Times New Roman" w:hAnsi="Arial" w:cs="Arial"/>
                <w:b/>
                <w:bCs/>
                <w:color w:val="000000"/>
                <w:sz w:val="20"/>
                <w:szCs w:val="20"/>
                <w:lang w:eastAsia="es-EC"/>
              </w:rPr>
              <w:t>ACITVOS</w:t>
            </w:r>
          </w:p>
        </w:tc>
        <w:tc>
          <w:tcPr>
            <w:tcW w:w="1200" w:type="dxa"/>
            <w:tcBorders>
              <w:top w:val="single" w:sz="8" w:space="0" w:color="auto"/>
              <w:left w:val="nil"/>
              <w:bottom w:val="single" w:sz="8" w:space="0" w:color="auto"/>
              <w:right w:val="single" w:sz="8" w:space="0" w:color="auto"/>
            </w:tcBorders>
            <w:shd w:val="clear" w:color="000000" w:fill="FFFFFF"/>
            <w:vAlign w:val="bottom"/>
          </w:tcPr>
          <w:p w:rsidR="00BB0FED" w:rsidRPr="00BB0FED" w:rsidRDefault="00BB0FED" w:rsidP="00BB0FED">
            <w:pPr>
              <w:spacing w:after="0" w:line="240" w:lineRule="auto"/>
              <w:jc w:val="center"/>
              <w:rPr>
                <w:rFonts w:ascii="Arial" w:eastAsia="Times New Roman" w:hAnsi="Arial" w:cs="Arial"/>
                <w:b/>
                <w:bCs/>
                <w:color w:val="000000"/>
                <w:sz w:val="20"/>
                <w:szCs w:val="20"/>
                <w:lang w:eastAsia="es-EC"/>
              </w:rPr>
            </w:pPr>
            <w:r w:rsidRPr="00BB0FED">
              <w:rPr>
                <w:rFonts w:ascii="Arial" w:eastAsia="Times New Roman" w:hAnsi="Arial" w:cs="Arial"/>
                <w:b/>
                <w:bCs/>
                <w:color w:val="000000"/>
                <w:sz w:val="20"/>
                <w:szCs w:val="20"/>
                <w:lang w:eastAsia="es-EC"/>
              </w:rPr>
              <w:t>PASIVOS</w:t>
            </w:r>
          </w:p>
        </w:tc>
        <w:tc>
          <w:tcPr>
            <w:tcW w:w="1460" w:type="dxa"/>
            <w:tcBorders>
              <w:top w:val="single" w:sz="8" w:space="0" w:color="auto"/>
              <w:left w:val="nil"/>
              <w:bottom w:val="single" w:sz="8" w:space="0" w:color="auto"/>
              <w:right w:val="single" w:sz="8" w:space="0" w:color="auto"/>
            </w:tcBorders>
            <w:shd w:val="clear" w:color="000000" w:fill="FFFFFF"/>
            <w:vAlign w:val="bottom"/>
          </w:tcPr>
          <w:p w:rsidR="00BB0FED" w:rsidRPr="00BB0FED" w:rsidRDefault="00BB0FED" w:rsidP="00BB0FED">
            <w:pPr>
              <w:spacing w:after="0" w:line="240" w:lineRule="auto"/>
              <w:jc w:val="center"/>
              <w:rPr>
                <w:rFonts w:ascii="Arial" w:eastAsia="Times New Roman" w:hAnsi="Arial" w:cs="Arial"/>
                <w:b/>
                <w:bCs/>
                <w:color w:val="000000"/>
                <w:sz w:val="20"/>
                <w:szCs w:val="20"/>
                <w:lang w:eastAsia="es-EC"/>
              </w:rPr>
            </w:pPr>
            <w:r w:rsidRPr="00BB0FED">
              <w:rPr>
                <w:rFonts w:ascii="Arial" w:eastAsia="Times New Roman" w:hAnsi="Arial" w:cs="Arial"/>
                <w:b/>
                <w:bCs/>
                <w:color w:val="000000"/>
                <w:sz w:val="20"/>
                <w:szCs w:val="20"/>
                <w:lang w:eastAsia="es-EC"/>
              </w:rPr>
              <w:t>PATRIMONIO</w:t>
            </w:r>
          </w:p>
        </w:tc>
      </w:tr>
      <w:tr w:rsidR="00BB0FED" w:rsidRPr="00BB0FED">
        <w:trPr>
          <w:trHeight w:val="315"/>
          <w:jc w:val="center"/>
        </w:trPr>
        <w:tc>
          <w:tcPr>
            <w:tcW w:w="5560" w:type="dxa"/>
            <w:gridSpan w:val="4"/>
            <w:tcBorders>
              <w:top w:val="single" w:sz="8" w:space="0" w:color="auto"/>
              <w:left w:val="single" w:sz="8" w:space="0" w:color="auto"/>
              <w:bottom w:val="single" w:sz="8" w:space="0" w:color="auto"/>
              <w:right w:val="single" w:sz="8" w:space="0" w:color="000000"/>
            </w:tcBorders>
            <w:shd w:val="clear" w:color="000000" w:fill="FFFFFF"/>
            <w:vAlign w:val="bottom"/>
          </w:tcPr>
          <w:p w:rsidR="00BB0FED" w:rsidRPr="00BB0FED" w:rsidRDefault="00BB0FED" w:rsidP="00BB0FED">
            <w:pPr>
              <w:spacing w:after="0" w:line="240" w:lineRule="auto"/>
              <w:jc w:val="center"/>
              <w:rPr>
                <w:rFonts w:ascii="Arial" w:eastAsia="Times New Roman" w:hAnsi="Arial" w:cs="Arial"/>
                <w:b/>
                <w:bCs/>
                <w:color w:val="000000"/>
                <w:sz w:val="20"/>
                <w:szCs w:val="20"/>
                <w:lang w:eastAsia="es-EC"/>
              </w:rPr>
            </w:pPr>
            <w:r w:rsidRPr="00BB0FED">
              <w:rPr>
                <w:rFonts w:ascii="Arial" w:eastAsia="Times New Roman" w:hAnsi="Arial" w:cs="Arial"/>
                <w:b/>
                <w:bCs/>
                <w:color w:val="000000"/>
                <w:sz w:val="20"/>
                <w:szCs w:val="20"/>
                <w:lang w:eastAsia="es-EC"/>
              </w:rPr>
              <w:t xml:space="preserve"> BANCOS COMERCIALES </w:t>
            </w:r>
          </w:p>
        </w:tc>
      </w:tr>
      <w:tr w:rsidR="00BB0FED" w:rsidRPr="00BB0FED">
        <w:trPr>
          <w:trHeight w:val="300"/>
          <w:jc w:val="center"/>
        </w:trPr>
        <w:tc>
          <w:tcPr>
            <w:tcW w:w="1700" w:type="dxa"/>
            <w:tcBorders>
              <w:top w:val="nil"/>
              <w:left w:val="single" w:sz="8" w:space="0" w:color="auto"/>
              <w:bottom w:val="nil"/>
              <w:right w:val="nil"/>
            </w:tcBorders>
            <w:shd w:val="clear" w:color="000000" w:fill="99CCFF"/>
            <w:vAlign w:val="bottom"/>
          </w:tcPr>
          <w:p w:rsidR="00BB0FED" w:rsidRPr="00BB0FED" w:rsidRDefault="00BB0FED" w:rsidP="00BB0FED">
            <w:pPr>
              <w:spacing w:after="0" w:line="240" w:lineRule="auto"/>
              <w:jc w:val="center"/>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PACIFICO</w:t>
            </w:r>
          </w:p>
        </w:tc>
        <w:tc>
          <w:tcPr>
            <w:tcW w:w="1200" w:type="dxa"/>
            <w:tcBorders>
              <w:top w:val="nil"/>
              <w:left w:val="single" w:sz="8" w:space="0" w:color="auto"/>
              <w:bottom w:val="nil"/>
              <w:right w:val="single" w:sz="8" w:space="0" w:color="auto"/>
            </w:tcBorders>
            <w:shd w:val="clear" w:color="auto" w:fill="auto"/>
            <w:noWrap/>
            <w:vAlign w:val="bottom"/>
          </w:tcPr>
          <w:p w:rsidR="00BB0FED" w:rsidRPr="00BB0FED" w:rsidRDefault="00BB0FED" w:rsidP="00BB0FED">
            <w:pPr>
              <w:spacing w:after="0" w:line="240" w:lineRule="auto"/>
              <w:jc w:val="right"/>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10,66%</w:t>
            </w:r>
          </w:p>
        </w:tc>
        <w:tc>
          <w:tcPr>
            <w:tcW w:w="1200" w:type="dxa"/>
            <w:tcBorders>
              <w:top w:val="nil"/>
              <w:left w:val="nil"/>
              <w:bottom w:val="nil"/>
              <w:right w:val="single" w:sz="8" w:space="0" w:color="auto"/>
            </w:tcBorders>
            <w:shd w:val="clear" w:color="auto" w:fill="auto"/>
            <w:noWrap/>
            <w:vAlign w:val="bottom"/>
          </w:tcPr>
          <w:p w:rsidR="00BB0FED" w:rsidRPr="00BB0FED" w:rsidRDefault="00BB0FED" w:rsidP="00BB0FED">
            <w:pPr>
              <w:spacing w:after="0" w:line="240" w:lineRule="auto"/>
              <w:jc w:val="right"/>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10,20%</w:t>
            </w:r>
          </w:p>
        </w:tc>
        <w:tc>
          <w:tcPr>
            <w:tcW w:w="1460" w:type="dxa"/>
            <w:tcBorders>
              <w:top w:val="nil"/>
              <w:left w:val="nil"/>
              <w:bottom w:val="nil"/>
              <w:right w:val="single" w:sz="8" w:space="0" w:color="auto"/>
            </w:tcBorders>
            <w:shd w:val="clear" w:color="auto" w:fill="auto"/>
            <w:noWrap/>
            <w:vAlign w:val="bottom"/>
          </w:tcPr>
          <w:p w:rsidR="00BB0FED" w:rsidRPr="00BB0FED" w:rsidRDefault="00BB0FED" w:rsidP="00BB0FED">
            <w:pPr>
              <w:spacing w:after="0" w:line="240" w:lineRule="auto"/>
              <w:jc w:val="right"/>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14,62%</w:t>
            </w:r>
          </w:p>
        </w:tc>
      </w:tr>
      <w:tr w:rsidR="00BB0FED" w:rsidRPr="00BB0FED">
        <w:trPr>
          <w:trHeight w:val="300"/>
          <w:jc w:val="center"/>
        </w:trPr>
        <w:tc>
          <w:tcPr>
            <w:tcW w:w="1700" w:type="dxa"/>
            <w:tcBorders>
              <w:top w:val="nil"/>
              <w:left w:val="single" w:sz="8" w:space="0" w:color="auto"/>
              <w:bottom w:val="nil"/>
              <w:right w:val="nil"/>
            </w:tcBorders>
            <w:shd w:val="clear" w:color="000000" w:fill="99CCFF"/>
            <w:vAlign w:val="bottom"/>
          </w:tcPr>
          <w:p w:rsidR="00BB0FED" w:rsidRPr="00BB0FED" w:rsidRDefault="00BB0FED" w:rsidP="00BB0FED">
            <w:pPr>
              <w:spacing w:after="0" w:line="240" w:lineRule="auto"/>
              <w:jc w:val="center"/>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 xml:space="preserve">PICHINCHA </w:t>
            </w:r>
          </w:p>
        </w:tc>
        <w:tc>
          <w:tcPr>
            <w:tcW w:w="1200" w:type="dxa"/>
            <w:tcBorders>
              <w:top w:val="nil"/>
              <w:left w:val="single" w:sz="8" w:space="0" w:color="auto"/>
              <w:bottom w:val="nil"/>
              <w:right w:val="single" w:sz="8" w:space="0" w:color="auto"/>
            </w:tcBorders>
            <w:shd w:val="clear" w:color="auto" w:fill="auto"/>
            <w:noWrap/>
            <w:vAlign w:val="bottom"/>
          </w:tcPr>
          <w:p w:rsidR="00BB0FED" w:rsidRPr="00BB0FED" w:rsidRDefault="00BB0FED" w:rsidP="00BB0FED">
            <w:pPr>
              <w:spacing w:after="0" w:line="240" w:lineRule="auto"/>
              <w:jc w:val="right"/>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25,85%</w:t>
            </w:r>
          </w:p>
        </w:tc>
        <w:tc>
          <w:tcPr>
            <w:tcW w:w="1200" w:type="dxa"/>
            <w:tcBorders>
              <w:top w:val="nil"/>
              <w:left w:val="nil"/>
              <w:bottom w:val="nil"/>
              <w:right w:val="single" w:sz="8" w:space="0" w:color="auto"/>
            </w:tcBorders>
            <w:shd w:val="clear" w:color="auto" w:fill="auto"/>
            <w:noWrap/>
            <w:vAlign w:val="bottom"/>
          </w:tcPr>
          <w:p w:rsidR="00BB0FED" w:rsidRPr="00BB0FED" w:rsidRDefault="00BB0FED" w:rsidP="00BB0FED">
            <w:pPr>
              <w:spacing w:after="0" w:line="240" w:lineRule="auto"/>
              <w:jc w:val="right"/>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25,71%</w:t>
            </w:r>
          </w:p>
        </w:tc>
        <w:tc>
          <w:tcPr>
            <w:tcW w:w="1460" w:type="dxa"/>
            <w:tcBorders>
              <w:top w:val="nil"/>
              <w:left w:val="nil"/>
              <w:bottom w:val="nil"/>
              <w:right w:val="single" w:sz="8" w:space="0" w:color="auto"/>
            </w:tcBorders>
            <w:shd w:val="clear" w:color="auto" w:fill="auto"/>
            <w:noWrap/>
            <w:vAlign w:val="bottom"/>
          </w:tcPr>
          <w:p w:rsidR="00BB0FED" w:rsidRPr="00BB0FED" w:rsidRDefault="00BB0FED" w:rsidP="00BB0FED">
            <w:pPr>
              <w:spacing w:after="0" w:line="240" w:lineRule="auto"/>
              <w:jc w:val="right"/>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27,04%</w:t>
            </w:r>
          </w:p>
        </w:tc>
      </w:tr>
      <w:tr w:rsidR="00BB0FED" w:rsidRPr="00BB0FED">
        <w:trPr>
          <w:trHeight w:val="300"/>
          <w:jc w:val="center"/>
        </w:trPr>
        <w:tc>
          <w:tcPr>
            <w:tcW w:w="1700" w:type="dxa"/>
            <w:tcBorders>
              <w:top w:val="nil"/>
              <w:left w:val="single" w:sz="8" w:space="0" w:color="auto"/>
              <w:bottom w:val="nil"/>
              <w:right w:val="nil"/>
            </w:tcBorders>
            <w:shd w:val="clear" w:color="000000" w:fill="99CCFF"/>
            <w:vAlign w:val="bottom"/>
          </w:tcPr>
          <w:p w:rsidR="00BB0FED" w:rsidRPr="00BB0FED" w:rsidRDefault="00BB0FED" w:rsidP="00BB0FED">
            <w:pPr>
              <w:spacing w:after="0" w:line="240" w:lineRule="auto"/>
              <w:jc w:val="center"/>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PRODUBANCO</w:t>
            </w:r>
          </w:p>
        </w:tc>
        <w:tc>
          <w:tcPr>
            <w:tcW w:w="1200" w:type="dxa"/>
            <w:tcBorders>
              <w:top w:val="nil"/>
              <w:left w:val="single" w:sz="8" w:space="0" w:color="auto"/>
              <w:bottom w:val="nil"/>
              <w:right w:val="single" w:sz="8" w:space="0" w:color="auto"/>
            </w:tcBorders>
            <w:shd w:val="clear" w:color="auto" w:fill="auto"/>
            <w:noWrap/>
            <w:vAlign w:val="bottom"/>
          </w:tcPr>
          <w:p w:rsidR="00BB0FED" w:rsidRPr="00BB0FED" w:rsidRDefault="00BB0FED" w:rsidP="00BB0FED">
            <w:pPr>
              <w:spacing w:after="0" w:line="240" w:lineRule="auto"/>
              <w:jc w:val="right"/>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9,46%</w:t>
            </w:r>
          </w:p>
        </w:tc>
        <w:tc>
          <w:tcPr>
            <w:tcW w:w="1200" w:type="dxa"/>
            <w:tcBorders>
              <w:top w:val="nil"/>
              <w:left w:val="nil"/>
              <w:bottom w:val="nil"/>
              <w:right w:val="single" w:sz="8" w:space="0" w:color="auto"/>
            </w:tcBorders>
            <w:shd w:val="clear" w:color="auto" w:fill="auto"/>
            <w:noWrap/>
            <w:vAlign w:val="bottom"/>
          </w:tcPr>
          <w:p w:rsidR="00BB0FED" w:rsidRPr="00BB0FED" w:rsidRDefault="00BB0FED" w:rsidP="00BB0FED">
            <w:pPr>
              <w:spacing w:after="0" w:line="240" w:lineRule="auto"/>
              <w:jc w:val="right"/>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9,43%</w:t>
            </w:r>
          </w:p>
        </w:tc>
        <w:tc>
          <w:tcPr>
            <w:tcW w:w="1460" w:type="dxa"/>
            <w:tcBorders>
              <w:top w:val="nil"/>
              <w:left w:val="nil"/>
              <w:bottom w:val="nil"/>
              <w:right w:val="single" w:sz="8" w:space="0" w:color="auto"/>
            </w:tcBorders>
            <w:shd w:val="clear" w:color="auto" w:fill="auto"/>
            <w:noWrap/>
            <w:vAlign w:val="bottom"/>
          </w:tcPr>
          <w:p w:rsidR="00BB0FED" w:rsidRPr="00BB0FED" w:rsidRDefault="00BB0FED" w:rsidP="00BB0FED">
            <w:pPr>
              <w:spacing w:after="0" w:line="240" w:lineRule="auto"/>
              <w:jc w:val="right"/>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9,72%</w:t>
            </w:r>
          </w:p>
        </w:tc>
      </w:tr>
      <w:tr w:rsidR="00BB0FED" w:rsidRPr="00BB0FED">
        <w:trPr>
          <w:trHeight w:val="300"/>
          <w:jc w:val="center"/>
        </w:trPr>
        <w:tc>
          <w:tcPr>
            <w:tcW w:w="1700" w:type="dxa"/>
            <w:tcBorders>
              <w:top w:val="nil"/>
              <w:left w:val="single" w:sz="8" w:space="0" w:color="auto"/>
              <w:bottom w:val="nil"/>
              <w:right w:val="nil"/>
            </w:tcBorders>
            <w:shd w:val="clear" w:color="000000" w:fill="8EED4D"/>
            <w:vAlign w:val="bottom"/>
          </w:tcPr>
          <w:p w:rsidR="00BB0FED" w:rsidRPr="00BB0FED" w:rsidRDefault="00BB0FED" w:rsidP="00BB0FED">
            <w:pPr>
              <w:spacing w:after="0" w:line="240" w:lineRule="auto"/>
              <w:jc w:val="center"/>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AUSTRO</w:t>
            </w:r>
          </w:p>
        </w:tc>
        <w:tc>
          <w:tcPr>
            <w:tcW w:w="1200" w:type="dxa"/>
            <w:tcBorders>
              <w:top w:val="nil"/>
              <w:left w:val="single" w:sz="8" w:space="0" w:color="auto"/>
              <w:bottom w:val="nil"/>
              <w:right w:val="single" w:sz="8" w:space="0" w:color="auto"/>
            </w:tcBorders>
            <w:shd w:val="clear" w:color="auto" w:fill="auto"/>
            <w:noWrap/>
            <w:vAlign w:val="bottom"/>
          </w:tcPr>
          <w:p w:rsidR="00BB0FED" w:rsidRPr="00BB0FED" w:rsidRDefault="00BB0FED" w:rsidP="00BB0FED">
            <w:pPr>
              <w:spacing w:after="0" w:line="240" w:lineRule="auto"/>
              <w:jc w:val="right"/>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3,99%</w:t>
            </w:r>
          </w:p>
        </w:tc>
        <w:tc>
          <w:tcPr>
            <w:tcW w:w="1200" w:type="dxa"/>
            <w:tcBorders>
              <w:top w:val="nil"/>
              <w:left w:val="nil"/>
              <w:bottom w:val="nil"/>
              <w:right w:val="single" w:sz="8" w:space="0" w:color="auto"/>
            </w:tcBorders>
            <w:shd w:val="clear" w:color="auto" w:fill="auto"/>
            <w:noWrap/>
            <w:vAlign w:val="bottom"/>
          </w:tcPr>
          <w:p w:rsidR="00BB0FED" w:rsidRPr="00BB0FED" w:rsidRDefault="00BB0FED" w:rsidP="00BB0FED">
            <w:pPr>
              <w:spacing w:after="0" w:line="240" w:lineRule="auto"/>
              <w:jc w:val="right"/>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4,08%</w:t>
            </w:r>
          </w:p>
        </w:tc>
        <w:tc>
          <w:tcPr>
            <w:tcW w:w="1460" w:type="dxa"/>
            <w:tcBorders>
              <w:top w:val="nil"/>
              <w:left w:val="nil"/>
              <w:bottom w:val="nil"/>
              <w:right w:val="single" w:sz="8" w:space="0" w:color="auto"/>
            </w:tcBorders>
            <w:shd w:val="clear" w:color="auto" w:fill="auto"/>
            <w:noWrap/>
            <w:vAlign w:val="bottom"/>
          </w:tcPr>
          <w:p w:rsidR="00BB0FED" w:rsidRPr="00BB0FED" w:rsidRDefault="00BB0FED" w:rsidP="00BB0FED">
            <w:pPr>
              <w:spacing w:after="0" w:line="240" w:lineRule="auto"/>
              <w:jc w:val="right"/>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6,55%</w:t>
            </w:r>
          </w:p>
        </w:tc>
      </w:tr>
      <w:tr w:rsidR="00BB0FED" w:rsidRPr="00BB0FED">
        <w:trPr>
          <w:trHeight w:val="300"/>
          <w:jc w:val="center"/>
        </w:trPr>
        <w:tc>
          <w:tcPr>
            <w:tcW w:w="1700" w:type="dxa"/>
            <w:tcBorders>
              <w:top w:val="nil"/>
              <w:left w:val="single" w:sz="8" w:space="0" w:color="auto"/>
              <w:bottom w:val="nil"/>
              <w:right w:val="nil"/>
            </w:tcBorders>
            <w:shd w:val="clear" w:color="000000" w:fill="8EED4D"/>
            <w:vAlign w:val="bottom"/>
          </w:tcPr>
          <w:p w:rsidR="00BB0FED" w:rsidRPr="00BB0FED" w:rsidRDefault="00BB0FED" w:rsidP="00BB0FED">
            <w:pPr>
              <w:spacing w:after="0" w:line="240" w:lineRule="auto"/>
              <w:jc w:val="center"/>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BOLIVARIANO</w:t>
            </w:r>
          </w:p>
        </w:tc>
        <w:tc>
          <w:tcPr>
            <w:tcW w:w="1200" w:type="dxa"/>
            <w:tcBorders>
              <w:top w:val="nil"/>
              <w:left w:val="single" w:sz="8" w:space="0" w:color="auto"/>
              <w:bottom w:val="nil"/>
              <w:right w:val="single" w:sz="8" w:space="0" w:color="auto"/>
            </w:tcBorders>
            <w:shd w:val="clear" w:color="auto" w:fill="auto"/>
            <w:noWrap/>
            <w:vAlign w:val="bottom"/>
          </w:tcPr>
          <w:p w:rsidR="00BB0FED" w:rsidRPr="00BB0FED" w:rsidRDefault="00BB0FED" w:rsidP="00BB0FED">
            <w:pPr>
              <w:spacing w:after="0" w:line="240" w:lineRule="auto"/>
              <w:jc w:val="right"/>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8,11%</w:t>
            </w:r>
          </w:p>
        </w:tc>
        <w:tc>
          <w:tcPr>
            <w:tcW w:w="1200" w:type="dxa"/>
            <w:tcBorders>
              <w:top w:val="nil"/>
              <w:left w:val="nil"/>
              <w:bottom w:val="nil"/>
              <w:right w:val="single" w:sz="8" w:space="0" w:color="auto"/>
            </w:tcBorders>
            <w:shd w:val="clear" w:color="auto" w:fill="auto"/>
            <w:noWrap/>
            <w:vAlign w:val="bottom"/>
          </w:tcPr>
          <w:p w:rsidR="00BB0FED" w:rsidRPr="00BB0FED" w:rsidRDefault="00BB0FED" w:rsidP="00BB0FED">
            <w:pPr>
              <w:spacing w:after="0" w:line="240" w:lineRule="auto"/>
              <w:jc w:val="right"/>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8,29%</w:t>
            </w:r>
          </w:p>
        </w:tc>
        <w:tc>
          <w:tcPr>
            <w:tcW w:w="1460" w:type="dxa"/>
            <w:tcBorders>
              <w:top w:val="nil"/>
              <w:left w:val="nil"/>
              <w:bottom w:val="nil"/>
              <w:right w:val="single" w:sz="8" w:space="0" w:color="auto"/>
            </w:tcBorders>
            <w:shd w:val="clear" w:color="auto" w:fill="auto"/>
            <w:noWrap/>
            <w:vAlign w:val="bottom"/>
          </w:tcPr>
          <w:p w:rsidR="00BB0FED" w:rsidRPr="00BB0FED" w:rsidRDefault="00BB0FED" w:rsidP="00BB0FED">
            <w:pPr>
              <w:spacing w:after="0" w:line="240" w:lineRule="auto"/>
              <w:jc w:val="right"/>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0,00%</w:t>
            </w:r>
          </w:p>
        </w:tc>
      </w:tr>
      <w:tr w:rsidR="00BB0FED" w:rsidRPr="00BB0FED">
        <w:trPr>
          <w:trHeight w:val="300"/>
          <w:jc w:val="center"/>
        </w:trPr>
        <w:tc>
          <w:tcPr>
            <w:tcW w:w="1700" w:type="dxa"/>
            <w:tcBorders>
              <w:top w:val="nil"/>
              <w:left w:val="single" w:sz="8" w:space="0" w:color="auto"/>
              <w:bottom w:val="nil"/>
              <w:right w:val="nil"/>
            </w:tcBorders>
            <w:shd w:val="clear" w:color="000000" w:fill="8EED4D"/>
            <w:vAlign w:val="bottom"/>
          </w:tcPr>
          <w:p w:rsidR="00BB0FED" w:rsidRPr="00BB0FED" w:rsidRDefault="00BB0FED" w:rsidP="00BB0FED">
            <w:pPr>
              <w:spacing w:after="0" w:line="240" w:lineRule="auto"/>
              <w:jc w:val="center"/>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ANDES</w:t>
            </w:r>
          </w:p>
        </w:tc>
        <w:tc>
          <w:tcPr>
            <w:tcW w:w="1200" w:type="dxa"/>
            <w:tcBorders>
              <w:top w:val="nil"/>
              <w:left w:val="single" w:sz="8" w:space="0" w:color="auto"/>
              <w:bottom w:val="nil"/>
              <w:right w:val="single" w:sz="8" w:space="0" w:color="auto"/>
            </w:tcBorders>
            <w:shd w:val="clear" w:color="auto" w:fill="auto"/>
            <w:noWrap/>
            <w:vAlign w:val="bottom"/>
          </w:tcPr>
          <w:p w:rsidR="00BB0FED" w:rsidRPr="00BB0FED" w:rsidRDefault="00BB0FED" w:rsidP="00BB0FED">
            <w:pPr>
              <w:spacing w:after="0" w:line="240" w:lineRule="auto"/>
              <w:jc w:val="right"/>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0,00%</w:t>
            </w:r>
          </w:p>
        </w:tc>
        <w:tc>
          <w:tcPr>
            <w:tcW w:w="1200" w:type="dxa"/>
            <w:tcBorders>
              <w:top w:val="nil"/>
              <w:left w:val="nil"/>
              <w:bottom w:val="nil"/>
              <w:right w:val="single" w:sz="8" w:space="0" w:color="auto"/>
            </w:tcBorders>
            <w:shd w:val="clear" w:color="auto" w:fill="auto"/>
            <w:noWrap/>
            <w:vAlign w:val="bottom"/>
          </w:tcPr>
          <w:p w:rsidR="00BB0FED" w:rsidRPr="00BB0FED" w:rsidRDefault="00BB0FED" w:rsidP="00BB0FED">
            <w:pPr>
              <w:spacing w:after="0" w:line="240" w:lineRule="auto"/>
              <w:jc w:val="right"/>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0,00%</w:t>
            </w:r>
          </w:p>
        </w:tc>
        <w:tc>
          <w:tcPr>
            <w:tcW w:w="1460" w:type="dxa"/>
            <w:tcBorders>
              <w:top w:val="nil"/>
              <w:left w:val="nil"/>
              <w:bottom w:val="nil"/>
              <w:right w:val="single" w:sz="8" w:space="0" w:color="auto"/>
            </w:tcBorders>
            <w:shd w:val="clear" w:color="auto" w:fill="auto"/>
            <w:noWrap/>
            <w:vAlign w:val="bottom"/>
          </w:tcPr>
          <w:p w:rsidR="00BB0FED" w:rsidRPr="00BB0FED" w:rsidRDefault="00BB0FED" w:rsidP="00BB0FED">
            <w:pPr>
              <w:spacing w:after="0" w:line="240" w:lineRule="auto"/>
              <w:jc w:val="right"/>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1,40%</w:t>
            </w:r>
          </w:p>
        </w:tc>
      </w:tr>
      <w:tr w:rsidR="00BB0FED" w:rsidRPr="00BB0FED">
        <w:trPr>
          <w:trHeight w:val="540"/>
          <w:jc w:val="center"/>
        </w:trPr>
        <w:tc>
          <w:tcPr>
            <w:tcW w:w="1700" w:type="dxa"/>
            <w:tcBorders>
              <w:top w:val="nil"/>
              <w:left w:val="single" w:sz="8" w:space="0" w:color="auto"/>
              <w:bottom w:val="nil"/>
              <w:right w:val="nil"/>
            </w:tcBorders>
            <w:shd w:val="clear" w:color="000000" w:fill="8EED4D"/>
            <w:vAlign w:val="bottom"/>
          </w:tcPr>
          <w:p w:rsidR="00BB0FED" w:rsidRPr="00BB0FED" w:rsidRDefault="00BB0FED" w:rsidP="00BB0FED">
            <w:pPr>
              <w:spacing w:after="0" w:line="240" w:lineRule="auto"/>
              <w:jc w:val="center"/>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GENERAL RUMIÑAHUI</w:t>
            </w:r>
          </w:p>
        </w:tc>
        <w:tc>
          <w:tcPr>
            <w:tcW w:w="1200" w:type="dxa"/>
            <w:tcBorders>
              <w:top w:val="nil"/>
              <w:left w:val="single" w:sz="8" w:space="0" w:color="auto"/>
              <w:bottom w:val="nil"/>
              <w:right w:val="single" w:sz="8" w:space="0" w:color="auto"/>
            </w:tcBorders>
            <w:shd w:val="clear" w:color="auto" w:fill="auto"/>
            <w:noWrap/>
            <w:vAlign w:val="bottom"/>
          </w:tcPr>
          <w:p w:rsidR="00BB0FED" w:rsidRPr="00BB0FED" w:rsidRDefault="00BB0FED" w:rsidP="00BB0FED">
            <w:pPr>
              <w:spacing w:after="0" w:line="240" w:lineRule="auto"/>
              <w:jc w:val="right"/>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2,15%</w:t>
            </w:r>
          </w:p>
        </w:tc>
        <w:tc>
          <w:tcPr>
            <w:tcW w:w="1200" w:type="dxa"/>
            <w:tcBorders>
              <w:top w:val="nil"/>
              <w:left w:val="nil"/>
              <w:bottom w:val="nil"/>
              <w:right w:val="single" w:sz="8" w:space="0" w:color="auto"/>
            </w:tcBorders>
            <w:shd w:val="clear" w:color="auto" w:fill="auto"/>
            <w:noWrap/>
            <w:vAlign w:val="bottom"/>
          </w:tcPr>
          <w:p w:rsidR="00BB0FED" w:rsidRPr="00BB0FED" w:rsidRDefault="00BB0FED" w:rsidP="00BB0FED">
            <w:pPr>
              <w:spacing w:after="0" w:line="240" w:lineRule="auto"/>
              <w:jc w:val="right"/>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2,23%</w:t>
            </w:r>
          </w:p>
        </w:tc>
        <w:tc>
          <w:tcPr>
            <w:tcW w:w="1460" w:type="dxa"/>
            <w:tcBorders>
              <w:top w:val="nil"/>
              <w:left w:val="nil"/>
              <w:bottom w:val="nil"/>
              <w:right w:val="single" w:sz="8" w:space="0" w:color="auto"/>
            </w:tcBorders>
            <w:shd w:val="clear" w:color="auto" w:fill="auto"/>
            <w:noWrap/>
            <w:vAlign w:val="bottom"/>
          </w:tcPr>
          <w:p w:rsidR="00BB0FED" w:rsidRPr="00BB0FED" w:rsidRDefault="00BB0FED" w:rsidP="00BB0FED">
            <w:pPr>
              <w:spacing w:after="0" w:line="240" w:lineRule="auto"/>
              <w:jc w:val="right"/>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7,52%</w:t>
            </w:r>
          </w:p>
        </w:tc>
      </w:tr>
      <w:tr w:rsidR="00BB0FED" w:rsidRPr="00BB0FED">
        <w:trPr>
          <w:trHeight w:val="300"/>
          <w:jc w:val="center"/>
        </w:trPr>
        <w:tc>
          <w:tcPr>
            <w:tcW w:w="1700" w:type="dxa"/>
            <w:tcBorders>
              <w:top w:val="nil"/>
              <w:left w:val="single" w:sz="8" w:space="0" w:color="auto"/>
              <w:bottom w:val="nil"/>
              <w:right w:val="nil"/>
            </w:tcBorders>
            <w:shd w:val="clear" w:color="000000" w:fill="8EED4D"/>
            <w:vAlign w:val="bottom"/>
          </w:tcPr>
          <w:p w:rsidR="00BB0FED" w:rsidRPr="00BB0FED" w:rsidRDefault="00BB0FED" w:rsidP="00BB0FED">
            <w:pPr>
              <w:spacing w:after="0" w:line="240" w:lineRule="auto"/>
              <w:jc w:val="center"/>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INTERNACIONAL</w:t>
            </w:r>
          </w:p>
        </w:tc>
        <w:tc>
          <w:tcPr>
            <w:tcW w:w="1200" w:type="dxa"/>
            <w:tcBorders>
              <w:top w:val="nil"/>
              <w:left w:val="single" w:sz="8" w:space="0" w:color="auto"/>
              <w:bottom w:val="nil"/>
              <w:right w:val="single" w:sz="8" w:space="0" w:color="auto"/>
            </w:tcBorders>
            <w:shd w:val="clear" w:color="auto" w:fill="auto"/>
            <w:noWrap/>
            <w:vAlign w:val="bottom"/>
          </w:tcPr>
          <w:p w:rsidR="00BB0FED" w:rsidRPr="00BB0FED" w:rsidRDefault="00BB0FED" w:rsidP="00BB0FED">
            <w:pPr>
              <w:spacing w:after="0" w:line="240" w:lineRule="auto"/>
              <w:jc w:val="right"/>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7,58%</w:t>
            </w:r>
          </w:p>
        </w:tc>
        <w:tc>
          <w:tcPr>
            <w:tcW w:w="1200" w:type="dxa"/>
            <w:tcBorders>
              <w:top w:val="nil"/>
              <w:left w:val="nil"/>
              <w:bottom w:val="nil"/>
              <w:right w:val="single" w:sz="8" w:space="0" w:color="auto"/>
            </w:tcBorders>
            <w:shd w:val="clear" w:color="auto" w:fill="auto"/>
            <w:noWrap/>
            <w:vAlign w:val="bottom"/>
          </w:tcPr>
          <w:p w:rsidR="00BB0FED" w:rsidRPr="00BB0FED" w:rsidRDefault="00BB0FED" w:rsidP="00BB0FED">
            <w:pPr>
              <w:spacing w:after="0" w:line="240" w:lineRule="auto"/>
              <w:jc w:val="right"/>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7,58%</w:t>
            </w:r>
          </w:p>
        </w:tc>
        <w:tc>
          <w:tcPr>
            <w:tcW w:w="1460" w:type="dxa"/>
            <w:tcBorders>
              <w:top w:val="nil"/>
              <w:left w:val="nil"/>
              <w:bottom w:val="nil"/>
              <w:right w:val="single" w:sz="8" w:space="0" w:color="auto"/>
            </w:tcBorders>
            <w:shd w:val="clear" w:color="auto" w:fill="auto"/>
            <w:noWrap/>
            <w:vAlign w:val="bottom"/>
          </w:tcPr>
          <w:p w:rsidR="00BB0FED" w:rsidRPr="00BB0FED" w:rsidRDefault="00BB0FED" w:rsidP="00BB0FED">
            <w:pPr>
              <w:spacing w:after="0" w:line="240" w:lineRule="auto"/>
              <w:jc w:val="right"/>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2,07%</w:t>
            </w:r>
          </w:p>
        </w:tc>
      </w:tr>
      <w:tr w:rsidR="00BB0FED" w:rsidRPr="00BB0FED">
        <w:trPr>
          <w:trHeight w:val="300"/>
          <w:jc w:val="center"/>
        </w:trPr>
        <w:tc>
          <w:tcPr>
            <w:tcW w:w="1700" w:type="dxa"/>
            <w:tcBorders>
              <w:top w:val="nil"/>
              <w:left w:val="single" w:sz="8" w:space="0" w:color="auto"/>
              <w:bottom w:val="nil"/>
              <w:right w:val="nil"/>
            </w:tcBorders>
            <w:shd w:val="clear" w:color="000000" w:fill="8EED4D"/>
            <w:vAlign w:val="bottom"/>
          </w:tcPr>
          <w:p w:rsidR="00BB0FED" w:rsidRPr="00BB0FED" w:rsidRDefault="00BB0FED" w:rsidP="00BB0FED">
            <w:pPr>
              <w:spacing w:after="0" w:line="240" w:lineRule="auto"/>
              <w:jc w:val="center"/>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MACHALA</w:t>
            </w:r>
          </w:p>
        </w:tc>
        <w:tc>
          <w:tcPr>
            <w:tcW w:w="1200" w:type="dxa"/>
            <w:tcBorders>
              <w:top w:val="nil"/>
              <w:left w:val="single" w:sz="8" w:space="0" w:color="auto"/>
              <w:bottom w:val="nil"/>
              <w:right w:val="single" w:sz="8" w:space="0" w:color="auto"/>
            </w:tcBorders>
            <w:shd w:val="clear" w:color="auto" w:fill="auto"/>
            <w:noWrap/>
            <w:vAlign w:val="bottom"/>
          </w:tcPr>
          <w:p w:rsidR="00BB0FED" w:rsidRPr="00BB0FED" w:rsidRDefault="00BB0FED" w:rsidP="00BB0FED">
            <w:pPr>
              <w:spacing w:after="0" w:line="240" w:lineRule="auto"/>
              <w:jc w:val="right"/>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2,23%</w:t>
            </w:r>
          </w:p>
        </w:tc>
        <w:tc>
          <w:tcPr>
            <w:tcW w:w="1200" w:type="dxa"/>
            <w:tcBorders>
              <w:top w:val="nil"/>
              <w:left w:val="nil"/>
              <w:bottom w:val="nil"/>
              <w:right w:val="single" w:sz="8" w:space="0" w:color="auto"/>
            </w:tcBorders>
            <w:shd w:val="clear" w:color="auto" w:fill="auto"/>
            <w:noWrap/>
            <w:vAlign w:val="bottom"/>
          </w:tcPr>
          <w:p w:rsidR="00BB0FED" w:rsidRPr="00BB0FED" w:rsidRDefault="00BB0FED" w:rsidP="00BB0FED">
            <w:pPr>
              <w:spacing w:after="0" w:line="240" w:lineRule="auto"/>
              <w:jc w:val="right"/>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2,25%</w:t>
            </w:r>
          </w:p>
        </w:tc>
        <w:tc>
          <w:tcPr>
            <w:tcW w:w="1460" w:type="dxa"/>
            <w:tcBorders>
              <w:top w:val="nil"/>
              <w:left w:val="nil"/>
              <w:bottom w:val="nil"/>
              <w:right w:val="single" w:sz="8" w:space="0" w:color="auto"/>
            </w:tcBorders>
            <w:shd w:val="clear" w:color="auto" w:fill="auto"/>
            <w:noWrap/>
            <w:vAlign w:val="bottom"/>
          </w:tcPr>
          <w:p w:rsidR="00BB0FED" w:rsidRPr="00BB0FED" w:rsidRDefault="00BB0FED" w:rsidP="00BB0FED">
            <w:pPr>
              <w:spacing w:after="0" w:line="240" w:lineRule="auto"/>
              <w:jc w:val="right"/>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1,64%</w:t>
            </w:r>
          </w:p>
        </w:tc>
      </w:tr>
      <w:tr w:rsidR="00BB0FED" w:rsidRPr="00BB0FED">
        <w:trPr>
          <w:trHeight w:val="540"/>
          <w:jc w:val="center"/>
        </w:trPr>
        <w:tc>
          <w:tcPr>
            <w:tcW w:w="1700" w:type="dxa"/>
            <w:tcBorders>
              <w:top w:val="nil"/>
              <w:left w:val="single" w:sz="8" w:space="0" w:color="auto"/>
              <w:bottom w:val="nil"/>
              <w:right w:val="nil"/>
            </w:tcBorders>
            <w:shd w:val="clear" w:color="000000" w:fill="8EED4D"/>
            <w:vAlign w:val="bottom"/>
          </w:tcPr>
          <w:p w:rsidR="00BB0FED" w:rsidRPr="00BB0FED" w:rsidRDefault="00BB0FED" w:rsidP="00BB0FED">
            <w:pPr>
              <w:spacing w:after="0" w:line="240" w:lineRule="auto"/>
              <w:jc w:val="center"/>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M.M. JARAMILLO ARTEAGA</w:t>
            </w:r>
          </w:p>
        </w:tc>
        <w:tc>
          <w:tcPr>
            <w:tcW w:w="1200" w:type="dxa"/>
            <w:tcBorders>
              <w:top w:val="nil"/>
              <w:left w:val="single" w:sz="8" w:space="0" w:color="auto"/>
              <w:bottom w:val="nil"/>
              <w:right w:val="single" w:sz="8" w:space="0" w:color="auto"/>
            </w:tcBorders>
            <w:shd w:val="clear" w:color="auto" w:fill="auto"/>
            <w:noWrap/>
            <w:vAlign w:val="bottom"/>
          </w:tcPr>
          <w:p w:rsidR="00BB0FED" w:rsidRPr="00BB0FED" w:rsidRDefault="00BB0FED" w:rsidP="00BB0FED">
            <w:pPr>
              <w:spacing w:after="0" w:line="240" w:lineRule="auto"/>
              <w:jc w:val="right"/>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2,77%</w:t>
            </w:r>
          </w:p>
        </w:tc>
        <w:tc>
          <w:tcPr>
            <w:tcW w:w="1200" w:type="dxa"/>
            <w:tcBorders>
              <w:top w:val="nil"/>
              <w:left w:val="nil"/>
              <w:bottom w:val="nil"/>
              <w:right w:val="single" w:sz="8" w:space="0" w:color="auto"/>
            </w:tcBorders>
            <w:shd w:val="clear" w:color="auto" w:fill="auto"/>
            <w:noWrap/>
            <w:vAlign w:val="bottom"/>
          </w:tcPr>
          <w:p w:rsidR="00BB0FED" w:rsidRPr="00BB0FED" w:rsidRDefault="00BB0FED" w:rsidP="00BB0FED">
            <w:pPr>
              <w:spacing w:after="0" w:line="240" w:lineRule="auto"/>
              <w:jc w:val="right"/>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2,90%</w:t>
            </w:r>
          </w:p>
        </w:tc>
        <w:tc>
          <w:tcPr>
            <w:tcW w:w="1460" w:type="dxa"/>
            <w:tcBorders>
              <w:top w:val="nil"/>
              <w:left w:val="nil"/>
              <w:bottom w:val="nil"/>
              <w:right w:val="single" w:sz="8" w:space="0" w:color="auto"/>
            </w:tcBorders>
            <w:shd w:val="clear" w:color="auto" w:fill="auto"/>
            <w:noWrap/>
            <w:vAlign w:val="bottom"/>
          </w:tcPr>
          <w:p w:rsidR="00BB0FED" w:rsidRPr="00BB0FED" w:rsidRDefault="00BB0FED" w:rsidP="00BB0FED">
            <w:pPr>
              <w:spacing w:after="0" w:line="240" w:lineRule="auto"/>
              <w:jc w:val="right"/>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2,59%</w:t>
            </w:r>
          </w:p>
        </w:tc>
      </w:tr>
      <w:tr w:rsidR="00BB0FED" w:rsidRPr="00BB0FED">
        <w:trPr>
          <w:trHeight w:val="300"/>
          <w:jc w:val="center"/>
        </w:trPr>
        <w:tc>
          <w:tcPr>
            <w:tcW w:w="1700" w:type="dxa"/>
            <w:tcBorders>
              <w:top w:val="nil"/>
              <w:left w:val="single" w:sz="8" w:space="0" w:color="auto"/>
              <w:bottom w:val="nil"/>
              <w:right w:val="nil"/>
            </w:tcBorders>
            <w:shd w:val="clear" w:color="000000" w:fill="FAFA76"/>
            <w:vAlign w:val="bottom"/>
          </w:tcPr>
          <w:p w:rsidR="00BB0FED" w:rsidRPr="00BB0FED" w:rsidRDefault="00BB0FED" w:rsidP="00BB0FED">
            <w:pPr>
              <w:spacing w:after="0" w:line="240" w:lineRule="auto"/>
              <w:jc w:val="center"/>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CITIBANK</w:t>
            </w:r>
          </w:p>
        </w:tc>
        <w:tc>
          <w:tcPr>
            <w:tcW w:w="1200" w:type="dxa"/>
            <w:tcBorders>
              <w:top w:val="nil"/>
              <w:left w:val="single" w:sz="8" w:space="0" w:color="auto"/>
              <w:bottom w:val="nil"/>
              <w:right w:val="single" w:sz="8" w:space="0" w:color="auto"/>
            </w:tcBorders>
            <w:shd w:val="clear" w:color="auto" w:fill="auto"/>
            <w:noWrap/>
            <w:vAlign w:val="bottom"/>
          </w:tcPr>
          <w:p w:rsidR="00BB0FED" w:rsidRPr="00BB0FED" w:rsidRDefault="00BB0FED" w:rsidP="00BB0FED">
            <w:pPr>
              <w:spacing w:after="0" w:line="240" w:lineRule="auto"/>
              <w:jc w:val="right"/>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1,78%</w:t>
            </w:r>
          </w:p>
        </w:tc>
        <w:tc>
          <w:tcPr>
            <w:tcW w:w="1200" w:type="dxa"/>
            <w:tcBorders>
              <w:top w:val="nil"/>
              <w:left w:val="nil"/>
              <w:bottom w:val="nil"/>
              <w:right w:val="single" w:sz="8" w:space="0" w:color="auto"/>
            </w:tcBorders>
            <w:shd w:val="clear" w:color="auto" w:fill="auto"/>
            <w:noWrap/>
            <w:vAlign w:val="bottom"/>
          </w:tcPr>
          <w:p w:rsidR="00BB0FED" w:rsidRPr="00BB0FED" w:rsidRDefault="00BB0FED" w:rsidP="00BB0FED">
            <w:pPr>
              <w:spacing w:after="0" w:line="240" w:lineRule="auto"/>
              <w:jc w:val="right"/>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1,74%</w:t>
            </w:r>
          </w:p>
        </w:tc>
        <w:tc>
          <w:tcPr>
            <w:tcW w:w="1460" w:type="dxa"/>
            <w:tcBorders>
              <w:top w:val="nil"/>
              <w:left w:val="nil"/>
              <w:bottom w:val="nil"/>
              <w:right w:val="single" w:sz="8" w:space="0" w:color="auto"/>
            </w:tcBorders>
            <w:shd w:val="clear" w:color="auto" w:fill="auto"/>
            <w:noWrap/>
            <w:vAlign w:val="bottom"/>
          </w:tcPr>
          <w:p w:rsidR="00BB0FED" w:rsidRPr="00BB0FED" w:rsidRDefault="00BB0FED" w:rsidP="00BB0FED">
            <w:pPr>
              <w:spacing w:after="0" w:line="240" w:lineRule="auto"/>
              <w:jc w:val="right"/>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2,14%</w:t>
            </w:r>
          </w:p>
        </w:tc>
      </w:tr>
      <w:tr w:rsidR="00BB0FED" w:rsidRPr="00BB0FED">
        <w:trPr>
          <w:trHeight w:val="300"/>
          <w:jc w:val="center"/>
        </w:trPr>
        <w:tc>
          <w:tcPr>
            <w:tcW w:w="1700" w:type="dxa"/>
            <w:tcBorders>
              <w:top w:val="nil"/>
              <w:left w:val="single" w:sz="8" w:space="0" w:color="auto"/>
              <w:bottom w:val="nil"/>
              <w:right w:val="nil"/>
            </w:tcBorders>
            <w:shd w:val="clear" w:color="000000" w:fill="FAFA76"/>
            <w:vAlign w:val="bottom"/>
          </w:tcPr>
          <w:p w:rsidR="00BB0FED" w:rsidRPr="00BB0FED" w:rsidRDefault="00BB0FED" w:rsidP="00BB0FED">
            <w:pPr>
              <w:spacing w:after="0" w:line="240" w:lineRule="auto"/>
              <w:jc w:val="center"/>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COFIEC</w:t>
            </w:r>
          </w:p>
        </w:tc>
        <w:tc>
          <w:tcPr>
            <w:tcW w:w="1200" w:type="dxa"/>
            <w:tcBorders>
              <w:top w:val="nil"/>
              <w:left w:val="single" w:sz="8" w:space="0" w:color="auto"/>
              <w:bottom w:val="nil"/>
              <w:right w:val="single" w:sz="8" w:space="0" w:color="auto"/>
            </w:tcBorders>
            <w:shd w:val="clear" w:color="auto" w:fill="auto"/>
            <w:noWrap/>
            <w:vAlign w:val="bottom"/>
          </w:tcPr>
          <w:p w:rsidR="00BB0FED" w:rsidRPr="00BB0FED" w:rsidRDefault="00BB0FED" w:rsidP="00BB0FED">
            <w:pPr>
              <w:spacing w:after="0" w:line="240" w:lineRule="auto"/>
              <w:jc w:val="right"/>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0,10%</w:t>
            </w:r>
          </w:p>
        </w:tc>
        <w:tc>
          <w:tcPr>
            <w:tcW w:w="1200" w:type="dxa"/>
            <w:tcBorders>
              <w:top w:val="nil"/>
              <w:left w:val="nil"/>
              <w:bottom w:val="nil"/>
              <w:right w:val="single" w:sz="8" w:space="0" w:color="auto"/>
            </w:tcBorders>
            <w:shd w:val="clear" w:color="auto" w:fill="auto"/>
            <w:noWrap/>
            <w:vAlign w:val="bottom"/>
          </w:tcPr>
          <w:p w:rsidR="00BB0FED" w:rsidRPr="00BB0FED" w:rsidRDefault="00BB0FED" w:rsidP="00BB0FED">
            <w:pPr>
              <w:spacing w:after="0" w:line="240" w:lineRule="auto"/>
              <w:jc w:val="right"/>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0,04%</w:t>
            </w:r>
          </w:p>
        </w:tc>
        <w:tc>
          <w:tcPr>
            <w:tcW w:w="1460" w:type="dxa"/>
            <w:tcBorders>
              <w:top w:val="nil"/>
              <w:left w:val="nil"/>
              <w:bottom w:val="nil"/>
              <w:right w:val="single" w:sz="8" w:space="0" w:color="auto"/>
            </w:tcBorders>
            <w:shd w:val="clear" w:color="auto" w:fill="auto"/>
            <w:noWrap/>
            <w:vAlign w:val="bottom"/>
          </w:tcPr>
          <w:p w:rsidR="00BB0FED" w:rsidRPr="00BB0FED" w:rsidRDefault="00BB0FED" w:rsidP="00BB0FED">
            <w:pPr>
              <w:spacing w:after="0" w:line="240" w:lineRule="auto"/>
              <w:jc w:val="right"/>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0,59%</w:t>
            </w:r>
          </w:p>
        </w:tc>
      </w:tr>
      <w:tr w:rsidR="00BB0FED" w:rsidRPr="00BB0FED">
        <w:trPr>
          <w:trHeight w:val="540"/>
          <w:jc w:val="center"/>
        </w:trPr>
        <w:tc>
          <w:tcPr>
            <w:tcW w:w="1700" w:type="dxa"/>
            <w:tcBorders>
              <w:top w:val="nil"/>
              <w:left w:val="single" w:sz="8" w:space="0" w:color="auto"/>
              <w:bottom w:val="nil"/>
              <w:right w:val="nil"/>
            </w:tcBorders>
            <w:shd w:val="clear" w:color="000000" w:fill="FAFA76"/>
            <w:vAlign w:val="bottom"/>
          </w:tcPr>
          <w:p w:rsidR="00BB0FED" w:rsidRPr="00BB0FED" w:rsidRDefault="00BB0FED" w:rsidP="00BB0FED">
            <w:pPr>
              <w:spacing w:after="0" w:line="240" w:lineRule="auto"/>
              <w:jc w:val="center"/>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COMERCIAL DE MANABÍ</w:t>
            </w:r>
          </w:p>
        </w:tc>
        <w:tc>
          <w:tcPr>
            <w:tcW w:w="1200" w:type="dxa"/>
            <w:tcBorders>
              <w:top w:val="nil"/>
              <w:left w:val="single" w:sz="8" w:space="0" w:color="auto"/>
              <w:bottom w:val="nil"/>
              <w:right w:val="single" w:sz="8" w:space="0" w:color="auto"/>
            </w:tcBorders>
            <w:shd w:val="clear" w:color="auto" w:fill="auto"/>
            <w:noWrap/>
            <w:vAlign w:val="bottom"/>
          </w:tcPr>
          <w:p w:rsidR="00BB0FED" w:rsidRPr="00BB0FED" w:rsidRDefault="00BB0FED" w:rsidP="00BB0FED">
            <w:pPr>
              <w:spacing w:after="0" w:line="240" w:lineRule="auto"/>
              <w:jc w:val="right"/>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0,21%</w:t>
            </w:r>
          </w:p>
        </w:tc>
        <w:tc>
          <w:tcPr>
            <w:tcW w:w="1200" w:type="dxa"/>
            <w:tcBorders>
              <w:top w:val="nil"/>
              <w:left w:val="nil"/>
              <w:bottom w:val="nil"/>
              <w:right w:val="single" w:sz="8" w:space="0" w:color="auto"/>
            </w:tcBorders>
            <w:shd w:val="clear" w:color="auto" w:fill="auto"/>
            <w:noWrap/>
            <w:vAlign w:val="bottom"/>
          </w:tcPr>
          <w:p w:rsidR="00BB0FED" w:rsidRPr="00BB0FED" w:rsidRDefault="00BB0FED" w:rsidP="00BB0FED">
            <w:pPr>
              <w:spacing w:after="0" w:line="240" w:lineRule="auto"/>
              <w:jc w:val="right"/>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0,19%</w:t>
            </w:r>
          </w:p>
        </w:tc>
        <w:tc>
          <w:tcPr>
            <w:tcW w:w="1460" w:type="dxa"/>
            <w:tcBorders>
              <w:top w:val="nil"/>
              <w:left w:val="nil"/>
              <w:bottom w:val="nil"/>
              <w:right w:val="single" w:sz="8" w:space="0" w:color="auto"/>
            </w:tcBorders>
            <w:shd w:val="clear" w:color="auto" w:fill="auto"/>
            <w:noWrap/>
            <w:vAlign w:val="bottom"/>
          </w:tcPr>
          <w:p w:rsidR="00BB0FED" w:rsidRPr="00BB0FED" w:rsidRDefault="00BB0FED" w:rsidP="00BB0FED">
            <w:pPr>
              <w:spacing w:after="0" w:line="240" w:lineRule="auto"/>
              <w:jc w:val="right"/>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0,44%</w:t>
            </w:r>
          </w:p>
        </w:tc>
      </w:tr>
      <w:tr w:rsidR="00BB0FED" w:rsidRPr="00BB0FED">
        <w:trPr>
          <w:trHeight w:val="300"/>
          <w:jc w:val="center"/>
        </w:trPr>
        <w:tc>
          <w:tcPr>
            <w:tcW w:w="1700" w:type="dxa"/>
            <w:tcBorders>
              <w:top w:val="nil"/>
              <w:left w:val="single" w:sz="8" w:space="0" w:color="auto"/>
              <w:bottom w:val="nil"/>
              <w:right w:val="nil"/>
            </w:tcBorders>
            <w:shd w:val="clear" w:color="000000" w:fill="FAFA76"/>
            <w:vAlign w:val="bottom"/>
          </w:tcPr>
          <w:p w:rsidR="00BB0FED" w:rsidRPr="00BB0FED" w:rsidRDefault="00BB0FED" w:rsidP="00BB0FED">
            <w:pPr>
              <w:spacing w:after="0" w:line="240" w:lineRule="auto"/>
              <w:jc w:val="center"/>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CAPITAL</w:t>
            </w:r>
          </w:p>
        </w:tc>
        <w:tc>
          <w:tcPr>
            <w:tcW w:w="1200" w:type="dxa"/>
            <w:tcBorders>
              <w:top w:val="nil"/>
              <w:left w:val="single" w:sz="8" w:space="0" w:color="auto"/>
              <w:bottom w:val="nil"/>
              <w:right w:val="single" w:sz="8" w:space="0" w:color="auto"/>
            </w:tcBorders>
            <w:shd w:val="clear" w:color="auto" w:fill="auto"/>
            <w:noWrap/>
            <w:vAlign w:val="bottom"/>
          </w:tcPr>
          <w:p w:rsidR="00BB0FED" w:rsidRPr="00BB0FED" w:rsidRDefault="00BB0FED" w:rsidP="00BB0FED">
            <w:pPr>
              <w:spacing w:after="0" w:line="240" w:lineRule="auto"/>
              <w:jc w:val="right"/>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0,51%</w:t>
            </w:r>
          </w:p>
        </w:tc>
        <w:tc>
          <w:tcPr>
            <w:tcW w:w="1200" w:type="dxa"/>
            <w:tcBorders>
              <w:top w:val="nil"/>
              <w:left w:val="nil"/>
              <w:bottom w:val="nil"/>
              <w:right w:val="single" w:sz="8" w:space="0" w:color="auto"/>
            </w:tcBorders>
            <w:shd w:val="clear" w:color="auto" w:fill="auto"/>
            <w:noWrap/>
            <w:vAlign w:val="bottom"/>
          </w:tcPr>
          <w:p w:rsidR="00BB0FED" w:rsidRPr="00BB0FED" w:rsidRDefault="00BB0FED" w:rsidP="00BB0FED">
            <w:pPr>
              <w:spacing w:after="0" w:line="240" w:lineRule="auto"/>
              <w:jc w:val="right"/>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0,47%</w:t>
            </w:r>
          </w:p>
        </w:tc>
        <w:tc>
          <w:tcPr>
            <w:tcW w:w="1460" w:type="dxa"/>
            <w:tcBorders>
              <w:top w:val="nil"/>
              <w:left w:val="nil"/>
              <w:bottom w:val="nil"/>
              <w:right w:val="single" w:sz="8" w:space="0" w:color="auto"/>
            </w:tcBorders>
            <w:shd w:val="clear" w:color="auto" w:fill="auto"/>
            <w:noWrap/>
            <w:vAlign w:val="bottom"/>
          </w:tcPr>
          <w:p w:rsidR="00BB0FED" w:rsidRPr="00BB0FED" w:rsidRDefault="00BB0FED" w:rsidP="00BB0FED">
            <w:pPr>
              <w:spacing w:after="0" w:line="240" w:lineRule="auto"/>
              <w:jc w:val="right"/>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0,82%</w:t>
            </w:r>
          </w:p>
        </w:tc>
      </w:tr>
      <w:tr w:rsidR="00BB0FED" w:rsidRPr="00BB0FED">
        <w:trPr>
          <w:trHeight w:val="300"/>
          <w:jc w:val="center"/>
        </w:trPr>
        <w:tc>
          <w:tcPr>
            <w:tcW w:w="1700" w:type="dxa"/>
            <w:tcBorders>
              <w:top w:val="nil"/>
              <w:left w:val="single" w:sz="8" w:space="0" w:color="auto"/>
              <w:bottom w:val="nil"/>
              <w:right w:val="nil"/>
            </w:tcBorders>
            <w:shd w:val="clear" w:color="000000" w:fill="FAFA76"/>
            <w:vAlign w:val="bottom"/>
          </w:tcPr>
          <w:p w:rsidR="00BB0FED" w:rsidRPr="00BB0FED" w:rsidRDefault="00BB0FED" w:rsidP="00BB0FED">
            <w:pPr>
              <w:spacing w:after="0" w:line="240" w:lineRule="auto"/>
              <w:jc w:val="center"/>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LOJA</w:t>
            </w:r>
          </w:p>
        </w:tc>
        <w:tc>
          <w:tcPr>
            <w:tcW w:w="1200" w:type="dxa"/>
            <w:tcBorders>
              <w:top w:val="nil"/>
              <w:left w:val="single" w:sz="8" w:space="0" w:color="auto"/>
              <w:bottom w:val="nil"/>
              <w:right w:val="single" w:sz="8" w:space="0" w:color="auto"/>
            </w:tcBorders>
            <w:shd w:val="clear" w:color="auto" w:fill="auto"/>
            <w:noWrap/>
            <w:vAlign w:val="bottom"/>
          </w:tcPr>
          <w:p w:rsidR="00BB0FED" w:rsidRPr="00BB0FED" w:rsidRDefault="00BB0FED" w:rsidP="00BB0FED">
            <w:pPr>
              <w:spacing w:after="0" w:line="240" w:lineRule="auto"/>
              <w:jc w:val="right"/>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1,30%</w:t>
            </w:r>
          </w:p>
        </w:tc>
        <w:tc>
          <w:tcPr>
            <w:tcW w:w="1200" w:type="dxa"/>
            <w:tcBorders>
              <w:top w:val="nil"/>
              <w:left w:val="nil"/>
              <w:bottom w:val="nil"/>
              <w:right w:val="single" w:sz="8" w:space="0" w:color="auto"/>
            </w:tcBorders>
            <w:shd w:val="clear" w:color="auto" w:fill="auto"/>
            <w:noWrap/>
            <w:vAlign w:val="bottom"/>
          </w:tcPr>
          <w:p w:rsidR="00BB0FED" w:rsidRPr="00BB0FED" w:rsidRDefault="00BB0FED" w:rsidP="00BB0FED">
            <w:pPr>
              <w:spacing w:after="0" w:line="240" w:lineRule="auto"/>
              <w:jc w:val="right"/>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1,32%</w:t>
            </w:r>
          </w:p>
        </w:tc>
        <w:tc>
          <w:tcPr>
            <w:tcW w:w="1460" w:type="dxa"/>
            <w:tcBorders>
              <w:top w:val="nil"/>
              <w:left w:val="nil"/>
              <w:bottom w:val="nil"/>
              <w:right w:val="single" w:sz="8" w:space="0" w:color="auto"/>
            </w:tcBorders>
            <w:shd w:val="clear" w:color="auto" w:fill="auto"/>
            <w:noWrap/>
            <w:vAlign w:val="bottom"/>
          </w:tcPr>
          <w:p w:rsidR="00BB0FED" w:rsidRPr="00BB0FED" w:rsidRDefault="00BB0FED" w:rsidP="00BB0FED">
            <w:pPr>
              <w:spacing w:after="0" w:line="240" w:lineRule="auto"/>
              <w:jc w:val="right"/>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1,16%</w:t>
            </w:r>
          </w:p>
        </w:tc>
      </w:tr>
      <w:tr w:rsidR="00BB0FED" w:rsidRPr="00BB0FED">
        <w:trPr>
          <w:trHeight w:val="540"/>
          <w:jc w:val="center"/>
        </w:trPr>
        <w:tc>
          <w:tcPr>
            <w:tcW w:w="1700" w:type="dxa"/>
            <w:tcBorders>
              <w:top w:val="nil"/>
              <w:left w:val="single" w:sz="8" w:space="0" w:color="auto"/>
              <w:bottom w:val="nil"/>
              <w:right w:val="nil"/>
            </w:tcBorders>
            <w:shd w:val="clear" w:color="000000" w:fill="FAFA76"/>
            <w:vAlign w:val="bottom"/>
          </w:tcPr>
          <w:p w:rsidR="00BB0FED" w:rsidRPr="00BB0FED" w:rsidRDefault="00BB0FED" w:rsidP="00BB0FED">
            <w:pPr>
              <w:spacing w:after="0" w:line="240" w:lineRule="auto"/>
              <w:jc w:val="center"/>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LLOYDS BANK (BLSA)</w:t>
            </w:r>
          </w:p>
        </w:tc>
        <w:tc>
          <w:tcPr>
            <w:tcW w:w="1200" w:type="dxa"/>
            <w:tcBorders>
              <w:top w:val="nil"/>
              <w:left w:val="single" w:sz="8" w:space="0" w:color="auto"/>
              <w:bottom w:val="nil"/>
              <w:right w:val="single" w:sz="8" w:space="0" w:color="auto"/>
            </w:tcBorders>
            <w:shd w:val="clear" w:color="auto" w:fill="auto"/>
            <w:noWrap/>
            <w:vAlign w:val="bottom"/>
          </w:tcPr>
          <w:p w:rsidR="00BB0FED" w:rsidRPr="00BB0FED" w:rsidRDefault="00BB0FED" w:rsidP="00BB0FED">
            <w:pPr>
              <w:spacing w:after="0" w:line="240" w:lineRule="auto"/>
              <w:jc w:val="right"/>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1,18%</w:t>
            </w:r>
          </w:p>
        </w:tc>
        <w:tc>
          <w:tcPr>
            <w:tcW w:w="1200" w:type="dxa"/>
            <w:tcBorders>
              <w:top w:val="nil"/>
              <w:left w:val="nil"/>
              <w:bottom w:val="nil"/>
              <w:right w:val="single" w:sz="8" w:space="0" w:color="auto"/>
            </w:tcBorders>
            <w:shd w:val="clear" w:color="auto" w:fill="auto"/>
            <w:noWrap/>
            <w:vAlign w:val="bottom"/>
          </w:tcPr>
          <w:p w:rsidR="00BB0FED" w:rsidRPr="00BB0FED" w:rsidRDefault="00BB0FED" w:rsidP="00BB0FED">
            <w:pPr>
              <w:spacing w:after="0" w:line="240" w:lineRule="auto"/>
              <w:jc w:val="right"/>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1,13%</w:t>
            </w:r>
          </w:p>
        </w:tc>
        <w:tc>
          <w:tcPr>
            <w:tcW w:w="1460" w:type="dxa"/>
            <w:tcBorders>
              <w:top w:val="nil"/>
              <w:left w:val="nil"/>
              <w:bottom w:val="nil"/>
              <w:right w:val="single" w:sz="8" w:space="0" w:color="auto"/>
            </w:tcBorders>
            <w:shd w:val="clear" w:color="auto" w:fill="auto"/>
            <w:noWrap/>
            <w:vAlign w:val="bottom"/>
          </w:tcPr>
          <w:p w:rsidR="00BB0FED" w:rsidRPr="00BB0FED" w:rsidRDefault="00BB0FED" w:rsidP="00BB0FED">
            <w:pPr>
              <w:spacing w:after="0" w:line="240" w:lineRule="auto"/>
              <w:jc w:val="right"/>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1,66%</w:t>
            </w:r>
          </w:p>
        </w:tc>
      </w:tr>
      <w:tr w:rsidR="00BB0FED" w:rsidRPr="00BB0FED">
        <w:trPr>
          <w:trHeight w:val="315"/>
          <w:jc w:val="center"/>
        </w:trPr>
        <w:tc>
          <w:tcPr>
            <w:tcW w:w="5560" w:type="dxa"/>
            <w:gridSpan w:val="4"/>
            <w:tcBorders>
              <w:top w:val="single" w:sz="8" w:space="0" w:color="auto"/>
              <w:left w:val="single" w:sz="8" w:space="0" w:color="auto"/>
              <w:bottom w:val="single" w:sz="8" w:space="0" w:color="auto"/>
              <w:right w:val="single" w:sz="8" w:space="0" w:color="000000"/>
            </w:tcBorders>
            <w:shd w:val="clear" w:color="000000" w:fill="FFFFFF"/>
            <w:vAlign w:val="bottom"/>
          </w:tcPr>
          <w:p w:rsidR="00BB0FED" w:rsidRPr="00BB0FED" w:rsidRDefault="00BB0FED" w:rsidP="00BB0FED">
            <w:pPr>
              <w:spacing w:after="0" w:line="240" w:lineRule="auto"/>
              <w:jc w:val="center"/>
              <w:rPr>
                <w:rFonts w:ascii="Arial" w:eastAsia="Times New Roman" w:hAnsi="Arial" w:cs="Arial"/>
                <w:b/>
                <w:bCs/>
                <w:color w:val="000000"/>
                <w:sz w:val="20"/>
                <w:szCs w:val="20"/>
                <w:lang w:eastAsia="es-EC"/>
              </w:rPr>
            </w:pPr>
            <w:r w:rsidRPr="00BB0FED">
              <w:rPr>
                <w:rFonts w:ascii="Arial" w:eastAsia="Times New Roman" w:hAnsi="Arial" w:cs="Arial"/>
                <w:b/>
                <w:bCs/>
                <w:color w:val="000000"/>
                <w:sz w:val="20"/>
                <w:szCs w:val="20"/>
                <w:lang w:eastAsia="es-EC"/>
              </w:rPr>
              <w:t>BANCOS DE CONSUMO</w:t>
            </w:r>
          </w:p>
        </w:tc>
      </w:tr>
      <w:tr w:rsidR="00BB0FED" w:rsidRPr="00BB0FED">
        <w:trPr>
          <w:trHeight w:val="300"/>
          <w:jc w:val="center"/>
        </w:trPr>
        <w:tc>
          <w:tcPr>
            <w:tcW w:w="1700" w:type="dxa"/>
            <w:tcBorders>
              <w:top w:val="nil"/>
              <w:left w:val="single" w:sz="8" w:space="0" w:color="auto"/>
              <w:bottom w:val="nil"/>
              <w:right w:val="nil"/>
            </w:tcBorders>
            <w:shd w:val="clear" w:color="000000" w:fill="93CDDD"/>
            <w:vAlign w:val="bottom"/>
          </w:tcPr>
          <w:p w:rsidR="00BB0FED" w:rsidRPr="00BB0FED" w:rsidRDefault="00BB0FED" w:rsidP="00BB0FED">
            <w:pPr>
              <w:spacing w:after="0" w:line="240" w:lineRule="auto"/>
              <w:jc w:val="center"/>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GUAYAQUIL</w:t>
            </w:r>
          </w:p>
        </w:tc>
        <w:tc>
          <w:tcPr>
            <w:tcW w:w="1200" w:type="dxa"/>
            <w:tcBorders>
              <w:top w:val="nil"/>
              <w:left w:val="single" w:sz="8" w:space="0" w:color="auto"/>
              <w:bottom w:val="nil"/>
              <w:right w:val="single" w:sz="8" w:space="0" w:color="auto"/>
            </w:tcBorders>
            <w:shd w:val="clear" w:color="auto" w:fill="auto"/>
            <w:noWrap/>
            <w:vAlign w:val="bottom"/>
          </w:tcPr>
          <w:p w:rsidR="00BB0FED" w:rsidRPr="00BB0FED" w:rsidRDefault="00BB0FED" w:rsidP="00BB0FED">
            <w:pPr>
              <w:spacing w:after="0" w:line="240" w:lineRule="auto"/>
              <w:jc w:val="right"/>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14,26%</w:t>
            </w:r>
          </w:p>
        </w:tc>
        <w:tc>
          <w:tcPr>
            <w:tcW w:w="1200" w:type="dxa"/>
            <w:tcBorders>
              <w:top w:val="nil"/>
              <w:left w:val="nil"/>
              <w:bottom w:val="nil"/>
              <w:right w:val="single" w:sz="8" w:space="0" w:color="auto"/>
            </w:tcBorders>
            <w:shd w:val="clear" w:color="auto" w:fill="auto"/>
            <w:noWrap/>
            <w:vAlign w:val="bottom"/>
          </w:tcPr>
          <w:p w:rsidR="00BB0FED" w:rsidRPr="00BB0FED" w:rsidRDefault="00BB0FED" w:rsidP="00BB0FED">
            <w:pPr>
              <w:spacing w:after="0" w:line="240" w:lineRule="auto"/>
              <w:jc w:val="right"/>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14,77%</w:t>
            </w:r>
          </w:p>
        </w:tc>
        <w:tc>
          <w:tcPr>
            <w:tcW w:w="1460" w:type="dxa"/>
            <w:tcBorders>
              <w:top w:val="nil"/>
              <w:left w:val="nil"/>
              <w:bottom w:val="nil"/>
              <w:right w:val="single" w:sz="8" w:space="0" w:color="auto"/>
            </w:tcBorders>
            <w:shd w:val="clear" w:color="auto" w:fill="auto"/>
            <w:noWrap/>
            <w:vAlign w:val="bottom"/>
          </w:tcPr>
          <w:p w:rsidR="00BB0FED" w:rsidRPr="00BB0FED" w:rsidRDefault="00BB0FED" w:rsidP="00BB0FED">
            <w:pPr>
              <w:spacing w:after="0" w:line="240" w:lineRule="auto"/>
              <w:jc w:val="right"/>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9,93%</w:t>
            </w:r>
          </w:p>
        </w:tc>
      </w:tr>
      <w:tr w:rsidR="00BB0FED" w:rsidRPr="00BB0FED">
        <w:trPr>
          <w:trHeight w:val="300"/>
          <w:jc w:val="center"/>
        </w:trPr>
        <w:tc>
          <w:tcPr>
            <w:tcW w:w="1700" w:type="dxa"/>
            <w:tcBorders>
              <w:top w:val="nil"/>
              <w:left w:val="single" w:sz="8" w:space="0" w:color="auto"/>
              <w:bottom w:val="nil"/>
              <w:right w:val="nil"/>
            </w:tcBorders>
            <w:shd w:val="clear" w:color="000000" w:fill="8EED4D"/>
            <w:vAlign w:val="bottom"/>
          </w:tcPr>
          <w:p w:rsidR="00BB0FED" w:rsidRPr="00BB0FED" w:rsidRDefault="00BB0FED" w:rsidP="00BB0FED">
            <w:pPr>
              <w:spacing w:after="0" w:line="240" w:lineRule="auto"/>
              <w:jc w:val="center"/>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UNIBANCO</w:t>
            </w:r>
          </w:p>
        </w:tc>
        <w:tc>
          <w:tcPr>
            <w:tcW w:w="1200" w:type="dxa"/>
            <w:tcBorders>
              <w:top w:val="nil"/>
              <w:left w:val="single" w:sz="8" w:space="0" w:color="auto"/>
              <w:bottom w:val="nil"/>
              <w:right w:val="single" w:sz="8" w:space="0" w:color="auto"/>
            </w:tcBorders>
            <w:shd w:val="clear" w:color="auto" w:fill="auto"/>
            <w:noWrap/>
            <w:vAlign w:val="bottom"/>
          </w:tcPr>
          <w:p w:rsidR="00BB0FED" w:rsidRPr="00BB0FED" w:rsidRDefault="00BB0FED" w:rsidP="00BB0FED">
            <w:pPr>
              <w:spacing w:after="0" w:line="240" w:lineRule="auto"/>
              <w:jc w:val="right"/>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2,06%</w:t>
            </w:r>
          </w:p>
        </w:tc>
        <w:tc>
          <w:tcPr>
            <w:tcW w:w="1200" w:type="dxa"/>
            <w:tcBorders>
              <w:top w:val="nil"/>
              <w:left w:val="nil"/>
              <w:bottom w:val="nil"/>
              <w:right w:val="single" w:sz="8" w:space="0" w:color="auto"/>
            </w:tcBorders>
            <w:shd w:val="clear" w:color="auto" w:fill="auto"/>
            <w:noWrap/>
            <w:vAlign w:val="bottom"/>
          </w:tcPr>
          <w:p w:rsidR="00BB0FED" w:rsidRPr="00BB0FED" w:rsidRDefault="00BB0FED" w:rsidP="00BB0FED">
            <w:pPr>
              <w:spacing w:after="0" w:line="240" w:lineRule="auto"/>
              <w:jc w:val="right"/>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1,91%</w:t>
            </w:r>
          </w:p>
        </w:tc>
        <w:tc>
          <w:tcPr>
            <w:tcW w:w="1460" w:type="dxa"/>
            <w:tcBorders>
              <w:top w:val="nil"/>
              <w:left w:val="nil"/>
              <w:bottom w:val="nil"/>
              <w:right w:val="single" w:sz="8" w:space="0" w:color="auto"/>
            </w:tcBorders>
            <w:shd w:val="clear" w:color="auto" w:fill="auto"/>
            <w:noWrap/>
            <w:vAlign w:val="bottom"/>
          </w:tcPr>
          <w:p w:rsidR="00BB0FED" w:rsidRPr="00BB0FED" w:rsidRDefault="00BB0FED" w:rsidP="00BB0FED">
            <w:pPr>
              <w:spacing w:after="0" w:line="240" w:lineRule="auto"/>
              <w:jc w:val="right"/>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3,36%</w:t>
            </w:r>
          </w:p>
        </w:tc>
      </w:tr>
      <w:tr w:rsidR="00BB0FED" w:rsidRPr="00BB0FED">
        <w:trPr>
          <w:trHeight w:val="300"/>
          <w:jc w:val="center"/>
        </w:trPr>
        <w:tc>
          <w:tcPr>
            <w:tcW w:w="1700" w:type="dxa"/>
            <w:tcBorders>
              <w:top w:val="nil"/>
              <w:left w:val="single" w:sz="8" w:space="0" w:color="auto"/>
              <w:bottom w:val="nil"/>
              <w:right w:val="nil"/>
            </w:tcBorders>
            <w:shd w:val="clear" w:color="000000" w:fill="FAFA76"/>
            <w:vAlign w:val="bottom"/>
          </w:tcPr>
          <w:p w:rsidR="00BB0FED" w:rsidRPr="00BB0FED" w:rsidRDefault="00BB0FED" w:rsidP="00BB0FED">
            <w:pPr>
              <w:spacing w:after="0" w:line="240" w:lineRule="auto"/>
              <w:jc w:val="center"/>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AMAZONAS</w:t>
            </w:r>
          </w:p>
        </w:tc>
        <w:tc>
          <w:tcPr>
            <w:tcW w:w="1200" w:type="dxa"/>
            <w:tcBorders>
              <w:top w:val="nil"/>
              <w:left w:val="single" w:sz="8" w:space="0" w:color="auto"/>
              <w:bottom w:val="nil"/>
              <w:right w:val="single" w:sz="8" w:space="0" w:color="auto"/>
            </w:tcBorders>
            <w:shd w:val="clear" w:color="auto" w:fill="auto"/>
            <w:noWrap/>
            <w:vAlign w:val="bottom"/>
          </w:tcPr>
          <w:p w:rsidR="00BB0FED" w:rsidRPr="00BB0FED" w:rsidRDefault="00BB0FED" w:rsidP="00BB0FED">
            <w:pPr>
              <w:spacing w:after="0" w:line="240" w:lineRule="auto"/>
              <w:jc w:val="right"/>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0,99%</w:t>
            </w:r>
          </w:p>
        </w:tc>
        <w:tc>
          <w:tcPr>
            <w:tcW w:w="1200" w:type="dxa"/>
            <w:tcBorders>
              <w:top w:val="nil"/>
              <w:left w:val="nil"/>
              <w:bottom w:val="nil"/>
              <w:right w:val="single" w:sz="8" w:space="0" w:color="auto"/>
            </w:tcBorders>
            <w:shd w:val="clear" w:color="auto" w:fill="auto"/>
            <w:noWrap/>
            <w:vAlign w:val="bottom"/>
          </w:tcPr>
          <w:p w:rsidR="00BB0FED" w:rsidRPr="00BB0FED" w:rsidRDefault="00BB0FED" w:rsidP="00BB0FED">
            <w:pPr>
              <w:spacing w:after="0" w:line="240" w:lineRule="auto"/>
              <w:jc w:val="right"/>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1,02%</w:t>
            </w:r>
          </w:p>
        </w:tc>
        <w:tc>
          <w:tcPr>
            <w:tcW w:w="1460" w:type="dxa"/>
            <w:tcBorders>
              <w:top w:val="nil"/>
              <w:left w:val="nil"/>
              <w:bottom w:val="nil"/>
              <w:right w:val="single" w:sz="8" w:space="0" w:color="auto"/>
            </w:tcBorders>
            <w:shd w:val="clear" w:color="auto" w:fill="auto"/>
            <w:noWrap/>
            <w:vAlign w:val="bottom"/>
          </w:tcPr>
          <w:p w:rsidR="00BB0FED" w:rsidRPr="00BB0FED" w:rsidRDefault="00BB0FED" w:rsidP="00BB0FED">
            <w:pPr>
              <w:spacing w:after="0" w:line="240" w:lineRule="auto"/>
              <w:jc w:val="right"/>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0,76%</w:t>
            </w:r>
          </w:p>
        </w:tc>
      </w:tr>
      <w:tr w:rsidR="00BB0FED" w:rsidRPr="00BB0FED">
        <w:trPr>
          <w:trHeight w:val="300"/>
          <w:jc w:val="center"/>
        </w:trPr>
        <w:tc>
          <w:tcPr>
            <w:tcW w:w="1700" w:type="dxa"/>
            <w:tcBorders>
              <w:top w:val="nil"/>
              <w:left w:val="single" w:sz="8" w:space="0" w:color="auto"/>
              <w:bottom w:val="nil"/>
              <w:right w:val="nil"/>
            </w:tcBorders>
            <w:shd w:val="clear" w:color="000000" w:fill="FAFA76"/>
            <w:vAlign w:val="bottom"/>
          </w:tcPr>
          <w:p w:rsidR="00BB0FED" w:rsidRPr="00BB0FED" w:rsidRDefault="00BB0FED" w:rsidP="00BB0FED">
            <w:pPr>
              <w:spacing w:after="0" w:line="240" w:lineRule="auto"/>
              <w:jc w:val="center"/>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CENTROMUNDO</w:t>
            </w:r>
          </w:p>
        </w:tc>
        <w:tc>
          <w:tcPr>
            <w:tcW w:w="1200" w:type="dxa"/>
            <w:tcBorders>
              <w:top w:val="nil"/>
              <w:left w:val="single" w:sz="8" w:space="0" w:color="auto"/>
              <w:bottom w:val="nil"/>
              <w:right w:val="single" w:sz="8" w:space="0" w:color="auto"/>
            </w:tcBorders>
            <w:shd w:val="clear" w:color="auto" w:fill="auto"/>
            <w:noWrap/>
            <w:vAlign w:val="bottom"/>
          </w:tcPr>
          <w:p w:rsidR="00BB0FED" w:rsidRPr="00BB0FED" w:rsidRDefault="00BB0FED" w:rsidP="00BB0FED">
            <w:pPr>
              <w:spacing w:after="0" w:line="240" w:lineRule="auto"/>
              <w:jc w:val="right"/>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0,00%</w:t>
            </w:r>
          </w:p>
        </w:tc>
        <w:tc>
          <w:tcPr>
            <w:tcW w:w="1200" w:type="dxa"/>
            <w:tcBorders>
              <w:top w:val="nil"/>
              <w:left w:val="nil"/>
              <w:bottom w:val="nil"/>
              <w:right w:val="single" w:sz="8" w:space="0" w:color="auto"/>
            </w:tcBorders>
            <w:shd w:val="clear" w:color="auto" w:fill="auto"/>
            <w:noWrap/>
            <w:vAlign w:val="bottom"/>
          </w:tcPr>
          <w:p w:rsidR="00BB0FED" w:rsidRPr="00BB0FED" w:rsidRDefault="00BB0FED" w:rsidP="00BB0FED">
            <w:pPr>
              <w:spacing w:after="0" w:line="240" w:lineRule="auto"/>
              <w:jc w:val="right"/>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0,00%</w:t>
            </w:r>
          </w:p>
        </w:tc>
        <w:tc>
          <w:tcPr>
            <w:tcW w:w="1460" w:type="dxa"/>
            <w:tcBorders>
              <w:top w:val="nil"/>
              <w:left w:val="nil"/>
              <w:bottom w:val="nil"/>
              <w:right w:val="single" w:sz="8" w:space="0" w:color="auto"/>
            </w:tcBorders>
            <w:shd w:val="clear" w:color="auto" w:fill="auto"/>
            <w:noWrap/>
            <w:vAlign w:val="bottom"/>
          </w:tcPr>
          <w:p w:rsidR="00BB0FED" w:rsidRPr="00BB0FED" w:rsidRDefault="00BB0FED" w:rsidP="00BB0FED">
            <w:pPr>
              <w:spacing w:after="0" w:line="240" w:lineRule="auto"/>
              <w:jc w:val="right"/>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0,00%</w:t>
            </w:r>
          </w:p>
        </w:tc>
      </w:tr>
      <w:tr w:rsidR="00BB0FED" w:rsidRPr="00BB0FED">
        <w:trPr>
          <w:trHeight w:val="300"/>
          <w:jc w:val="center"/>
        </w:trPr>
        <w:tc>
          <w:tcPr>
            <w:tcW w:w="1700" w:type="dxa"/>
            <w:tcBorders>
              <w:top w:val="nil"/>
              <w:left w:val="single" w:sz="8" w:space="0" w:color="auto"/>
              <w:bottom w:val="nil"/>
              <w:right w:val="nil"/>
            </w:tcBorders>
            <w:shd w:val="clear" w:color="000000" w:fill="FAFA76"/>
            <w:vAlign w:val="bottom"/>
          </w:tcPr>
          <w:p w:rsidR="00BB0FED" w:rsidRPr="00BB0FED" w:rsidRDefault="00BB0FED" w:rsidP="00BB0FED">
            <w:pPr>
              <w:spacing w:after="0" w:line="240" w:lineRule="auto"/>
              <w:jc w:val="center"/>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DELBANK S.A.</w:t>
            </w:r>
          </w:p>
        </w:tc>
        <w:tc>
          <w:tcPr>
            <w:tcW w:w="1200" w:type="dxa"/>
            <w:tcBorders>
              <w:top w:val="nil"/>
              <w:left w:val="single" w:sz="8" w:space="0" w:color="auto"/>
              <w:bottom w:val="nil"/>
              <w:right w:val="single" w:sz="8" w:space="0" w:color="auto"/>
            </w:tcBorders>
            <w:shd w:val="clear" w:color="auto" w:fill="auto"/>
            <w:noWrap/>
            <w:vAlign w:val="bottom"/>
          </w:tcPr>
          <w:p w:rsidR="00BB0FED" w:rsidRPr="00BB0FED" w:rsidRDefault="00BB0FED" w:rsidP="00BB0FED">
            <w:pPr>
              <w:spacing w:after="0" w:line="240" w:lineRule="auto"/>
              <w:jc w:val="right"/>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0,09%</w:t>
            </w:r>
          </w:p>
        </w:tc>
        <w:tc>
          <w:tcPr>
            <w:tcW w:w="1200" w:type="dxa"/>
            <w:tcBorders>
              <w:top w:val="nil"/>
              <w:left w:val="nil"/>
              <w:bottom w:val="nil"/>
              <w:right w:val="single" w:sz="8" w:space="0" w:color="auto"/>
            </w:tcBorders>
            <w:shd w:val="clear" w:color="auto" w:fill="auto"/>
            <w:noWrap/>
            <w:vAlign w:val="bottom"/>
          </w:tcPr>
          <w:p w:rsidR="00BB0FED" w:rsidRPr="00BB0FED" w:rsidRDefault="00BB0FED" w:rsidP="00BB0FED">
            <w:pPr>
              <w:spacing w:after="0" w:line="240" w:lineRule="auto"/>
              <w:jc w:val="right"/>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0,05%</w:t>
            </w:r>
          </w:p>
        </w:tc>
        <w:tc>
          <w:tcPr>
            <w:tcW w:w="1460" w:type="dxa"/>
            <w:tcBorders>
              <w:top w:val="nil"/>
              <w:left w:val="nil"/>
              <w:bottom w:val="nil"/>
              <w:right w:val="single" w:sz="8" w:space="0" w:color="auto"/>
            </w:tcBorders>
            <w:shd w:val="clear" w:color="auto" w:fill="auto"/>
            <w:noWrap/>
            <w:vAlign w:val="bottom"/>
          </w:tcPr>
          <w:p w:rsidR="00BB0FED" w:rsidRPr="00BB0FED" w:rsidRDefault="00BB0FED" w:rsidP="00BB0FED">
            <w:pPr>
              <w:spacing w:after="0" w:line="240" w:lineRule="auto"/>
              <w:jc w:val="right"/>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0,44%</w:t>
            </w:r>
          </w:p>
        </w:tc>
      </w:tr>
      <w:tr w:rsidR="00BB0FED" w:rsidRPr="00BB0FED">
        <w:trPr>
          <w:trHeight w:val="300"/>
          <w:jc w:val="center"/>
        </w:trPr>
        <w:tc>
          <w:tcPr>
            <w:tcW w:w="1700" w:type="dxa"/>
            <w:tcBorders>
              <w:top w:val="nil"/>
              <w:left w:val="single" w:sz="8" w:space="0" w:color="auto"/>
              <w:bottom w:val="nil"/>
              <w:right w:val="nil"/>
            </w:tcBorders>
            <w:shd w:val="clear" w:color="000000" w:fill="FAFA76"/>
            <w:vAlign w:val="bottom"/>
          </w:tcPr>
          <w:p w:rsidR="00BB0FED" w:rsidRPr="00BB0FED" w:rsidRDefault="00BB0FED" w:rsidP="00BB0FED">
            <w:pPr>
              <w:spacing w:after="0" w:line="240" w:lineRule="auto"/>
              <w:jc w:val="center"/>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LITORAL</w:t>
            </w:r>
          </w:p>
        </w:tc>
        <w:tc>
          <w:tcPr>
            <w:tcW w:w="1200" w:type="dxa"/>
            <w:tcBorders>
              <w:top w:val="nil"/>
              <w:left w:val="single" w:sz="8" w:space="0" w:color="auto"/>
              <w:bottom w:val="nil"/>
              <w:right w:val="single" w:sz="8" w:space="0" w:color="auto"/>
            </w:tcBorders>
            <w:shd w:val="clear" w:color="auto" w:fill="auto"/>
            <w:noWrap/>
            <w:vAlign w:val="bottom"/>
          </w:tcPr>
          <w:p w:rsidR="00BB0FED" w:rsidRPr="00BB0FED" w:rsidRDefault="00BB0FED" w:rsidP="00BB0FED">
            <w:pPr>
              <w:spacing w:after="0" w:line="240" w:lineRule="auto"/>
              <w:jc w:val="right"/>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0,14%</w:t>
            </w:r>
          </w:p>
        </w:tc>
        <w:tc>
          <w:tcPr>
            <w:tcW w:w="1200" w:type="dxa"/>
            <w:tcBorders>
              <w:top w:val="nil"/>
              <w:left w:val="nil"/>
              <w:bottom w:val="nil"/>
              <w:right w:val="single" w:sz="8" w:space="0" w:color="auto"/>
            </w:tcBorders>
            <w:shd w:val="clear" w:color="auto" w:fill="auto"/>
            <w:noWrap/>
            <w:vAlign w:val="bottom"/>
          </w:tcPr>
          <w:p w:rsidR="00BB0FED" w:rsidRPr="00BB0FED" w:rsidRDefault="00BB0FED" w:rsidP="00BB0FED">
            <w:pPr>
              <w:spacing w:after="0" w:line="240" w:lineRule="auto"/>
              <w:jc w:val="right"/>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0,13%</w:t>
            </w:r>
          </w:p>
        </w:tc>
        <w:tc>
          <w:tcPr>
            <w:tcW w:w="1460" w:type="dxa"/>
            <w:tcBorders>
              <w:top w:val="nil"/>
              <w:left w:val="nil"/>
              <w:bottom w:val="nil"/>
              <w:right w:val="single" w:sz="8" w:space="0" w:color="auto"/>
            </w:tcBorders>
            <w:shd w:val="clear" w:color="auto" w:fill="auto"/>
            <w:noWrap/>
            <w:vAlign w:val="bottom"/>
          </w:tcPr>
          <w:p w:rsidR="00BB0FED" w:rsidRPr="00BB0FED" w:rsidRDefault="00BB0FED" w:rsidP="00BB0FED">
            <w:pPr>
              <w:spacing w:after="0" w:line="240" w:lineRule="auto"/>
              <w:jc w:val="right"/>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0,25%</w:t>
            </w:r>
          </w:p>
        </w:tc>
      </w:tr>
      <w:tr w:rsidR="00BB0FED" w:rsidRPr="00BB0FED">
        <w:trPr>
          <w:trHeight w:val="300"/>
          <w:jc w:val="center"/>
        </w:trPr>
        <w:tc>
          <w:tcPr>
            <w:tcW w:w="1700" w:type="dxa"/>
            <w:tcBorders>
              <w:top w:val="nil"/>
              <w:left w:val="single" w:sz="8" w:space="0" w:color="auto"/>
              <w:bottom w:val="nil"/>
              <w:right w:val="nil"/>
            </w:tcBorders>
            <w:shd w:val="clear" w:color="000000" w:fill="FAFA76"/>
            <w:vAlign w:val="bottom"/>
          </w:tcPr>
          <w:p w:rsidR="00BB0FED" w:rsidRPr="00BB0FED" w:rsidRDefault="00BB0FED" w:rsidP="00BB0FED">
            <w:pPr>
              <w:spacing w:after="0" w:line="240" w:lineRule="auto"/>
              <w:jc w:val="center"/>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SUDAMERICANO</w:t>
            </w:r>
          </w:p>
        </w:tc>
        <w:tc>
          <w:tcPr>
            <w:tcW w:w="1200" w:type="dxa"/>
            <w:tcBorders>
              <w:top w:val="nil"/>
              <w:left w:val="single" w:sz="8" w:space="0" w:color="auto"/>
              <w:bottom w:val="nil"/>
              <w:right w:val="single" w:sz="8" w:space="0" w:color="auto"/>
            </w:tcBorders>
            <w:shd w:val="clear" w:color="auto" w:fill="auto"/>
            <w:noWrap/>
            <w:vAlign w:val="bottom"/>
          </w:tcPr>
          <w:p w:rsidR="00BB0FED" w:rsidRPr="00BB0FED" w:rsidRDefault="00BB0FED" w:rsidP="00BB0FED">
            <w:pPr>
              <w:spacing w:after="0" w:line="240" w:lineRule="auto"/>
              <w:jc w:val="right"/>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0,06%</w:t>
            </w:r>
          </w:p>
        </w:tc>
        <w:tc>
          <w:tcPr>
            <w:tcW w:w="1200" w:type="dxa"/>
            <w:tcBorders>
              <w:top w:val="nil"/>
              <w:left w:val="nil"/>
              <w:bottom w:val="nil"/>
              <w:right w:val="single" w:sz="8" w:space="0" w:color="auto"/>
            </w:tcBorders>
            <w:shd w:val="clear" w:color="auto" w:fill="auto"/>
            <w:noWrap/>
            <w:vAlign w:val="bottom"/>
          </w:tcPr>
          <w:p w:rsidR="00BB0FED" w:rsidRPr="00BB0FED" w:rsidRDefault="00BB0FED" w:rsidP="00BB0FED">
            <w:pPr>
              <w:spacing w:after="0" w:line="240" w:lineRule="auto"/>
              <w:jc w:val="right"/>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0,02%</w:t>
            </w:r>
          </w:p>
        </w:tc>
        <w:tc>
          <w:tcPr>
            <w:tcW w:w="1460" w:type="dxa"/>
            <w:tcBorders>
              <w:top w:val="nil"/>
              <w:left w:val="nil"/>
              <w:bottom w:val="nil"/>
              <w:right w:val="single" w:sz="8" w:space="0" w:color="auto"/>
            </w:tcBorders>
            <w:shd w:val="clear" w:color="auto" w:fill="auto"/>
            <w:noWrap/>
            <w:vAlign w:val="bottom"/>
          </w:tcPr>
          <w:p w:rsidR="00BB0FED" w:rsidRPr="00BB0FED" w:rsidRDefault="00BB0FED" w:rsidP="00BB0FED">
            <w:pPr>
              <w:spacing w:after="0" w:line="240" w:lineRule="auto"/>
              <w:jc w:val="right"/>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0,32%</w:t>
            </w:r>
          </w:p>
        </w:tc>
      </w:tr>
      <w:tr w:rsidR="00BB0FED" w:rsidRPr="00BB0FED">
        <w:trPr>
          <w:trHeight w:val="300"/>
          <w:jc w:val="center"/>
        </w:trPr>
        <w:tc>
          <w:tcPr>
            <w:tcW w:w="1700" w:type="dxa"/>
            <w:tcBorders>
              <w:top w:val="nil"/>
              <w:left w:val="single" w:sz="8" w:space="0" w:color="auto"/>
              <w:bottom w:val="nil"/>
              <w:right w:val="nil"/>
            </w:tcBorders>
            <w:shd w:val="clear" w:color="000000" w:fill="FAFA76"/>
            <w:vAlign w:val="bottom"/>
          </w:tcPr>
          <w:p w:rsidR="00BB0FED" w:rsidRPr="00BB0FED" w:rsidRDefault="00BB0FED" w:rsidP="00BB0FED">
            <w:pPr>
              <w:spacing w:after="0" w:line="240" w:lineRule="auto"/>
              <w:jc w:val="center"/>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TERRITORIAL</w:t>
            </w:r>
          </w:p>
        </w:tc>
        <w:tc>
          <w:tcPr>
            <w:tcW w:w="1200" w:type="dxa"/>
            <w:tcBorders>
              <w:top w:val="nil"/>
              <w:left w:val="single" w:sz="8" w:space="0" w:color="auto"/>
              <w:bottom w:val="nil"/>
              <w:right w:val="single" w:sz="8" w:space="0" w:color="auto"/>
            </w:tcBorders>
            <w:shd w:val="clear" w:color="auto" w:fill="auto"/>
            <w:noWrap/>
            <w:vAlign w:val="bottom"/>
          </w:tcPr>
          <w:p w:rsidR="00BB0FED" w:rsidRPr="00BB0FED" w:rsidRDefault="00BB0FED" w:rsidP="00BB0FED">
            <w:pPr>
              <w:spacing w:after="0" w:line="240" w:lineRule="auto"/>
              <w:jc w:val="right"/>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0,55%</w:t>
            </w:r>
          </w:p>
        </w:tc>
        <w:tc>
          <w:tcPr>
            <w:tcW w:w="1200" w:type="dxa"/>
            <w:tcBorders>
              <w:top w:val="nil"/>
              <w:left w:val="nil"/>
              <w:bottom w:val="nil"/>
              <w:right w:val="single" w:sz="8" w:space="0" w:color="auto"/>
            </w:tcBorders>
            <w:shd w:val="clear" w:color="auto" w:fill="auto"/>
            <w:noWrap/>
            <w:vAlign w:val="bottom"/>
          </w:tcPr>
          <w:p w:rsidR="00BB0FED" w:rsidRPr="00BB0FED" w:rsidRDefault="00BB0FED" w:rsidP="00BB0FED">
            <w:pPr>
              <w:spacing w:after="0" w:line="240" w:lineRule="auto"/>
              <w:jc w:val="right"/>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0,57%</w:t>
            </w:r>
          </w:p>
        </w:tc>
        <w:tc>
          <w:tcPr>
            <w:tcW w:w="1460" w:type="dxa"/>
            <w:tcBorders>
              <w:top w:val="nil"/>
              <w:left w:val="nil"/>
              <w:bottom w:val="nil"/>
              <w:right w:val="single" w:sz="8" w:space="0" w:color="auto"/>
            </w:tcBorders>
            <w:shd w:val="clear" w:color="auto" w:fill="auto"/>
            <w:noWrap/>
            <w:vAlign w:val="bottom"/>
          </w:tcPr>
          <w:p w:rsidR="00BB0FED" w:rsidRPr="00BB0FED" w:rsidRDefault="00BB0FED" w:rsidP="00BB0FED">
            <w:pPr>
              <w:spacing w:after="0" w:line="240" w:lineRule="auto"/>
              <w:jc w:val="right"/>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0,43%</w:t>
            </w:r>
          </w:p>
        </w:tc>
      </w:tr>
      <w:tr w:rsidR="00BB0FED" w:rsidRPr="00BB0FED">
        <w:trPr>
          <w:trHeight w:val="315"/>
          <w:jc w:val="center"/>
        </w:trPr>
        <w:tc>
          <w:tcPr>
            <w:tcW w:w="5560" w:type="dxa"/>
            <w:gridSpan w:val="4"/>
            <w:tcBorders>
              <w:top w:val="single" w:sz="8" w:space="0" w:color="auto"/>
              <w:left w:val="single" w:sz="8" w:space="0" w:color="auto"/>
              <w:bottom w:val="single" w:sz="8" w:space="0" w:color="auto"/>
              <w:right w:val="single" w:sz="8" w:space="0" w:color="000000"/>
            </w:tcBorders>
            <w:shd w:val="clear" w:color="000000" w:fill="FFFFFF"/>
            <w:vAlign w:val="bottom"/>
          </w:tcPr>
          <w:p w:rsidR="00BB0FED" w:rsidRPr="00BB0FED" w:rsidRDefault="00BB0FED" w:rsidP="00BB0FED">
            <w:pPr>
              <w:spacing w:after="0" w:line="240" w:lineRule="auto"/>
              <w:jc w:val="center"/>
              <w:rPr>
                <w:rFonts w:ascii="Arial" w:eastAsia="Times New Roman" w:hAnsi="Arial" w:cs="Arial"/>
                <w:b/>
                <w:bCs/>
                <w:color w:val="000000"/>
                <w:sz w:val="20"/>
                <w:szCs w:val="20"/>
                <w:lang w:eastAsia="es-EC"/>
              </w:rPr>
            </w:pPr>
            <w:r w:rsidRPr="00BB0FED">
              <w:rPr>
                <w:rFonts w:ascii="Arial" w:eastAsia="Times New Roman" w:hAnsi="Arial" w:cs="Arial"/>
                <w:b/>
                <w:bCs/>
                <w:color w:val="000000"/>
                <w:sz w:val="20"/>
                <w:szCs w:val="20"/>
                <w:lang w:eastAsia="es-EC"/>
              </w:rPr>
              <w:t>BANCOS DE MICROCREDITOS</w:t>
            </w:r>
          </w:p>
        </w:tc>
      </w:tr>
      <w:tr w:rsidR="00BB0FED" w:rsidRPr="00BB0FED">
        <w:trPr>
          <w:trHeight w:val="300"/>
          <w:jc w:val="center"/>
        </w:trPr>
        <w:tc>
          <w:tcPr>
            <w:tcW w:w="1700" w:type="dxa"/>
            <w:tcBorders>
              <w:top w:val="nil"/>
              <w:left w:val="single" w:sz="8" w:space="0" w:color="auto"/>
              <w:bottom w:val="nil"/>
              <w:right w:val="nil"/>
            </w:tcBorders>
            <w:shd w:val="clear" w:color="000000" w:fill="8EED4D"/>
            <w:vAlign w:val="bottom"/>
          </w:tcPr>
          <w:p w:rsidR="00BB0FED" w:rsidRPr="00BB0FED" w:rsidRDefault="00BB0FED" w:rsidP="00BB0FED">
            <w:pPr>
              <w:spacing w:after="0" w:line="240" w:lineRule="auto"/>
              <w:jc w:val="center"/>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SOLIDARIO</w:t>
            </w:r>
          </w:p>
        </w:tc>
        <w:tc>
          <w:tcPr>
            <w:tcW w:w="1200" w:type="dxa"/>
            <w:tcBorders>
              <w:top w:val="nil"/>
              <w:left w:val="single" w:sz="8" w:space="0" w:color="auto"/>
              <w:bottom w:val="nil"/>
              <w:right w:val="single" w:sz="8" w:space="0" w:color="auto"/>
            </w:tcBorders>
            <w:shd w:val="clear" w:color="auto" w:fill="auto"/>
            <w:noWrap/>
            <w:vAlign w:val="bottom"/>
          </w:tcPr>
          <w:p w:rsidR="00BB0FED" w:rsidRPr="00BB0FED" w:rsidRDefault="00BB0FED" w:rsidP="00BB0FED">
            <w:pPr>
              <w:spacing w:after="0" w:line="240" w:lineRule="auto"/>
              <w:jc w:val="right"/>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2,38%</w:t>
            </w:r>
          </w:p>
        </w:tc>
        <w:tc>
          <w:tcPr>
            <w:tcW w:w="1200" w:type="dxa"/>
            <w:tcBorders>
              <w:top w:val="nil"/>
              <w:left w:val="nil"/>
              <w:bottom w:val="nil"/>
              <w:right w:val="single" w:sz="8" w:space="0" w:color="auto"/>
            </w:tcBorders>
            <w:shd w:val="clear" w:color="auto" w:fill="auto"/>
            <w:noWrap/>
            <w:vAlign w:val="bottom"/>
          </w:tcPr>
          <w:p w:rsidR="00BB0FED" w:rsidRPr="00BB0FED" w:rsidRDefault="00BB0FED" w:rsidP="00BB0FED">
            <w:pPr>
              <w:spacing w:after="0" w:line="240" w:lineRule="auto"/>
              <w:jc w:val="right"/>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2,36%</w:t>
            </w:r>
          </w:p>
        </w:tc>
        <w:tc>
          <w:tcPr>
            <w:tcW w:w="1460" w:type="dxa"/>
            <w:tcBorders>
              <w:top w:val="nil"/>
              <w:left w:val="nil"/>
              <w:bottom w:val="nil"/>
              <w:right w:val="single" w:sz="8" w:space="0" w:color="auto"/>
            </w:tcBorders>
            <w:shd w:val="clear" w:color="auto" w:fill="auto"/>
            <w:noWrap/>
            <w:vAlign w:val="bottom"/>
          </w:tcPr>
          <w:p w:rsidR="00BB0FED" w:rsidRPr="00BB0FED" w:rsidRDefault="00BB0FED" w:rsidP="00BB0FED">
            <w:pPr>
              <w:spacing w:after="0" w:line="240" w:lineRule="auto"/>
              <w:jc w:val="right"/>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2,59%</w:t>
            </w:r>
          </w:p>
        </w:tc>
      </w:tr>
      <w:tr w:rsidR="00BB0FED" w:rsidRPr="00BB0FED">
        <w:trPr>
          <w:trHeight w:val="300"/>
          <w:jc w:val="center"/>
        </w:trPr>
        <w:tc>
          <w:tcPr>
            <w:tcW w:w="1700" w:type="dxa"/>
            <w:tcBorders>
              <w:top w:val="nil"/>
              <w:left w:val="single" w:sz="8" w:space="0" w:color="auto"/>
              <w:bottom w:val="nil"/>
              <w:right w:val="nil"/>
            </w:tcBorders>
            <w:shd w:val="clear" w:color="000000" w:fill="FAFA76"/>
            <w:vAlign w:val="bottom"/>
          </w:tcPr>
          <w:p w:rsidR="00BB0FED" w:rsidRPr="00BB0FED" w:rsidRDefault="00BB0FED" w:rsidP="00BB0FED">
            <w:pPr>
              <w:spacing w:after="0" w:line="240" w:lineRule="auto"/>
              <w:jc w:val="center"/>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FINCA</w:t>
            </w:r>
          </w:p>
        </w:tc>
        <w:tc>
          <w:tcPr>
            <w:tcW w:w="1200" w:type="dxa"/>
            <w:tcBorders>
              <w:top w:val="nil"/>
              <w:left w:val="single" w:sz="8" w:space="0" w:color="auto"/>
              <w:bottom w:val="nil"/>
              <w:right w:val="single" w:sz="8" w:space="0" w:color="auto"/>
            </w:tcBorders>
            <w:shd w:val="clear" w:color="auto" w:fill="auto"/>
            <w:noWrap/>
            <w:vAlign w:val="bottom"/>
          </w:tcPr>
          <w:p w:rsidR="00BB0FED" w:rsidRPr="00BB0FED" w:rsidRDefault="00BB0FED" w:rsidP="00BB0FED">
            <w:pPr>
              <w:spacing w:after="0" w:line="240" w:lineRule="auto"/>
              <w:jc w:val="right"/>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0,00%</w:t>
            </w:r>
          </w:p>
        </w:tc>
        <w:tc>
          <w:tcPr>
            <w:tcW w:w="1200" w:type="dxa"/>
            <w:tcBorders>
              <w:top w:val="nil"/>
              <w:left w:val="nil"/>
              <w:bottom w:val="nil"/>
              <w:right w:val="single" w:sz="8" w:space="0" w:color="auto"/>
            </w:tcBorders>
            <w:shd w:val="clear" w:color="auto" w:fill="auto"/>
            <w:noWrap/>
            <w:vAlign w:val="bottom"/>
          </w:tcPr>
          <w:p w:rsidR="00BB0FED" w:rsidRPr="00BB0FED" w:rsidRDefault="00BB0FED" w:rsidP="00BB0FED">
            <w:pPr>
              <w:spacing w:after="0" w:line="240" w:lineRule="auto"/>
              <w:jc w:val="right"/>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0,00%</w:t>
            </w:r>
          </w:p>
        </w:tc>
        <w:tc>
          <w:tcPr>
            <w:tcW w:w="1460" w:type="dxa"/>
            <w:tcBorders>
              <w:top w:val="nil"/>
              <w:left w:val="nil"/>
              <w:bottom w:val="nil"/>
              <w:right w:val="single" w:sz="8" w:space="0" w:color="auto"/>
            </w:tcBorders>
            <w:shd w:val="clear" w:color="auto" w:fill="auto"/>
            <w:noWrap/>
            <w:vAlign w:val="bottom"/>
          </w:tcPr>
          <w:p w:rsidR="00BB0FED" w:rsidRPr="00BB0FED" w:rsidRDefault="00BB0FED" w:rsidP="00BB0FED">
            <w:pPr>
              <w:spacing w:after="0" w:line="240" w:lineRule="auto"/>
              <w:jc w:val="right"/>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0,00%</w:t>
            </w:r>
          </w:p>
        </w:tc>
      </w:tr>
      <w:tr w:rsidR="00BB0FED" w:rsidRPr="00BB0FED">
        <w:trPr>
          <w:trHeight w:val="300"/>
          <w:jc w:val="center"/>
        </w:trPr>
        <w:tc>
          <w:tcPr>
            <w:tcW w:w="1700" w:type="dxa"/>
            <w:tcBorders>
              <w:top w:val="nil"/>
              <w:left w:val="single" w:sz="8" w:space="0" w:color="auto"/>
              <w:bottom w:val="single" w:sz="8" w:space="0" w:color="auto"/>
              <w:right w:val="nil"/>
            </w:tcBorders>
            <w:shd w:val="clear" w:color="000000" w:fill="FAFA76"/>
            <w:vAlign w:val="bottom"/>
          </w:tcPr>
          <w:p w:rsidR="00BB0FED" w:rsidRPr="00BB0FED" w:rsidRDefault="00BB0FED" w:rsidP="00BB0FED">
            <w:pPr>
              <w:spacing w:after="0" w:line="240" w:lineRule="auto"/>
              <w:jc w:val="center"/>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PROCREDIT</w:t>
            </w:r>
          </w:p>
        </w:tc>
        <w:tc>
          <w:tcPr>
            <w:tcW w:w="1200" w:type="dxa"/>
            <w:tcBorders>
              <w:top w:val="nil"/>
              <w:left w:val="single" w:sz="8" w:space="0" w:color="auto"/>
              <w:bottom w:val="single" w:sz="8" w:space="0" w:color="auto"/>
              <w:right w:val="single" w:sz="8" w:space="0" w:color="auto"/>
            </w:tcBorders>
            <w:shd w:val="clear" w:color="auto" w:fill="auto"/>
            <w:noWrap/>
            <w:vAlign w:val="bottom"/>
          </w:tcPr>
          <w:p w:rsidR="00BB0FED" w:rsidRPr="00BB0FED" w:rsidRDefault="00BB0FED" w:rsidP="00BB0FED">
            <w:pPr>
              <w:spacing w:after="0" w:line="240" w:lineRule="auto"/>
              <w:jc w:val="right"/>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1,59%</w:t>
            </w:r>
          </w:p>
        </w:tc>
        <w:tc>
          <w:tcPr>
            <w:tcW w:w="1200" w:type="dxa"/>
            <w:tcBorders>
              <w:top w:val="nil"/>
              <w:left w:val="nil"/>
              <w:bottom w:val="single" w:sz="8" w:space="0" w:color="auto"/>
              <w:right w:val="single" w:sz="8" w:space="0" w:color="auto"/>
            </w:tcBorders>
            <w:shd w:val="clear" w:color="auto" w:fill="auto"/>
            <w:noWrap/>
            <w:vAlign w:val="bottom"/>
          </w:tcPr>
          <w:p w:rsidR="00BB0FED" w:rsidRPr="00BB0FED" w:rsidRDefault="00BB0FED" w:rsidP="00BB0FED">
            <w:pPr>
              <w:spacing w:after="0" w:line="240" w:lineRule="auto"/>
              <w:jc w:val="right"/>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1,61%</w:t>
            </w:r>
          </w:p>
        </w:tc>
        <w:tc>
          <w:tcPr>
            <w:tcW w:w="1460" w:type="dxa"/>
            <w:tcBorders>
              <w:top w:val="nil"/>
              <w:left w:val="nil"/>
              <w:bottom w:val="single" w:sz="8" w:space="0" w:color="auto"/>
              <w:right w:val="single" w:sz="8" w:space="0" w:color="auto"/>
            </w:tcBorders>
            <w:shd w:val="clear" w:color="auto" w:fill="auto"/>
            <w:noWrap/>
            <w:vAlign w:val="bottom"/>
          </w:tcPr>
          <w:p w:rsidR="00BB0FED" w:rsidRPr="00BB0FED" w:rsidRDefault="00BB0FED" w:rsidP="00BB0FED">
            <w:pPr>
              <w:spacing w:after="0" w:line="240" w:lineRule="auto"/>
              <w:jc w:val="right"/>
              <w:rPr>
                <w:rFonts w:ascii="Arial" w:eastAsia="Times New Roman" w:hAnsi="Arial" w:cs="Arial"/>
                <w:color w:val="000000"/>
                <w:sz w:val="20"/>
                <w:szCs w:val="20"/>
                <w:lang w:eastAsia="es-EC"/>
              </w:rPr>
            </w:pPr>
            <w:r w:rsidRPr="00BB0FED">
              <w:rPr>
                <w:rFonts w:ascii="Arial" w:eastAsia="Times New Roman" w:hAnsi="Arial" w:cs="Arial"/>
                <w:color w:val="000000"/>
                <w:sz w:val="20"/>
                <w:szCs w:val="20"/>
                <w:lang w:eastAsia="es-EC"/>
              </w:rPr>
              <w:t>1,35%</w:t>
            </w:r>
          </w:p>
        </w:tc>
      </w:tr>
    </w:tbl>
    <w:p w:rsidR="00BB0FED" w:rsidRPr="0035338C" w:rsidRDefault="00BB0FED" w:rsidP="003E5D3C">
      <w:pPr>
        <w:pStyle w:val="Prrafodelista1"/>
        <w:spacing w:after="0" w:line="360" w:lineRule="auto"/>
        <w:ind w:left="0"/>
        <w:rPr>
          <w:rFonts w:ascii="Arial" w:eastAsia="Times New Roman" w:hAnsi="Arial" w:cs="Arial"/>
          <w:sz w:val="20"/>
          <w:szCs w:val="20"/>
          <w:lang w:eastAsia="es-EC"/>
        </w:rPr>
      </w:pPr>
    </w:p>
    <w:tbl>
      <w:tblPr>
        <w:tblW w:w="8095" w:type="dxa"/>
        <w:tblInd w:w="55" w:type="dxa"/>
        <w:tblCellMar>
          <w:left w:w="70" w:type="dxa"/>
          <w:right w:w="70" w:type="dxa"/>
        </w:tblCellMar>
        <w:tblLook w:val="04A0"/>
      </w:tblPr>
      <w:tblGrid>
        <w:gridCol w:w="3600"/>
        <w:gridCol w:w="1600"/>
        <w:gridCol w:w="700"/>
        <w:gridCol w:w="2195"/>
      </w:tblGrid>
      <w:tr w:rsidR="003E5D3C" w:rsidRPr="003E5D3C">
        <w:trPr>
          <w:trHeight w:val="285"/>
        </w:trPr>
        <w:tc>
          <w:tcPr>
            <w:tcW w:w="3600" w:type="dxa"/>
            <w:tcBorders>
              <w:top w:val="nil"/>
              <w:left w:val="nil"/>
              <w:bottom w:val="nil"/>
              <w:right w:val="nil"/>
            </w:tcBorders>
            <w:shd w:val="clear" w:color="auto" w:fill="auto"/>
            <w:noWrap/>
            <w:vAlign w:val="bottom"/>
          </w:tcPr>
          <w:p w:rsidR="003E5D3C" w:rsidRPr="003E5D3C" w:rsidRDefault="003E5D3C" w:rsidP="003E5D3C">
            <w:pPr>
              <w:spacing w:after="0" w:line="240" w:lineRule="auto"/>
              <w:rPr>
                <w:rFonts w:ascii="Arial" w:eastAsia="Times New Roman" w:hAnsi="Arial" w:cs="Arial"/>
                <w:color w:val="000000"/>
                <w:sz w:val="16"/>
                <w:szCs w:val="16"/>
                <w:lang w:eastAsia="es-EC"/>
              </w:rPr>
            </w:pPr>
            <w:r w:rsidRPr="003E5D3C">
              <w:rPr>
                <w:rFonts w:ascii="Arial" w:eastAsia="Times New Roman" w:hAnsi="Arial" w:cs="Arial"/>
                <w:color w:val="000000"/>
                <w:sz w:val="16"/>
                <w:szCs w:val="16"/>
                <w:lang w:eastAsia="es-EC"/>
              </w:rPr>
              <w:t>Fuente. Superintendencias de Bancos</w:t>
            </w:r>
          </w:p>
        </w:tc>
        <w:tc>
          <w:tcPr>
            <w:tcW w:w="1600" w:type="dxa"/>
            <w:tcBorders>
              <w:top w:val="nil"/>
              <w:left w:val="nil"/>
              <w:bottom w:val="nil"/>
              <w:right w:val="nil"/>
            </w:tcBorders>
            <w:shd w:val="clear" w:color="auto" w:fill="auto"/>
            <w:noWrap/>
            <w:vAlign w:val="bottom"/>
          </w:tcPr>
          <w:p w:rsidR="003E5D3C" w:rsidRPr="003E5D3C" w:rsidRDefault="003E5D3C" w:rsidP="003E5D3C">
            <w:pPr>
              <w:spacing w:after="0" w:line="240" w:lineRule="auto"/>
              <w:ind w:firstLineChars="500" w:firstLine="800"/>
              <w:rPr>
                <w:rFonts w:ascii="Arial" w:eastAsia="Times New Roman" w:hAnsi="Arial" w:cs="Arial"/>
                <w:color w:val="000000"/>
                <w:sz w:val="16"/>
                <w:szCs w:val="16"/>
                <w:lang w:eastAsia="es-EC"/>
              </w:rPr>
            </w:pPr>
          </w:p>
        </w:tc>
        <w:tc>
          <w:tcPr>
            <w:tcW w:w="700" w:type="dxa"/>
            <w:tcBorders>
              <w:top w:val="nil"/>
              <w:left w:val="nil"/>
              <w:bottom w:val="nil"/>
              <w:right w:val="nil"/>
            </w:tcBorders>
            <w:shd w:val="clear" w:color="000000" w:fill="93CDDD"/>
            <w:noWrap/>
            <w:vAlign w:val="bottom"/>
          </w:tcPr>
          <w:p w:rsidR="003E5D3C" w:rsidRPr="003E5D3C" w:rsidRDefault="003E5D3C" w:rsidP="003E5D3C">
            <w:pPr>
              <w:spacing w:after="0" w:line="240" w:lineRule="auto"/>
              <w:jc w:val="center"/>
              <w:rPr>
                <w:rFonts w:ascii="Arial" w:eastAsia="Times New Roman" w:hAnsi="Arial" w:cs="Arial"/>
                <w:color w:val="000000"/>
                <w:sz w:val="20"/>
                <w:szCs w:val="20"/>
                <w:lang w:eastAsia="es-EC"/>
              </w:rPr>
            </w:pPr>
            <w:r w:rsidRPr="003E5D3C">
              <w:rPr>
                <w:rFonts w:ascii="Arial" w:eastAsia="Times New Roman" w:hAnsi="Arial" w:cs="Arial"/>
                <w:color w:val="000000"/>
                <w:sz w:val="20"/>
                <w:szCs w:val="20"/>
                <w:lang w:eastAsia="es-EC"/>
              </w:rPr>
              <w:t> </w:t>
            </w:r>
          </w:p>
        </w:tc>
        <w:tc>
          <w:tcPr>
            <w:tcW w:w="2195" w:type="dxa"/>
            <w:tcBorders>
              <w:top w:val="nil"/>
              <w:left w:val="nil"/>
              <w:bottom w:val="nil"/>
              <w:right w:val="nil"/>
            </w:tcBorders>
            <w:shd w:val="clear" w:color="auto" w:fill="auto"/>
            <w:noWrap/>
            <w:vAlign w:val="bottom"/>
          </w:tcPr>
          <w:p w:rsidR="003E5D3C" w:rsidRPr="003E5D3C" w:rsidRDefault="003E5D3C" w:rsidP="003E5D3C">
            <w:pPr>
              <w:spacing w:after="0" w:line="240" w:lineRule="auto"/>
              <w:rPr>
                <w:rFonts w:ascii="Arial" w:eastAsia="Times New Roman" w:hAnsi="Arial" w:cs="Arial"/>
                <w:color w:val="000000"/>
                <w:sz w:val="20"/>
                <w:szCs w:val="20"/>
                <w:lang w:eastAsia="es-EC"/>
              </w:rPr>
            </w:pPr>
            <w:r w:rsidRPr="003E5D3C">
              <w:rPr>
                <w:rFonts w:ascii="Arial" w:eastAsia="Times New Roman" w:hAnsi="Arial" w:cs="Arial"/>
                <w:color w:val="000000"/>
                <w:sz w:val="20"/>
                <w:szCs w:val="20"/>
                <w:lang w:eastAsia="es-EC"/>
              </w:rPr>
              <w:t>Bancos Grandes</w:t>
            </w:r>
          </w:p>
        </w:tc>
      </w:tr>
      <w:tr w:rsidR="003E5D3C" w:rsidRPr="003E5D3C">
        <w:trPr>
          <w:trHeight w:val="285"/>
        </w:trPr>
        <w:tc>
          <w:tcPr>
            <w:tcW w:w="3600" w:type="dxa"/>
            <w:tcBorders>
              <w:top w:val="nil"/>
              <w:left w:val="nil"/>
              <w:bottom w:val="nil"/>
              <w:right w:val="nil"/>
            </w:tcBorders>
            <w:shd w:val="clear" w:color="auto" w:fill="auto"/>
            <w:noWrap/>
            <w:vAlign w:val="bottom"/>
          </w:tcPr>
          <w:p w:rsidR="003E5D3C" w:rsidRPr="003E5D3C" w:rsidRDefault="003E5D3C" w:rsidP="003E5D3C">
            <w:pPr>
              <w:spacing w:after="0" w:line="240" w:lineRule="auto"/>
              <w:rPr>
                <w:rFonts w:ascii="Arial" w:eastAsia="Times New Roman" w:hAnsi="Arial" w:cs="Arial"/>
                <w:color w:val="000000"/>
                <w:sz w:val="16"/>
                <w:szCs w:val="16"/>
                <w:lang w:eastAsia="es-EC"/>
              </w:rPr>
            </w:pPr>
            <w:r w:rsidRPr="003E5D3C">
              <w:rPr>
                <w:rFonts w:ascii="Arial" w:eastAsia="Times New Roman" w:hAnsi="Arial" w:cs="Arial"/>
                <w:color w:val="000000"/>
                <w:sz w:val="16"/>
                <w:szCs w:val="16"/>
                <w:lang w:eastAsia="es-EC"/>
              </w:rPr>
              <w:t>Elaboración: Autores</w:t>
            </w:r>
          </w:p>
        </w:tc>
        <w:tc>
          <w:tcPr>
            <w:tcW w:w="1600" w:type="dxa"/>
            <w:tcBorders>
              <w:top w:val="nil"/>
              <w:left w:val="nil"/>
              <w:bottom w:val="nil"/>
              <w:right w:val="nil"/>
            </w:tcBorders>
            <w:shd w:val="clear" w:color="auto" w:fill="auto"/>
            <w:noWrap/>
            <w:vAlign w:val="bottom"/>
          </w:tcPr>
          <w:p w:rsidR="003E5D3C" w:rsidRPr="003E5D3C" w:rsidRDefault="003E5D3C" w:rsidP="003E5D3C">
            <w:pPr>
              <w:spacing w:after="0" w:line="240" w:lineRule="auto"/>
              <w:rPr>
                <w:rFonts w:ascii="Arial" w:eastAsia="Times New Roman" w:hAnsi="Arial" w:cs="Arial"/>
                <w:color w:val="000000"/>
                <w:sz w:val="16"/>
                <w:szCs w:val="16"/>
                <w:lang w:eastAsia="es-EC"/>
              </w:rPr>
            </w:pPr>
          </w:p>
        </w:tc>
        <w:tc>
          <w:tcPr>
            <w:tcW w:w="700" w:type="dxa"/>
            <w:tcBorders>
              <w:top w:val="nil"/>
              <w:left w:val="nil"/>
              <w:bottom w:val="nil"/>
              <w:right w:val="nil"/>
            </w:tcBorders>
            <w:shd w:val="clear" w:color="000000" w:fill="8EED4D"/>
            <w:noWrap/>
            <w:vAlign w:val="bottom"/>
          </w:tcPr>
          <w:p w:rsidR="003E5D3C" w:rsidRPr="003E5D3C" w:rsidRDefault="003E5D3C" w:rsidP="003E5D3C">
            <w:pPr>
              <w:spacing w:after="0" w:line="240" w:lineRule="auto"/>
              <w:jc w:val="center"/>
              <w:rPr>
                <w:rFonts w:ascii="Arial" w:eastAsia="Times New Roman" w:hAnsi="Arial" w:cs="Arial"/>
                <w:color w:val="000000"/>
                <w:sz w:val="20"/>
                <w:szCs w:val="20"/>
                <w:lang w:eastAsia="es-EC"/>
              </w:rPr>
            </w:pPr>
            <w:r w:rsidRPr="003E5D3C">
              <w:rPr>
                <w:rFonts w:ascii="Arial" w:eastAsia="Times New Roman" w:hAnsi="Arial" w:cs="Arial"/>
                <w:color w:val="000000"/>
                <w:sz w:val="20"/>
                <w:szCs w:val="20"/>
                <w:lang w:eastAsia="es-EC"/>
              </w:rPr>
              <w:t> </w:t>
            </w:r>
          </w:p>
        </w:tc>
        <w:tc>
          <w:tcPr>
            <w:tcW w:w="2195" w:type="dxa"/>
            <w:tcBorders>
              <w:top w:val="nil"/>
              <w:left w:val="nil"/>
              <w:bottom w:val="nil"/>
              <w:right w:val="nil"/>
            </w:tcBorders>
            <w:shd w:val="clear" w:color="auto" w:fill="auto"/>
            <w:noWrap/>
            <w:vAlign w:val="bottom"/>
          </w:tcPr>
          <w:p w:rsidR="003E5D3C" w:rsidRPr="003E5D3C" w:rsidRDefault="003E5D3C" w:rsidP="003E5D3C">
            <w:pPr>
              <w:spacing w:after="0" w:line="240" w:lineRule="auto"/>
              <w:rPr>
                <w:rFonts w:ascii="Arial" w:eastAsia="Times New Roman" w:hAnsi="Arial" w:cs="Arial"/>
                <w:color w:val="000000"/>
                <w:sz w:val="20"/>
                <w:szCs w:val="20"/>
                <w:lang w:eastAsia="es-EC"/>
              </w:rPr>
            </w:pPr>
            <w:r w:rsidRPr="003E5D3C">
              <w:rPr>
                <w:rFonts w:ascii="Arial" w:eastAsia="Times New Roman" w:hAnsi="Arial" w:cs="Arial"/>
                <w:color w:val="000000"/>
                <w:sz w:val="20"/>
                <w:szCs w:val="20"/>
                <w:lang w:eastAsia="es-EC"/>
              </w:rPr>
              <w:t>Bancos Medianos</w:t>
            </w:r>
          </w:p>
        </w:tc>
      </w:tr>
      <w:tr w:rsidR="003E5D3C" w:rsidRPr="003E5D3C">
        <w:trPr>
          <w:trHeight w:val="255"/>
        </w:trPr>
        <w:tc>
          <w:tcPr>
            <w:tcW w:w="3600" w:type="dxa"/>
            <w:tcBorders>
              <w:top w:val="nil"/>
              <w:left w:val="nil"/>
              <w:bottom w:val="nil"/>
              <w:right w:val="nil"/>
            </w:tcBorders>
            <w:shd w:val="clear" w:color="auto" w:fill="auto"/>
            <w:noWrap/>
            <w:vAlign w:val="bottom"/>
          </w:tcPr>
          <w:p w:rsidR="003E5D3C" w:rsidRPr="003E5D3C" w:rsidRDefault="003E5D3C" w:rsidP="003E5D3C">
            <w:pPr>
              <w:spacing w:after="0" w:line="240" w:lineRule="auto"/>
              <w:rPr>
                <w:rFonts w:eastAsia="Times New Roman"/>
                <w:color w:val="000000"/>
                <w:lang w:eastAsia="es-EC"/>
              </w:rPr>
            </w:pPr>
          </w:p>
        </w:tc>
        <w:tc>
          <w:tcPr>
            <w:tcW w:w="1600" w:type="dxa"/>
            <w:tcBorders>
              <w:top w:val="nil"/>
              <w:left w:val="nil"/>
              <w:bottom w:val="nil"/>
              <w:right w:val="nil"/>
            </w:tcBorders>
            <w:shd w:val="clear" w:color="auto" w:fill="auto"/>
            <w:noWrap/>
            <w:vAlign w:val="bottom"/>
          </w:tcPr>
          <w:p w:rsidR="003E5D3C" w:rsidRPr="003E5D3C" w:rsidRDefault="003E5D3C" w:rsidP="003E5D3C">
            <w:pPr>
              <w:spacing w:after="0" w:line="240" w:lineRule="auto"/>
              <w:rPr>
                <w:rFonts w:eastAsia="Times New Roman"/>
                <w:color w:val="000000"/>
                <w:lang w:eastAsia="es-EC"/>
              </w:rPr>
            </w:pPr>
          </w:p>
        </w:tc>
        <w:tc>
          <w:tcPr>
            <w:tcW w:w="700" w:type="dxa"/>
            <w:tcBorders>
              <w:top w:val="nil"/>
              <w:left w:val="nil"/>
              <w:bottom w:val="nil"/>
              <w:right w:val="nil"/>
            </w:tcBorders>
            <w:shd w:val="clear" w:color="000000" w:fill="FAFA76"/>
            <w:noWrap/>
            <w:vAlign w:val="bottom"/>
          </w:tcPr>
          <w:p w:rsidR="003E5D3C" w:rsidRPr="003E5D3C" w:rsidRDefault="003E5D3C" w:rsidP="003E5D3C">
            <w:pPr>
              <w:spacing w:after="0" w:line="240" w:lineRule="auto"/>
              <w:jc w:val="center"/>
              <w:rPr>
                <w:rFonts w:ascii="Arial" w:eastAsia="Times New Roman" w:hAnsi="Arial" w:cs="Arial"/>
                <w:color w:val="000000"/>
                <w:sz w:val="20"/>
                <w:szCs w:val="20"/>
                <w:lang w:eastAsia="es-EC"/>
              </w:rPr>
            </w:pPr>
            <w:r w:rsidRPr="003E5D3C">
              <w:rPr>
                <w:rFonts w:ascii="Arial" w:eastAsia="Times New Roman" w:hAnsi="Arial" w:cs="Arial"/>
                <w:color w:val="000000"/>
                <w:sz w:val="20"/>
                <w:szCs w:val="20"/>
                <w:lang w:eastAsia="es-EC"/>
              </w:rPr>
              <w:t> </w:t>
            </w:r>
          </w:p>
        </w:tc>
        <w:tc>
          <w:tcPr>
            <w:tcW w:w="2195" w:type="dxa"/>
            <w:tcBorders>
              <w:top w:val="nil"/>
              <w:left w:val="nil"/>
              <w:bottom w:val="nil"/>
              <w:right w:val="nil"/>
            </w:tcBorders>
            <w:shd w:val="clear" w:color="auto" w:fill="auto"/>
            <w:noWrap/>
            <w:vAlign w:val="bottom"/>
          </w:tcPr>
          <w:p w:rsidR="003E5D3C" w:rsidRPr="003E5D3C" w:rsidRDefault="003E5D3C" w:rsidP="003E5D3C">
            <w:pPr>
              <w:spacing w:after="0" w:line="240" w:lineRule="auto"/>
              <w:rPr>
                <w:rFonts w:ascii="Arial" w:eastAsia="Times New Roman" w:hAnsi="Arial" w:cs="Arial"/>
                <w:color w:val="000000"/>
                <w:sz w:val="20"/>
                <w:szCs w:val="20"/>
                <w:lang w:eastAsia="es-EC"/>
              </w:rPr>
            </w:pPr>
            <w:r w:rsidRPr="003E5D3C">
              <w:rPr>
                <w:rFonts w:ascii="Arial" w:eastAsia="Times New Roman" w:hAnsi="Arial" w:cs="Arial"/>
                <w:color w:val="000000"/>
                <w:sz w:val="20"/>
                <w:szCs w:val="20"/>
                <w:lang w:eastAsia="es-EC"/>
              </w:rPr>
              <w:t>Bancos Pequeños</w:t>
            </w:r>
          </w:p>
        </w:tc>
      </w:tr>
    </w:tbl>
    <w:p w:rsidR="00A3014D" w:rsidRPr="00D40475" w:rsidRDefault="00A3014D" w:rsidP="003231C2">
      <w:pPr>
        <w:pStyle w:val="Prrafodelista1"/>
        <w:spacing w:line="360" w:lineRule="auto"/>
        <w:ind w:left="0"/>
        <w:rPr>
          <w:rFonts w:ascii="Arial" w:hAnsi="Arial" w:cs="Arial"/>
        </w:rPr>
      </w:pPr>
    </w:p>
    <w:p w:rsidR="00A3014D" w:rsidRPr="00C75919" w:rsidRDefault="00A3014D" w:rsidP="00C75919">
      <w:pPr>
        <w:pStyle w:val="Prrafodelista1"/>
        <w:numPr>
          <w:ilvl w:val="2"/>
          <w:numId w:val="3"/>
        </w:numPr>
        <w:spacing w:line="360" w:lineRule="auto"/>
        <w:ind w:hanging="1026"/>
        <w:jc w:val="both"/>
        <w:rPr>
          <w:rFonts w:ascii="Arial" w:eastAsia="Times New Roman" w:hAnsi="Arial" w:cs="Arial"/>
          <w:b/>
          <w:sz w:val="28"/>
          <w:szCs w:val="28"/>
          <w:lang w:eastAsia="es-EC"/>
        </w:rPr>
      </w:pPr>
      <w:r w:rsidRPr="00C75919">
        <w:rPr>
          <w:rFonts w:ascii="Arial" w:hAnsi="Arial" w:cs="Arial"/>
          <w:b/>
          <w:sz w:val="28"/>
          <w:szCs w:val="28"/>
          <w:lang w:eastAsia="es-EC"/>
        </w:rPr>
        <w:t>DESCRIPCIÓN Y ESTRUCTURA DE LOS ESTADOS FINANCIEROS  DE UN BANCO</w:t>
      </w:r>
    </w:p>
    <w:p w:rsidR="00A3014D" w:rsidRPr="00C75919" w:rsidRDefault="00A3014D" w:rsidP="00C75919">
      <w:pPr>
        <w:spacing w:line="360" w:lineRule="auto"/>
        <w:ind w:firstLine="454"/>
        <w:jc w:val="both"/>
        <w:rPr>
          <w:rFonts w:ascii="Arial" w:eastAsia="Times New Roman" w:hAnsi="Arial" w:cs="Arial"/>
          <w:sz w:val="24"/>
          <w:szCs w:val="24"/>
          <w:lang w:eastAsia="es-EC"/>
        </w:rPr>
      </w:pPr>
      <w:r w:rsidRPr="00C75919">
        <w:rPr>
          <w:rFonts w:ascii="Arial" w:eastAsia="Times New Roman" w:hAnsi="Arial" w:cs="Arial"/>
          <w:sz w:val="24"/>
          <w:szCs w:val="24"/>
          <w:lang w:eastAsia="es-EC"/>
        </w:rPr>
        <w:t xml:space="preserve">Todo banco debe presentar un balance que agrupe los activos y los pasivos según su naturaleza, debiendo ordenar estos elementos de manera que se refleje su liquidez relativa. </w:t>
      </w:r>
    </w:p>
    <w:p w:rsidR="00A3014D" w:rsidRPr="00C75919" w:rsidRDefault="00A3014D" w:rsidP="00C75919">
      <w:pPr>
        <w:pStyle w:val="Prrafodelista1"/>
        <w:spacing w:after="0" w:line="360" w:lineRule="auto"/>
        <w:ind w:left="0" w:firstLine="454"/>
        <w:jc w:val="both"/>
        <w:rPr>
          <w:rFonts w:ascii="Arial" w:eastAsia="Times New Roman" w:hAnsi="Arial" w:cs="Arial"/>
          <w:sz w:val="24"/>
          <w:szCs w:val="24"/>
          <w:lang w:eastAsia="es-EC"/>
        </w:rPr>
      </w:pPr>
      <w:r w:rsidRPr="00C75919">
        <w:rPr>
          <w:rFonts w:ascii="Arial" w:eastAsia="Times New Roman" w:hAnsi="Arial" w:cs="Arial"/>
          <w:sz w:val="24"/>
          <w:szCs w:val="24"/>
          <w:lang w:eastAsia="es-EC"/>
        </w:rPr>
        <w:t xml:space="preserve">Además de lo exigido por otras Normas Internacionales de Contabilidad, las informaciones a revelar en el balance o en notas a los estados financieros deben incluir, sin que la lista tenga carácter limitativo, las siguientes partidas de activo y pasivo: </w:t>
      </w:r>
    </w:p>
    <w:p w:rsidR="00A3014D" w:rsidRPr="00C75919" w:rsidRDefault="00A3014D" w:rsidP="00C75919">
      <w:pPr>
        <w:pStyle w:val="Prrafodelista1"/>
        <w:spacing w:after="0" w:line="360" w:lineRule="auto"/>
        <w:ind w:left="567" w:firstLine="454"/>
        <w:jc w:val="both"/>
        <w:rPr>
          <w:rFonts w:ascii="Arial" w:eastAsia="Times New Roman" w:hAnsi="Arial" w:cs="Arial"/>
          <w:sz w:val="24"/>
          <w:szCs w:val="24"/>
          <w:lang w:eastAsia="es-EC"/>
        </w:rPr>
      </w:pPr>
    </w:p>
    <w:p w:rsidR="00A3014D" w:rsidRPr="00C75919" w:rsidRDefault="00A3014D" w:rsidP="00C75919">
      <w:pPr>
        <w:pStyle w:val="Prrafodelista1"/>
        <w:numPr>
          <w:ilvl w:val="0"/>
          <w:numId w:val="5"/>
        </w:numPr>
        <w:spacing w:after="0" w:line="360" w:lineRule="auto"/>
        <w:ind w:left="567" w:firstLine="454"/>
        <w:jc w:val="both"/>
        <w:rPr>
          <w:rFonts w:ascii="Arial" w:eastAsia="Times New Roman" w:hAnsi="Arial" w:cs="Arial"/>
          <w:sz w:val="24"/>
          <w:szCs w:val="24"/>
          <w:lang w:eastAsia="es-EC"/>
        </w:rPr>
      </w:pPr>
      <w:r w:rsidRPr="00C75919">
        <w:rPr>
          <w:rFonts w:ascii="Arial" w:eastAsia="Times New Roman" w:hAnsi="Arial" w:cs="Arial"/>
          <w:sz w:val="24"/>
          <w:szCs w:val="24"/>
          <w:lang w:eastAsia="es-EC"/>
        </w:rPr>
        <w:t xml:space="preserve">Activos </w:t>
      </w:r>
    </w:p>
    <w:p w:rsidR="00A3014D" w:rsidRPr="00C75919" w:rsidRDefault="00A3014D" w:rsidP="00C75919">
      <w:pPr>
        <w:pStyle w:val="Prrafodelista1"/>
        <w:numPr>
          <w:ilvl w:val="0"/>
          <w:numId w:val="5"/>
        </w:numPr>
        <w:spacing w:after="0" w:line="360" w:lineRule="auto"/>
        <w:ind w:left="567" w:firstLine="454"/>
        <w:jc w:val="both"/>
        <w:rPr>
          <w:rFonts w:ascii="Arial" w:eastAsia="Times New Roman" w:hAnsi="Arial" w:cs="Arial"/>
          <w:sz w:val="24"/>
          <w:szCs w:val="24"/>
          <w:lang w:eastAsia="es-EC"/>
        </w:rPr>
      </w:pPr>
      <w:r w:rsidRPr="00C75919">
        <w:rPr>
          <w:rFonts w:ascii="Arial" w:eastAsia="Times New Roman" w:hAnsi="Arial" w:cs="Arial"/>
          <w:sz w:val="24"/>
          <w:szCs w:val="24"/>
          <w:lang w:eastAsia="es-EC"/>
        </w:rPr>
        <w:t>Efectivo y saldos mantenidos con el banco central;</w:t>
      </w:r>
    </w:p>
    <w:p w:rsidR="00A3014D" w:rsidRPr="00C75919" w:rsidRDefault="00A3014D" w:rsidP="00C75919">
      <w:pPr>
        <w:pStyle w:val="Prrafodelista1"/>
        <w:numPr>
          <w:ilvl w:val="0"/>
          <w:numId w:val="5"/>
        </w:numPr>
        <w:spacing w:after="0" w:line="360" w:lineRule="auto"/>
        <w:ind w:left="567" w:firstLine="454"/>
        <w:jc w:val="both"/>
        <w:rPr>
          <w:rFonts w:ascii="Arial" w:eastAsia="Times New Roman" w:hAnsi="Arial" w:cs="Arial"/>
          <w:sz w:val="24"/>
          <w:szCs w:val="24"/>
          <w:lang w:eastAsia="es-EC"/>
        </w:rPr>
      </w:pPr>
      <w:r w:rsidRPr="00C75919">
        <w:rPr>
          <w:rFonts w:ascii="Arial" w:eastAsia="Times New Roman" w:hAnsi="Arial" w:cs="Arial"/>
          <w:sz w:val="24"/>
          <w:szCs w:val="24"/>
          <w:lang w:eastAsia="es-EC"/>
        </w:rPr>
        <w:t>Pagarés emitidos por la tesorería del gobierno y otros efectos susceptibles de ser redescontados en el banco central;</w:t>
      </w:r>
    </w:p>
    <w:p w:rsidR="00A3014D" w:rsidRPr="00C75919" w:rsidRDefault="00A3014D" w:rsidP="00C75919">
      <w:pPr>
        <w:pStyle w:val="Prrafodelista1"/>
        <w:numPr>
          <w:ilvl w:val="0"/>
          <w:numId w:val="5"/>
        </w:numPr>
        <w:spacing w:after="0" w:line="360" w:lineRule="auto"/>
        <w:ind w:left="567" w:firstLine="454"/>
        <w:jc w:val="both"/>
        <w:rPr>
          <w:rFonts w:ascii="Arial" w:eastAsia="Times New Roman" w:hAnsi="Arial" w:cs="Arial"/>
          <w:sz w:val="24"/>
          <w:szCs w:val="24"/>
          <w:lang w:eastAsia="es-EC"/>
        </w:rPr>
      </w:pPr>
      <w:r w:rsidRPr="00C75919">
        <w:rPr>
          <w:rFonts w:ascii="Arial" w:eastAsia="Times New Roman" w:hAnsi="Arial" w:cs="Arial"/>
          <w:sz w:val="24"/>
          <w:szCs w:val="24"/>
          <w:lang w:eastAsia="es-EC"/>
        </w:rPr>
        <w:t xml:space="preserve">Títulos de la deuda pública y otros valores que se tengan para ser vendidos; </w:t>
      </w:r>
    </w:p>
    <w:p w:rsidR="00A3014D" w:rsidRPr="00C75919" w:rsidRDefault="00A3014D" w:rsidP="00C75919">
      <w:pPr>
        <w:pStyle w:val="Prrafodelista1"/>
        <w:numPr>
          <w:ilvl w:val="0"/>
          <w:numId w:val="5"/>
        </w:numPr>
        <w:spacing w:after="0" w:line="360" w:lineRule="auto"/>
        <w:ind w:left="567" w:firstLine="454"/>
        <w:jc w:val="both"/>
        <w:rPr>
          <w:rFonts w:ascii="Arial" w:eastAsia="Times New Roman" w:hAnsi="Arial" w:cs="Arial"/>
          <w:sz w:val="24"/>
          <w:szCs w:val="24"/>
          <w:lang w:eastAsia="es-EC"/>
        </w:rPr>
      </w:pPr>
      <w:r w:rsidRPr="00C75919">
        <w:rPr>
          <w:rFonts w:ascii="Arial" w:eastAsia="Times New Roman" w:hAnsi="Arial" w:cs="Arial"/>
          <w:sz w:val="24"/>
          <w:szCs w:val="24"/>
          <w:lang w:eastAsia="es-EC"/>
        </w:rPr>
        <w:t xml:space="preserve">Inversiones, préstamos y anticipos de préstamos con otros bancos; </w:t>
      </w:r>
    </w:p>
    <w:p w:rsidR="00A3014D" w:rsidRPr="00C75919" w:rsidRDefault="00A3014D" w:rsidP="00C75919">
      <w:pPr>
        <w:pStyle w:val="Prrafodelista1"/>
        <w:numPr>
          <w:ilvl w:val="0"/>
          <w:numId w:val="5"/>
        </w:numPr>
        <w:spacing w:after="0" w:line="360" w:lineRule="auto"/>
        <w:ind w:left="567" w:firstLine="454"/>
        <w:jc w:val="both"/>
        <w:rPr>
          <w:rFonts w:ascii="Arial" w:eastAsia="Times New Roman" w:hAnsi="Arial" w:cs="Arial"/>
          <w:sz w:val="24"/>
          <w:szCs w:val="24"/>
          <w:lang w:eastAsia="es-EC"/>
        </w:rPr>
      </w:pPr>
      <w:r w:rsidRPr="00C75919">
        <w:rPr>
          <w:rFonts w:ascii="Arial" w:eastAsia="Times New Roman" w:hAnsi="Arial" w:cs="Arial"/>
          <w:sz w:val="24"/>
          <w:szCs w:val="24"/>
          <w:lang w:eastAsia="es-EC"/>
        </w:rPr>
        <w:t>Otras inversiones en el mercado monetario;</w:t>
      </w:r>
    </w:p>
    <w:p w:rsidR="00A3014D" w:rsidRPr="00C75919" w:rsidRDefault="00A3014D" w:rsidP="00C75919">
      <w:pPr>
        <w:pStyle w:val="Prrafodelista1"/>
        <w:numPr>
          <w:ilvl w:val="0"/>
          <w:numId w:val="5"/>
        </w:numPr>
        <w:spacing w:after="0" w:line="360" w:lineRule="auto"/>
        <w:ind w:left="567" w:firstLine="454"/>
        <w:jc w:val="both"/>
        <w:rPr>
          <w:rFonts w:ascii="Arial" w:eastAsia="Times New Roman" w:hAnsi="Arial" w:cs="Arial"/>
          <w:sz w:val="24"/>
          <w:szCs w:val="24"/>
          <w:lang w:eastAsia="es-EC"/>
        </w:rPr>
      </w:pPr>
      <w:r w:rsidRPr="00C75919">
        <w:rPr>
          <w:rFonts w:ascii="Arial" w:eastAsia="Times New Roman" w:hAnsi="Arial" w:cs="Arial"/>
          <w:sz w:val="24"/>
          <w:szCs w:val="24"/>
          <w:lang w:eastAsia="es-EC"/>
        </w:rPr>
        <w:t>Préstamos y anticipos de préstamos concedidos a clientes; y</w:t>
      </w:r>
    </w:p>
    <w:p w:rsidR="00A3014D" w:rsidRPr="00C75919" w:rsidRDefault="00A3014D" w:rsidP="00C75919">
      <w:pPr>
        <w:pStyle w:val="Prrafodelista1"/>
        <w:numPr>
          <w:ilvl w:val="0"/>
          <w:numId w:val="5"/>
        </w:numPr>
        <w:spacing w:after="0" w:line="360" w:lineRule="auto"/>
        <w:ind w:left="567" w:firstLine="454"/>
        <w:jc w:val="both"/>
        <w:rPr>
          <w:rFonts w:ascii="Arial" w:eastAsia="Times New Roman" w:hAnsi="Arial" w:cs="Arial"/>
          <w:sz w:val="24"/>
          <w:szCs w:val="24"/>
          <w:lang w:eastAsia="es-EC"/>
        </w:rPr>
      </w:pPr>
      <w:r w:rsidRPr="00C75919">
        <w:rPr>
          <w:rFonts w:ascii="Arial" w:eastAsia="Times New Roman" w:hAnsi="Arial" w:cs="Arial"/>
          <w:sz w:val="24"/>
          <w:szCs w:val="24"/>
          <w:lang w:eastAsia="es-EC"/>
        </w:rPr>
        <w:t xml:space="preserve">Inversión en títulos. </w:t>
      </w:r>
    </w:p>
    <w:p w:rsidR="00A3014D" w:rsidRPr="00C75919" w:rsidRDefault="00A3014D" w:rsidP="00C75919">
      <w:pPr>
        <w:pStyle w:val="Prrafodelista1"/>
        <w:numPr>
          <w:ilvl w:val="0"/>
          <w:numId w:val="5"/>
        </w:numPr>
        <w:spacing w:after="0" w:line="360" w:lineRule="auto"/>
        <w:ind w:left="567" w:firstLine="454"/>
        <w:jc w:val="both"/>
        <w:rPr>
          <w:rFonts w:ascii="Arial" w:eastAsia="Times New Roman" w:hAnsi="Arial" w:cs="Arial"/>
          <w:sz w:val="24"/>
          <w:szCs w:val="24"/>
          <w:lang w:eastAsia="es-EC"/>
        </w:rPr>
      </w:pPr>
      <w:r w:rsidRPr="00C75919">
        <w:rPr>
          <w:rFonts w:ascii="Arial" w:eastAsia="Times New Roman" w:hAnsi="Arial" w:cs="Arial"/>
          <w:sz w:val="24"/>
          <w:szCs w:val="24"/>
          <w:lang w:eastAsia="es-EC"/>
        </w:rPr>
        <w:t xml:space="preserve">Pasivos </w:t>
      </w:r>
    </w:p>
    <w:p w:rsidR="00A3014D" w:rsidRPr="00C75919" w:rsidRDefault="00A3014D" w:rsidP="00C75919">
      <w:pPr>
        <w:pStyle w:val="Prrafodelista1"/>
        <w:numPr>
          <w:ilvl w:val="0"/>
          <w:numId w:val="5"/>
        </w:numPr>
        <w:spacing w:after="0" w:line="360" w:lineRule="auto"/>
        <w:ind w:left="567" w:firstLine="454"/>
        <w:jc w:val="both"/>
        <w:rPr>
          <w:rFonts w:ascii="Arial" w:eastAsia="Times New Roman" w:hAnsi="Arial" w:cs="Arial"/>
          <w:sz w:val="24"/>
          <w:szCs w:val="24"/>
          <w:lang w:eastAsia="es-EC"/>
        </w:rPr>
      </w:pPr>
      <w:r w:rsidRPr="00C75919">
        <w:rPr>
          <w:rFonts w:ascii="Arial" w:eastAsia="Times New Roman" w:hAnsi="Arial" w:cs="Arial"/>
          <w:sz w:val="24"/>
          <w:szCs w:val="24"/>
          <w:lang w:eastAsia="es-EC"/>
        </w:rPr>
        <w:t xml:space="preserve">Depósitos de otros bancos; </w:t>
      </w:r>
    </w:p>
    <w:p w:rsidR="00A3014D" w:rsidRPr="00C75919" w:rsidRDefault="00A3014D" w:rsidP="00C75919">
      <w:pPr>
        <w:pStyle w:val="Prrafodelista1"/>
        <w:numPr>
          <w:ilvl w:val="0"/>
          <w:numId w:val="5"/>
        </w:numPr>
        <w:spacing w:after="0" w:line="360" w:lineRule="auto"/>
        <w:ind w:left="567" w:firstLine="454"/>
        <w:jc w:val="both"/>
        <w:rPr>
          <w:rFonts w:ascii="Arial" w:eastAsia="Times New Roman" w:hAnsi="Arial" w:cs="Arial"/>
          <w:sz w:val="24"/>
          <w:szCs w:val="24"/>
          <w:lang w:eastAsia="es-EC"/>
        </w:rPr>
      </w:pPr>
      <w:r w:rsidRPr="00C75919">
        <w:rPr>
          <w:rFonts w:ascii="Arial" w:eastAsia="Times New Roman" w:hAnsi="Arial" w:cs="Arial"/>
          <w:sz w:val="24"/>
          <w:szCs w:val="24"/>
          <w:lang w:eastAsia="es-EC"/>
        </w:rPr>
        <w:t xml:space="preserve">Depósitos de otras entidades del mercado monetario; </w:t>
      </w:r>
    </w:p>
    <w:p w:rsidR="00A3014D" w:rsidRPr="00C75919" w:rsidRDefault="00A3014D" w:rsidP="00C75919">
      <w:pPr>
        <w:pStyle w:val="Prrafodelista1"/>
        <w:numPr>
          <w:ilvl w:val="0"/>
          <w:numId w:val="5"/>
        </w:numPr>
        <w:spacing w:after="0" w:line="360" w:lineRule="auto"/>
        <w:ind w:left="567" w:firstLine="454"/>
        <w:jc w:val="both"/>
        <w:rPr>
          <w:rFonts w:ascii="Arial" w:eastAsia="Times New Roman" w:hAnsi="Arial" w:cs="Arial"/>
          <w:sz w:val="24"/>
          <w:szCs w:val="24"/>
          <w:lang w:eastAsia="es-EC"/>
        </w:rPr>
      </w:pPr>
      <w:r w:rsidRPr="00C75919">
        <w:rPr>
          <w:rFonts w:ascii="Arial" w:eastAsia="Times New Roman" w:hAnsi="Arial" w:cs="Arial"/>
          <w:sz w:val="24"/>
          <w:szCs w:val="24"/>
          <w:lang w:eastAsia="es-EC"/>
        </w:rPr>
        <w:t xml:space="preserve">Cantidades debidas a otros depositantes; </w:t>
      </w:r>
    </w:p>
    <w:p w:rsidR="00A3014D" w:rsidRPr="00C75919" w:rsidRDefault="00A3014D" w:rsidP="00C75919">
      <w:pPr>
        <w:pStyle w:val="Prrafodelista1"/>
        <w:numPr>
          <w:ilvl w:val="0"/>
          <w:numId w:val="5"/>
        </w:numPr>
        <w:spacing w:after="0" w:line="360" w:lineRule="auto"/>
        <w:ind w:left="567" w:firstLine="454"/>
        <w:jc w:val="both"/>
        <w:rPr>
          <w:rFonts w:ascii="Arial" w:eastAsia="Times New Roman" w:hAnsi="Arial" w:cs="Arial"/>
          <w:sz w:val="24"/>
          <w:szCs w:val="24"/>
          <w:lang w:eastAsia="es-EC"/>
        </w:rPr>
      </w:pPr>
      <w:r w:rsidRPr="00C75919">
        <w:rPr>
          <w:rFonts w:ascii="Arial" w:eastAsia="Times New Roman" w:hAnsi="Arial" w:cs="Arial"/>
          <w:sz w:val="24"/>
          <w:szCs w:val="24"/>
          <w:lang w:eastAsia="es-EC"/>
        </w:rPr>
        <w:t xml:space="preserve">Certificados de depósito; </w:t>
      </w:r>
    </w:p>
    <w:p w:rsidR="00A3014D" w:rsidRPr="00C75919" w:rsidRDefault="00A3014D" w:rsidP="00C75919">
      <w:pPr>
        <w:pStyle w:val="Prrafodelista1"/>
        <w:numPr>
          <w:ilvl w:val="0"/>
          <w:numId w:val="5"/>
        </w:numPr>
        <w:spacing w:after="0" w:line="360" w:lineRule="auto"/>
        <w:ind w:left="567" w:firstLine="454"/>
        <w:jc w:val="both"/>
        <w:rPr>
          <w:rFonts w:ascii="Arial" w:eastAsia="Times New Roman" w:hAnsi="Arial" w:cs="Arial"/>
          <w:sz w:val="24"/>
          <w:szCs w:val="24"/>
          <w:lang w:eastAsia="es-EC"/>
        </w:rPr>
      </w:pPr>
      <w:r w:rsidRPr="00C75919">
        <w:rPr>
          <w:rFonts w:ascii="Arial" w:eastAsia="Times New Roman" w:hAnsi="Arial" w:cs="Arial"/>
          <w:sz w:val="24"/>
          <w:szCs w:val="24"/>
          <w:lang w:eastAsia="es-EC"/>
        </w:rPr>
        <w:t xml:space="preserve">Pagarés y otras deudas reconocidas en documentos escritos; y </w:t>
      </w:r>
    </w:p>
    <w:p w:rsidR="00A3014D" w:rsidRPr="00C75919" w:rsidRDefault="00A3014D" w:rsidP="00C75919">
      <w:pPr>
        <w:pStyle w:val="Prrafodelista1"/>
        <w:numPr>
          <w:ilvl w:val="0"/>
          <w:numId w:val="5"/>
        </w:numPr>
        <w:spacing w:after="0" w:line="360" w:lineRule="auto"/>
        <w:ind w:left="567" w:firstLine="454"/>
        <w:jc w:val="both"/>
        <w:rPr>
          <w:rFonts w:ascii="Arial" w:eastAsia="Times New Roman" w:hAnsi="Arial" w:cs="Arial"/>
          <w:sz w:val="24"/>
          <w:szCs w:val="24"/>
          <w:lang w:eastAsia="es-EC"/>
        </w:rPr>
      </w:pPr>
      <w:r w:rsidRPr="00C75919">
        <w:rPr>
          <w:rFonts w:ascii="Arial" w:eastAsia="Times New Roman" w:hAnsi="Arial" w:cs="Arial"/>
          <w:sz w:val="24"/>
          <w:szCs w:val="24"/>
          <w:lang w:eastAsia="es-EC"/>
        </w:rPr>
        <w:t xml:space="preserve">Otros fondos tomados en préstamo. </w:t>
      </w:r>
    </w:p>
    <w:p w:rsidR="00A3014D" w:rsidRPr="00C75919" w:rsidRDefault="00A3014D" w:rsidP="00C75919">
      <w:pPr>
        <w:spacing w:after="0" w:line="360" w:lineRule="auto"/>
        <w:ind w:firstLine="454"/>
        <w:jc w:val="both"/>
        <w:rPr>
          <w:rFonts w:ascii="Arial" w:eastAsia="Times New Roman" w:hAnsi="Arial" w:cs="Arial"/>
          <w:sz w:val="24"/>
          <w:szCs w:val="24"/>
          <w:lang w:eastAsia="es-EC"/>
        </w:rPr>
      </w:pPr>
    </w:p>
    <w:p w:rsidR="00A3014D" w:rsidRPr="00C75919" w:rsidRDefault="00A3014D" w:rsidP="00C75919">
      <w:pPr>
        <w:spacing w:after="0" w:line="360" w:lineRule="auto"/>
        <w:ind w:firstLine="454"/>
        <w:jc w:val="both"/>
        <w:rPr>
          <w:rFonts w:ascii="Arial" w:eastAsia="Times New Roman" w:hAnsi="Arial" w:cs="Arial"/>
          <w:sz w:val="24"/>
          <w:szCs w:val="24"/>
          <w:lang w:eastAsia="es-EC"/>
        </w:rPr>
      </w:pPr>
      <w:r w:rsidRPr="00C75919">
        <w:rPr>
          <w:rFonts w:ascii="Arial" w:eastAsia="Times New Roman" w:hAnsi="Arial" w:cs="Arial"/>
          <w:sz w:val="24"/>
          <w:szCs w:val="24"/>
          <w:lang w:eastAsia="es-EC"/>
        </w:rPr>
        <w:lastRenderedPageBreak/>
        <w:t xml:space="preserve">La manera más útil de clasificar los activos y pasivos de un banco es agruparlos por su naturaleza, presentándolos en el orden aproximado de liquidez, lo que puede equivaler a clasificarlos por sus vencimientos. No se presentarán por separado las partidas corrientes y no corrientes, puesto que muchos de los activos y pasivos bancarios pueden ser liquidados o reembolsados en un futuro inmediato. </w:t>
      </w:r>
    </w:p>
    <w:p w:rsidR="00A3014D" w:rsidRPr="00C75919" w:rsidRDefault="00A3014D" w:rsidP="00C75919">
      <w:pPr>
        <w:spacing w:after="0" w:line="360" w:lineRule="auto"/>
        <w:ind w:left="360" w:firstLine="454"/>
        <w:jc w:val="both"/>
        <w:rPr>
          <w:rFonts w:ascii="Arial" w:eastAsia="Times New Roman" w:hAnsi="Arial" w:cs="Arial"/>
          <w:sz w:val="24"/>
          <w:szCs w:val="24"/>
          <w:lang w:eastAsia="es-EC"/>
        </w:rPr>
      </w:pPr>
    </w:p>
    <w:p w:rsidR="00C75919" w:rsidRDefault="00A3014D" w:rsidP="00C75919">
      <w:pPr>
        <w:spacing w:after="0" w:line="360" w:lineRule="auto"/>
        <w:ind w:firstLine="454"/>
        <w:jc w:val="both"/>
        <w:rPr>
          <w:rFonts w:ascii="Arial" w:eastAsia="Times New Roman" w:hAnsi="Arial" w:cs="Arial"/>
          <w:sz w:val="24"/>
          <w:szCs w:val="24"/>
          <w:lang w:eastAsia="es-EC"/>
        </w:rPr>
      </w:pPr>
      <w:r w:rsidRPr="00C75919">
        <w:rPr>
          <w:rFonts w:ascii="Arial" w:eastAsia="Times New Roman" w:hAnsi="Arial" w:cs="Arial"/>
          <w:sz w:val="24"/>
          <w:szCs w:val="24"/>
          <w:lang w:eastAsia="es-EC"/>
        </w:rPr>
        <w:t>La distinción entre las cuentas mantenidas con otros bancos, con entidades del mercado monetario y con otros depositantes, es una información relevante porque suministra datos para comprender las relaciones del banco con otros bancos y con el mercado monetario, así como su dependencia de los mismos. Por ello, el banco revelará por separado la siguiente información:</w:t>
      </w:r>
    </w:p>
    <w:p w:rsidR="00A3014D" w:rsidRPr="00C75919" w:rsidRDefault="00A3014D" w:rsidP="00C75919">
      <w:pPr>
        <w:spacing w:after="0" w:line="360" w:lineRule="auto"/>
        <w:ind w:firstLine="454"/>
        <w:jc w:val="both"/>
        <w:rPr>
          <w:rFonts w:ascii="Arial" w:eastAsia="Times New Roman" w:hAnsi="Arial" w:cs="Arial"/>
          <w:sz w:val="24"/>
          <w:szCs w:val="24"/>
          <w:lang w:eastAsia="es-EC"/>
        </w:rPr>
      </w:pPr>
      <w:r w:rsidRPr="00C75919">
        <w:rPr>
          <w:rFonts w:ascii="Arial" w:eastAsia="Times New Roman" w:hAnsi="Arial" w:cs="Arial"/>
          <w:sz w:val="24"/>
          <w:szCs w:val="24"/>
          <w:lang w:eastAsia="es-EC"/>
        </w:rPr>
        <w:t xml:space="preserve"> </w:t>
      </w:r>
    </w:p>
    <w:p w:rsidR="00A3014D" w:rsidRPr="00C75919" w:rsidRDefault="00A3014D" w:rsidP="00C75919">
      <w:pPr>
        <w:pStyle w:val="Prrafodelista1"/>
        <w:spacing w:after="0" w:line="360" w:lineRule="auto"/>
        <w:ind w:left="360" w:firstLine="454"/>
        <w:jc w:val="both"/>
        <w:rPr>
          <w:rFonts w:ascii="Arial" w:eastAsia="Times New Roman" w:hAnsi="Arial" w:cs="Arial"/>
          <w:sz w:val="24"/>
          <w:szCs w:val="24"/>
          <w:lang w:eastAsia="es-EC"/>
        </w:rPr>
      </w:pPr>
      <w:r w:rsidRPr="00C75919">
        <w:rPr>
          <w:rFonts w:ascii="Arial" w:eastAsia="Times New Roman" w:hAnsi="Arial" w:cs="Arial"/>
          <w:sz w:val="24"/>
          <w:szCs w:val="24"/>
          <w:lang w:eastAsia="es-EC"/>
        </w:rPr>
        <w:t>(a) saldos mantenidos con el banco central;</w:t>
      </w:r>
    </w:p>
    <w:p w:rsidR="00A3014D" w:rsidRPr="00C75919" w:rsidRDefault="00A3014D" w:rsidP="00C75919">
      <w:pPr>
        <w:pStyle w:val="Prrafodelista1"/>
        <w:spacing w:after="0" w:line="360" w:lineRule="auto"/>
        <w:ind w:left="360" w:firstLine="454"/>
        <w:jc w:val="both"/>
        <w:rPr>
          <w:rFonts w:ascii="Arial" w:eastAsia="Times New Roman" w:hAnsi="Arial" w:cs="Arial"/>
          <w:sz w:val="24"/>
          <w:szCs w:val="24"/>
          <w:lang w:eastAsia="es-EC"/>
        </w:rPr>
      </w:pPr>
      <w:r w:rsidRPr="00C75919">
        <w:rPr>
          <w:rFonts w:ascii="Arial" w:eastAsia="Times New Roman" w:hAnsi="Arial" w:cs="Arial"/>
          <w:sz w:val="24"/>
          <w:szCs w:val="24"/>
          <w:lang w:eastAsia="es-EC"/>
        </w:rPr>
        <w:t xml:space="preserve">(b) colocaciones de fondos en otros bancos; </w:t>
      </w:r>
    </w:p>
    <w:p w:rsidR="00A3014D" w:rsidRPr="00C75919" w:rsidRDefault="00A3014D" w:rsidP="00C75919">
      <w:pPr>
        <w:pStyle w:val="Prrafodelista1"/>
        <w:spacing w:after="0" w:line="360" w:lineRule="auto"/>
        <w:ind w:left="360" w:firstLine="454"/>
        <w:jc w:val="both"/>
        <w:rPr>
          <w:rFonts w:ascii="Arial" w:eastAsia="Times New Roman" w:hAnsi="Arial" w:cs="Arial"/>
          <w:sz w:val="24"/>
          <w:szCs w:val="24"/>
          <w:lang w:eastAsia="es-EC"/>
        </w:rPr>
      </w:pPr>
      <w:r w:rsidRPr="00C75919">
        <w:rPr>
          <w:rFonts w:ascii="Arial" w:eastAsia="Times New Roman" w:hAnsi="Arial" w:cs="Arial"/>
          <w:sz w:val="24"/>
          <w:szCs w:val="24"/>
          <w:lang w:eastAsia="es-EC"/>
        </w:rPr>
        <w:t xml:space="preserve">(c) otras colocaciones de fondos en el mercado monetario; </w:t>
      </w:r>
    </w:p>
    <w:p w:rsidR="00A3014D" w:rsidRPr="00C75919" w:rsidRDefault="00A3014D" w:rsidP="00C75919">
      <w:pPr>
        <w:pStyle w:val="Prrafodelista1"/>
        <w:spacing w:after="0" w:line="360" w:lineRule="auto"/>
        <w:ind w:left="360" w:firstLine="454"/>
        <w:jc w:val="both"/>
        <w:rPr>
          <w:rFonts w:ascii="Arial" w:eastAsia="Times New Roman" w:hAnsi="Arial" w:cs="Arial"/>
          <w:sz w:val="24"/>
          <w:szCs w:val="24"/>
          <w:lang w:eastAsia="es-EC"/>
        </w:rPr>
      </w:pPr>
      <w:r w:rsidRPr="00C75919">
        <w:rPr>
          <w:rFonts w:ascii="Arial" w:eastAsia="Times New Roman" w:hAnsi="Arial" w:cs="Arial"/>
          <w:sz w:val="24"/>
          <w:szCs w:val="24"/>
          <w:lang w:eastAsia="es-EC"/>
        </w:rPr>
        <w:t xml:space="preserve">(d) depósitos de otros bancos; </w:t>
      </w:r>
    </w:p>
    <w:p w:rsidR="00A3014D" w:rsidRPr="00C75919" w:rsidRDefault="00A3014D" w:rsidP="00C75919">
      <w:pPr>
        <w:pStyle w:val="Prrafodelista1"/>
        <w:spacing w:after="0" w:line="360" w:lineRule="auto"/>
        <w:ind w:left="360" w:firstLine="454"/>
        <w:jc w:val="both"/>
        <w:rPr>
          <w:rFonts w:ascii="Arial" w:eastAsia="Times New Roman" w:hAnsi="Arial" w:cs="Arial"/>
          <w:sz w:val="24"/>
          <w:szCs w:val="24"/>
          <w:lang w:eastAsia="es-EC"/>
        </w:rPr>
      </w:pPr>
      <w:r w:rsidRPr="00C75919">
        <w:rPr>
          <w:rFonts w:ascii="Arial" w:eastAsia="Times New Roman" w:hAnsi="Arial" w:cs="Arial"/>
          <w:sz w:val="24"/>
          <w:szCs w:val="24"/>
          <w:lang w:eastAsia="es-EC"/>
        </w:rPr>
        <w:t xml:space="preserve">(e) otros depósitos en el mercado financiero; y </w:t>
      </w:r>
    </w:p>
    <w:p w:rsidR="00A3014D" w:rsidRPr="00C75919" w:rsidRDefault="00A3014D" w:rsidP="00C75919">
      <w:pPr>
        <w:pStyle w:val="Prrafodelista1"/>
        <w:spacing w:after="0" w:line="360" w:lineRule="auto"/>
        <w:ind w:left="360" w:firstLine="454"/>
        <w:jc w:val="both"/>
        <w:rPr>
          <w:rFonts w:ascii="Arial" w:eastAsia="Times New Roman" w:hAnsi="Arial" w:cs="Arial"/>
          <w:sz w:val="24"/>
          <w:szCs w:val="24"/>
          <w:lang w:eastAsia="es-EC"/>
        </w:rPr>
      </w:pPr>
      <w:r w:rsidRPr="00C75919">
        <w:rPr>
          <w:rFonts w:ascii="Arial" w:eastAsia="Times New Roman" w:hAnsi="Arial" w:cs="Arial"/>
          <w:sz w:val="24"/>
          <w:szCs w:val="24"/>
          <w:lang w:eastAsia="es-EC"/>
        </w:rPr>
        <w:t>(f) otros depósitos.</w:t>
      </w:r>
    </w:p>
    <w:p w:rsidR="00A3014D" w:rsidRPr="00C75919" w:rsidRDefault="00A3014D" w:rsidP="00C75919">
      <w:pPr>
        <w:spacing w:after="0" w:line="360" w:lineRule="auto"/>
        <w:ind w:left="360" w:firstLine="454"/>
        <w:jc w:val="both"/>
        <w:rPr>
          <w:rFonts w:ascii="Arial" w:eastAsia="Times New Roman" w:hAnsi="Arial" w:cs="Arial"/>
          <w:sz w:val="24"/>
          <w:szCs w:val="24"/>
          <w:lang w:eastAsia="es-EC"/>
        </w:rPr>
      </w:pPr>
    </w:p>
    <w:p w:rsidR="00A3014D" w:rsidRPr="00C75919" w:rsidRDefault="00A3014D" w:rsidP="00C75919">
      <w:pPr>
        <w:spacing w:after="0" w:line="360" w:lineRule="auto"/>
        <w:ind w:firstLine="454"/>
        <w:jc w:val="both"/>
        <w:rPr>
          <w:rFonts w:ascii="Arial" w:eastAsia="Times New Roman" w:hAnsi="Arial" w:cs="Arial"/>
          <w:sz w:val="24"/>
          <w:szCs w:val="24"/>
          <w:lang w:eastAsia="es-EC"/>
        </w:rPr>
      </w:pPr>
      <w:r w:rsidRPr="00C75919">
        <w:rPr>
          <w:rFonts w:ascii="Arial" w:eastAsia="Times New Roman" w:hAnsi="Arial" w:cs="Arial"/>
          <w:sz w:val="24"/>
          <w:szCs w:val="24"/>
          <w:lang w:eastAsia="es-EC"/>
        </w:rPr>
        <w:t xml:space="preserve">Por lo general, el banco no conoce a los tenedores de sus certificados de depósito, porque son normalmente negociados en un mercado abierto. Por tanto, el banco informará separadamente de los depósitos que han sido obtenidos a través de la emisión de sus propios certificados de depósito y del resto de títulos negociables que posee. </w:t>
      </w:r>
    </w:p>
    <w:p w:rsidR="00A3014D" w:rsidRPr="00C75919" w:rsidRDefault="00A3014D" w:rsidP="00C75919">
      <w:pPr>
        <w:pStyle w:val="Prrafodelista1"/>
        <w:spacing w:after="0" w:line="360" w:lineRule="auto"/>
        <w:ind w:left="360" w:firstLine="454"/>
        <w:jc w:val="both"/>
        <w:rPr>
          <w:rFonts w:ascii="Arial" w:eastAsia="Times New Roman" w:hAnsi="Arial" w:cs="Arial"/>
          <w:sz w:val="24"/>
          <w:szCs w:val="24"/>
          <w:lang w:eastAsia="es-EC"/>
        </w:rPr>
      </w:pPr>
    </w:p>
    <w:p w:rsidR="00A3014D" w:rsidRPr="00C75919" w:rsidRDefault="00A3014D" w:rsidP="00D40475">
      <w:pPr>
        <w:spacing w:after="0" w:line="360" w:lineRule="auto"/>
        <w:ind w:firstLine="454"/>
        <w:jc w:val="both"/>
        <w:rPr>
          <w:rFonts w:ascii="Arial" w:eastAsia="Times New Roman" w:hAnsi="Arial" w:cs="Arial"/>
          <w:sz w:val="24"/>
          <w:szCs w:val="24"/>
          <w:lang w:eastAsia="es-EC"/>
        </w:rPr>
      </w:pPr>
      <w:r w:rsidRPr="00C75919">
        <w:rPr>
          <w:rFonts w:ascii="Arial" w:eastAsia="Times New Roman" w:hAnsi="Arial" w:cs="Arial"/>
          <w:sz w:val="24"/>
          <w:szCs w:val="24"/>
          <w:lang w:eastAsia="es-EC"/>
        </w:rPr>
        <w:t xml:space="preserve">El banco debe revelar información acerca de los valores razonables de cada clase o grupo de sus activos y pasivos de carácter financiero, tal y como se exige en </w:t>
      </w:r>
      <w:smartTag w:uri="urn:schemas-microsoft-com:office:smarttags" w:element="PersonName">
        <w:smartTagPr>
          <w:attr w:name="ProductID" w:val="la NIC"/>
        </w:smartTagPr>
        <w:r w:rsidRPr="00C75919">
          <w:rPr>
            <w:rFonts w:ascii="Arial" w:eastAsia="Times New Roman" w:hAnsi="Arial" w:cs="Arial"/>
            <w:sz w:val="24"/>
            <w:szCs w:val="24"/>
            <w:lang w:eastAsia="es-EC"/>
          </w:rPr>
          <w:t>la NIC</w:t>
        </w:r>
      </w:smartTag>
      <w:r w:rsidRPr="00C75919">
        <w:rPr>
          <w:rFonts w:ascii="Arial" w:eastAsia="Times New Roman" w:hAnsi="Arial" w:cs="Arial"/>
          <w:sz w:val="24"/>
          <w:szCs w:val="24"/>
          <w:lang w:eastAsia="es-EC"/>
        </w:rPr>
        <w:t xml:space="preserve"> 32 Instrumentos Financieros: Presentación e Información a Revelar.</w:t>
      </w:r>
    </w:p>
    <w:p w:rsidR="00A3014D" w:rsidRPr="00C75919" w:rsidRDefault="00A3014D" w:rsidP="00C75919">
      <w:pPr>
        <w:spacing w:after="0" w:line="360" w:lineRule="auto"/>
        <w:ind w:firstLine="454"/>
        <w:jc w:val="both"/>
        <w:rPr>
          <w:rFonts w:ascii="Arial" w:eastAsia="Times New Roman" w:hAnsi="Arial" w:cs="Arial"/>
          <w:sz w:val="24"/>
          <w:szCs w:val="24"/>
          <w:lang w:eastAsia="es-EC"/>
        </w:rPr>
      </w:pPr>
      <w:r w:rsidRPr="00C75919">
        <w:rPr>
          <w:rFonts w:ascii="Arial" w:eastAsia="Times New Roman" w:hAnsi="Arial" w:cs="Arial"/>
          <w:sz w:val="24"/>
          <w:szCs w:val="24"/>
          <w:lang w:eastAsia="es-EC"/>
        </w:rPr>
        <w:lastRenderedPageBreak/>
        <w:t xml:space="preserve">En </w:t>
      </w:r>
      <w:smartTag w:uri="urn:schemas-microsoft-com:office:smarttags" w:element="PersonName">
        <w:smartTagPr>
          <w:attr w:name="ProductID" w:val="la NIC"/>
        </w:smartTagPr>
        <w:r w:rsidRPr="00C75919">
          <w:rPr>
            <w:rFonts w:ascii="Arial" w:eastAsia="Times New Roman" w:hAnsi="Arial" w:cs="Arial"/>
            <w:sz w:val="24"/>
            <w:szCs w:val="24"/>
            <w:lang w:eastAsia="es-EC"/>
          </w:rPr>
          <w:t>la NIC</w:t>
        </w:r>
      </w:smartTag>
      <w:r w:rsidRPr="00C75919">
        <w:rPr>
          <w:rFonts w:ascii="Arial" w:eastAsia="Times New Roman" w:hAnsi="Arial" w:cs="Arial"/>
          <w:sz w:val="24"/>
          <w:szCs w:val="24"/>
          <w:lang w:eastAsia="es-EC"/>
        </w:rPr>
        <w:t xml:space="preserve"> 39 Instrumentos Financieros: Reconocimiento y Medición, se contemplan cuatro clases de activos financieros: préstamos y partidas a cobrar originados por la entidad, inversiones a ser mantenidas hasta el vencimiento, activos financieros para negociar a valor razonable con cambios en resultados y activos financieros disponibles para su venta. El banco revelará información sobre los valores razonables de sus activos financieros respetando, como mínimo, esta cuádruple clasificación.</w:t>
      </w:r>
    </w:p>
    <w:p w:rsidR="00A3014D" w:rsidRPr="00C75919" w:rsidRDefault="00A3014D" w:rsidP="00C75919">
      <w:pPr>
        <w:spacing w:after="0" w:line="360" w:lineRule="auto"/>
        <w:ind w:left="360" w:firstLine="454"/>
        <w:jc w:val="both"/>
        <w:rPr>
          <w:rFonts w:ascii="Arial" w:eastAsia="Times New Roman" w:hAnsi="Arial" w:cs="Arial"/>
          <w:sz w:val="24"/>
          <w:szCs w:val="24"/>
          <w:lang w:eastAsia="es-EC"/>
        </w:rPr>
      </w:pPr>
    </w:p>
    <w:p w:rsidR="00A3014D" w:rsidRPr="00C75919" w:rsidRDefault="00A3014D" w:rsidP="00C75919">
      <w:pPr>
        <w:spacing w:after="0" w:line="360" w:lineRule="auto"/>
        <w:ind w:left="360" w:firstLine="454"/>
        <w:jc w:val="both"/>
        <w:rPr>
          <w:rFonts w:ascii="Arial" w:eastAsia="Times New Roman" w:hAnsi="Arial" w:cs="Arial"/>
          <w:sz w:val="24"/>
          <w:szCs w:val="24"/>
          <w:lang w:eastAsia="es-EC"/>
        </w:rPr>
      </w:pPr>
      <w:r w:rsidRPr="00C75919">
        <w:rPr>
          <w:rFonts w:ascii="Arial" w:eastAsia="Times New Roman" w:hAnsi="Arial" w:cs="Arial"/>
          <w:bCs/>
          <w:sz w:val="24"/>
          <w:szCs w:val="24"/>
          <w:lang w:eastAsia="es-EC"/>
        </w:rPr>
        <w:t xml:space="preserve">Contingencias y garantías, incluyendo partidas fuera de balance </w:t>
      </w:r>
    </w:p>
    <w:p w:rsidR="00A3014D" w:rsidRPr="00C75919" w:rsidRDefault="00A3014D" w:rsidP="00C75919">
      <w:pPr>
        <w:spacing w:after="0" w:line="360" w:lineRule="auto"/>
        <w:ind w:left="360" w:firstLine="454"/>
        <w:jc w:val="both"/>
        <w:rPr>
          <w:rFonts w:ascii="Arial" w:eastAsia="Times New Roman" w:hAnsi="Arial" w:cs="Arial"/>
          <w:sz w:val="24"/>
          <w:szCs w:val="24"/>
          <w:lang w:eastAsia="es-EC"/>
        </w:rPr>
      </w:pPr>
    </w:p>
    <w:p w:rsidR="00A3014D" w:rsidRPr="00C75919" w:rsidRDefault="00A3014D" w:rsidP="00C75919">
      <w:pPr>
        <w:spacing w:after="0" w:line="360" w:lineRule="auto"/>
        <w:ind w:left="360" w:firstLine="454"/>
        <w:jc w:val="both"/>
        <w:rPr>
          <w:rFonts w:ascii="Arial" w:eastAsia="Times New Roman" w:hAnsi="Arial" w:cs="Arial"/>
          <w:sz w:val="24"/>
          <w:szCs w:val="24"/>
          <w:lang w:eastAsia="es-EC"/>
        </w:rPr>
      </w:pPr>
      <w:r w:rsidRPr="00C75919">
        <w:rPr>
          <w:rFonts w:ascii="Arial" w:eastAsia="Times New Roman" w:hAnsi="Arial" w:cs="Arial"/>
          <w:bCs/>
          <w:iCs/>
          <w:sz w:val="24"/>
          <w:szCs w:val="24"/>
          <w:lang w:eastAsia="es-EC"/>
        </w:rPr>
        <w:t>Un banco debe revelar información respecto de los siguientes pasivos</w:t>
      </w:r>
      <w:r w:rsidRPr="00C75919">
        <w:rPr>
          <w:rFonts w:ascii="Arial" w:eastAsia="Times New Roman" w:hAnsi="Arial" w:cs="Arial"/>
          <w:sz w:val="24"/>
          <w:szCs w:val="24"/>
          <w:lang w:eastAsia="es-EC"/>
        </w:rPr>
        <w:t xml:space="preserve"> </w:t>
      </w:r>
      <w:r w:rsidRPr="00C75919">
        <w:rPr>
          <w:rFonts w:ascii="Arial" w:eastAsia="Times New Roman" w:hAnsi="Arial" w:cs="Arial"/>
          <w:bCs/>
          <w:iCs/>
          <w:sz w:val="24"/>
          <w:szCs w:val="24"/>
          <w:lang w:eastAsia="es-EC"/>
        </w:rPr>
        <w:t xml:space="preserve">contingentes y compromisos: </w:t>
      </w:r>
    </w:p>
    <w:p w:rsidR="00A3014D" w:rsidRPr="00C75919" w:rsidRDefault="00A3014D" w:rsidP="00C75919">
      <w:pPr>
        <w:spacing w:after="0" w:line="360" w:lineRule="auto"/>
        <w:ind w:left="360" w:firstLine="454"/>
        <w:jc w:val="both"/>
        <w:rPr>
          <w:rFonts w:ascii="Arial" w:eastAsia="Times New Roman" w:hAnsi="Arial" w:cs="Arial"/>
          <w:sz w:val="24"/>
          <w:szCs w:val="24"/>
          <w:lang w:eastAsia="es-EC"/>
        </w:rPr>
      </w:pPr>
      <w:r w:rsidRPr="00C75919">
        <w:rPr>
          <w:rFonts w:ascii="Arial" w:eastAsia="Times New Roman" w:hAnsi="Arial" w:cs="Arial"/>
          <w:bCs/>
          <w:iCs/>
          <w:sz w:val="24"/>
          <w:szCs w:val="24"/>
          <w:lang w:eastAsia="es-EC"/>
        </w:rPr>
        <w:t>(a) la naturaleza e importe de los compromisos de concesión de crédito que son irrevocables, porque no pueden ser dejados a la discreción del banco sin el</w:t>
      </w:r>
      <w:r w:rsidRPr="00C75919">
        <w:rPr>
          <w:rFonts w:ascii="Arial" w:eastAsia="Times New Roman" w:hAnsi="Arial" w:cs="Arial"/>
          <w:sz w:val="24"/>
          <w:szCs w:val="24"/>
          <w:lang w:eastAsia="es-EC"/>
        </w:rPr>
        <w:t xml:space="preserve"> </w:t>
      </w:r>
      <w:r w:rsidRPr="00C75919">
        <w:rPr>
          <w:rFonts w:ascii="Arial" w:eastAsia="Times New Roman" w:hAnsi="Arial" w:cs="Arial"/>
          <w:bCs/>
          <w:iCs/>
          <w:sz w:val="24"/>
          <w:szCs w:val="24"/>
          <w:lang w:eastAsia="es-EC"/>
        </w:rPr>
        <w:t xml:space="preserve">riesgo de incurrir en gastos o multas significativos; y </w:t>
      </w:r>
    </w:p>
    <w:p w:rsidR="00A3014D" w:rsidRPr="00C75919" w:rsidRDefault="00A3014D" w:rsidP="00C75919">
      <w:pPr>
        <w:spacing w:after="0" w:line="360" w:lineRule="auto"/>
        <w:ind w:left="360" w:firstLine="454"/>
        <w:jc w:val="both"/>
        <w:rPr>
          <w:rFonts w:ascii="Arial" w:eastAsia="Times New Roman" w:hAnsi="Arial" w:cs="Arial"/>
          <w:sz w:val="24"/>
          <w:szCs w:val="24"/>
          <w:lang w:eastAsia="es-EC"/>
        </w:rPr>
      </w:pPr>
      <w:r w:rsidRPr="00C75919">
        <w:rPr>
          <w:rFonts w:ascii="Arial" w:eastAsia="Times New Roman" w:hAnsi="Arial" w:cs="Arial"/>
          <w:bCs/>
          <w:iCs/>
          <w:sz w:val="24"/>
          <w:szCs w:val="24"/>
          <w:lang w:eastAsia="es-EC"/>
        </w:rPr>
        <w:t>(b) la naturaleza e importe de los pasivos contingentes y compromisos surgidos por operaciones fuera del balance, incluyendo los relativos a:</w:t>
      </w:r>
    </w:p>
    <w:p w:rsidR="00A3014D" w:rsidRPr="00C75919" w:rsidRDefault="00A3014D" w:rsidP="00C75919">
      <w:pPr>
        <w:spacing w:after="0" w:line="360" w:lineRule="auto"/>
        <w:ind w:left="360" w:firstLine="454"/>
        <w:jc w:val="both"/>
        <w:rPr>
          <w:rFonts w:ascii="Arial" w:eastAsia="Times New Roman" w:hAnsi="Arial" w:cs="Arial"/>
          <w:sz w:val="24"/>
          <w:szCs w:val="24"/>
          <w:lang w:eastAsia="es-EC"/>
        </w:rPr>
      </w:pPr>
      <w:r w:rsidRPr="00C75919">
        <w:rPr>
          <w:rFonts w:ascii="Arial" w:eastAsia="Times New Roman" w:hAnsi="Arial" w:cs="Arial"/>
          <w:bCs/>
          <w:iCs/>
          <w:sz w:val="24"/>
          <w:szCs w:val="24"/>
          <w:lang w:eastAsia="es-EC"/>
        </w:rPr>
        <w:t xml:space="preserve">(i) sustitutos directos del crédito, como las garantías generales que cubren deudas, las garantías de aceptación bancaria y las cartas de crédito en reserva que sirven como garantías financieras de préstamos y valores; </w:t>
      </w:r>
    </w:p>
    <w:p w:rsidR="00A3014D" w:rsidRPr="00C75919" w:rsidRDefault="00A3014D" w:rsidP="00C75919">
      <w:pPr>
        <w:spacing w:after="0" w:line="360" w:lineRule="auto"/>
        <w:ind w:left="360" w:firstLine="454"/>
        <w:jc w:val="both"/>
        <w:rPr>
          <w:rFonts w:ascii="Arial" w:eastAsia="Times New Roman" w:hAnsi="Arial" w:cs="Arial"/>
          <w:sz w:val="24"/>
          <w:szCs w:val="24"/>
          <w:lang w:eastAsia="es-EC"/>
        </w:rPr>
      </w:pPr>
      <w:r w:rsidRPr="00C75919">
        <w:rPr>
          <w:rFonts w:ascii="Arial" w:eastAsia="Times New Roman" w:hAnsi="Arial" w:cs="Arial"/>
          <w:bCs/>
          <w:iCs/>
          <w:sz w:val="24"/>
          <w:szCs w:val="24"/>
          <w:lang w:eastAsia="es-EC"/>
        </w:rPr>
        <w:t>(ii) ciertos pasivos contingentes relacionados con las operaciones, como las</w:t>
      </w:r>
      <w:r w:rsidRPr="00C75919">
        <w:rPr>
          <w:rFonts w:ascii="Arial" w:eastAsia="Times New Roman" w:hAnsi="Arial" w:cs="Arial"/>
          <w:sz w:val="24"/>
          <w:szCs w:val="24"/>
          <w:lang w:eastAsia="es-EC"/>
        </w:rPr>
        <w:t xml:space="preserve"> </w:t>
      </w:r>
      <w:r w:rsidRPr="00C75919">
        <w:rPr>
          <w:rFonts w:ascii="Arial" w:eastAsia="Times New Roman" w:hAnsi="Arial" w:cs="Arial"/>
          <w:bCs/>
          <w:iCs/>
          <w:sz w:val="24"/>
          <w:szCs w:val="24"/>
          <w:lang w:eastAsia="es-EC"/>
        </w:rPr>
        <w:t xml:space="preserve">garantías de buen fin, las garantías de sumisión y las cartas de crédito en reserva referidas a operaciones particulares; </w:t>
      </w:r>
    </w:p>
    <w:p w:rsidR="00A3014D" w:rsidRPr="00C75919" w:rsidRDefault="00A3014D" w:rsidP="00C75919">
      <w:pPr>
        <w:spacing w:after="0" w:line="360" w:lineRule="auto"/>
        <w:ind w:left="360" w:firstLine="454"/>
        <w:jc w:val="both"/>
        <w:rPr>
          <w:rFonts w:ascii="Arial" w:eastAsia="Times New Roman" w:hAnsi="Arial" w:cs="Arial"/>
          <w:sz w:val="24"/>
          <w:szCs w:val="24"/>
          <w:lang w:eastAsia="es-EC"/>
        </w:rPr>
      </w:pPr>
      <w:r w:rsidRPr="00C75919">
        <w:rPr>
          <w:rFonts w:ascii="Arial" w:eastAsia="Times New Roman" w:hAnsi="Arial" w:cs="Arial"/>
          <w:bCs/>
          <w:iCs/>
          <w:sz w:val="24"/>
          <w:szCs w:val="24"/>
          <w:lang w:eastAsia="es-EC"/>
        </w:rPr>
        <w:t>(iii) los pasivos contingentes auto liquidables a corto plazo, relacionados con operaciones comerciales ligadas a la circulación de mercancías, tales como los créditos documentarios, para los cuales el embarque</w:t>
      </w:r>
      <w:r w:rsidRPr="00C75919">
        <w:rPr>
          <w:rFonts w:ascii="Arial" w:eastAsia="Times New Roman" w:hAnsi="Arial" w:cs="Arial"/>
          <w:sz w:val="24"/>
          <w:szCs w:val="24"/>
          <w:lang w:eastAsia="es-EC"/>
        </w:rPr>
        <w:t xml:space="preserve"> </w:t>
      </w:r>
      <w:r w:rsidRPr="00C75919">
        <w:rPr>
          <w:rFonts w:ascii="Arial" w:eastAsia="Times New Roman" w:hAnsi="Arial" w:cs="Arial"/>
          <w:bCs/>
          <w:iCs/>
          <w:sz w:val="24"/>
          <w:szCs w:val="24"/>
          <w:lang w:eastAsia="es-EC"/>
        </w:rPr>
        <w:t xml:space="preserve">subyacente se usa como garantía; </w:t>
      </w:r>
    </w:p>
    <w:p w:rsidR="00A3014D" w:rsidRPr="00C75919" w:rsidRDefault="00A3014D" w:rsidP="00C75919">
      <w:pPr>
        <w:spacing w:after="0" w:line="360" w:lineRule="auto"/>
        <w:ind w:left="360" w:firstLine="454"/>
        <w:jc w:val="both"/>
        <w:rPr>
          <w:rFonts w:ascii="Arial" w:eastAsia="Times New Roman" w:hAnsi="Arial" w:cs="Arial"/>
          <w:sz w:val="24"/>
          <w:szCs w:val="24"/>
          <w:lang w:eastAsia="es-EC"/>
        </w:rPr>
      </w:pPr>
      <w:r w:rsidRPr="00C75919">
        <w:rPr>
          <w:rFonts w:ascii="Arial" w:eastAsia="Times New Roman" w:hAnsi="Arial" w:cs="Arial"/>
          <w:sz w:val="24"/>
          <w:szCs w:val="24"/>
          <w:lang w:eastAsia="es-EC"/>
        </w:rPr>
        <w:lastRenderedPageBreak/>
        <w:t xml:space="preserve">(iv) </w:t>
      </w:r>
      <w:r w:rsidRPr="00C75919">
        <w:rPr>
          <w:rFonts w:ascii="Arial" w:eastAsia="Times New Roman" w:hAnsi="Arial" w:cs="Arial"/>
          <w:bCs/>
          <w:iCs/>
          <w:sz w:val="24"/>
          <w:szCs w:val="24"/>
          <w:lang w:eastAsia="es-EC"/>
        </w:rPr>
        <w:t>otros compromisos</w:t>
      </w:r>
      <w:r w:rsidRPr="00C75919">
        <w:rPr>
          <w:rFonts w:ascii="Arial" w:eastAsia="Times New Roman" w:hAnsi="Arial" w:cs="Arial"/>
          <w:bCs/>
          <w:i/>
          <w:iCs/>
          <w:sz w:val="24"/>
          <w:szCs w:val="24"/>
          <w:lang w:eastAsia="es-EC"/>
        </w:rPr>
        <w:t xml:space="preserve">, </w:t>
      </w:r>
      <w:r w:rsidRPr="00C75919">
        <w:rPr>
          <w:rFonts w:ascii="Arial" w:eastAsia="Times New Roman" w:hAnsi="Arial" w:cs="Arial"/>
          <w:bCs/>
          <w:iCs/>
          <w:sz w:val="24"/>
          <w:szCs w:val="24"/>
          <w:lang w:eastAsia="es-EC"/>
        </w:rPr>
        <w:t xml:space="preserve">así como facilidades para la emisión de efectos y para la suscripción de créditos renovables. </w:t>
      </w:r>
    </w:p>
    <w:p w:rsidR="00A3014D" w:rsidRPr="00C75919" w:rsidRDefault="00A3014D" w:rsidP="00C75919">
      <w:pPr>
        <w:spacing w:after="0" w:line="360" w:lineRule="auto"/>
        <w:ind w:left="360" w:firstLine="454"/>
        <w:jc w:val="both"/>
        <w:rPr>
          <w:rFonts w:ascii="Arial" w:eastAsia="Times New Roman" w:hAnsi="Arial" w:cs="Arial"/>
          <w:sz w:val="24"/>
          <w:szCs w:val="24"/>
          <w:lang w:eastAsia="es-EC"/>
        </w:rPr>
      </w:pPr>
    </w:p>
    <w:p w:rsidR="00A3014D" w:rsidRPr="00C75919" w:rsidRDefault="00A3014D" w:rsidP="00C75919">
      <w:pPr>
        <w:spacing w:after="0" w:line="360" w:lineRule="auto"/>
        <w:ind w:firstLine="454"/>
        <w:jc w:val="both"/>
        <w:rPr>
          <w:rFonts w:ascii="Arial" w:eastAsia="Times New Roman" w:hAnsi="Arial" w:cs="Arial"/>
          <w:sz w:val="24"/>
          <w:szCs w:val="24"/>
          <w:lang w:eastAsia="es-EC"/>
        </w:rPr>
      </w:pPr>
      <w:smartTag w:uri="urn:schemas-microsoft-com:office:smarttags" w:element="PersonName">
        <w:smartTagPr>
          <w:attr w:name="ProductID" w:val="la NIC"/>
        </w:smartTagPr>
        <w:r w:rsidRPr="00C75919">
          <w:rPr>
            <w:rFonts w:ascii="Arial" w:eastAsia="Times New Roman" w:hAnsi="Arial" w:cs="Arial"/>
            <w:sz w:val="24"/>
            <w:szCs w:val="24"/>
            <w:lang w:eastAsia="es-EC"/>
          </w:rPr>
          <w:t>La NIC</w:t>
        </w:r>
      </w:smartTag>
      <w:r w:rsidRPr="00C75919">
        <w:rPr>
          <w:rFonts w:ascii="Arial" w:eastAsia="Times New Roman" w:hAnsi="Arial" w:cs="Arial"/>
          <w:sz w:val="24"/>
          <w:szCs w:val="24"/>
          <w:lang w:eastAsia="es-EC"/>
        </w:rPr>
        <w:t xml:space="preserve"> 37 </w:t>
      </w:r>
      <w:r w:rsidRPr="00C75919">
        <w:rPr>
          <w:rFonts w:ascii="Arial" w:eastAsia="Times New Roman" w:hAnsi="Arial" w:cs="Arial"/>
          <w:i/>
          <w:iCs/>
          <w:sz w:val="24"/>
          <w:szCs w:val="24"/>
          <w:lang w:eastAsia="es-EC"/>
        </w:rPr>
        <w:t>Provisiones, Activos Contingentes y Pasivos Contingentes</w:t>
      </w:r>
      <w:r w:rsidRPr="00C75919">
        <w:rPr>
          <w:rFonts w:ascii="Arial" w:eastAsia="Times New Roman" w:hAnsi="Arial" w:cs="Arial"/>
          <w:sz w:val="24"/>
          <w:szCs w:val="24"/>
          <w:lang w:eastAsia="es-EC"/>
        </w:rPr>
        <w:t>, trata con generalidad de la contabilización y la información financiera a revelar sobre los pasivos contingentes. Esta Norma es de particular relevancia para los bancos, puesto que éstos se ven envueltos a menudo en muchos tipos de pasivos contingentes y compromisos, algunos de ellos revocables y otros irrevocables, que son con frecuencia significativos en su importe y substancialmente mayores que los de otras entidades comerciales.</w:t>
      </w:r>
    </w:p>
    <w:p w:rsidR="00A3014D" w:rsidRPr="00C75919" w:rsidRDefault="00A3014D" w:rsidP="00C75919">
      <w:pPr>
        <w:spacing w:after="0" w:line="360" w:lineRule="auto"/>
        <w:ind w:firstLine="454"/>
        <w:jc w:val="both"/>
        <w:rPr>
          <w:rFonts w:ascii="Arial" w:eastAsia="Times New Roman" w:hAnsi="Arial" w:cs="Arial"/>
          <w:sz w:val="24"/>
          <w:szCs w:val="24"/>
          <w:lang w:eastAsia="es-EC"/>
        </w:rPr>
      </w:pPr>
      <w:r w:rsidRPr="00C75919">
        <w:rPr>
          <w:rFonts w:ascii="Arial" w:eastAsia="Times New Roman" w:hAnsi="Arial" w:cs="Arial"/>
          <w:sz w:val="24"/>
          <w:szCs w:val="24"/>
          <w:lang w:eastAsia="es-EC"/>
        </w:rPr>
        <w:t xml:space="preserve">Muchos bancos realizan transacciones que no se reconocen actualmente como activos o pasivos, pero dan lugar a contingencias y compromisos. Tales operaciones fuera de balance representan a menudo una parte importante de las operaciones del </w:t>
      </w:r>
      <w:r w:rsidRPr="00C75919">
        <w:rPr>
          <w:rFonts w:ascii="Arial" w:eastAsia="Times New Roman" w:hAnsi="Arial" w:cs="Arial"/>
          <w:bCs/>
          <w:sz w:val="24"/>
          <w:szCs w:val="24"/>
          <w:lang w:eastAsia="es-EC"/>
        </w:rPr>
        <w:t>banco</w:t>
      </w:r>
      <w:r w:rsidRPr="00C75919">
        <w:rPr>
          <w:rFonts w:ascii="Arial" w:eastAsia="Times New Roman" w:hAnsi="Arial" w:cs="Arial"/>
          <w:sz w:val="24"/>
          <w:szCs w:val="24"/>
          <w:lang w:eastAsia="es-EC"/>
        </w:rPr>
        <w:t>, y pueden tener un peso significativo en el nivel de riesgo al que la entidad está expuesta. Esas operaciones pueden acrecentar o reducir otros riesgos, por ejemplo en el caso de que cubran activos o pasivos del balance.</w:t>
      </w:r>
    </w:p>
    <w:p w:rsidR="00A3014D" w:rsidRPr="00C75919" w:rsidRDefault="00A3014D" w:rsidP="00C75919">
      <w:pPr>
        <w:spacing w:after="0" w:line="360" w:lineRule="auto"/>
        <w:ind w:firstLine="454"/>
        <w:jc w:val="both"/>
        <w:rPr>
          <w:rFonts w:ascii="Arial" w:eastAsia="Times New Roman" w:hAnsi="Arial" w:cs="Arial"/>
          <w:sz w:val="24"/>
          <w:szCs w:val="24"/>
          <w:lang w:eastAsia="es-EC"/>
        </w:rPr>
      </w:pPr>
      <w:r w:rsidRPr="00C75919">
        <w:rPr>
          <w:rFonts w:ascii="Arial" w:eastAsia="Times New Roman" w:hAnsi="Arial" w:cs="Arial"/>
          <w:sz w:val="24"/>
          <w:szCs w:val="24"/>
          <w:lang w:eastAsia="es-EC"/>
        </w:rPr>
        <w:t xml:space="preserve">Los usuarios de los </w:t>
      </w:r>
      <w:r w:rsidRPr="00C75919">
        <w:rPr>
          <w:rFonts w:ascii="Arial" w:eastAsia="Times New Roman" w:hAnsi="Arial" w:cs="Arial"/>
          <w:bCs/>
          <w:sz w:val="24"/>
          <w:szCs w:val="24"/>
          <w:lang w:eastAsia="es-EC"/>
        </w:rPr>
        <w:t>estados</w:t>
      </w:r>
      <w:r w:rsidRPr="00C75919">
        <w:rPr>
          <w:rFonts w:ascii="Arial" w:eastAsia="Times New Roman" w:hAnsi="Arial" w:cs="Arial"/>
          <w:sz w:val="24"/>
          <w:szCs w:val="24"/>
          <w:lang w:eastAsia="es-EC"/>
        </w:rPr>
        <w:t xml:space="preserve"> </w:t>
      </w:r>
      <w:r w:rsidRPr="00C75919">
        <w:rPr>
          <w:rFonts w:ascii="Arial" w:eastAsia="Times New Roman" w:hAnsi="Arial" w:cs="Arial"/>
          <w:bCs/>
          <w:sz w:val="24"/>
          <w:szCs w:val="24"/>
          <w:lang w:eastAsia="es-EC"/>
        </w:rPr>
        <w:t>financieros</w:t>
      </w:r>
      <w:r w:rsidRPr="00C75919">
        <w:rPr>
          <w:rFonts w:ascii="Arial" w:eastAsia="Times New Roman" w:hAnsi="Arial" w:cs="Arial"/>
          <w:sz w:val="24"/>
          <w:szCs w:val="24"/>
          <w:lang w:eastAsia="es-EC"/>
        </w:rPr>
        <w:t xml:space="preserve"> necesitan conocer acerca de las contingencias y los compromisos irrevocables del </w:t>
      </w:r>
      <w:r w:rsidRPr="00C75919">
        <w:rPr>
          <w:rFonts w:ascii="Arial" w:eastAsia="Times New Roman" w:hAnsi="Arial" w:cs="Arial"/>
          <w:bCs/>
          <w:sz w:val="24"/>
          <w:szCs w:val="24"/>
          <w:lang w:eastAsia="es-EC"/>
        </w:rPr>
        <w:t>banco</w:t>
      </w:r>
      <w:r w:rsidRPr="00C75919">
        <w:rPr>
          <w:rFonts w:ascii="Arial" w:eastAsia="Times New Roman" w:hAnsi="Arial" w:cs="Arial"/>
          <w:sz w:val="24"/>
          <w:szCs w:val="24"/>
          <w:lang w:eastAsia="es-EC"/>
        </w:rPr>
        <w:t xml:space="preserve">, a causa de las exigencias que pueden suponer sobre su liquidez y solvencia, así como por la posibilidad inherente de pérdidas potenciales. Los usuarios necesitan también información adecuada acerca de  la naturaleza e importe de las transacciones fuera de balance emprendidas por el </w:t>
      </w:r>
      <w:r w:rsidRPr="00C75919">
        <w:rPr>
          <w:rFonts w:ascii="Arial" w:eastAsia="Times New Roman" w:hAnsi="Arial" w:cs="Arial"/>
          <w:bCs/>
          <w:sz w:val="24"/>
          <w:szCs w:val="24"/>
          <w:lang w:eastAsia="es-EC"/>
        </w:rPr>
        <w:t>banco</w:t>
      </w:r>
      <w:r w:rsidRPr="00C75919">
        <w:rPr>
          <w:rFonts w:ascii="Arial" w:eastAsia="Times New Roman" w:hAnsi="Arial" w:cs="Arial"/>
          <w:sz w:val="24"/>
          <w:szCs w:val="24"/>
          <w:lang w:eastAsia="es-EC"/>
        </w:rPr>
        <w:t xml:space="preserve">. </w:t>
      </w:r>
    </w:p>
    <w:p w:rsidR="00A3014D" w:rsidRPr="00C75919" w:rsidRDefault="00A3014D" w:rsidP="00C75919">
      <w:pPr>
        <w:spacing w:after="0" w:line="360" w:lineRule="auto"/>
        <w:ind w:firstLine="454"/>
        <w:jc w:val="both"/>
        <w:rPr>
          <w:rFonts w:ascii="Arial" w:eastAsia="Times New Roman" w:hAnsi="Arial" w:cs="Arial"/>
          <w:bCs/>
          <w:sz w:val="24"/>
          <w:szCs w:val="24"/>
          <w:lang w:eastAsia="es-EC"/>
        </w:rPr>
      </w:pPr>
    </w:p>
    <w:p w:rsidR="00A3014D" w:rsidRPr="00C75919" w:rsidRDefault="00A3014D" w:rsidP="00C75919">
      <w:pPr>
        <w:spacing w:after="0" w:line="360" w:lineRule="auto"/>
        <w:ind w:firstLine="454"/>
        <w:jc w:val="both"/>
        <w:rPr>
          <w:rFonts w:ascii="Arial" w:eastAsia="Times New Roman" w:hAnsi="Arial" w:cs="Arial"/>
          <w:sz w:val="24"/>
          <w:szCs w:val="24"/>
          <w:lang w:eastAsia="es-EC"/>
        </w:rPr>
      </w:pPr>
      <w:r w:rsidRPr="00C75919">
        <w:rPr>
          <w:rFonts w:ascii="Arial" w:eastAsia="Times New Roman" w:hAnsi="Arial" w:cs="Arial"/>
          <w:bCs/>
          <w:sz w:val="24"/>
          <w:szCs w:val="24"/>
          <w:lang w:eastAsia="es-EC"/>
        </w:rPr>
        <w:t xml:space="preserve">Vencimientos de activos y pasivos </w:t>
      </w:r>
    </w:p>
    <w:p w:rsidR="00A3014D" w:rsidRPr="00C75919" w:rsidRDefault="00A3014D" w:rsidP="00C75919">
      <w:pPr>
        <w:spacing w:after="0" w:line="360" w:lineRule="auto"/>
        <w:ind w:firstLine="454"/>
        <w:jc w:val="both"/>
        <w:rPr>
          <w:rFonts w:ascii="Arial" w:eastAsia="Times New Roman" w:hAnsi="Arial" w:cs="Arial"/>
          <w:sz w:val="24"/>
          <w:szCs w:val="24"/>
          <w:lang w:eastAsia="es-EC"/>
        </w:rPr>
      </w:pPr>
    </w:p>
    <w:p w:rsidR="00A3014D" w:rsidRDefault="00A3014D" w:rsidP="00C75919">
      <w:pPr>
        <w:spacing w:after="0" w:line="360" w:lineRule="auto"/>
        <w:ind w:firstLine="454"/>
        <w:jc w:val="both"/>
        <w:rPr>
          <w:rFonts w:ascii="Arial" w:eastAsia="Times New Roman" w:hAnsi="Arial" w:cs="Arial"/>
          <w:bCs/>
          <w:iCs/>
          <w:sz w:val="24"/>
          <w:szCs w:val="24"/>
          <w:lang w:eastAsia="es-EC"/>
        </w:rPr>
      </w:pPr>
      <w:r w:rsidRPr="00C75919">
        <w:rPr>
          <w:rFonts w:ascii="Arial" w:eastAsia="Times New Roman" w:hAnsi="Arial" w:cs="Arial"/>
          <w:bCs/>
          <w:iCs/>
          <w:sz w:val="24"/>
          <w:szCs w:val="24"/>
          <w:lang w:eastAsia="es-EC"/>
        </w:rPr>
        <w:t>El banco debe revelar información, efectuando una clasificación de sus activos y pasivos según agrupaciones significativas de plazos de vencimiento, basadas en</w:t>
      </w:r>
      <w:r w:rsidRPr="00C75919">
        <w:rPr>
          <w:rFonts w:ascii="Arial" w:eastAsia="Times New Roman" w:hAnsi="Arial" w:cs="Arial"/>
          <w:sz w:val="24"/>
          <w:szCs w:val="24"/>
          <w:lang w:eastAsia="es-EC"/>
        </w:rPr>
        <w:t xml:space="preserve"> </w:t>
      </w:r>
      <w:r w:rsidRPr="00C75919">
        <w:rPr>
          <w:rFonts w:ascii="Arial" w:eastAsia="Times New Roman" w:hAnsi="Arial" w:cs="Arial"/>
          <w:bCs/>
          <w:iCs/>
          <w:sz w:val="24"/>
          <w:szCs w:val="24"/>
          <w:lang w:eastAsia="es-EC"/>
        </w:rPr>
        <w:t>los periodos que resten entre la fecha del balance y la fecha contractual de</w:t>
      </w:r>
      <w:r w:rsidRPr="00C75919">
        <w:rPr>
          <w:rFonts w:ascii="Arial" w:eastAsia="Times New Roman" w:hAnsi="Arial" w:cs="Arial"/>
          <w:sz w:val="24"/>
          <w:szCs w:val="24"/>
          <w:lang w:eastAsia="es-EC"/>
        </w:rPr>
        <w:t xml:space="preserve"> </w:t>
      </w:r>
      <w:r w:rsidRPr="00C75919">
        <w:rPr>
          <w:rFonts w:ascii="Arial" w:eastAsia="Times New Roman" w:hAnsi="Arial" w:cs="Arial"/>
          <w:bCs/>
          <w:iCs/>
          <w:sz w:val="24"/>
          <w:szCs w:val="24"/>
          <w:lang w:eastAsia="es-EC"/>
        </w:rPr>
        <w:t xml:space="preserve">vencimiento de los mismos. </w:t>
      </w:r>
    </w:p>
    <w:p w:rsidR="00577B8D" w:rsidRPr="00C75919" w:rsidRDefault="00577B8D" w:rsidP="00C75919">
      <w:pPr>
        <w:spacing w:after="0" w:line="360" w:lineRule="auto"/>
        <w:ind w:firstLine="454"/>
        <w:jc w:val="both"/>
        <w:rPr>
          <w:rFonts w:ascii="Arial" w:eastAsia="Times New Roman" w:hAnsi="Arial" w:cs="Arial"/>
          <w:sz w:val="24"/>
          <w:szCs w:val="24"/>
          <w:lang w:eastAsia="es-EC"/>
        </w:rPr>
      </w:pPr>
    </w:p>
    <w:p w:rsidR="00A3014D" w:rsidRPr="00C75919" w:rsidRDefault="00A3014D" w:rsidP="00C75919">
      <w:pPr>
        <w:spacing w:after="0" w:line="360" w:lineRule="auto"/>
        <w:ind w:firstLine="454"/>
        <w:jc w:val="both"/>
        <w:rPr>
          <w:rFonts w:ascii="Arial" w:eastAsia="Times New Roman" w:hAnsi="Arial" w:cs="Arial"/>
          <w:sz w:val="24"/>
          <w:szCs w:val="24"/>
          <w:lang w:eastAsia="es-EC"/>
        </w:rPr>
      </w:pPr>
      <w:r w:rsidRPr="00C75919">
        <w:rPr>
          <w:rFonts w:ascii="Arial" w:eastAsia="Times New Roman" w:hAnsi="Arial" w:cs="Arial"/>
          <w:sz w:val="24"/>
          <w:szCs w:val="24"/>
          <w:lang w:eastAsia="es-EC"/>
        </w:rPr>
        <w:lastRenderedPageBreak/>
        <w:t xml:space="preserve">La concordancia, o bien la falta de concordancia debidamente controlada, de los vencimientos de los intereses y del principal de los activos y pasivos, es fundamental para la gestión del </w:t>
      </w:r>
      <w:r w:rsidRPr="00C75919">
        <w:rPr>
          <w:rFonts w:ascii="Arial" w:eastAsia="Times New Roman" w:hAnsi="Arial" w:cs="Arial"/>
          <w:bCs/>
          <w:sz w:val="24"/>
          <w:szCs w:val="24"/>
          <w:lang w:eastAsia="es-EC"/>
        </w:rPr>
        <w:t>banco</w:t>
      </w:r>
      <w:r w:rsidRPr="00C75919">
        <w:rPr>
          <w:rFonts w:ascii="Arial" w:eastAsia="Times New Roman" w:hAnsi="Arial" w:cs="Arial"/>
          <w:sz w:val="24"/>
          <w:szCs w:val="24"/>
          <w:lang w:eastAsia="es-EC"/>
        </w:rPr>
        <w:t xml:space="preserve">. No es usual, en el caso de los bancos, tratar de sincronizar completamente los vencimientos, porque las operaciones acordadas son a menudo de plazo no definido y de tipos muy distintos. Una situación de falta de concordancia temporal puede mejorar potencialmente el rendimiento, pero también incrementar el riesgo de pérdidas. </w:t>
      </w:r>
    </w:p>
    <w:p w:rsidR="00A3014D" w:rsidRDefault="00A3014D" w:rsidP="00C75919">
      <w:pPr>
        <w:spacing w:after="0" w:line="360" w:lineRule="auto"/>
        <w:ind w:firstLine="454"/>
        <w:jc w:val="both"/>
        <w:rPr>
          <w:rFonts w:ascii="Arial" w:eastAsia="Times New Roman" w:hAnsi="Arial" w:cs="Arial"/>
          <w:sz w:val="24"/>
          <w:szCs w:val="24"/>
          <w:lang w:eastAsia="es-EC"/>
        </w:rPr>
      </w:pPr>
      <w:r w:rsidRPr="00C75919">
        <w:rPr>
          <w:rFonts w:ascii="Arial" w:eastAsia="Times New Roman" w:hAnsi="Arial" w:cs="Arial"/>
          <w:sz w:val="24"/>
          <w:szCs w:val="24"/>
          <w:lang w:eastAsia="es-EC"/>
        </w:rPr>
        <w:t xml:space="preserve">Los vencimientos de los activos y pasivos, así como la posibilidad de reemplazar, a un interés aceptable, los pasivos con costo según llega el vencimiento, son factores importantes al valorar la liquidez de un </w:t>
      </w:r>
      <w:r w:rsidRPr="00C75919">
        <w:rPr>
          <w:rFonts w:ascii="Arial" w:eastAsia="Times New Roman" w:hAnsi="Arial" w:cs="Arial"/>
          <w:bCs/>
          <w:sz w:val="24"/>
          <w:szCs w:val="24"/>
          <w:lang w:eastAsia="es-EC"/>
        </w:rPr>
        <w:t>banco</w:t>
      </w:r>
      <w:r w:rsidRPr="00C75919">
        <w:rPr>
          <w:rFonts w:ascii="Arial" w:eastAsia="Times New Roman" w:hAnsi="Arial" w:cs="Arial"/>
          <w:sz w:val="24"/>
          <w:szCs w:val="24"/>
          <w:lang w:eastAsia="es-EC"/>
        </w:rPr>
        <w:t xml:space="preserve"> y su exposición a las modificaciones en las tasas de interés y de cambio. A fin de proporcionar información de carácter relevante para la medición de su liquidez, los bancos realizarán y revelarán información que, como mínimo, contenga un análisis de los activos y pasivos, agrupándolos en función de sus plazos de vencimiento. </w:t>
      </w:r>
    </w:p>
    <w:p w:rsidR="00577B8D" w:rsidRPr="00C75919" w:rsidRDefault="00577B8D" w:rsidP="00C75919">
      <w:pPr>
        <w:spacing w:after="0" w:line="360" w:lineRule="auto"/>
        <w:ind w:firstLine="454"/>
        <w:jc w:val="both"/>
        <w:rPr>
          <w:rFonts w:ascii="Arial" w:eastAsia="Times New Roman" w:hAnsi="Arial" w:cs="Arial"/>
          <w:sz w:val="24"/>
          <w:szCs w:val="24"/>
          <w:lang w:eastAsia="es-EC"/>
        </w:rPr>
      </w:pPr>
    </w:p>
    <w:p w:rsidR="00A3014D" w:rsidRPr="00C75919" w:rsidRDefault="00A3014D" w:rsidP="00C75919">
      <w:pPr>
        <w:spacing w:after="0" w:line="360" w:lineRule="auto"/>
        <w:ind w:firstLine="454"/>
        <w:jc w:val="both"/>
        <w:rPr>
          <w:rFonts w:ascii="Arial" w:eastAsia="Times New Roman" w:hAnsi="Arial" w:cs="Arial"/>
          <w:sz w:val="24"/>
          <w:szCs w:val="24"/>
          <w:lang w:eastAsia="es-EC"/>
        </w:rPr>
      </w:pPr>
      <w:r w:rsidRPr="00C75919">
        <w:rPr>
          <w:rFonts w:ascii="Arial" w:eastAsia="Times New Roman" w:hAnsi="Arial" w:cs="Arial"/>
          <w:sz w:val="24"/>
          <w:szCs w:val="24"/>
          <w:lang w:eastAsia="es-EC"/>
        </w:rPr>
        <w:t xml:space="preserve">Las formas de agrupar los activos y pasivos, en función de su vencimiento, difieren entre bancos, así como entre cada partida particular de activo o pasivo. Ejemplo de plazos de vencimiento usados para las agrupaciones son los siguientes: </w:t>
      </w:r>
    </w:p>
    <w:p w:rsidR="00A3014D" w:rsidRPr="00C75919" w:rsidRDefault="00A3014D" w:rsidP="00C75919">
      <w:pPr>
        <w:spacing w:after="0" w:line="360" w:lineRule="auto"/>
        <w:ind w:left="360" w:firstLine="454"/>
        <w:jc w:val="both"/>
        <w:rPr>
          <w:rFonts w:ascii="Arial" w:eastAsia="Times New Roman" w:hAnsi="Arial" w:cs="Arial"/>
          <w:sz w:val="24"/>
          <w:szCs w:val="24"/>
          <w:lang w:eastAsia="es-EC"/>
        </w:rPr>
      </w:pPr>
    </w:p>
    <w:p w:rsidR="00A3014D" w:rsidRPr="00C75919" w:rsidRDefault="00A3014D" w:rsidP="00C75919">
      <w:pPr>
        <w:spacing w:after="0" w:line="360" w:lineRule="auto"/>
        <w:ind w:left="360" w:firstLine="454"/>
        <w:jc w:val="both"/>
        <w:rPr>
          <w:rFonts w:ascii="Arial" w:eastAsia="Times New Roman" w:hAnsi="Arial" w:cs="Arial"/>
          <w:sz w:val="24"/>
          <w:szCs w:val="24"/>
          <w:lang w:eastAsia="es-EC"/>
        </w:rPr>
      </w:pPr>
      <w:r w:rsidRPr="00C75919">
        <w:rPr>
          <w:rFonts w:ascii="Arial" w:eastAsia="Times New Roman" w:hAnsi="Arial" w:cs="Arial"/>
          <w:sz w:val="24"/>
          <w:szCs w:val="24"/>
          <w:lang w:eastAsia="es-EC"/>
        </w:rPr>
        <w:t>(a) hasta 1 mes;</w:t>
      </w:r>
    </w:p>
    <w:p w:rsidR="00A3014D" w:rsidRPr="00C75919" w:rsidRDefault="00A3014D" w:rsidP="00C75919">
      <w:pPr>
        <w:spacing w:after="0" w:line="360" w:lineRule="auto"/>
        <w:ind w:left="360" w:firstLine="454"/>
        <w:jc w:val="both"/>
        <w:rPr>
          <w:rFonts w:ascii="Arial" w:eastAsia="Times New Roman" w:hAnsi="Arial" w:cs="Arial"/>
          <w:sz w:val="24"/>
          <w:szCs w:val="24"/>
          <w:lang w:eastAsia="es-EC"/>
        </w:rPr>
      </w:pPr>
      <w:r w:rsidRPr="00C75919">
        <w:rPr>
          <w:rFonts w:ascii="Arial" w:eastAsia="Times New Roman" w:hAnsi="Arial" w:cs="Arial"/>
          <w:sz w:val="24"/>
          <w:szCs w:val="24"/>
          <w:lang w:eastAsia="es-EC"/>
        </w:rPr>
        <w:t xml:space="preserve">(b) entre 1 y 3 meses; </w:t>
      </w:r>
    </w:p>
    <w:p w:rsidR="00A3014D" w:rsidRPr="00C75919" w:rsidRDefault="00A3014D" w:rsidP="00C75919">
      <w:pPr>
        <w:spacing w:after="0" w:line="360" w:lineRule="auto"/>
        <w:ind w:left="360" w:firstLine="454"/>
        <w:jc w:val="both"/>
        <w:rPr>
          <w:rFonts w:ascii="Arial" w:eastAsia="Times New Roman" w:hAnsi="Arial" w:cs="Arial"/>
          <w:sz w:val="24"/>
          <w:szCs w:val="24"/>
          <w:lang w:eastAsia="es-EC"/>
        </w:rPr>
      </w:pPr>
      <w:r w:rsidRPr="00C75919">
        <w:rPr>
          <w:rFonts w:ascii="Arial" w:eastAsia="Times New Roman" w:hAnsi="Arial" w:cs="Arial"/>
          <w:sz w:val="24"/>
          <w:szCs w:val="24"/>
          <w:lang w:eastAsia="es-EC"/>
        </w:rPr>
        <w:t xml:space="preserve">(c) entre 3 meses y 1 año; </w:t>
      </w:r>
    </w:p>
    <w:p w:rsidR="00A3014D" w:rsidRPr="00C75919" w:rsidRDefault="00A3014D" w:rsidP="00C75919">
      <w:pPr>
        <w:spacing w:after="0" w:line="360" w:lineRule="auto"/>
        <w:ind w:left="360" w:firstLine="454"/>
        <w:jc w:val="both"/>
        <w:rPr>
          <w:rFonts w:ascii="Arial" w:eastAsia="Times New Roman" w:hAnsi="Arial" w:cs="Arial"/>
          <w:sz w:val="24"/>
          <w:szCs w:val="24"/>
          <w:lang w:eastAsia="es-EC"/>
        </w:rPr>
      </w:pPr>
      <w:r w:rsidRPr="00C75919">
        <w:rPr>
          <w:rFonts w:ascii="Arial" w:eastAsia="Times New Roman" w:hAnsi="Arial" w:cs="Arial"/>
          <w:sz w:val="24"/>
          <w:szCs w:val="24"/>
          <w:lang w:eastAsia="es-EC"/>
        </w:rPr>
        <w:t xml:space="preserve">(d) entre 1 y 5 años; y </w:t>
      </w:r>
    </w:p>
    <w:p w:rsidR="00A3014D" w:rsidRPr="00C75919" w:rsidRDefault="00A3014D" w:rsidP="00C75919">
      <w:pPr>
        <w:spacing w:after="0" w:line="360" w:lineRule="auto"/>
        <w:ind w:left="360" w:firstLine="454"/>
        <w:jc w:val="both"/>
        <w:rPr>
          <w:rFonts w:ascii="Arial" w:eastAsia="Times New Roman" w:hAnsi="Arial" w:cs="Arial"/>
          <w:sz w:val="24"/>
          <w:szCs w:val="24"/>
          <w:lang w:eastAsia="es-EC"/>
        </w:rPr>
      </w:pPr>
      <w:r w:rsidRPr="00C75919">
        <w:rPr>
          <w:rFonts w:ascii="Arial" w:eastAsia="Times New Roman" w:hAnsi="Arial" w:cs="Arial"/>
          <w:sz w:val="24"/>
          <w:szCs w:val="24"/>
          <w:lang w:eastAsia="es-EC"/>
        </w:rPr>
        <w:t xml:space="preserve">(e) de 5 años en adelante. </w:t>
      </w:r>
    </w:p>
    <w:p w:rsidR="00A3014D" w:rsidRPr="00C75919" w:rsidRDefault="00A3014D" w:rsidP="00C75919">
      <w:pPr>
        <w:spacing w:after="0" w:line="360" w:lineRule="auto"/>
        <w:ind w:left="360" w:firstLine="454"/>
        <w:jc w:val="both"/>
        <w:rPr>
          <w:rFonts w:ascii="Arial" w:eastAsia="Times New Roman" w:hAnsi="Arial" w:cs="Arial"/>
          <w:sz w:val="24"/>
          <w:szCs w:val="24"/>
          <w:lang w:eastAsia="es-EC"/>
        </w:rPr>
      </w:pPr>
    </w:p>
    <w:p w:rsidR="00A3014D" w:rsidRDefault="00A3014D" w:rsidP="00C75919">
      <w:pPr>
        <w:spacing w:after="0" w:line="360" w:lineRule="auto"/>
        <w:ind w:firstLine="454"/>
        <w:jc w:val="both"/>
        <w:rPr>
          <w:rFonts w:ascii="Arial" w:eastAsia="Times New Roman" w:hAnsi="Arial" w:cs="Arial"/>
          <w:sz w:val="24"/>
          <w:szCs w:val="24"/>
          <w:lang w:eastAsia="es-EC"/>
        </w:rPr>
      </w:pPr>
      <w:r w:rsidRPr="00C75919">
        <w:rPr>
          <w:rFonts w:ascii="Arial" w:eastAsia="Times New Roman" w:hAnsi="Arial" w:cs="Arial"/>
          <w:sz w:val="24"/>
          <w:szCs w:val="24"/>
          <w:lang w:eastAsia="es-EC"/>
        </w:rPr>
        <w:t xml:space="preserve">Frecuentemente, estos periodos se combinan, por ejemplo, para el caso de préstamos y anticipos de préstamos, agrupándolos en vencimientos antes de un año y después de esta fecha. Cuando los reembolsos se escalonan a </w:t>
      </w:r>
      <w:r w:rsidRPr="00C75919">
        <w:rPr>
          <w:rFonts w:ascii="Arial" w:eastAsia="Times New Roman" w:hAnsi="Arial" w:cs="Arial"/>
          <w:sz w:val="24"/>
          <w:szCs w:val="24"/>
          <w:lang w:eastAsia="es-EC"/>
        </w:rPr>
        <w:lastRenderedPageBreak/>
        <w:t xml:space="preserve">lo largo de un intervalo grande de tiempo, cada pago periódico se asigna al periodo en el que se ha convenido contractualmente, o bien al periodo en que se espera recibir el cobro o hacer el pago. </w:t>
      </w:r>
    </w:p>
    <w:p w:rsidR="00577B8D" w:rsidRPr="00C75919" w:rsidRDefault="00577B8D" w:rsidP="00C75919">
      <w:pPr>
        <w:spacing w:after="0" w:line="360" w:lineRule="auto"/>
        <w:ind w:firstLine="454"/>
        <w:jc w:val="both"/>
        <w:rPr>
          <w:rFonts w:ascii="Arial" w:eastAsia="Times New Roman" w:hAnsi="Arial" w:cs="Arial"/>
          <w:sz w:val="24"/>
          <w:szCs w:val="24"/>
          <w:lang w:eastAsia="es-EC"/>
        </w:rPr>
      </w:pPr>
    </w:p>
    <w:p w:rsidR="00A3014D" w:rsidRPr="00C75919" w:rsidRDefault="00A3014D" w:rsidP="00C75919">
      <w:pPr>
        <w:spacing w:after="0" w:line="360" w:lineRule="auto"/>
        <w:ind w:firstLine="454"/>
        <w:jc w:val="both"/>
        <w:rPr>
          <w:rFonts w:ascii="Arial" w:eastAsia="Times New Roman" w:hAnsi="Arial" w:cs="Arial"/>
          <w:sz w:val="24"/>
          <w:szCs w:val="24"/>
          <w:lang w:eastAsia="es-EC"/>
        </w:rPr>
      </w:pPr>
      <w:r w:rsidRPr="00C75919">
        <w:rPr>
          <w:rFonts w:ascii="Arial" w:eastAsia="Times New Roman" w:hAnsi="Arial" w:cs="Arial"/>
          <w:sz w:val="24"/>
          <w:szCs w:val="24"/>
          <w:lang w:eastAsia="es-EC"/>
        </w:rPr>
        <w:t xml:space="preserve">Es esencial que los plazos de vencimiento adoptados por el </w:t>
      </w:r>
      <w:r w:rsidRPr="00C75919">
        <w:rPr>
          <w:rFonts w:ascii="Arial" w:eastAsia="Times New Roman" w:hAnsi="Arial" w:cs="Arial"/>
          <w:bCs/>
          <w:sz w:val="24"/>
          <w:szCs w:val="24"/>
          <w:lang w:eastAsia="es-EC"/>
        </w:rPr>
        <w:t>banco</w:t>
      </w:r>
      <w:r w:rsidRPr="00C75919">
        <w:rPr>
          <w:rFonts w:ascii="Arial" w:eastAsia="Times New Roman" w:hAnsi="Arial" w:cs="Arial"/>
          <w:sz w:val="24"/>
          <w:szCs w:val="24"/>
          <w:lang w:eastAsia="es-EC"/>
        </w:rPr>
        <w:t xml:space="preserve"> sean los mismos para las partidas de activo y las de pasivo. Con ello se deja claro la medida en la cual concuerdan los importes para cada plazo de vencimiento, con la consiguiente dependencia del </w:t>
      </w:r>
      <w:r w:rsidRPr="00C75919">
        <w:rPr>
          <w:rFonts w:ascii="Arial" w:eastAsia="Times New Roman" w:hAnsi="Arial" w:cs="Arial"/>
          <w:bCs/>
          <w:sz w:val="24"/>
          <w:szCs w:val="24"/>
          <w:lang w:eastAsia="es-EC"/>
        </w:rPr>
        <w:t>banco</w:t>
      </w:r>
      <w:r w:rsidRPr="00C75919">
        <w:rPr>
          <w:rFonts w:ascii="Arial" w:eastAsia="Times New Roman" w:hAnsi="Arial" w:cs="Arial"/>
          <w:sz w:val="24"/>
          <w:szCs w:val="24"/>
          <w:lang w:eastAsia="es-EC"/>
        </w:rPr>
        <w:t xml:space="preserve"> de otras fuentes de liquidez en caso de falta de correspondencia. </w:t>
      </w:r>
    </w:p>
    <w:p w:rsidR="00A3014D" w:rsidRPr="00C75919" w:rsidRDefault="00A3014D" w:rsidP="00C75919">
      <w:pPr>
        <w:spacing w:after="0" w:line="360" w:lineRule="auto"/>
        <w:ind w:firstLine="454"/>
        <w:jc w:val="both"/>
        <w:rPr>
          <w:rFonts w:ascii="Arial" w:eastAsia="Times New Roman" w:hAnsi="Arial" w:cs="Arial"/>
          <w:sz w:val="24"/>
          <w:szCs w:val="24"/>
          <w:lang w:eastAsia="es-EC"/>
        </w:rPr>
      </w:pPr>
      <w:r w:rsidRPr="00C75919">
        <w:rPr>
          <w:rFonts w:ascii="Arial" w:eastAsia="Times New Roman" w:hAnsi="Arial" w:cs="Arial"/>
          <w:sz w:val="24"/>
          <w:szCs w:val="24"/>
          <w:lang w:eastAsia="es-EC"/>
        </w:rPr>
        <w:t xml:space="preserve">Los vencimientos pueden ser expresados en términos de: </w:t>
      </w:r>
    </w:p>
    <w:p w:rsidR="00A3014D" w:rsidRPr="00C75919" w:rsidRDefault="00A3014D" w:rsidP="00C75919">
      <w:pPr>
        <w:spacing w:after="0" w:line="360" w:lineRule="auto"/>
        <w:ind w:left="360" w:firstLine="454"/>
        <w:jc w:val="both"/>
        <w:rPr>
          <w:rFonts w:ascii="Arial" w:eastAsia="Times New Roman" w:hAnsi="Arial" w:cs="Arial"/>
          <w:sz w:val="24"/>
          <w:szCs w:val="24"/>
          <w:lang w:eastAsia="es-EC"/>
        </w:rPr>
      </w:pPr>
    </w:p>
    <w:p w:rsidR="00A3014D" w:rsidRPr="00C75919" w:rsidRDefault="00A3014D" w:rsidP="00C75919">
      <w:pPr>
        <w:spacing w:after="0" w:line="360" w:lineRule="auto"/>
        <w:ind w:left="360" w:firstLine="454"/>
        <w:jc w:val="both"/>
        <w:rPr>
          <w:rFonts w:ascii="Arial" w:eastAsia="Times New Roman" w:hAnsi="Arial" w:cs="Arial"/>
          <w:sz w:val="24"/>
          <w:szCs w:val="24"/>
          <w:lang w:eastAsia="es-EC"/>
        </w:rPr>
      </w:pPr>
      <w:r w:rsidRPr="00C75919">
        <w:rPr>
          <w:rFonts w:ascii="Arial" w:eastAsia="Times New Roman" w:hAnsi="Arial" w:cs="Arial"/>
          <w:sz w:val="24"/>
          <w:szCs w:val="24"/>
          <w:lang w:eastAsia="es-EC"/>
        </w:rPr>
        <w:t xml:space="preserve">(a) el plazo que falta hasta el momento del reembolso; </w:t>
      </w:r>
    </w:p>
    <w:p w:rsidR="00A3014D" w:rsidRPr="00C75919" w:rsidRDefault="00A3014D" w:rsidP="00C75919">
      <w:pPr>
        <w:spacing w:after="0" w:line="360" w:lineRule="auto"/>
        <w:ind w:left="360" w:firstLine="454"/>
        <w:jc w:val="both"/>
        <w:rPr>
          <w:rFonts w:ascii="Arial" w:eastAsia="Times New Roman" w:hAnsi="Arial" w:cs="Arial"/>
          <w:sz w:val="24"/>
          <w:szCs w:val="24"/>
          <w:lang w:eastAsia="es-EC"/>
        </w:rPr>
      </w:pPr>
      <w:r w:rsidRPr="00C75919">
        <w:rPr>
          <w:rFonts w:ascii="Arial" w:eastAsia="Times New Roman" w:hAnsi="Arial" w:cs="Arial"/>
          <w:sz w:val="24"/>
          <w:szCs w:val="24"/>
          <w:lang w:eastAsia="es-EC"/>
        </w:rPr>
        <w:t>(b) el plazo original hasta el momento del reembolso; o</w:t>
      </w:r>
    </w:p>
    <w:p w:rsidR="00A3014D" w:rsidRPr="00C75919" w:rsidRDefault="00A3014D" w:rsidP="00C75919">
      <w:pPr>
        <w:spacing w:after="0" w:line="360" w:lineRule="auto"/>
        <w:ind w:left="360" w:firstLine="454"/>
        <w:jc w:val="both"/>
        <w:rPr>
          <w:rFonts w:ascii="Arial" w:eastAsia="Times New Roman" w:hAnsi="Arial" w:cs="Arial"/>
          <w:sz w:val="24"/>
          <w:szCs w:val="24"/>
          <w:lang w:eastAsia="es-EC"/>
        </w:rPr>
      </w:pPr>
      <w:r w:rsidRPr="00C75919">
        <w:rPr>
          <w:rFonts w:ascii="Arial" w:eastAsia="Times New Roman" w:hAnsi="Arial" w:cs="Arial"/>
          <w:sz w:val="24"/>
          <w:szCs w:val="24"/>
          <w:lang w:eastAsia="es-EC"/>
        </w:rPr>
        <w:t xml:space="preserve">(c) el plazo que ha de transcurrir hasta la próxima fecha en que las tasas de interés puedan ser cambiadas. </w:t>
      </w:r>
    </w:p>
    <w:p w:rsidR="00A3014D" w:rsidRPr="00C75919" w:rsidRDefault="00A3014D" w:rsidP="00C75919">
      <w:pPr>
        <w:spacing w:after="0" w:line="360" w:lineRule="auto"/>
        <w:ind w:left="360" w:firstLine="454"/>
        <w:jc w:val="both"/>
        <w:rPr>
          <w:rFonts w:ascii="Arial" w:eastAsia="Times New Roman" w:hAnsi="Arial" w:cs="Arial"/>
          <w:sz w:val="24"/>
          <w:szCs w:val="24"/>
          <w:lang w:eastAsia="es-EC"/>
        </w:rPr>
      </w:pPr>
    </w:p>
    <w:p w:rsidR="00A3014D" w:rsidRPr="00C75919" w:rsidRDefault="00A3014D" w:rsidP="00C75919">
      <w:pPr>
        <w:spacing w:after="0" w:line="360" w:lineRule="auto"/>
        <w:ind w:firstLine="454"/>
        <w:jc w:val="both"/>
        <w:rPr>
          <w:rFonts w:ascii="Arial" w:eastAsia="Times New Roman" w:hAnsi="Arial" w:cs="Arial"/>
          <w:sz w:val="24"/>
          <w:szCs w:val="24"/>
          <w:lang w:eastAsia="es-EC"/>
        </w:rPr>
      </w:pPr>
      <w:r w:rsidRPr="00C75919">
        <w:rPr>
          <w:rFonts w:ascii="Arial" w:eastAsia="Times New Roman" w:hAnsi="Arial" w:cs="Arial"/>
          <w:sz w:val="24"/>
          <w:szCs w:val="24"/>
          <w:lang w:eastAsia="es-EC"/>
        </w:rPr>
        <w:t xml:space="preserve">El análisis de las partidas de activo y pasivo, según los plazos que faltan hasta el reembolso, suministra la mejor base para evaluar la liquidez del </w:t>
      </w:r>
      <w:r w:rsidRPr="00C75919">
        <w:rPr>
          <w:rFonts w:ascii="Arial" w:eastAsia="Times New Roman" w:hAnsi="Arial" w:cs="Arial"/>
          <w:bCs/>
          <w:sz w:val="24"/>
          <w:szCs w:val="24"/>
          <w:lang w:eastAsia="es-EC"/>
        </w:rPr>
        <w:t>banco</w:t>
      </w:r>
      <w:r w:rsidRPr="00C75919">
        <w:rPr>
          <w:rFonts w:ascii="Arial" w:eastAsia="Times New Roman" w:hAnsi="Arial" w:cs="Arial"/>
          <w:sz w:val="24"/>
          <w:szCs w:val="24"/>
          <w:lang w:eastAsia="es-EC"/>
        </w:rPr>
        <w:t xml:space="preserve">. Un </w:t>
      </w:r>
      <w:r w:rsidRPr="00C75919">
        <w:rPr>
          <w:rFonts w:ascii="Arial" w:eastAsia="Times New Roman" w:hAnsi="Arial" w:cs="Arial"/>
          <w:bCs/>
          <w:sz w:val="24"/>
          <w:szCs w:val="24"/>
          <w:lang w:eastAsia="es-EC"/>
        </w:rPr>
        <w:t>banco</w:t>
      </w:r>
      <w:r w:rsidRPr="00C75919">
        <w:rPr>
          <w:rFonts w:ascii="Arial" w:eastAsia="Times New Roman" w:hAnsi="Arial" w:cs="Arial"/>
          <w:sz w:val="24"/>
          <w:szCs w:val="24"/>
          <w:lang w:eastAsia="es-EC"/>
        </w:rPr>
        <w:t xml:space="preserve"> también puede revelar información sobre los vencimientos a partir de las condiciones originales de reembolso, a fin de suministrar información sobre su estrategia de financiación y operativa. Además, el </w:t>
      </w:r>
      <w:r w:rsidRPr="00C75919">
        <w:rPr>
          <w:rFonts w:ascii="Arial" w:eastAsia="Times New Roman" w:hAnsi="Arial" w:cs="Arial"/>
          <w:bCs/>
          <w:sz w:val="24"/>
          <w:szCs w:val="24"/>
          <w:lang w:eastAsia="es-EC"/>
        </w:rPr>
        <w:t>banco</w:t>
      </w:r>
      <w:r w:rsidRPr="00C75919">
        <w:rPr>
          <w:rFonts w:ascii="Arial" w:eastAsia="Times New Roman" w:hAnsi="Arial" w:cs="Arial"/>
          <w:sz w:val="24"/>
          <w:szCs w:val="24"/>
          <w:lang w:eastAsia="es-EC"/>
        </w:rPr>
        <w:t xml:space="preserve"> puede revelar información sobre las agrupaciones según plazos de vencimiento, tomando como base el plazo que debe transcurrir hasta que puedan cambiarse las condiciones de tasas de interés, a fin de mostrar su exposición al riesgo de cambio en las tasas. La gerencia puede también suministrar, en su comentario sobre los </w:t>
      </w:r>
      <w:r w:rsidRPr="00C75919">
        <w:rPr>
          <w:rFonts w:ascii="Arial" w:eastAsia="Times New Roman" w:hAnsi="Arial" w:cs="Arial"/>
          <w:bCs/>
          <w:sz w:val="24"/>
          <w:szCs w:val="24"/>
          <w:lang w:eastAsia="es-EC"/>
        </w:rPr>
        <w:t>estados</w:t>
      </w:r>
      <w:r w:rsidRPr="00C75919">
        <w:rPr>
          <w:rFonts w:ascii="Arial" w:eastAsia="Times New Roman" w:hAnsi="Arial" w:cs="Arial"/>
          <w:sz w:val="24"/>
          <w:szCs w:val="24"/>
          <w:lang w:eastAsia="es-EC"/>
        </w:rPr>
        <w:t xml:space="preserve"> </w:t>
      </w:r>
      <w:r w:rsidRPr="00C75919">
        <w:rPr>
          <w:rFonts w:ascii="Arial" w:eastAsia="Times New Roman" w:hAnsi="Arial" w:cs="Arial"/>
          <w:bCs/>
          <w:sz w:val="24"/>
          <w:szCs w:val="24"/>
          <w:lang w:eastAsia="es-EC"/>
        </w:rPr>
        <w:t>financieros</w:t>
      </w:r>
      <w:r w:rsidRPr="00C75919">
        <w:rPr>
          <w:rFonts w:ascii="Arial" w:eastAsia="Times New Roman" w:hAnsi="Arial" w:cs="Arial"/>
          <w:sz w:val="24"/>
          <w:szCs w:val="24"/>
          <w:lang w:eastAsia="es-EC"/>
        </w:rPr>
        <w:t xml:space="preserve">, información acerca de la exposición al riesgo de cambio en las tasas de interés, así como sobre la manera de gestionar y controlar tal exposición. </w:t>
      </w:r>
    </w:p>
    <w:p w:rsidR="00A3014D" w:rsidRPr="00C75919" w:rsidRDefault="00A3014D" w:rsidP="00C75919">
      <w:pPr>
        <w:spacing w:after="0" w:line="360" w:lineRule="auto"/>
        <w:ind w:firstLine="454"/>
        <w:jc w:val="both"/>
        <w:rPr>
          <w:rFonts w:ascii="Arial" w:eastAsia="Times New Roman" w:hAnsi="Arial" w:cs="Arial"/>
          <w:sz w:val="24"/>
          <w:szCs w:val="24"/>
          <w:lang w:eastAsia="es-EC"/>
        </w:rPr>
      </w:pPr>
    </w:p>
    <w:p w:rsidR="00A3014D" w:rsidRPr="00C75919" w:rsidRDefault="00A3014D" w:rsidP="00C75919">
      <w:pPr>
        <w:spacing w:after="0" w:line="360" w:lineRule="auto"/>
        <w:ind w:firstLine="454"/>
        <w:jc w:val="both"/>
        <w:rPr>
          <w:rFonts w:ascii="Arial" w:eastAsia="Times New Roman" w:hAnsi="Arial" w:cs="Arial"/>
          <w:sz w:val="24"/>
          <w:szCs w:val="24"/>
          <w:lang w:eastAsia="es-EC"/>
        </w:rPr>
      </w:pPr>
      <w:r w:rsidRPr="00C75919">
        <w:rPr>
          <w:rFonts w:ascii="Arial" w:eastAsia="Times New Roman" w:hAnsi="Arial" w:cs="Arial"/>
          <w:sz w:val="24"/>
          <w:szCs w:val="24"/>
          <w:lang w:eastAsia="es-EC"/>
        </w:rPr>
        <w:t xml:space="preserve">En muchos países, los depósitos en el </w:t>
      </w:r>
      <w:r w:rsidRPr="00C75919">
        <w:rPr>
          <w:rFonts w:ascii="Arial" w:eastAsia="Times New Roman" w:hAnsi="Arial" w:cs="Arial"/>
          <w:bCs/>
          <w:sz w:val="24"/>
          <w:szCs w:val="24"/>
          <w:lang w:eastAsia="es-EC"/>
        </w:rPr>
        <w:t>banco</w:t>
      </w:r>
      <w:r w:rsidRPr="00C75919">
        <w:rPr>
          <w:rFonts w:ascii="Arial" w:eastAsia="Times New Roman" w:hAnsi="Arial" w:cs="Arial"/>
          <w:sz w:val="24"/>
          <w:szCs w:val="24"/>
          <w:lang w:eastAsia="es-EC"/>
        </w:rPr>
        <w:t xml:space="preserve"> pueden ser retirados a voluntad del  titular, y los anticipos concedidos pueden ser exigibles a </w:t>
      </w:r>
      <w:r w:rsidRPr="00C75919">
        <w:rPr>
          <w:rFonts w:ascii="Arial" w:eastAsia="Times New Roman" w:hAnsi="Arial" w:cs="Arial"/>
          <w:sz w:val="24"/>
          <w:szCs w:val="24"/>
          <w:lang w:eastAsia="es-EC"/>
        </w:rPr>
        <w:lastRenderedPageBreak/>
        <w:t xml:space="preserve">voluntad del </w:t>
      </w:r>
      <w:r w:rsidRPr="00C75919">
        <w:rPr>
          <w:rFonts w:ascii="Arial" w:eastAsia="Times New Roman" w:hAnsi="Arial" w:cs="Arial"/>
          <w:bCs/>
          <w:sz w:val="24"/>
          <w:szCs w:val="24"/>
          <w:lang w:eastAsia="es-EC"/>
        </w:rPr>
        <w:t>banco</w:t>
      </w:r>
      <w:r w:rsidRPr="00C75919">
        <w:rPr>
          <w:rFonts w:ascii="Arial" w:eastAsia="Times New Roman" w:hAnsi="Arial" w:cs="Arial"/>
          <w:sz w:val="24"/>
          <w:szCs w:val="24"/>
          <w:lang w:eastAsia="es-EC"/>
        </w:rPr>
        <w:t xml:space="preserve">. Sin embargo, en la práctica, tales depósitos y anticipos se mantienen a menudo durante largos periodos de tiempo sin ser retirados o exigir su reembolso, respectivamente, por lo cual el plazo efectivo de reembolso es mayor que el plazo contractual. No obstante, el </w:t>
      </w:r>
      <w:r w:rsidRPr="00C75919">
        <w:rPr>
          <w:rFonts w:ascii="Arial" w:eastAsia="Times New Roman" w:hAnsi="Arial" w:cs="Arial"/>
          <w:bCs/>
          <w:sz w:val="24"/>
          <w:szCs w:val="24"/>
          <w:lang w:eastAsia="es-EC"/>
        </w:rPr>
        <w:t>banco</w:t>
      </w:r>
      <w:r w:rsidRPr="00C75919">
        <w:rPr>
          <w:rFonts w:ascii="Arial" w:eastAsia="Times New Roman" w:hAnsi="Arial" w:cs="Arial"/>
          <w:sz w:val="24"/>
          <w:szCs w:val="24"/>
          <w:lang w:eastAsia="es-EC"/>
        </w:rPr>
        <w:t xml:space="preserve"> publicará su análisis en términos de plazos contractuales, incluso en los casos en que el reembolso según contrato no sea con frecuencia el plazo efectivo, ya que los plazos estipulados en el contrato reflejan los riesgos de liquidez asociados a los activos y pasivos bancarios. </w:t>
      </w:r>
    </w:p>
    <w:p w:rsidR="00A3014D" w:rsidRPr="00C75919" w:rsidRDefault="00A3014D" w:rsidP="00C75919">
      <w:pPr>
        <w:spacing w:after="0" w:line="360" w:lineRule="auto"/>
        <w:ind w:firstLine="454"/>
        <w:jc w:val="both"/>
        <w:rPr>
          <w:rFonts w:ascii="Arial" w:eastAsia="Times New Roman" w:hAnsi="Arial" w:cs="Arial"/>
          <w:sz w:val="24"/>
          <w:szCs w:val="24"/>
          <w:lang w:eastAsia="es-EC"/>
        </w:rPr>
      </w:pPr>
    </w:p>
    <w:p w:rsidR="00A3014D" w:rsidRPr="00C75919" w:rsidRDefault="00A3014D" w:rsidP="00C75919">
      <w:pPr>
        <w:spacing w:after="0" w:line="360" w:lineRule="auto"/>
        <w:ind w:firstLine="454"/>
        <w:jc w:val="both"/>
        <w:rPr>
          <w:rFonts w:ascii="Arial" w:eastAsia="Times New Roman" w:hAnsi="Arial" w:cs="Arial"/>
          <w:sz w:val="24"/>
          <w:szCs w:val="24"/>
          <w:lang w:eastAsia="es-EC"/>
        </w:rPr>
      </w:pPr>
      <w:r w:rsidRPr="00C75919">
        <w:rPr>
          <w:rFonts w:ascii="Arial" w:eastAsia="Times New Roman" w:hAnsi="Arial" w:cs="Arial"/>
          <w:sz w:val="24"/>
          <w:szCs w:val="24"/>
          <w:lang w:eastAsia="es-EC"/>
        </w:rPr>
        <w:t xml:space="preserve">Algunos activos del </w:t>
      </w:r>
      <w:r w:rsidRPr="00C75919">
        <w:rPr>
          <w:rFonts w:ascii="Arial" w:eastAsia="Times New Roman" w:hAnsi="Arial" w:cs="Arial"/>
          <w:bCs/>
          <w:sz w:val="24"/>
          <w:szCs w:val="24"/>
          <w:lang w:eastAsia="es-EC"/>
        </w:rPr>
        <w:t>banco</w:t>
      </w:r>
      <w:r w:rsidRPr="00C75919">
        <w:rPr>
          <w:rFonts w:ascii="Arial" w:eastAsia="Times New Roman" w:hAnsi="Arial" w:cs="Arial"/>
          <w:sz w:val="24"/>
          <w:szCs w:val="24"/>
          <w:lang w:eastAsia="es-EC"/>
        </w:rPr>
        <w:t xml:space="preserve"> no tienen una fecha contractual de vencimiento. En tal caso el plazo asumido para el vencimiento de los mismos es usualmente el plazo esperado de realización de los activos. </w:t>
      </w:r>
    </w:p>
    <w:p w:rsidR="00A3014D" w:rsidRPr="00C75919" w:rsidRDefault="00A3014D" w:rsidP="00C75919">
      <w:pPr>
        <w:spacing w:after="0" w:line="360" w:lineRule="auto"/>
        <w:ind w:firstLine="454"/>
        <w:jc w:val="both"/>
        <w:rPr>
          <w:rFonts w:ascii="Arial" w:eastAsia="Times New Roman" w:hAnsi="Arial" w:cs="Arial"/>
          <w:sz w:val="24"/>
          <w:szCs w:val="24"/>
          <w:lang w:eastAsia="es-EC"/>
        </w:rPr>
      </w:pPr>
      <w:r w:rsidRPr="00C75919">
        <w:rPr>
          <w:rFonts w:ascii="Arial" w:eastAsia="Times New Roman" w:hAnsi="Arial" w:cs="Arial"/>
          <w:sz w:val="24"/>
          <w:szCs w:val="24"/>
          <w:lang w:eastAsia="es-EC"/>
        </w:rPr>
        <w:t xml:space="preserve">La evaluación de la liquidez del </w:t>
      </w:r>
      <w:r w:rsidRPr="00C75919">
        <w:rPr>
          <w:rFonts w:ascii="Arial" w:eastAsia="Times New Roman" w:hAnsi="Arial" w:cs="Arial"/>
          <w:bCs/>
          <w:sz w:val="24"/>
          <w:szCs w:val="24"/>
          <w:lang w:eastAsia="es-EC"/>
        </w:rPr>
        <w:t>banco</w:t>
      </w:r>
      <w:r w:rsidRPr="00C75919">
        <w:rPr>
          <w:rFonts w:ascii="Arial" w:eastAsia="Times New Roman" w:hAnsi="Arial" w:cs="Arial"/>
          <w:sz w:val="24"/>
          <w:szCs w:val="24"/>
          <w:lang w:eastAsia="es-EC"/>
        </w:rPr>
        <w:t xml:space="preserve"> que los usuarios hacen, a partir de las agrupaciones según vencimiento publicadas, se realiza en el contexto de las prácticas bancarias locales, incluyendo en su caso la disponibilidad de fondos para los bancos. </w:t>
      </w:r>
    </w:p>
    <w:p w:rsidR="00A3014D" w:rsidRPr="00C75919" w:rsidRDefault="00A3014D" w:rsidP="00C75919">
      <w:pPr>
        <w:spacing w:after="0" w:line="360" w:lineRule="auto"/>
        <w:ind w:firstLine="454"/>
        <w:jc w:val="both"/>
        <w:rPr>
          <w:rFonts w:ascii="Arial" w:eastAsia="Times New Roman" w:hAnsi="Arial" w:cs="Arial"/>
          <w:sz w:val="24"/>
          <w:szCs w:val="24"/>
          <w:lang w:eastAsia="es-EC"/>
        </w:rPr>
      </w:pPr>
    </w:p>
    <w:p w:rsidR="00A3014D" w:rsidRDefault="00A3014D" w:rsidP="00C75919">
      <w:pPr>
        <w:spacing w:after="0" w:line="360" w:lineRule="auto"/>
        <w:ind w:firstLine="454"/>
        <w:jc w:val="both"/>
        <w:rPr>
          <w:rFonts w:ascii="Arial" w:eastAsia="Times New Roman" w:hAnsi="Arial" w:cs="Arial"/>
          <w:sz w:val="24"/>
          <w:szCs w:val="24"/>
          <w:lang w:eastAsia="es-EC"/>
        </w:rPr>
      </w:pPr>
      <w:r w:rsidRPr="00C75919">
        <w:rPr>
          <w:rFonts w:ascii="Arial" w:eastAsia="Times New Roman" w:hAnsi="Arial" w:cs="Arial"/>
          <w:sz w:val="24"/>
          <w:szCs w:val="24"/>
          <w:lang w:eastAsia="es-EC"/>
        </w:rPr>
        <w:t xml:space="preserve">En algunos países los bancos pueden disponer de fondos a corto plazo, en el curso normal de sus operaciones, procedentes del mercado monetario o, en caso de emergencia, del </w:t>
      </w:r>
      <w:r w:rsidRPr="00C75919">
        <w:rPr>
          <w:rFonts w:ascii="Arial" w:eastAsia="Times New Roman" w:hAnsi="Arial" w:cs="Arial"/>
          <w:bCs/>
          <w:sz w:val="24"/>
          <w:szCs w:val="24"/>
          <w:lang w:eastAsia="es-EC"/>
        </w:rPr>
        <w:t>banco</w:t>
      </w:r>
      <w:r w:rsidRPr="00C75919">
        <w:rPr>
          <w:rFonts w:ascii="Arial" w:eastAsia="Times New Roman" w:hAnsi="Arial" w:cs="Arial"/>
          <w:sz w:val="24"/>
          <w:szCs w:val="24"/>
          <w:lang w:eastAsia="es-EC"/>
        </w:rPr>
        <w:t xml:space="preserve"> central. En otros países no es posible obtener esos fondos. </w:t>
      </w:r>
    </w:p>
    <w:p w:rsidR="00577B8D" w:rsidRPr="00C75919" w:rsidRDefault="00577B8D" w:rsidP="00C75919">
      <w:pPr>
        <w:spacing w:after="0" w:line="360" w:lineRule="auto"/>
        <w:ind w:firstLine="454"/>
        <w:jc w:val="both"/>
        <w:rPr>
          <w:rFonts w:ascii="Arial" w:eastAsia="Times New Roman" w:hAnsi="Arial" w:cs="Arial"/>
          <w:sz w:val="24"/>
          <w:szCs w:val="24"/>
          <w:lang w:eastAsia="es-EC"/>
        </w:rPr>
      </w:pPr>
    </w:p>
    <w:p w:rsidR="00A3014D" w:rsidRPr="00C75919" w:rsidRDefault="00A3014D" w:rsidP="00C75919">
      <w:pPr>
        <w:spacing w:after="0" w:line="360" w:lineRule="auto"/>
        <w:ind w:firstLine="454"/>
        <w:jc w:val="both"/>
        <w:rPr>
          <w:rFonts w:ascii="Arial" w:eastAsia="Times New Roman" w:hAnsi="Arial" w:cs="Arial"/>
          <w:sz w:val="24"/>
          <w:szCs w:val="24"/>
          <w:lang w:eastAsia="es-EC"/>
        </w:rPr>
      </w:pPr>
      <w:r w:rsidRPr="00C75919">
        <w:rPr>
          <w:rFonts w:ascii="Arial" w:eastAsia="Times New Roman" w:hAnsi="Arial" w:cs="Arial"/>
          <w:sz w:val="24"/>
          <w:szCs w:val="24"/>
          <w:lang w:eastAsia="es-EC"/>
        </w:rPr>
        <w:t xml:space="preserve"> A fin de proporcionar a los usuarios una comprensión completa de las agrupaciones según vencimiento, los datos en los </w:t>
      </w:r>
      <w:r w:rsidRPr="00C75919">
        <w:rPr>
          <w:rFonts w:ascii="Arial" w:eastAsia="Times New Roman" w:hAnsi="Arial" w:cs="Arial"/>
          <w:bCs/>
          <w:sz w:val="24"/>
          <w:szCs w:val="24"/>
          <w:lang w:eastAsia="es-EC"/>
        </w:rPr>
        <w:t>estados</w:t>
      </w:r>
      <w:r w:rsidRPr="00C75919">
        <w:rPr>
          <w:rFonts w:ascii="Arial" w:eastAsia="Times New Roman" w:hAnsi="Arial" w:cs="Arial"/>
          <w:sz w:val="24"/>
          <w:szCs w:val="24"/>
          <w:lang w:eastAsia="es-EC"/>
        </w:rPr>
        <w:t xml:space="preserve"> </w:t>
      </w:r>
      <w:r w:rsidRPr="00C75919">
        <w:rPr>
          <w:rFonts w:ascii="Arial" w:eastAsia="Times New Roman" w:hAnsi="Arial" w:cs="Arial"/>
          <w:bCs/>
          <w:sz w:val="24"/>
          <w:szCs w:val="24"/>
          <w:lang w:eastAsia="es-EC"/>
        </w:rPr>
        <w:t>financieros</w:t>
      </w:r>
      <w:r w:rsidRPr="00C75919">
        <w:rPr>
          <w:rFonts w:ascii="Arial" w:eastAsia="Times New Roman" w:hAnsi="Arial" w:cs="Arial"/>
          <w:sz w:val="24"/>
          <w:szCs w:val="24"/>
          <w:lang w:eastAsia="es-EC"/>
        </w:rPr>
        <w:t xml:space="preserve"> podrían necesitar ser complementados con indicaciones sobre la probabilidad de reembolso durante el periodo que reste hasta el vencimiento. Por ello, la gerencia puede suministrar, en sus comentarios sobre los </w:t>
      </w:r>
      <w:r w:rsidRPr="00C75919">
        <w:rPr>
          <w:rFonts w:ascii="Arial" w:eastAsia="Times New Roman" w:hAnsi="Arial" w:cs="Arial"/>
          <w:bCs/>
          <w:sz w:val="24"/>
          <w:szCs w:val="24"/>
          <w:lang w:eastAsia="es-EC"/>
        </w:rPr>
        <w:t>estados</w:t>
      </w:r>
      <w:r w:rsidRPr="00C75919">
        <w:rPr>
          <w:rFonts w:ascii="Arial" w:eastAsia="Times New Roman" w:hAnsi="Arial" w:cs="Arial"/>
          <w:sz w:val="24"/>
          <w:szCs w:val="24"/>
          <w:lang w:eastAsia="es-EC"/>
        </w:rPr>
        <w:t xml:space="preserve"> </w:t>
      </w:r>
      <w:r w:rsidRPr="00C75919">
        <w:rPr>
          <w:rFonts w:ascii="Arial" w:eastAsia="Times New Roman" w:hAnsi="Arial" w:cs="Arial"/>
          <w:bCs/>
          <w:sz w:val="24"/>
          <w:szCs w:val="24"/>
          <w:lang w:eastAsia="es-EC"/>
        </w:rPr>
        <w:t>financieros</w:t>
      </w:r>
      <w:r w:rsidRPr="00C75919">
        <w:rPr>
          <w:rFonts w:ascii="Arial" w:eastAsia="Times New Roman" w:hAnsi="Arial" w:cs="Arial"/>
          <w:sz w:val="24"/>
          <w:szCs w:val="24"/>
          <w:lang w:eastAsia="es-EC"/>
        </w:rPr>
        <w:t xml:space="preserve">, información acerca de los plazos efectivos y sobre la manera de gestionar y controlar los riesgos y exposiciones asociados con los diferentes plazos de vencimiento y perfiles de tasas de interés. </w:t>
      </w:r>
    </w:p>
    <w:p w:rsidR="00A3014D" w:rsidRPr="00C75919" w:rsidRDefault="00A3014D" w:rsidP="00C75919">
      <w:pPr>
        <w:spacing w:after="0" w:line="360" w:lineRule="auto"/>
        <w:ind w:firstLine="454"/>
        <w:jc w:val="both"/>
        <w:rPr>
          <w:rFonts w:ascii="Arial" w:eastAsia="Times New Roman" w:hAnsi="Arial" w:cs="Arial"/>
          <w:bCs/>
          <w:sz w:val="24"/>
          <w:szCs w:val="24"/>
          <w:lang w:eastAsia="es-EC"/>
        </w:rPr>
      </w:pPr>
    </w:p>
    <w:p w:rsidR="00A3014D" w:rsidRPr="00C75919" w:rsidRDefault="00A3014D" w:rsidP="00C75919">
      <w:pPr>
        <w:spacing w:after="0" w:line="360" w:lineRule="auto"/>
        <w:ind w:firstLine="454"/>
        <w:jc w:val="both"/>
        <w:rPr>
          <w:rFonts w:ascii="Arial" w:eastAsia="Times New Roman" w:hAnsi="Arial" w:cs="Arial"/>
          <w:sz w:val="24"/>
          <w:szCs w:val="24"/>
          <w:lang w:eastAsia="es-EC"/>
        </w:rPr>
      </w:pPr>
      <w:r w:rsidRPr="00C75919">
        <w:rPr>
          <w:rFonts w:ascii="Arial" w:eastAsia="Times New Roman" w:hAnsi="Arial" w:cs="Arial"/>
          <w:bCs/>
          <w:sz w:val="24"/>
          <w:szCs w:val="24"/>
          <w:lang w:eastAsia="es-EC"/>
        </w:rPr>
        <w:lastRenderedPageBreak/>
        <w:t xml:space="preserve">Concentraciones de activos, pasivos y partidas fuera de balance </w:t>
      </w:r>
    </w:p>
    <w:p w:rsidR="00A3014D" w:rsidRPr="00C75919" w:rsidRDefault="00A3014D" w:rsidP="00C75919">
      <w:pPr>
        <w:spacing w:after="0" w:line="360" w:lineRule="auto"/>
        <w:ind w:firstLine="454"/>
        <w:jc w:val="both"/>
        <w:rPr>
          <w:rFonts w:ascii="Arial" w:eastAsia="Times New Roman" w:hAnsi="Arial" w:cs="Arial"/>
          <w:bCs/>
          <w:i/>
          <w:iCs/>
          <w:sz w:val="24"/>
          <w:szCs w:val="24"/>
          <w:lang w:eastAsia="es-EC"/>
        </w:rPr>
      </w:pPr>
    </w:p>
    <w:p w:rsidR="00A3014D" w:rsidRPr="00C75919" w:rsidRDefault="00A3014D" w:rsidP="00C75919">
      <w:pPr>
        <w:spacing w:after="0" w:line="360" w:lineRule="auto"/>
        <w:ind w:firstLine="454"/>
        <w:jc w:val="both"/>
        <w:rPr>
          <w:rFonts w:ascii="Arial" w:eastAsia="Times New Roman" w:hAnsi="Arial" w:cs="Arial"/>
          <w:bCs/>
          <w:i/>
          <w:iCs/>
          <w:sz w:val="24"/>
          <w:szCs w:val="24"/>
          <w:lang w:eastAsia="es-EC"/>
        </w:rPr>
      </w:pPr>
      <w:r w:rsidRPr="00C75919">
        <w:rPr>
          <w:rFonts w:ascii="Arial" w:eastAsia="Times New Roman" w:hAnsi="Arial" w:cs="Arial"/>
          <w:bCs/>
          <w:i/>
          <w:iCs/>
          <w:sz w:val="24"/>
          <w:szCs w:val="24"/>
          <w:lang w:eastAsia="es-EC"/>
        </w:rPr>
        <w:t xml:space="preserve">Un banco debe revelar información sobre cualquier concentración significativa en sus activos, pasivos u operaciones fuera de balance. Tales informaciones a revelar deben ser realizadas en términos de áreas geográficas, clientes individuales o agrupaciones sectoriales, así como otras formas de concentración de riesgos. Asimismo, el banco debe revelar información sobre el importe neto de las posiciones significativas mantenidas en moneda extranjera. </w:t>
      </w:r>
    </w:p>
    <w:p w:rsidR="00A3014D" w:rsidRPr="00C75919" w:rsidRDefault="00A3014D" w:rsidP="00C75919">
      <w:pPr>
        <w:spacing w:after="0" w:line="360" w:lineRule="auto"/>
        <w:ind w:firstLine="454"/>
        <w:jc w:val="both"/>
        <w:rPr>
          <w:rFonts w:ascii="Arial" w:eastAsia="Times New Roman" w:hAnsi="Arial" w:cs="Arial"/>
          <w:sz w:val="24"/>
          <w:szCs w:val="24"/>
          <w:lang w:eastAsia="es-EC"/>
        </w:rPr>
      </w:pPr>
    </w:p>
    <w:p w:rsidR="00A3014D" w:rsidRPr="00C75919" w:rsidRDefault="00A3014D" w:rsidP="00C75919">
      <w:pPr>
        <w:spacing w:line="360" w:lineRule="auto"/>
        <w:ind w:firstLine="454"/>
        <w:jc w:val="both"/>
        <w:rPr>
          <w:rFonts w:ascii="Arial" w:eastAsia="Times New Roman" w:hAnsi="Arial" w:cs="Arial"/>
          <w:sz w:val="24"/>
          <w:szCs w:val="24"/>
          <w:lang w:eastAsia="es-EC"/>
        </w:rPr>
      </w:pPr>
      <w:r w:rsidRPr="00C75919">
        <w:rPr>
          <w:rFonts w:ascii="Arial" w:eastAsia="Times New Roman" w:hAnsi="Arial" w:cs="Arial"/>
          <w:sz w:val="24"/>
          <w:szCs w:val="24"/>
          <w:lang w:eastAsia="es-EC"/>
        </w:rPr>
        <w:t xml:space="preserve">El </w:t>
      </w:r>
      <w:r w:rsidRPr="00C75919">
        <w:rPr>
          <w:rFonts w:ascii="Arial" w:eastAsia="Times New Roman" w:hAnsi="Arial" w:cs="Arial"/>
          <w:bCs/>
          <w:sz w:val="24"/>
          <w:szCs w:val="24"/>
          <w:lang w:eastAsia="es-EC"/>
        </w:rPr>
        <w:t>banco</w:t>
      </w:r>
      <w:r w:rsidRPr="00C75919">
        <w:rPr>
          <w:rFonts w:ascii="Arial" w:eastAsia="Times New Roman" w:hAnsi="Arial" w:cs="Arial"/>
          <w:sz w:val="24"/>
          <w:szCs w:val="24"/>
          <w:lang w:eastAsia="es-EC"/>
        </w:rPr>
        <w:t xml:space="preserve"> revelará información sobre las concentraciones significativas en la distribución de sus activos y en las fuentes de financiación, porque es una indicación útil de los riesgos potenciales inherentes a la realización de los activos y a la disposición de fondos por parte de la entidad. Tales informaciones a revelar se suministran en términos de áreas geográficas, clientes o agrupaciones sectoriales, así como otras clases de concentraciones de riesgo que sean apropiadas a la vista de las circunstancias del </w:t>
      </w:r>
      <w:r w:rsidRPr="00C75919">
        <w:rPr>
          <w:rFonts w:ascii="Arial" w:eastAsia="Times New Roman" w:hAnsi="Arial" w:cs="Arial"/>
          <w:bCs/>
          <w:sz w:val="24"/>
          <w:szCs w:val="24"/>
          <w:lang w:eastAsia="es-EC"/>
        </w:rPr>
        <w:t>banco</w:t>
      </w:r>
      <w:r w:rsidRPr="00C75919">
        <w:rPr>
          <w:rFonts w:ascii="Arial" w:eastAsia="Times New Roman" w:hAnsi="Arial" w:cs="Arial"/>
          <w:sz w:val="24"/>
          <w:szCs w:val="24"/>
          <w:lang w:eastAsia="es-EC"/>
        </w:rPr>
        <w:t xml:space="preserve">. También es importante un análisis y explicación similares para las operaciones fuera del balance. Las áreas geográficas pueden corresponder a países individuales, grupos de países o regiones dentro de un único país; las informaciones a revelar sobre la clientela pueden referirse a sectores tales como gobiernos, autoridades públicas y entidades comerciales. Las informaciones a revelar así obtenidas, se publican además de los datos segmentados exigidos por </w:t>
      </w:r>
      <w:smartTag w:uri="urn:schemas-microsoft-com:office:smarttags" w:element="PersonName">
        <w:smartTagPr>
          <w:attr w:name="ProductID" w:val="la NIC"/>
        </w:smartTagPr>
        <w:r w:rsidRPr="00C75919">
          <w:rPr>
            <w:rFonts w:ascii="Arial" w:eastAsia="Times New Roman" w:hAnsi="Arial" w:cs="Arial"/>
            <w:sz w:val="24"/>
            <w:szCs w:val="24"/>
            <w:lang w:eastAsia="es-EC"/>
          </w:rPr>
          <w:t>la NIC</w:t>
        </w:r>
      </w:smartTag>
      <w:r w:rsidRPr="00C75919">
        <w:rPr>
          <w:rFonts w:ascii="Arial" w:eastAsia="Times New Roman" w:hAnsi="Arial" w:cs="Arial"/>
          <w:sz w:val="24"/>
          <w:szCs w:val="24"/>
          <w:lang w:eastAsia="es-EC"/>
        </w:rPr>
        <w:t xml:space="preserve"> 14 </w:t>
      </w:r>
      <w:r w:rsidRPr="00C75919">
        <w:rPr>
          <w:rFonts w:ascii="Arial" w:eastAsia="Times New Roman" w:hAnsi="Arial" w:cs="Arial"/>
          <w:i/>
          <w:iCs/>
          <w:sz w:val="24"/>
          <w:szCs w:val="24"/>
          <w:lang w:eastAsia="es-EC"/>
        </w:rPr>
        <w:t>Información Financiera por Segmentos</w:t>
      </w:r>
      <w:r w:rsidRPr="00C75919">
        <w:rPr>
          <w:rFonts w:ascii="Arial" w:eastAsia="Times New Roman" w:hAnsi="Arial" w:cs="Arial"/>
          <w:sz w:val="24"/>
          <w:szCs w:val="24"/>
          <w:lang w:eastAsia="es-EC"/>
        </w:rPr>
        <w:t xml:space="preserve">. </w:t>
      </w:r>
    </w:p>
    <w:p w:rsidR="00A3014D" w:rsidRPr="00C75919" w:rsidRDefault="00A3014D" w:rsidP="00C75919">
      <w:pPr>
        <w:spacing w:after="0" w:line="360" w:lineRule="auto"/>
        <w:ind w:firstLine="454"/>
        <w:jc w:val="both"/>
        <w:rPr>
          <w:rFonts w:ascii="Arial" w:eastAsia="Times New Roman" w:hAnsi="Arial" w:cs="Arial"/>
          <w:sz w:val="24"/>
          <w:szCs w:val="24"/>
          <w:lang w:eastAsia="es-EC"/>
        </w:rPr>
      </w:pPr>
      <w:r w:rsidRPr="00C75919">
        <w:rPr>
          <w:rFonts w:ascii="Arial" w:eastAsia="Times New Roman" w:hAnsi="Arial" w:cs="Arial"/>
          <w:sz w:val="24"/>
          <w:szCs w:val="24"/>
          <w:lang w:eastAsia="es-EC"/>
        </w:rPr>
        <w:t>Las informaciones a revelar relativas a las posiciones netas de importe significativo en moneda extranjera, son también indicaciones útiles del riesgo de pérdidas por diferencias en las tasas de cambio.</w:t>
      </w:r>
    </w:p>
    <w:p w:rsidR="00A3014D" w:rsidRPr="00C75919" w:rsidRDefault="00A3014D" w:rsidP="00C75919">
      <w:pPr>
        <w:spacing w:after="0" w:line="360" w:lineRule="auto"/>
        <w:ind w:firstLine="454"/>
        <w:jc w:val="both"/>
        <w:rPr>
          <w:rFonts w:ascii="Arial" w:eastAsia="Times New Roman" w:hAnsi="Arial" w:cs="Arial"/>
          <w:bCs/>
          <w:sz w:val="24"/>
          <w:szCs w:val="24"/>
          <w:lang w:eastAsia="es-EC"/>
        </w:rPr>
      </w:pPr>
    </w:p>
    <w:p w:rsidR="00A3014D" w:rsidRPr="00D40475" w:rsidRDefault="00A3014D" w:rsidP="00C75919">
      <w:pPr>
        <w:spacing w:after="0" w:line="360" w:lineRule="auto"/>
        <w:ind w:firstLine="454"/>
        <w:jc w:val="both"/>
        <w:rPr>
          <w:rFonts w:ascii="Arial" w:eastAsia="Times New Roman" w:hAnsi="Arial" w:cs="Arial"/>
          <w:sz w:val="24"/>
          <w:szCs w:val="24"/>
          <w:lang w:eastAsia="es-EC"/>
        </w:rPr>
      </w:pPr>
      <w:r w:rsidRPr="00C75919">
        <w:rPr>
          <w:rFonts w:ascii="Arial" w:eastAsia="Times New Roman" w:hAnsi="Arial" w:cs="Arial"/>
          <w:bCs/>
          <w:sz w:val="24"/>
          <w:szCs w:val="24"/>
          <w:lang w:eastAsia="es-EC"/>
        </w:rPr>
        <w:t xml:space="preserve">Pérdidas en préstamos y anticipos de préstamos </w:t>
      </w:r>
    </w:p>
    <w:p w:rsidR="00A3014D" w:rsidRPr="00C75919" w:rsidRDefault="00A3014D" w:rsidP="00C75919">
      <w:pPr>
        <w:spacing w:after="0" w:line="360" w:lineRule="auto"/>
        <w:ind w:firstLine="454"/>
        <w:jc w:val="both"/>
        <w:rPr>
          <w:rFonts w:ascii="Arial" w:eastAsia="Times New Roman" w:hAnsi="Arial" w:cs="Arial"/>
          <w:sz w:val="24"/>
          <w:szCs w:val="24"/>
          <w:lang w:eastAsia="es-EC"/>
        </w:rPr>
      </w:pPr>
      <w:r w:rsidRPr="00C75919">
        <w:rPr>
          <w:rFonts w:ascii="Arial" w:eastAsia="Times New Roman" w:hAnsi="Arial" w:cs="Arial"/>
          <w:bCs/>
          <w:i/>
          <w:iCs/>
          <w:sz w:val="24"/>
          <w:szCs w:val="24"/>
          <w:lang w:eastAsia="es-EC"/>
        </w:rPr>
        <w:lastRenderedPageBreak/>
        <w:t xml:space="preserve">Un banco debe revelar información sobre los siguientes extremos: </w:t>
      </w:r>
    </w:p>
    <w:p w:rsidR="00A3014D" w:rsidRPr="00C75919" w:rsidRDefault="00A3014D" w:rsidP="00C75919">
      <w:pPr>
        <w:spacing w:after="0" w:line="360" w:lineRule="auto"/>
        <w:ind w:firstLine="454"/>
        <w:jc w:val="both"/>
        <w:rPr>
          <w:rFonts w:ascii="Arial" w:eastAsia="Times New Roman" w:hAnsi="Arial" w:cs="Arial"/>
          <w:sz w:val="24"/>
          <w:szCs w:val="24"/>
          <w:lang w:eastAsia="es-EC"/>
        </w:rPr>
      </w:pPr>
    </w:p>
    <w:p w:rsidR="00A3014D" w:rsidRPr="003231C2" w:rsidRDefault="00A3014D" w:rsidP="00C75919">
      <w:pPr>
        <w:spacing w:after="0" w:line="360" w:lineRule="auto"/>
        <w:ind w:left="360" w:firstLine="454"/>
        <w:jc w:val="both"/>
        <w:rPr>
          <w:rFonts w:ascii="Arial" w:eastAsia="Times New Roman" w:hAnsi="Arial" w:cs="Arial"/>
          <w:sz w:val="24"/>
          <w:szCs w:val="24"/>
          <w:lang w:eastAsia="es-EC"/>
        </w:rPr>
      </w:pPr>
      <w:r w:rsidRPr="00C75919">
        <w:rPr>
          <w:rFonts w:ascii="Arial" w:eastAsia="Times New Roman" w:hAnsi="Arial" w:cs="Arial"/>
          <w:bCs/>
          <w:i/>
          <w:iCs/>
          <w:sz w:val="24"/>
          <w:szCs w:val="24"/>
          <w:lang w:eastAsia="es-EC"/>
        </w:rPr>
        <w:t xml:space="preserve">(a) </w:t>
      </w:r>
      <w:r w:rsidRPr="003231C2">
        <w:rPr>
          <w:rFonts w:ascii="Arial" w:eastAsia="Times New Roman" w:hAnsi="Arial" w:cs="Arial"/>
          <w:bCs/>
          <w:iCs/>
          <w:sz w:val="24"/>
          <w:szCs w:val="24"/>
          <w:lang w:eastAsia="es-EC"/>
        </w:rPr>
        <w:t>la política contable, describiendo las bases sobre las cuales se reconocen como pérdidas los préstamos y anticipos de préstamos incobrables, así como el criterio empleado para darlos de baja contablemente</w:t>
      </w:r>
    </w:p>
    <w:p w:rsidR="00A3014D" w:rsidRPr="003231C2" w:rsidRDefault="00A3014D" w:rsidP="00C75919">
      <w:pPr>
        <w:spacing w:after="0" w:line="360" w:lineRule="auto"/>
        <w:ind w:left="360" w:firstLine="454"/>
        <w:jc w:val="both"/>
        <w:rPr>
          <w:rFonts w:ascii="Arial" w:eastAsia="Times New Roman" w:hAnsi="Arial" w:cs="Arial"/>
          <w:sz w:val="24"/>
          <w:szCs w:val="24"/>
          <w:lang w:eastAsia="es-EC"/>
        </w:rPr>
      </w:pPr>
      <w:r w:rsidRPr="00C75919">
        <w:rPr>
          <w:rFonts w:ascii="Arial" w:eastAsia="Times New Roman" w:hAnsi="Arial" w:cs="Arial"/>
          <w:bCs/>
          <w:i/>
          <w:iCs/>
          <w:sz w:val="24"/>
          <w:szCs w:val="24"/>
          <w:lang w:eastAsia="es-EC"/>
        </w:rPr>
        <w:t xml:space="preserve">(b) </w:t>
      </w:r>
      <w:r w:rsidRPr="003231C2">
        <w:rPr>
          <w:rFonts w:ascii="Arial" w:eastAsia="Times New Roman" w:hAnsi="Arial" w:cs="Arial"/>
          <w:bCs/>
          <w:iCs/>
          <w:sz w:val="24"/>
          <w:szCs w:val="24"/>
          <w:lang w:eastAsia="es-EC"/>
        </w:rPr>
        <w:t>un análisis de los movimientos en la provisión por pérdidas en préstamos y</w:t>
      </w:r>
      <w:r w:rsidRPr="003231C2">
        <w:rPr>
          <w:rFonts w:ascii="Arial" w:eastAsia="Times New Roman" w:hAnsi="Arial" w:cs="Arial"/>
          <w:sz w:val="24"/>
          <w:szCs w:val="24"/>
          <w:lang w:eastAsia="es-EC"/>
        </w:rPr>
        <w:t xml:space="preserve"> </w:t>
      </w:r>
      <w:r w:rsidRPr="003231C2">
        <w:rPr>
          <w:rFonts w:ascii="Arial" w:eastAsia="Times New Roman" w:hAnsi="Arial" w:cs="Arial"/>
          <w:bCs/>
          <w:iCs/>
          <w:sz w:val="24"/>
          <w:szCs w:val="24"/>
          <w:lang w:eastAsia="es-EC"/>
        </w:rPr>
        <w:t>anticipos de préstamos durante el periodo; además de información por separado del importe cargado a resultados en el periodo por pérdidas en</w:t>
      </w:r>
      <w:r w:rsidRPr="003231C2">
        <w:rPr>
          <w:rFonts w:ascii="Arial" w:eastAsia="Times New Roman" w:hAnsi="Arial" w:cs="Arial"/>
          <w:sz w:val="24"/>
          <w:szCs w:val="24"/>
          <w:lang w:eastAsia="es-EC"/>
        </w:rPr>
        <w:t xml:space="preserve"> </w:t>
      </w:r>
      <w:r w:rsidRPr="003231C2">
        <w:rPr>
          <w:rFonts w:ascii="Arial" w:eastAsia="Times New Roman" w:hAnsi="Arial" w:cs="Arial"/>
          <w:bCs/>
          <w:iCs/>
          <w:sz w:val="24"/>
          <w:szCs w:val="24"/>
          <w:lang w:eastAsia="es-EC"/>
        </w:rPr>
        <w:t>préstamos y anticipos de préstamos incobrables, así como el importe dado</w:t>
      </w:r>
      <w:r w:rsidRPr="003231C2">
        <w:rPr>
          <w:rFonts w:ascii="Arial" w:eastAsia="Times New Roman" w:hAnsi="Arial" w:cs="Arial"/>
          <w:sz w:val="24"/>
          <w:szCs w:val="24"/>
          <w:lang w:eastAsia="es-EC"/>
        </w:rPr>
        <w:t xml:space="preserve"> </w:t>
      </w:r>
      <w:r w:rsidRPr="003231C2">
        <w:rPr>
          <w:rFonts w:ascii="Arial" w:eastAsia="Times New Roman" w:hAnsi="Arial" w:cs="Arial"/>
          <w:bCs/>
          <w:iCs/>
          <w:sz w:val="24"/>
          <w:szCs w:val="24"/>
          <w:lang w:eastAsia="es-EC"/>
        </w:rPr>
        <w:t>de baja contablemente de esas partidas y el importe acreditado por</w:t>
      </w:r>
      <w:r w:rsidRPr="003231C2">
        <w:rPr>
          <w:rFonts w:ascii="Arial" w:eastAsia="Times New Roman" w:hAnsi="Arial" w:cs="Arial"/>
          <w:sz w:val="24"/>
          <w:szCs w:val="24"/>
          <w:lang w:eastAsia="es-EC"/>
        </w:rPr>
        <w:t xml:space="preserve"> </w:t>
      </w:r>
      <w:r w:rsidRPr="003231C2">
        <w:rPr>
          <w:rFonts w:ascii="Arial" w:eastAsia="Times New Roman" w:hAnsi="Arial" w:cs="Arial"/>
          <w:bCs/>
          <w:iCs/>
          <w:sz w:val="24"/>
          <w:szCs w:val="24"/>
          <w:lang w:eastAsia="es-EC"/>
        </w:rPr>
        <w:t>recuperación de saldos, previamente dados de baja, que han sido</w:t>
      </w:r>
      <w:r w:rsidRPr="003231C2">
        <w:rPr>
          <w:rFonts w:ascii="Arial" w:eastAsia="Times New Roman" w:hAnsi="Arial" w:cs="Arial"/>
          <w:sz w:val="24"/>
          <w:szCs w:val="24"/>
          <w:lang w:eastAsia="es-EC"/>
        </w:rPr>
        <w:t xml:space="preserve"> </w:t>
      </w:r>
      <w:r w:rsidRPr="003231C2">
        <w:rPr>
          <w:rFonts w:ascii="Arial" w:eastAsia="Times New Roman" w:hAnsi="Arial" w:cs="Arial"/>
          <w:bCs/>
          <w:iCs/>
          <w:sz w:val="24"/>
          <w:szCs w:val="24"/>
          <w:lang w:eastAsia="es-EC"/>
        </w:rPr>
        <w:t>recuperados con posterioridad</w:t>
      </w:r>
    </w:p>
    <w:p w:rsidR="00A3014D" w:rsidRPr="00C75919" w:rsidRDefault="00A3014D" w:rsidP="00C75919">
      <w:pPr>
        <w:spacing w:after="0" w:line="360" w:lineRule="auto"/>
        <w:ind w:left="360" w:firstLine="454"/>
        <w:jc w:val="both"/>
        <w:rPr>
          <w:rFonts w:ascii="Arial" w:eastAsia="Times New Roman" w:hAnsi="Arial" w:cs="Arial"/>
          <w:bCs/>
          <w:i/>
          <w:iCs/>
          <w:sz w:val="24"/>
          <w:szCs w:val="24"/>
          <w:lang w:eastAsia="es-EC"/>
        </w:rPr>
      </w:pPr>
      <w:r w:rsidRPr="00C75919">
        <w:rPr>
          <w:rFonts w:ascii="Arial" w:eastAsia="Times New Roman" w:hAnsi="Arial" w:cs="Arial"/>
          <w:bCs/>
          <w:i/>
          <w:iCs/>
          <w:sz w:val="24"/>
          <w:szCs w:val="24"/>
          <w:lang w:eastAsia="es-EC"/>
        </w:rPr>
        <w:t xml:space="preserve">(c) </w:t>
      </w:r>
      <w:r w:rsidRPr="003231C2">
        <w:rPr>
          <w:rFonts w:ascii="Arial" w:eastAsia="Times New Roman" w:hAnsi="Arial" w:cs="Arial"/>
          <w:bCs/>
          <w:iCs/>
          <w:sz w:val="24"/>
          <w:szCs w:val="24"/>
          <w:lang w:eastAsia="es-EC"/>
        </w:rPr>
        <w:t>el importe acumulado de la provisión por pérdidas en préstamos y anticipos de préstamos en la fecha del balance</w:t>
      </w:r>
      <w:r w:rsidRPr="00C75919">
        <w:rPr>
          <w:rFonts w:ascii="Arial" w:eastAsia="Times New Roman" w:hAnsi="Arial" w:cs="Arial"/>
          <w:bCs/>
          <w:i/>
          <w:iCs/>
          <w:sz w:val="24"/>
          <w:szCs w:val="24"/>
          <w:lang w:eastAsia="es-EC"/>
        </w:rPr>
        <w:t>.</w:t>
      </w:r>
    </w:p>
    <w:p w:rsidR="00A3014D" w:rsidRPr="00C75919" w:rsidRDefault="00A3014D" w:rsidP="00C75919">
      <w:pPr>
        <w:spacing w:after="0" w:line="360" w:lineRule="auto"/>
        <w:ind w:left="360" w:firstLine="454"/>
        <w:jc w:val="both"/>
        <w:rPr>
          <w:rFonts w:ascii="Arial" w:eastAsia="Times New Roman" w:hAnsi="Arial" w:cs="Arial"/>
          <w:sz w:val="24"/>
          <w:szCs w:val="24"/>
          <w:lang w:eastAsia="es-EC"/>
        </w:rPr>
      </w:pPr>
    </w:p>
    <w:p w:rsidR="00A3014D" w:rsidRPr="003231C2" w:rsidRDefault="00A3014D" w:rsidP="00C75919">
      <w:pPr>
        <w:spacing w:after="0" w:line="360" w:lineRule="auto"/>
        <w:ind w:firstLine="454"/>
        <w:jc w:val="both"/>
        <w:rPr>
          <w:rFonts w:ascii="Arial" w:eastAsia="Times New Roman" w:hAnsi="Arial" w:cs="Arial"/>
          <w:sz w:val="24"/>
          <w:szCs w:val="24"/>
          <w:lang w:eastAsia="es-EC"/>
        </w:rPr>
      </w:pPr>
      <w:r w:rsidRPr="003231C2">
        <w:rPr>
          <w:rFonts w:ascii="Arial" w:eastAsia="Times New Roman" w:hAnsi="Arial" w:cs="Arial"/>
          <w:bCs/>
          <w:iCs/>
          <w:sz w:val="24"/>
          <w:szCs w:val="24"/>
          <w:lang w:eastAsia="es-EC"/>
        </w:rPr>
        <w:t>Cualquier importe reconocido como pérdida en préstamos y anticipos, aparte de</w:t>
      </w:r>
      <w:r w:rsidRPr="003231C2">
        <w:rPr>
          <w:rFonts w:ascii="Arial" w:eastAsia="Times New Roman" w:hAnsi="Arial" w:cs="Arial"/>
          <w:sz w:val="24"/>
          <w:szCs w:val="24"/>
          <w:lang w:eastAsia="es-EC"/>
        </w:rPr>
        <w:t xml:space="preserve"> </w:t>
      </w:r>
      <w:r w:rsidRPr="003231C2">
        <w:rPr>
          <w:rFonts w:ascii="Arial" w:eastAsia="Times New Roman" w:hAnsi="Arial" w:cs="Arial"/>
          <w:bCs/>
          <w:iCs/>
          <w:sz w:val="24"/>
          <w:szCs w:val="24"/>
          <w:lang w:eastAsia="es-EC"/>
        </w:rPr>
        <w:t xml:space="preserve">los específicamente identificados en </w:t>
      </w:r>
      <w:smartTag w:uri="urn:schemas-microsoft-com:office:smarttags" w:element="PersonName">
        <w:smartTagPr>
          <w:attr w:name="ProductID" w:val="la NIC"/>
        </w:smartTagPr>
        <w:r w:rsidRPr="003231C2">
          <w:rPr>
            <w:rFonts w:ascii="Arial" w:eastAsia="Times New Roman" w:hAnsi="Arial" w:cs="Arial"/>
            <w:bCs/>
            <w:iCs/>
            <w:sz w:val="24"/>
            <w:szCs w:val="24"/>
            <w:lang w:eastAsia="es-EC"/>
          </w:rPr>
          <w:t>la NIC</w:t>
        </w:r>
      </w:smartTag>
      <w:r w:rsidRPr="003231C2">
        <w:rPr>
          <w:rFonts w:ascii="Arial" w:eastAsia="Times New Roman" w:hAnsi="Arial" w:cs="Arial"/>
          <w:bCs/>
          <w:iCs/>
          <w:sz w:val="24"/>
          <w:szCs w:val="24"/>
          <w:lang w:eastAsia="es-EC"/>
        </w:rPr>
        <w:t xml:space="preserve"> 39 como préstamos o anticipos, debe</w:t>
      </w:r>
      <w:r w:rsidRPr="003231C2">
        <w:rPr>
          <w:rFonts w:ascii="Arial" w:eastAsia="Times New Roman" w:hAnsi="Arial" w:cs="Arial"/>
          <w:sz w:val="24"/>
          <w:szCs w:val="24"/>
          <w:lang w:eastAsia="es-EC"/>
        </w:rPr>
        <w:t xml:space="preserve"> </w:t>
      </w:r>
      <w:r w:rsidRPr="003231C2">
        <w:rPr>
          <w:rFonts w:ascii="Arial" w:eastAsia="Times New Roman" w:hAnsi="Arial" w:cs="Arial"/>
          <w:bCs/>
          <w:iCs/>
          <w:sz w:val="24"/>
          <w:szCs w:val="24"/>
          <w:lang w:eastAsia="es-EC"/>
        </w:rPr>
        <w:t xml:space="preserve">ser contabilizado como una apropiación de las ganancias retenidas. </w:t>
      </w:r>
    </w:p>
    <w:p w:rsidR="00A3014D" w:rsidRPr="003231C2" w:rsidRDefault="00A3014D" w:rsidP="00C75919">
      <w:pPr>
        <w:spacing w:after="0" w:line="360" w:lineRule="auto"/>
        <w:ind w:firstLine="454"/>
        <w:jc w:val="both"/>
        <w:rPr>
          <w:rFonts w:ascii="Arial" w:eastAsia="Times New Roman" w:hAnsi="Arial" w:cs="Arial"/>
          <w:sz w:val="24"/>
          <w:szCs w:val="24"/>
          <w:lang w:eastAsia="es-EC"/>
        </w:rPr>
      </w:pPr>
      <w:r w:rsidRPr="003231C2">
        <w:rPr>
          <w:rFonts w:ascii="Arial" w:eastAsia="Times New Roman" w:hAnsi="Arial" w:cs="Arial"/>
          <w:bCs/>
          <w:iCs/>
          <w:sz w:val="24"/>
          <w:szCs w:val="24"/>
          <w:lang w:eastAsia="es-EC"/>
        </w:rPr>
        <w:t>Consecuentemente, cuanto se acredite algún importe, procedente de la reducción de tales pérdidas, esto dará lugar a un incremento de las ganancias</w:t>
      </w:r>
      <w:r w:rsidRPr="003231C2">
        <w:rPr>
          <w:rFonts w:ascii="Arial" w:eastAsia="Times New Roman" w:hAnsi="Arial" w:cs="Arial"/>
          <w:sz w:val="24"/>
          <w:szCs w:val="24"/>
          <w:lang w:eastAsia="es-EC"/>
        </w:rPr>
        <w:t xml:space="preserve"> </w:t>
      </w:r>
      <w:r w:rsidRPr="003231C2">
        <w:rPr>
          <w:rFonts w:ascii="Arial" w:eastAsia="Times New Roman" w:hAnsi="Arial" w:cs="Arial"/>
          <w:bCs/>
          <w:iCs/>
          <w:sz w:val="24"/>
          <w:szCs w:val="24"/>
          <w:lang w:eastAsia="es-EC"/>
        </w:rPr>
        <w:t xml:space="preserve">retenidas, y nunca debe incluirse en la determinación de la ganancia o la pérdida netas del periodo. </w:t>
      </w:r>
    </w:p>
    <w:p w:rsidR="00A3014D" w:rsidRPr="00C75919" w:rsidRDefault="00A3014D" w:rsidP="00C75919">
      <w:pPr>
        <w:spacing w:after="0" w:line="360" w:lineRule="auto"/>
        <w:ind w:firstLine="454"/>
        <w:jc w:val="both"/>
        <w:rPr>
          <w:rFonts w:ascii="Arial" w:eastAsia="Times New Roman" w:hAnsi="Arial" w:cs="Arial"/>
          <w:sz w:val="24"/>
          <w:szCs w:val="24"/>
          <w:lang w:eastAsia="es-EC"/>
        </w:rPr>
      </w:pPr>
    </w:p>
    <w:p w:rsidR="00A3014D" w:rsidRPr="00C75919" w:rsidRDefault="00A3014D" w:rsidP="00C75919">
      <w:pPr>
        <w:spacing w:after="0" w:line="360" w:lineRule="auto"/>
        <w:ind w:firstLine="454"/>
        <w:jc w:val="both"/>
        <w:rPr>
          <w:rFonts w:ascii="Arial" w:eastAsia="Times New Roman" w:hAnsi="Arial" w:cs="Arial"/>
          <w:sz w:val="24"/>
          <w:szCs w:val="24"/>
          <w:lang w:eastAsia="es-EC"/>
        </w:rPr>
      </w:pPr>
      <w:r w:rsidRPr="00C75919">
        <w:rPr>
          <w:rFonts w:ascii="Arial" w:eastAsia="Times New Roman" w:hAnsi="Arial" w:cs="Arial"/>
          <w:sz w:val="24"/>
          <w:szCs w:val="24"/>
          <w:lang w:eastAsia="es-EC"/>
        </w:rPr>
        <w:t xml:space="preserve">Las circunstancias particulares o la legislación local pueden permitir o exigir al </w:t>
      </w:r>
      <w:r w:rsidRPr="00C75919">
        <w:rPr>
          <w:rFonts w:ascii="Arial" w:eastAsia="Times New Roman" w:hAnsi="Arial" w:cs="Arial"/>
          <w:bCs/>
          <w:sz w:val="24"/>
          <w:szCs w:val="24"/>
          <w:lang w:eastAsia="es-EC"/>
        </w:rPr>
        <w:t>banco</w:t>
      </w:r>
      <w:r w:rsidRPr="00C75919">
        <w:rPr>
          <w:rFonts w:ascii="Arial" w:eastAsia="Times New Roman" w:hAnsi="Arial" w:cs="Arial"/>
          <w:sz w:val="24"/>
          <w:szCs w:val="24"/>
          <w:lang w:eastAsia="es-EC"/>
        </w:rPr>
        <w:t xml:space="preserve"> que lleve a resultados pérdidas en préstamos y anticipos de préstamos junto con aquellas pérdidas que deben reconocerse según </w:t>
      </w:r>
      <w:smartTag w:uri="urn:schemas-microsoft-com:office:smarttags" w:element="PersonName">
        <w:smartTagPr>
          <w:attr w:name="ProductID" w:val="la NIC"/>
        </w:smartTagPr>
        <w:r w:rsidRPr="00C75919">
          <w:rPr>
            <w:rFonts w:ascii="Arial" w:eastAsia="Times New Roman" w:hAnsi="Arial" w:cs="Arial"/>
            <w:sz w:val="24"/>
            <w:szCs w:val="24"/>
            <w:lang w:eastAsia="es-EC"/>
          </w:rPr>
          <w:t>la NIC</w:t>
        </w:r>
      </w:smartTag>
      <w:r w:rsidRPr="00C75919">
        <w:rPr>
          <w:rFonts w:ascii="Arial" w:eastAsia="Times New Roman" w:hAnsi="Arial" w:cs="Arial"/>
          <w:sz w:val="24"/>
          <w:szCs w:val="24"/>
          <w:lang w:eastAsia="es-EC"/>
        </w:rPr>
        <w:t xml:space="preserve"> 39. Tales cargos a resultados representan apropiaciones de las ganancias retenidas, y no gastos, al determinar la ganancia o la pérdida netas del periodo. De forma similar, todo tipo de créditos a resultados procedentes de </w:t>
      </w:r>
      <w:r w:rsidRPr="00C75919">
        <w:rPr>
          <w:rFonts w:ascii="Arial" w:eastAsia="Times New Roman" w:hAnsi="Arial" w:cs="Arial"/>
          <w:sz w:val="24"/>
          <w:szCs w:val="24"/>
          <w:lang w:eastAsia="es-EC"/>
        </w:rPr>
        <w:lastRenderedPageBreak/>
        <w:t xml:space="preserve">la reducción de tales gastos producirá un incremento de las ganancias retenidas, y por lo tanto no se incluirá en la determinación de la ganancia ola pérdida neta del periodo. </w:t>
      </w:r>
    </w:p>
    <w:p w:rsidR="00A3014D" w:rsidRPr="00C75919" w:rsidRDefault="00A3014D" w:rsidP="00C75919">
      <w:pPr>
        <w:spacing w:after="0" w:line="360" w:lineRule="auto"/>
        <w:ind w:firstLine="454"/>
        <w:jc w:val="both"/>
        <w:rPr>
          <w:rFonts w:ascii="Arial" w:eastAsia="Times New Roman" w:hAnsi="Arial" w:cs="Arial"/>
          <w:sz w:val="24"/>
          <w:szCs w:val="24"/>
          <w:lang w:eastAsia="es-EC"/>
        </w:rPr>
      </w:pPr>
    </w:p>
    <w:p w:rsidR="00A3014D" w:rsidRPr="00C75919" w:rsidRDefault="00A3014D" w:rsidP="00C75919">
      <w:pPr>
        <w:spacing w:after="0" w:line="360" w:lineRule="auto"/>
        <w:ind w:firstLine="454"/>
        <w:jc w:val="both"/>
        <w:rPr>
          <w:rFonts w:ascii="Arial" w:eastAsia="Times New Roman" w:hAnsi="Arial" w:cs="Arial"/>
          <w:sz w:val="24"/>
          <w:szCs w:val="24"/>
          <w:lang w:eastAsia="es-EC"/>
        </w:rPr>
      </w:pPr>
      <w:r w:rsidRPr="00C75919">
        <w:rPr>
          <w:rFonts w:ascii="Arial" w:eastAsia="Times New Roman" w:hAnsi="Arial" w:cs="Arial"/>
          <w:sz w:val="24"/>
          <w:szCs w:val="24"/>
          <w:lang w:eastAsia="es-EC"/>
        </w:rPr>
        <w:t xml:space="preserve">Los usuarios de los </w:t>
      </w:r>
      <w:r w:rsidRPr="00C75919">
        <w:rPr>
          <w:rFonts w:ascii="Arial" w:eastAsia="Times New Roman" w:hAnsi="Arial" w:cs="Arial"/>
          <w:bCs/>
          <w:sz w:val="24"/>
          <w:szCs w:val="24"/>
          <w:lang w:eastAsia="es-EC"/>
        </w:rPr>
        <w:t>estados</w:t>
      </w:r>
      <w:r w:rsidRPr="00C75919">
        <w:rPr>
          <w:rFonts w:ascii="Arial" w:eastAsia="Times New Roman" w:hAnsi="Arial" w:cs="Arial"/>
          <w:sz w:val="24"/>
          <w:szCs w:val="24"/>
          <w:lang w:eastAsia="es-EC"/>
        </w:rPr>
        <w:t xml:space="preserve"> </w:t>
      </w:r>
      <w:r w:rsidRPr="00C75919">
        <w:rPr>
          <w:rFonts w:ascii="Arial" w:eastAsia="Times New Roman" w:hAnsi="Arial" w:cs="Arial"/>
          <w:bCs/>
          <w:sz w:val="24"/>
          <w:szCs w:val="24"/>
          <w:lang w:eastAsia="es-EC"/>
        </w:rPr>
        <w:t>financieros</w:t>
      </w:r>
      <w:r w:rsidRPr="00C75919">
        <w:rPr>
          <w:rFonts w:ascii="Arial" w:eastAsia="Times New Roman" w:hAnsi="Arial" w:cs="Arial"/>
          <w:sz w:val="24"/>
          <w:szCs w:val="24"/>
          <w:lang w:eastAsia="es-EC"/>
        </w:rPr>
        <w:t xml:space="preserve"> de un </w:t>
      </w:r>
      <w:r w:rsidRPr="00C75919">
        <w:rPr>
          <w:rFonts w:ascii="Arial" w:eastAsia="Times New Roman" w:hAnsi="Arial" w:cs="Arial"/>
          <w:bCs/>
          <w:sz w:val="24"/>
          <w:szCs w:val="24"/>
          <w:lang w:eastAsia="es-EC"/>
        </w:rPr>
        <w:t>banco</w:t>
      </w:r>
      <w:r w:rsidRPr="00C75919">
        <w:rPr>
          <w:rFonts w:ascii="Arial" w:eastAsia="Times New Roman" w:hAnsi="Arial" w:cs="Arial"/>
          <w:sz w:val="24"/>
          <w:szCs w:val="24"/>
          <w:lang w:eastAsia="es-EC"/>
        </w:rPr>
        <w:t xml:space="preserve"> necesitan conocer la incidencia que las pérdidas, en préstamos y anticipos de préstamos, han tenido en la situación financiera y los resultados de la entidad, lo que les ayuda a juzgar la eficacia con la que el </w:t>
      </w:r>
      <w:r w:rsidRPr="00C75919">
        <w:rPr>
          <w:rFonts w:ascii="Arial" w:eastAsia="Times New Roman" w:hAnsi="Arial" w:cs="Arial"/>
          <w:bCs/>
          <w:sz w:val="24"/>
          <w:szCs w:val="24"/>
          <w:lang w:eastAsia="es-EC"/>
        </w:rPr>
        <w:t>banco</w:t>
      </w:r>
      <w:r w:rsidRPr="00C75919">
        <w:rPr>
          <w:rFonts w:ascii="Arial" w:eastAsia="Times New Roman" w:hAnsi="Arial" w:cs="Arial"/>
          <w:sz w:val="24"/>
          <w:szCs w:val="24"/>
          <w:lang w:eastAsia="es-EC"/>
        </w:rPr>
        <w:t xml:space="preserve"> ha empleado sus recursos. Por tanto, el </w:t>
      </w:r>
      <w:r w:rsidRPr="00C75919">
        <w:rPr>
          <w:rFonts w:ascii="Arial" w:eastAsia="Times New Roman" w:hAnsi="Arial" w:cs="Arial"/>
          <w:bCs/>
          <w:sz w:val="24"/>
          <w:szCs w:val="24"/>
          <w:lang w:eastAsia="es-EC"/>
        </w:rPr>
        <w:t>banco</w:t>
      </w:r>
      <w:r w:rsidRPr="00C75919">
        <w:rPr>
          <w:rFonts w:ascii="Arial" w:eastAsia="Times New Roman" w:hAnsi="Arial" w:cs="Arial"/>
          <w:sz w:val="24"/>
          <w:szCs w:val="24"/>
          <w:lang w:eastAsia="es-EC"/>
        </w:rPr>
        <w:t xml:space="preserve"> revelará información sobre la cuantía agregada de la provisión por pérdidas en préstamos y anticipos de préstamos a la fecha del balance, así como los movimientos de la provisión durante el periodo. Los movimientos en la provisión, incluyendo los importes dados de baja anteriormente que hayan sido recuperados durante el periodo, se presentarán por separado. </w:t>
      </w:r>
    </w:p>
    <w:p w:rsidR="00A3014D" w:rsidRPr="00C75919" w:rsidRDefault="00A3014D" w:rsidP="00C75919">
      <w:pPr>
        <w:spacing w:after="0" w:line="360" w:lineRule="auto"/>
        <w:ind w:firstLine="454"/>
        <w:jc w:val="both"/>
        <w:rPr>
          <w:rFonts w:ascii="Arial" w:eastAsia="Times New Roman" w:hAnsi="Arial" w:cs="Arial"/>
          <w:sz w:val="24"/>
          <w:szCs w:val="24"/>
          <w:lang w:eastAsia="es-EC"/>
        </w:rPr>
      </w:pPr>
      <w:r w:rsidRPr="00C75919">
        <w:rPr>
          <w:rFonts w:ascii="Arial" w:eastAsia="Times New Roman" w:hAnsi="Arial" w:cs="Arial"/>
          <w:sz w:val="24"/>
          <w:szCs w:val="24"/>
          <w:lang w:eastAsia="es-EC"/>
        </w:rPr>
        <w:t xml:space="preserve">Cuando no pueden ser recuperados los préstamos y anticipos de préstamos, se dan de baja compensándolos con la provisión correspondiente. En algunos casos no se dan de baja hasta que todos los procedimientos legales necesarios han sido llevados a cabo, y el importe de la pérdida ha sido finalmente establecido. En otros casos se dan de baja con anterioridad, por ejemplo cuando el prestatario no ha hecho, en un periodo de tiempo especificado, ningún pago por intereses o por amortización del principal vencido. Puesto que hay diferencias en el momento en el cual los créditos y anticipos en cuenta incobrables son dados de baja, los importes brutos de tales inversiones crediticias y las correspondientes provisiones por pérdidas pueden variar considerablemente entre bancos, incluso en circunstancias similares. Por esta razón el </w:t>
      </w:r>
      <w:r w:rsidRPr="00C75919">
        <w:rPr>
          <w:rFonts w:ascii="Arial" w:eastAsia="Times New Roman" w:hAnsi="Arial" w:cs="Arial"/>
          <w:bCs/>
          <w:sz w:val="24"/>
          <w:szCs w:val="24"/>
          <w:lang w:eastAsia="es-EC"/>
        </w:rPr>
        <w:t>banco</w:t>
      </w:r>
      <w:r w:rsidRPr="00C75919">
        <w:rPr>
          <w:rFonts w:ascii="Arial" w:eastAsia="Times New Roman" w:hAnsi="Arial" w:cs="Arial"/>
          <w:sz w:val="24"/>
          <w:szCs w:val="24"/>
          <w:lang w:eastAsia="es-EC"/>
        </w:rPr>
        <w:t xml:space="preserve"> habrá de revelar información respecto a sus políticas contables para dar de baja préstamos y anticipos de préstamos considerados incobrables. </w:t>
      </w:r>
    </w:p>
    <w:p w:rsidR="00A3014D" w:rsidRPr="00C75919" w:rsidRDefault="00A3014D" w:rsidP="00C75919">
      <w:pPr>
        <w:spacing w:after="0" w:line="360" w:lineRule="auto"/>
        <w:ind w:left="360" w:firstLine="454"/>
        <w:jc w:val="both"/>
        <w:rPr>
          <w:rFonts w:ascii="Arial" w:eastAsia="Times New Roman" w:hAnsi="Arial" w:cs="Arial"/>
          <w:sz w:val="24"/>
          <w:szCs w:val="24"/>
          <w:lang w:eastAsia="es-EC"/>
        </w:rPr>
      </w:pPr>
    </w:p>
    <w:p w:rsidR="00A3014D" w:rsidRPr="00C75919" w:rsidRDefault="00A3014D" w:rsidP="00C75919">
      <w:pPr>
        <w:spacing w:after="0" w:line="360" w:lineRule="auto"/>
        <w:ind w:firstLine="454"/>
        <w:jc w:val="both"/>
        <w:rPr>
          <w:rFonts w:ascii="Arial" w:eastAsia="Times New Roman" w:hAnsi="Arial" w:cs="Arial"/>
          <w:sz w:val="24"/>
          <w:szCs w:val="24"/>
          <w:lang w:eastAsia="es-EC"/>
        </w:rPr>
      </w:pPr>
      <w:r w:rsidRPr="00C75919">
        <w:rPr>
          <w:rFonts w:ascii="Arial" w:eastAsia="Times New Roman" w:hAnsi="Arial" w:cs="Arial"/>
          <w:bCs/>
          <w:sz w:val="24"/>
          <w:szCs w:val="24"/>
          <w:lang w:eastAsia="es-EC"/>
        </w:rPr>
        <w:t xml:space="preserve">Riesgos generales de la actividad bancaria </w:t>
      </w:r>
    </w:p>
    <w:p w:rsidR="00A3014D" w:rsidRPr="00C75919" w:rsidRDefault="00A3014D" w:rsidP="00C75919">
      <w:pPr>
        <w:spacing w:after="0" w:line="360" w:lineRule="auto"/>
        <w:ind w:firstLine="454"/>
        <w:jc w:val="both"/>
        <w:rPr>
          <w:rFonts w:ascii="Arial" w:eastAsia="Times New Roman" w:hAnsi="Arial" w:cs="Arial"/>
          <w:bCs/>
          <w:i/>
          <w:iCs/>
          <w:sz w:val="24"/>
          <w:szCs w:val="24"/>
          <w:lang w:eastAsia="es-EC"/>
        </w:rPr>
      </w:pPr>
    </w:p>
    <w:p w:rsidR="00A3014D" w:rsidRPr="00C75919" w:rsidRDefault="00A3014D" w:rsidP="00C75919">
      <w:pPr>
        <w:spacing w:after="0" w:line="360" w:lineRule="auto"/>
        <w:ind w:firstLine="454"/>
        <w:jc w:val="both"/>
        <w:rPr>
          <w:rFonts w:ascii="Arial" w:eastAsia="Times New Roman" w:hAnsi="Arial" w:cs="Arial"/>
          <w:bCs/>
          <w:i/>
          <w:iCs/>
          <w:sz w:val="24"/>
          <w:szCs w:val="24"/>
          <w:lang w:eastAsia="es-EC"/>
        </w:rPr>
      </w:pPr>
      <w:r w:rsidRPr="00C75919">
        <w:rPr>
          <w:rFonts w:ascii="Arial" w:eastAsia="Times New Roman" w:hAnsi="Arial" w:cs="Arial"/>
          <w:bCs/>
          <w:i/>
          <w:iCs/>
          <w:sz w:val="24"/>
          <w:szCs w:val="24"/>
          <w:lang w:eastAsia="es-EC"/>
        </w:rPr>
        <w:lastRenderedPageBreak/>
        <w:t xml:space="preserve">Todos los importes dotados para cubrir riesgos generales de la actividad bancaria, incluyendo pérdidas futuras y otros riesgos y contingencias imprevisibles, deben presentarse por separado, y tratarse como apropiaciones de las ganancias retenidas. Cualesquiera importes procedentes de la reducción, tales saldos producirán un incremento en las ganancias retenidas, y no deben incluirse en la determinación de la ganancia o la pérdida netas del periodo </w:t>
      </w:r>
    </w:p>
    <w:p w:rsidR="00A3014D" w:rsidRPr="00C75919" w:rsidRDefault="00A3014D" w:rsidP="00C75919">
      <w:pPr>
        <w:spacing w:after="0" w:line="360" w:lineRule="auto"/>
        <w:ind w:firstLine="454"/>
        <w:jc w:val="both"/>
        <w:rPr>
          <w:rFonts w:ascii="Arial" w:eastAsia="Times New Roman" w:hAnsi="Arial" w:cs="Arial"/>
          <w:sz w:val="24"/>
          <w:szCs w:val="24"/>
          <w:lang w:eastAsia="es-EC"/>
        </w:rPr>
      </w:pPr>
    </w:p>
    <w:p w:rsidR="00A3014D" w:rsidRDefault="00A3014D" w:rsidP="00C75919">
      <w:pPr>
        <w:spacing w:after="0" w:line="360" w:lineRule="auto"/>
        <w:ind w:firstLine="454"/>
        <w:jc w:val="both"/>
        <w:rPr>
          <w:rFonts w:ascii="Arial" w:eastAsia="Times New Roman" w:hAnsi="Arial" w:cs="Arial"/>
          <w:sz w:val="24"/>
          <w:szCs w:val="24"/>
          <w:lang w:eastAsia="es-EC"/>
        </w:rPr>
      </w:pPr>
      <w:r w:rsidRPr="00C75919">
        <w:rPr>
          <w:rFonts w:ascii="Arial" w:eastAsia="Times New Roman" w:hAnsi="Arial" w:cs="Arial"/>
          <w:sz w:val="24"/>
          <w:szCs w:val="24"/>
          <w:lang w:eastAsia="es-EC"/>
        </w:rPr>
        <w:t xml:space="preserve">Las circunstancias o la legislación local pueden permitir o exigir al </w:t>
      </w:r>
      <w:r w:rsidRPr="00C75919">
        <w:rPr>
          <w:rFonts w:ascii="Arial" w:eastAsia="Times New Roman" w:hAnsi="Arial" w:cs="Arial"/>
          <w:bCs/>
          <w:sz w:val="24"/>
          <w:szCs w:val="24"/>
          <w:lang w:eastAsia="es-EC"/>
        </w:rPr>
        <w:t>banco</w:t>
      </w:r>
      <w:r w:rsidRPr="00C75919">
        <w:rPr>
          <w:rFonts w:ascii="Arial" w:eastAsia="Times New Roman" w:hAnsi="Arial" w:cs="Arial"/>
          <w:sz w:val="24"/>
          <w:szCs w:val="24"/>
          <w:lang w:eastAsia="es-EC"/>
        </w:rPr>
        <w:t xml:space="preserve"> que realice, además de las provisiones por pérdidas en préstamos y anticipos de préstamos, determinados según el párrafo 45, otros cargos a resultados por riesgos generales de la actividad bancaria, incluyendo pérdidas futuras u otro tipo de riesgos imprevisibles. </w:t>
      </w:r>
    </w:p>
    <w:p w:rsidR="00577B8D" w:rsidRPr="00C75919" w:rsidRDefault="00577B8D" w:rsidP="00C75919">
      <w:pPr>
        <w:spacing w:after="0" w:line="360" w:lineRule="auto"/>
        <w:ind w:firstLine="454"/>
        <w:jc w:val="both"/>
        <w:rPr>
          <w:rFonts w:ascii="Arial" w:eastAsia="Times New Roman" w:hAnsi="Arial" w:cs="Arial"/>
          <w:sz w:val="24"/>
          <w:szCs w:val="24"/>
          <w:lang w:eastAsia="es-EC"/>
        </w:rPr>
      </w:pPr>
    </w:p>
    <w:p w:rsidR="00A3014D" w:rsidRDefault="00A3014D" w:rsidP="00C75919">
      <w:pPr>
        <w:spacing w:after="0" w:line="360" w:lineRule="auto"/>
        <w:ind w:firstLine="454"/>
        <w:jc w:val="both"/>
        <w:rPr>
          <w:rFonts w:ascii="Arial" w:eastAsia="Times New Roman" w:hAnsi="Arial" w:cs="Arial"/>
          <w:sz w:val="24"/>
          <w:szCs w:val="24"/>
          <w:lang w:eastAsia="es-EC"/>
        </w:rPr>
      </w:pPr>
      <w:r w:rsidRPr="00C75919">
        <w:rPr>
          <w:rFonts w:ascii="Arial" w:eastAsia="Times New Roman" w:hAnsi="Arial" w:cs="Arial"/>
          <w:sz w:val="24"/>
          <w:szCs w:val="24"/>
          <w:lang w:eastAsia="es-EC"/>
        </w:rPr>
        <w:t xml:space="preserve">El </w:t>
      </w:r>
      <w:r w:rsidRPr="00C75919">
        <w:rPr>
          <w:rFonts w:ascii="Arial" w:eastAsia="Times New Roman" w:hAnsi="Arial" w:cs="Arial"/>
          <w:bCs/>
          <w:sz w:val="24"/>
          <w:szCs w:val="24"/>
          <w:lang w:eastAsia="es-EC"/>
        </w:rPr>
        <w:t>banco</w:t>
      </w:r>
      <w:r w:rsidRPr="00C75919">
        <w:rPr>
          <w:rFonts w:ascii="Arial" w:eastAsia="Times New Roman" w:hAnsi="Arial" w:cs="Arial"/>
          <w:sz w:val="24"/>
          <w:szCs w:val="24"/>
          <w:lang w:eastAsia="es-EC"/>
        </w:rPr>
        <w:t xml:space="preserve"> puede también estar obligado, o permitírsele, cargar a resultados gastos por contingencias. Estos importes que cubren riesgos y contingencias generales, derivados de la actividad bancaria, no cumplen los requisitos para ser reconocidos como provisiones, según </w:t>
      </w:r>
      <w:smartTag w:uri="urn:schemas-microsoft-com:office:smarttags" w:element="PersonName">
        <w:smartTagPr>
          <w:attr w:name="ProductID" w:val="la NIC Provisiones"/>
        </w:smartTagPr>
        <w:r w:rsidRPr="00C75919">
          <w:rPr>
            <w:rFonts w:ascii="Arial" w:eastAsia="Times New Roman" w:hAnsi="Arial" w:cs="Arial"/>
            <w:sz w:val="24"/>
            <w:szCs w:val="24"/>
            <w:lang w:eastAsia="es-EC"/>
          </w:rPr>
          <w:t xml:space="preserve">la NIC </w:t>
        </w:r>
        <w:r w:rsidRPr="00C75919">
          <w:rPr>
            <w:rFonts w:ascii="Arial" w:eastAsia="Times New Roman" w:hAnsi="Arial" w:cs="Arial"/>
            <w:i/>
            <w:iCs/>
            <w:sz w:val="24"/>
            <w:szCs w:val="24"/>
            <w:lang w:eastAsia="es-EC"/>
          </w:rPr>
          <w:t>Provisiones</w:t>
        </w:r>
      </w:smartTag>
      <w:r w:rsidRPr="00C75919">
        <w:rPr>
          <w:rFonts w:ascii="Arial" w:eastAsia="Times New Roman" w:hAnsi="Arial" w:cs="Arial"/>
          <w:i/>
          <w:iCs/>
          <w:sz w:val="24"/>
          <w:szCs w:val="24"/>
          <w:lang w:eastAsia="es-EC"/>
        </w:rPr>
        <w:t xml:space="preserve">, Activos Contingentes y Pasivos contingentes. </w:t>
      </w:r>
      <w:r w:rsidRPr="00C75919">
        <w:rPr>
          <w:rFonts w:ascii="Arial" w:eastAsia="Times New Roman" w:hAnsi="Arial" w:cs="Arial"/>
          <w:sz w:val="24"/>
          <w:szCs w:val="24"/>
          <w:lang w:eastAsia="es-EC"/>
        </w:rPr>
        <w:t xml:space="preserve">Por tanto, el </w:t>
      </w:r>
      <w:r w:rsidRPr="00C75919">
        <w:rPr>
          <w:rFonts w:ascii="Arial" w:eastAsia="Times New Roman" w:hAnsi="Arial" w:cs="Arial"/>
          <w:bCs/>
          <w:sz w:val="24"/>
          <w:szCs w:val="24"/>
          <w:lang w:eastAsia="es-EC"/>
        </w:rPr>
        <w:t>banco</w:t>
      </w:r>
      <w:r w:rsidRPr="00C75919">
        <w:rPr>
          <w:rFonts w:ascii="Arial" w:eastAsia="Times New Roman" w:hAnsi="Arial" w:cs="Arial"/>
          <w:sz w:val="24"/>
          <w:szCs w:val="24"/>
          <w:lang w:eastAsia="es-EC"/>
        </w:rPr>
        <w:t xml:space="preserve"> reconocerá tales cantidades como apropiaciones de las ganancias retenidas. Este proceder es necesario para evitar una sobrevaluación de los pasivos, una infra valuación de los activos, o la existencia de acumulaciones (o devengos) y provisiones no reveladas en la información financiera, y la posibilidad de distorsión del resultado neto y del patrimonio. </w:t>
      </w:r>
    </w:p>
    <w:p w:rsidR="00577B8D" w:rsidRPr="00C75919" w:rsidRDefault="00577B8D" w:rsidP="00C75919">
      <w:pPr>
        <w:spacing w:after="0" w:line="360" w:lineRule="auto"/>
        <w:ind w:firstLine="454"/>
        <w:jc w:val="both"/>
        <w:rPr>
          <w:rFonts w:ascii="Arial" w:eastAsia="Times New Roman" w:hAnsi="Arial" w:cs="Arial"/>
          <w:sz w:val="24"/>
          <w:szCs w:val="24"/>
          <w:lang w:eastAsia="es-EC"/>
        </w:rPr>
      </w:pPr>
    </w:p>
    <w:p w:rsidR="00A3014D" w:rsidRPr="00C75919" w:rsidRDefault="00A3014D" w:rsidP="00C75919">
      <w:pPr>
        <w:spacing w:after="0" w:line="360" w:lineRule="auto"/>
        <w:ind w:firstLine="454"/>
        <w:jc w:val="both"/>
        <w:rPr>
          <w:rFonts w:ascii="Arial" w:eastAsia="Times New Roman" w:hAnsi="Arial" w:cs="Arial"/>
          <w:sz w:val="24"/>
          <w:szCs w:val="24"/>
          <w:lang w:eastAsia="es-EC"/>
        </w:rPr>
      </w:pPr>
      <w:r w:rsidRPr="00C75919">
        <w:rPr>
          <w:rFonts w:ascii="Arial" w:eastAsia="Times New Roman" w:hAnsi="Arial" w:cs="Arial"/>
          <w:sz w:val="24"/>
          <w:szCs w:val="24"/>
          <w:lang w:eastAsia="es-EC"/>
        </w:rPr>
        <w:t xml:space="preserve">El estado de resultados podría no presentar una información relevante y fiable, sobre la actividad del </w:t>
      </w:r>
      <w:r w:rsidRPr="00C75919">
        <w:rPr>
          <w:rFonts w:ascii="Arial" w:eastAsia="Times New Roman" w:hAnsi="Arial" w:cs="Arial"/>
          <w:bCs/>
          <w:sz w:val="24"/>
          <w:szCs w:val="24"/>
          <w:lang w:eastAsia="es-EC"/>
        </w:rPr>
        <w:t>banco</w:t>
      </w:r>
      <w:r w:rsidRPr="00C75919">
        <w:rPr>
          <w:rFonts w:ascii="Arial" w:eastAsia="Times New Roman" w:hAnsi="Arial" w:cs="Arial"/>
          <w:sz w:val="24"/>
          <w:szCs w:val="24"/>
          <w:lang w:eastAsia="es-EC"/>
        </w:rPr>
        <w:t xml:space="preserve">, si la ganancia o la pérdida netas del periodo incluyen cargos no explícitos debidos a provisiones para cubrir riesgos generales o contingencias adicionales, o abonos resultantes de la reversión contable de los anteriores cargos. De forma similar, el balance puede no presentar una información relevante y fiable sobre la situación </w:t>
      </w:r>
      <w:r w:rsidRPr="00C75919">
        <w:rPr>
          <w:rFonts w:ascii="Arial" w:eastAsia="Times New Roman" w:hAnsi="Arial" w:cs="Arial"/>
          <w:sz w:val="24"/>
          <w:szCs w:val="24"/>
          <w:lang w:eastAsia="es-EC"/>
        </w:rPr>
        <w:lastRenderedPageBreak/>
        <w:t xml:space="preserve">financiera del </w:t>
      </w:r>
      <w:r w:rsidRPr="00C75919">
        <w:rPr>
          <w:rFonts w:ascii="Arial" w:eastAsia="Times New Roman" w:hAnsi="Arial" w:cs="Arial"/>
          <w:bCs/>
          <w:sz w:val="24"/>
          <w:szCs w:val="24"/>
          <w:lang w:eastAsia="es-EC"/>
        </w:rPr>
        <w:t>banco</w:t>
      </w:r>
      <w:r w:rsidRPr="00C75919">
        <w:rPr>
          <w:rFonts w:ascii="Arial" w:eastAsia="Times New Roman" w:hAnsi="Arial" w:cs="Arial"/>
          <w:sz w:val="24"/>
          <w:szCs w:val="24"/>
          <w:lang w:eastAsia="es-EC"/>
        </w:rPr>
        <w:t xml:space="preserve"> si incluye pasivos sobrevalorados, activos infravalorados o recoge acumulaciones (o devengos) y provisiones no explícitas en las revelaciones financieras.</w:t>
      </w:r>
    </w:p>
    <w:p w:rsidR="00A3014D" w:rsidRPr="00C75919" w:rsidRDefault="00A3014D" w:rsidP="00C75919">
      <w:pPr>
        <w:spacing w:after="0" w:line="360" w:lineRule="auto"/>
        <w:ind w:firstLine="454"/>
        <w:jc w:val="both"/>
        <w:rPr>
          <w:rFonts w:ascii="Arial" w:eastAsia="Times New Roman" w:hAnsi="Arial" w:cs="Arial"/>
          <w:sz w:val="24"/>
          <w:szCs w:val="24"/>
          <w:lang w:eastAsia="es-EC"/>
        </w:rPr>
      </w:pPr>
    </w:p>
    <w:p w:rsidR="00A3014D" w:rsidRPr="00CD1648" w:rsidRDefault="00CD1648" w:rsidP="00CD1648">
      <w:pPr>
        <w:pStyle w:val="Prrafodelista1"/>
        <w:numPr>
          <w:ilvl w:val="1"/>
          <w:numId w:val="4"/>
        </w:numPr>
        <w:spacing w:line="360" w:lineRule="auto"/>
        <w:ind w:firstLine="207"/>
        <w:jc w:val="both"/>
        <w:rPr>
          <w:rFonts w:ascii="Arial" w:hAnsi="Arial" w:cs="Arial"/>
          <w:b/>
          <w:sz w:val="28"/>
          <w:szCs w:val="28"/>
        </w:rPr>
      </w:pPr>
      <w:r w:rsidRPr="00CD1648">
        <w:rPr>
          <w:rFonts w:ascii="Arial" w:hAnsi="Arial" w:cs="Arial"/>
          <w:b/>
          <w:sz w:val="28"/>
          <w:szCs w:val="28"/>
        </w:rPr>
        <w:t>DESCRIPCIÓN Y ANÁ</w:t>
      </w:r>
      <w:r w:rsidR="00A3014D" w:rsidRPr="00CD1648">
        <w:rPr>
          <w:rFonts w:ascii="Arial" w:hAnsi="Arial" w:cs="Arial"/>
          <w:b/>
          <w:sz w:val="28"/>
          <w:szCs w:val="28"/>
        </w:rPr>
        <w:t>LISIS DEL PRODUBANCO</w:t>
      </w:r>
    </w:p>
    <w:p w:rsidR="00A3014D" w:rsidRPr="00CD1648" w:rsidRDefault="00A3014D" w:rsidP="00CD1648">
      <w:pPr>
        <w:pStyle w:val="Prrafodelista1"/>
        <w:spacing w:line="360" w:lineRule="auto"/>
        <w:ind w:left="360" w:firstLine="207"/>
        <w:jc w:val="both"/>
        <w:rPr>
          <w:rFonts w:ascii="Arial" w:hAnsi="Arial" w:cs="Arial"/>
          <w:b/>
          <w:sz w:val="28"/>
          <w:szCs w:val="28"/>
        </w:rPr>
      </w:pPr>
    </w:p>
    <w:p w:rsidR="00A3014D" w:rsidRPr="00CD1648" w:rsidRDefault="00A3014D" w:rsidP="00CD1648">
      <w:pPr>
        <w:pStyle w:val="Prrafodelista1"/>
        <w:numPr>
          <w:ilvl w:val="2"/>
          <w:numId w:val="4"/>
        </w:numPr>
        <w:spacing w:line="360" w:lineRule="auto"/>
        <w:ind w:left="360" w:firstLine="207"/>
        <w:jc w:val="both"/>
        <w:rPr>
          <w:rFonts w:ascii="Arial" w:hAnsi="Arial" w:cs="Arial"/>
          <w:b/>
          <w:sz w:val="28"/>
          <w:szCs w:val="28"/>
        </w:rPr>
      </w:pPr>
      <w:r w:rsidRPr="00CD1648">
        <w:rPr>
          <w:rFonts w:ascii="Arial" w:hAnsi="Arial" w:cs="Arial"/>
          <w:b/>
          <w:sz w:val="28"/>
          <w:szCs w:val="28"/>
        </w:rPr>
        <w:t>ANTECEDENTES HISTÓRICOS</w:t>
      </w:r>
    </w:p>
    <w:p w:rsidR="00CD1648" w:rsidRDefault="00CD1648" w:rsidP="00A3014D">
      <w:pPr>
        <w:shd w:val="clear" w:color="auto" w:fill="FFFFFF"/>
        <w:spacing w:before="100" w:beforeAutospacing="1" w:after="100" w:afterAutospacing="1" w:line="480" w:lineRule="auto"/>
        <w:ind w:firstLine="851"/>
        <w:jc w:val="both"/>
        <w:rPr>
          <w:rFonts w:ascii="Arial" w:eastAsia="Times New Roman" w:hAnsi="Arial" w:cs="Arial"/>
          <w:sz w:val="24"/>
          <w:szCs w:val="24"/>
          <w:lang w:eastAsia="es-EC"/>
        </w:rPr>
      </w:pPr>
    </w:p>
    <w:p w:rsidR="00A3014D" w:rsidRPr="00CD1648" w:rsidRDefault="00A3014D" w:rsidP="00CD1648">
      <w:pPr>
        <w:shd w:val="clear" w:color="auto" w:fill="FFFFFF"/>
        <w:spacing w:before="100" w:beforeAutospacing="1" w:after="100" w:afterAutospacing="1" w:line="360" w:lineRule="auto"/>
        <w:ind w:firstLine="454"/>
        <w:jc w:val="both"/>
        <w:rPr>
          <w:rFonts w:ascii="Arial" w:eastAsia="Times New Roman" w:hAnsi="Arial" w:cs="Arial"/>
          <w:sz w:val="24"/>
          <w:szCs w:val="24"/>
          <w:lang w:eastAsia="es-EC"/>
        </w:rPr>
      </w:pPr>
      <w:r w:rsidRPr="00CD1648">
        <w:rPr>
          <w:rFonts w:ascii="Arial" w:eastAsia="Times New Roman" w:hAnsi="Arial" w:cs="Arial"/>
          <w:sz w:val="24"/>
          <w:szCs w:val="24"/>
          <w:lang w:eastAsia="es-EC"/>
        </w:rPr>
        <w:t xml:space="preserve">Banco de </w:t>
      </w:r>
      <w:smartTag w:uri="urn:schemas-microsoft-com:office:smarttags" w:element="PersonName">
        <w:smartTagPr>
          <w:attr w:name="ProductID" w:val="la Producción S.A."/>
        </w:smartTagPr>
        <w:r w:rsidRPr="00CD1648">
          <w:rPr>
            <w:rFonts w:ascii="Arial" w:eastAsia="Times New Roman" w:hAnsi="Arial" w:cs="Arial"/>
            <w:sz w:val="24"/>
            <w:szCs w:val="24"/>
            <w:lang w:eastAsia="es-EC"/>
          </w:rPr>
          <w:t>la Producción S.A.</w:t>
        </w:r>
      </w:smartTag>
      <w:r w:rsidRPr="00CD1648">
        <w:rPr>
          <w:rFonts w:ascii="Arial" w:eastAsia="Times New Roman" w:hAnsi="Arial" w:cs="Arial"/>
          <w:sz w:val="24"/>
          <w:szCs w:val="24"/>
          <w:lang w:eastAsia="es-EC"/>
        </w:rPr>
        <w:t xml:space="preserve"> PRODUBANCO, encabeza del Grupo Financiero Producción, inició sus actividades en noviembre de 1978 con el propósito de poner a disposición del público en general y del pequeño y gran empresario, los servicios de una nueva institución bancaria.</w:t>
      </w:r>
    </w:p>
    <w:p w:rsidR="00A3014D" w:rsidRPr="00CD1648" w:rsidRDefault="00A3014D" w:rsidP="00CD1648">
      <w:pPr>
        <w:shd w:val="clear" w:color="auto" w:fill="FFFFFF"/>
        <w:spacing w:before="100" w:beforeAutospacing="1" w:after="100" w:afterAutospacing="1" w:line="360" w:lineRule="auto"/>
        <w:ind w:firstLine="454"/>
        <w:jc w:val="both"/>
        <w:rPr>
          <w:rFonts w:ascii="Arial" w:eastAsia="Times New Roman" w:hAnsi="Arial" w:cs="Arial"/>
          <w:sz w:val="24"/>
          <w:szCs w:val="24"/>
          <w:lang w:eastAsia="es-EC"/>
        </w:rPr>
      </w:pPr>
      <w:r w:rsidRPr="00CD1648">
        <w:rPr>
          <w:rFonts w:ascii="Arial" w:eastAsia="Times New Roman" w:hAnsi="Arial" w:cs="Arial"/>
          <w:sz w:val="24"/>
          <w:szCs w:val="24"/>
          <w:lang w:eastAsia="es-EC"/>
        </w:rPr>
        <w:t>Desde ese entonces, se encaminaron a producir  y entregar servicios de calidad para satisfacer las necesidades de sus clientes dentro de un proceso de permanente innovación.</w:t>
      </w:r>
    </w:p>
    <w:p w:rsidR="00A3014D" w:rsidRPr="00CD1648" w:rsidRDefault="00A3014D" w:rsidP="00CD1648">
      <w:pPr>
        <w:shd w:val="clear" w:color="auto" w:fill="FFFFFF"/>
        <w:spacing w:before="100" w:beforeAutospacing="1" w:after="100" w:afterAutospacing="1" w:line="360" w:lineRule="auto"/>
        <w:ind w:firstLine="454"/>
        <w:jc w:val="both"/>
        <w:rPr>
          <w:rFonts w:ascii="Arial" w:eastAsia="Times New Roman" w:hAnsi="Arial" w:cs="Arial"/>
          <w:sz w:val="24"/>
          <w:szCs w:val="24"/>
          <w:lang w:eastAsia="es-EC"/>
        </w:rPr>
      </w:pPr>
      <w:r w:rsidRPr="00CD1648">
        <w:rPr>
          <w:rFonts w:ascii="Arial" w:eastAsia="Times New Roman" w:hAnsi="Arial" w:cs="Arial"/>
          <w:sz w:val="24"/>
          <w:szCs w:val="24"/>
          <w:lang w:eastAsia="es-EC"/>
        </w:rPr>
        <w:t>Contribuyen a la comunidad con la ejecución de programas solidarios y apoyaron al desarrollo económico del país a través de una administración segura y eficiente de los recursos captados.</w:t>
      </w:r>
    </w:p>
    <w:p w:rsidR="00A3014D" w:rsidRPr="00CD1648" w:rsidRDefault="00A3014D" w:rsidP="00CD1648">
      <w:pPr>
        <w:shd w:val="clear" w:color="auto" w:fill="FFFFFF"/>
        <w:spacing w:before="100" w:beforeAutospacing="1" w:after="100" w:afterAutospacing="1" w:line="360" w:lineRule="auto"/>
        <w:ind w:firstLine="454"/>
        <w:jc w:val="both"/>
        <w:rPr>
          <w:rFonts w:ascii="Arial" w:eastAsia="Times New Roman" w:hAnsi="Arial" w:cs="Arial"/>
          <w:sz w:val="24"/>
          <w:szCs w:val="24"/>
          <w:lang w:eastAsia="es-EC"/>
        </w:rPr>
      </w:pPr>
      <w:r w:rsidRPr="00CD1648">
        <w:rPr>
          <w:rFonts w:ascii="Arial" w:eastAsia="Times New Roman" w:hAnsi="Arial" w:cs="Arial"/>
          <w:sz w:val="24"/>
          <w:szCs w:val="24"/>
          <w:lang w:eastAsia="es-EC"/>
        </w:rPr>
        <w:t>Trabajan para ser un grupo financiero con presencia en mercados estratégicos y con proyección internacional. Son líderes por la confianza generada en la solidez de los resultados en el largo plazo, el desarrollo tecnológico y el profundo conocimiento de los clientes.</w:t>
      </w:r>
    </w:p>
    <w:p w:rsidR="00D40475" w:rsidRPr="009565B5" w:rsidRDefault="009565B5" w:rsidP="009565B5">
      <w:pPr>
        <w:spacing w:line="360" w:lineRule="auto"/>
        <w:ind w:firstLine="454"/>
        <w:jc w:val="both"/>
        <w:rPr>
          <w:rFonts w:ascii="Arial" w:hAnsi="Arial" w:cs="Arial"/>
          <w:sz w:val="24"/>
          <w:szCs w:val="24"/>
        </w:rPr>
      </w:pPr>
      <w:r>
        <w:rPr>
          <w:rFonts w:ascii="Arial" w:eastAsia="Times New Roman" w:hAnsi="Arial" w:cs="Arial"/>
          <w:noProof/>
          <w:sz w:val="24"/>
          <w:szCs w:val="24"/>
          <w:lang w:eastAsia="es-EC"/>
        </w:rPr>
        <w:pict>
          <v:shape id="_x0000_s1081" type="#_x0000_t32" style="position:absolute;left:0;text-align:left;margin-left:11pt;margin-top:46.4pt;width:167.4pt;height:.05pt;z-index:251667968" o:connectortype="straight" strokeweight="1.5pt"/>
        </w:pict>
      </w:r>
      <w:r w:rsidR="00A3014D" w:rsidRPr="00CD1648">
        <w:rPr>
          <w:rFonts w:ascii="Arial" w:eastAsia="Times New Roman" w:hAnsi="Arial" w:cs="Arial"/>
          <w:sz w:val="24"/>
          <w:szCs w:val="24"/>
          <w:lang w:eastAsia="es-EC"/>
        </w:rPr>
        <w:t>PRODUBANCO, a lo largo de sus 30 años de trayectoria se ha logrado posicionar en estos tiempo se</w:t>
      </w:r>
      <w:r w:rsidR="00A3014D" w:rsidRPr="00CD1648">
        <w:rPr>
          <w:rFonts w:ascii="Arial" w:hAnsi="Arial" w:cs="Arial"/>
          <w:sz w:val="24"/>
          <w:szCs w:val="24"/>
        </w:rPr>
        <w:t xml:space="preserve"> encuentra dentro de “Los Mejores Grandes” </w:t>
      </w:r>
      <w:r w:rsidR="00A3014D" w:rsidRPr="00CD1648">
        <w:rPr>
          <w:rFonts w:ascii="Arial" w:hAnsi="Arial" w:cs="Arial"/>
          <w:sz w:val="24"/>
          <w:szCs w:val="24"/>
          <w:vertAlign w:val="superscript"/>
        </w:rPr>
        <w:t>9</w:t>
      </w:r>
      <w:r w:rsidR="00A3014D" w:rsidRPr="00CD1648">
        <w:rPr>
          <w:rFonts w:ascii="Arial" w:hAnsi="Arial" w:cs="Arial"/>
          <w:sz w:val="24"/>
          <w:szCs w:val="24"/>
        </w:rPr>
        <w:t xml:space="preserve"> </w:t>
      </w:r>
    </w:p>
    <w:p w:rsidR="00D40475" w:rsidRPr="00C459C6" w:rsidRDefault="00D40475" w:rsidP="00D40475">
      <w:pPr>
        <w:numPr>
          <w:ilvl w:val="0"/>
          <w:numId w:val="2"/>
        </w:numPr>
        <w:spacing w:after="0" w:line="240" w:lineRule="atLeast"/>
        <w:rPr>
          <w:rFonts w:ascii="Arial" w:eastAsia="Times New Roman" w:hAnsi="Arial" w:cs="Arial"/>
          <w:sz w:val="17"/>
          <w:szCs w:val="17"/>
          <w:lang w:eastAsia="es-EC"/>
        </w:rPr>
      </w:pPr>
      <w:r w:rsidRPr="00C459C6">
        <w:rPr>
          <w:rFonts w:ascii="Arial" w:eastAsia="Times New Roman" w:hAnsi="Arial" w:cs="Arial"/>
          <w:sz w:val="17"/>
          <w:szCs w:val="17"/>
          <w:lang w:eastAsia="es-EC"/>
        </w:rPr>
        <w:t>Revista Gestión</w:t>
      </w:r>
    </w:p>
    <w:p w:rsidR="00A3014D" w:rsidRPr="00CD1648" w:rsidRDefault="00D40475" w:rsidP="009565B5">
      <w:pPr>
        <w:spacing w:line="360" w:lineRule="auto"/>
        <w:jc w:val="both"/>
        <w:rPr>
          <w:rFonts w:ascii="Arial" w:hAnsi="Arial" w:cs="Arial"/>
          <w:sz w:val="24"/>
          <w:szCs w:val="24"/>
        </w:rPr>
      </w:pPr>
      <w:r w:rsidRPr="00CD1648">
        <w:rPr>
          <w:rFonts w:ascii="Arial" w:hAnsi="Arial" w:cs="Arial"/>
          <w:sz w:val="24"/>
          <w:szCs w:val="24"/>
        </w:rPr>
        <w:lastRenderedPageBreak/>
        <w:t>de las principales instituciones financieras del país, en la actualidad es uno de los más representativos</w:t>
      </w:r>
      <w:r w:rsidRPr="00CD1648">
        <w:rPr>
          <w:rFonts w:ascii="Arial" w:eastAsia="Times New Roman" w:hAnsi="Arial" w:cs="Arial"/>
          <w:sz w:val="24"/>
          <w:szCs w:val="24"/>
          <w:lang w:eastAsia="es-EC"/>
        </w:rPr>
        <w:t xml:space="preserve">, con sus 68 oficinas en las 11 Provincias, en la </w:t>
      </w:r>
      <w:r w:rsidR="00A3014D" w:rsidRPr="00CD1648">
        <w:rPr>
          <w:rFonts w:ascii="Arial" w:eastAsia="Times New Roman" w:hAnsi="Arial" w:cs="Arial"/>
          <w:sz w:val="24"/>
          <w:szCs w:val="24"/>
          <w:lang w:eastAsia="es-EC"/>
        </w:rPr>
        <w:t xml:space="preserve">cual están situadas en diferentes puntos logrando captar el mercado financiero.  </w:t>
      </w:r>
    </w:p>
    <w:p w:rsidR="00A3014D" w:rsidRPr="00CD1648" w:rsidRDefault="00A3014D" w:rsidP="00CD1648">
      <w:pPr>
        <w:shd w:val="clear" w:color="auto" w:fill="FFFFFF"/>
        <w:spacing w:before="100" w:beforeAutospacing="1" w:after="100" w:afterAutospacing="1" w:line="360" w:lineRule="auto"/>
        <w:ind w:firstLine="454"/>
        <w:jc w:val="both"/>
        <w:rPr>
          <w:rFonts w:ascii="Arial" w:eastAsia="Times New Roman" w:hAnsi="Arial" w:cs="Arial"/>
          <w:sz w:val="24"/>
          <w:szCs w:val="24"/>
          <w:lang w:eastAsia="es-EC"/>
        </w:rPr>
      </w:pPr>
      <w:r w:rsidRPr="00CD1648">
        <w:rPr>
          <w:rFonts w:ascii="Arial" w:eastAsia="Times New Roman" w:hAnsi="Arial" w:cs="Arial"/>
          <w:sz w:val="24"/>
          <w:szCs w:val="24"/>
          <w:lang w:eastAsia="es-EC"/>
        </w:rPr>
        <w:t>Los productos y servicios que ofrecen a sus clientes de acuerdo a las necesidades de crédito, ahorro, comercio exterior, pago de servicios y muchos más, sirviendo al sistema ecuatoriano en productos, participación, calidad de servicio, eficiencia, seguridad y rentabilidad</w:t>
      </w:r>
    </w:p>
    <w:p w:rsidR="00A3014D" w:rsidRDefault="00A3014D" w:rsidP="00315E79">
      <w:pPr>
        <w:shd w:val="clear" w:color="auto" w:fill="FFFFFF"/>
        <w:spacing w:before="100" w:beforeAutospacing="1" w:after="100" w:afterAutospacing="1" w:line="360" w:lineRule="auto"/>
        <w:ind w:firstLine="454"/>
        <w:jc w:val="both"/>
        <w:rPr>
          <w:rFonts w:ascii="Arial" w:eastAsia="Times New Roman" w:hAnsi="Arial" w:cs="Arial"/>
          <w:sz w:val="24"/>
          <w:szCs w:val="24"/>
          <w:lang w:eastAsia="es-EC"/>
        </w:rPr>
      </w:pPr>
      <w:r w:rsidRPr="00C17E2C">
        <w:rPr>
          <w:rFonts w:ascii="Arial" w:eastAsia="Times New Roman" w:hAnsi="Arial" w:cs="Arial"/>
          <w:sz w:val="24"/>
          <w:szCs w:val="24"/>
          <w:lang w:eastAsia="es-EC"/>
        </w:rPr>
        <w:t>En la crisis que se produjo en los finales de los años 90, PRODUBANCO logro mantenerse y después de esta gran crisis producto de sus buenos negocios en el extranjero lograron salir adelante formándose como una de las empresas más fuerte que tiene en ese momento el Ecuador.</w:t>
      </w:r>
    </w:p>
    <w:p w:rsidR="00315E79" w:rsidRDefault="00315E79" w:rsidP="00315E79">
      <w:pPr>
        <w:shd w:val="clear" w:color="auto" w:fill="FFFFFF"/>
        <w:spacing w:before="100" w:beforeAutospacing="1" w:after="100" w:afterAutospacing="1" w:line="240" w:lineRule="atLeast"/>
        <w:jc w:val="both"/>
        <w:rPr>
          <w:rFonts w:ascii="Arial" w:eastAsia="Times New Roman" w:hAnsi="Arial" w:cs="Arial"/>
          <w:sz w:val="24"/>
          <w:szCs w:val="24"/>
          <w:lang w:eastAsia="es-EC"/>
        </w:rPr>
      </w:pPr>
    </w:p>
    <w:p w:rsidR="00A3014D" w:rsidRPr="00C17E2C" w:rsidRDefault="00A3014D" w:rsidP="00315E79">
      <w:pPr>
        <w:shd w:val="clear" w:color="auto" w:fill="FFFFFF"/>
        <w:spacing w:before="100" w:beforeAutospacing="1" w:after="100" w:afterAutospacing="1" w:line="360" w:lineRule="auto"/>
        <w:ind w:firstLine="454"/>
        <w:jc w:val="both"/>
        <w:rPr>
          <w:rFonts w:ascii="Arial" w:eastAsia="Times New Roman" w:hAnsi="Arial" w:cs="Arial"/>
          <w:sz w:val="24"/>
          <w:szCs w:val="24"/>
          <w:lang w:eastAsia="es-EC"/>
        </w:rPr>
      </w:pPr>
      <w:r w:rsidRPr="00C17E2C">
        <w:rPr>
          <w:rFonts w:ascii="Arial" w:eastAsia="Times New Roman" w:hAnsi="Arial" w:cs="Arial"/>
          <w:sz w:val="24"/>
          <w:szCs w:val="24"/>
          <w:lang w:eastAsia="es-EC"/>
        </w:rPr>
        <w:t>Entre los hechos que podemos resaltar esta el del año:</w:t>
      </w:r>
    </w:p>
    <w:p w:rsidR="00A3014D" w:rsidRPr="00C17E2C" w:rsidRDefault="00A3014D" w:rsidP="00315E79">
      <w:pPr>
        <w:shd w:val="clear" w:color="auto" w:fill="FFFFFF"/>
        <w:spacing w:before="100" w:beforeAutospacing="1" w:after="100" w:afterAutospacing="1" w:line="360" w:lineRule="auto"/>
        <w:ind w:left="360" w:firstLine="454"/>
        <w:jc w:val="both"/>
        <w:rPr>
          <w:rFonts w:ascii="Arial" w:eastAsia="Times New Roman" w:hAnsi="Arial" w:cs="Arial"/>
          <w:sz w:val="24"/>
          <w:szCs w:val="24"/>
          <w:lang w:eastAsia="es-EC"/>
        </w:rPr>
      </w:pPr>
      <w:r w:rsidRPr="00C17E2C">
        <w:rPr>
          <w:rFonts w:ascii="Arial" w:eastAsia="Times New Roman" w:hAnsi="Arial" w:cs="Arial"/>
          <w:sz w:val="24"/>
          <w:szCs w:val="24"/>
          <w:lang w:eastAsia="es-EC"/>
        </w:rPr>
        <w:t>1995 – 1997</w:t>
      </w:r>
    </w:p>
    <w:p w:rsidR="00A3014D" w:rsidRPr="00C17E2C" w:rsidRDefault="00A3014D" w:rsidP="00315E79">
      <w:pPr>
        <w:shd w:val="clear" w:color="auto" w:fill="FFFFFF"/>
        <w:spacing w:before="100" w:beforeAutospacing="1" w:after="100" w:afterAutospacing="1" w:line="360" w:lineRule="auto"/>
        <w:ind w:left="360" w:firstLine="454"/>
        <w:jc w:val="both"/>
        <w:rPr>
          <w:rFonts w:ascii="Arial" w:eastAsia="Times New Roman" w:hAnsi="Arial" w:cs="Arial"/>
          <w:sz w:val="24"/>
          <w:szCs w:val="24"/>
          <w:lang w:eastAsia="es-EC"/>
        </w:rPr>
      </w:pPr>
      <w:r w:rsidRPr="00C17E2C">
        <w:rPr>
          <w:rFonts w:ascii="Arial" w:eastAsia="Times New Roman" w:hAnsi="Arial" w:cs="Arial"/>
          <w:sz w:val="24"/>
          <w:szCs w:val="24"/>
          <w:lang w:eastAsia="es-EC"/>
        </w:rPr>
        <w:t>En estos años la presencia de factores políticos atentó contra la estabilidad económica continuando así el entorno adverso que había venido afectando al país desde inicios del 1995.</w:t>
      </w:r>
    </w:p>
    <w:p w:rsidR="00A3014D" w:rsidRPr="00C17E2C" w:rsidRDefault="00A3014D" w:rsidP="00315E79">
      <w:pPr>
        <w:shd w:val="clear" w:color="auto" w:fill="FFFFFF"/>
        <w:spacing w:before="100" w:beforeAutospacing="1" w:after="100" w:afterAutospacing="1" w:line="360" w:lineRule="auto"/>
        <w:ind w:left="360" w:firstLine="454"/>
        <w:jc w:val="both"/>
        <w:rPr>
          <w:rFonts w:ascii="Arial" w:eastAsia="Times New Roman" w:hAnsi="Arial" w:cs="Arial"/>
          <w:sz w:val="24"/>
          <w:szCs w:val="24"/>
          <w:lang w:eastAsia="es-EC"/>
        </w:rPr>
      </w:pPr>
      <w:r w:rsidRPr="00C17E2C">
        <w:rPr>
          <w:rFonts w:ascii="Arial" w:eastAsia="Times New Roman" w:hAnsi="Arial" w:cs="Arial"/>
          <w:sz w:val="24"/>
          <w:szCs w:val="24"/>
          <w:lang w:eastAsia="es-EC"/>
        </w:rPr>
        <w:t>1998</w:t>
      </w:r>
    </w:p>
    <w:p w:rsidR="00A3014D" w:rsidRPr="00C17E2C" w:rsidRDefault="00A3014D" w:rsidP="00315E79">
      <w:pPr>
        <w:shd w:val="clear" w:color="auto" w:fill="FFFFFF"/>
        <w:spacing w:before="100" w:beforeAutospacing="1" w:after="100" w:afterAutospacing="1" w:line="360" w:lineRule="auto"/>
        <w:ind w:left="360" w:firstLine="454"/>
        <w:jc w:val="both"/>
        <w:rPr>
          <w:rFonts w:ascii="Arial" w:eastAsia="Times New Roman" w:hAnsi="Arial" w:cs="Arial"/>
          <w:sz w:val="24"/>
          <w:szCs w:val="24"/>
          <w:lang w:eastAsia="es-EC"/>
        </w:rPr>
      </w:pPr>
      <w:r w:rsidRPr="00C17E2C">
        <w:rPr>
          <w:rFonts w:ascii="Arial" w:eastAsia="Times New Roman" w:hAnsi="Arial" w:cs="Arial"/>
          <w:sz w:val="24"/>
          <w:szCs w:val="24"/>
          <w:lang w:eastAsia="es-EC"/>
        </w:rPr>
        <w:t>PRODUBANCO cumplió veinte años de trabajo y este aniversario constituyo un año de resultados altamente favorables, no obstante las condiciones macroeconómicas adversas que se presentaron en la economía ecuatoriana como fueron: el fenómeno del niño, crisis económica internacional, caída del precio del petróleo y cambio de Gobierno.</w:t>
      </w:r>
    </w:p>
    <w:p w:rsidR="00A3014D" w:rsidRPr="00C17E2C" w:rsidRDefault="00A3014D" w:rsidP="00315E79">
      <w:pPr>
        <w:shd w:val="clear" w:color="auto" w:fill="FFFFFF"/>
        <w:spacing w:before="100" w:beforeAutospacing="1" w:after="100" w:afterAutospacing="1" w:line="360" w:lineRule="auto"/>
        <w:ind w:left="360" w:firstLine="454"/>
        <w:jc w:val="both"/>
        <w:rPr>
          <w:rFonts w:ascii="Arial" w:eastAsia="Times New Roman" w:hAnsi="Arial" w:cs="Arial"/>
          <w:sz w:val="24"/>
          <w:szCs w:val="24"/>
          <w:lang w:eastAsia="es-EC"/>
        </w:rPr>
      </w:pPr>
      <w:r w:rsidRPr="00C17E2C">
        <w:rPr>
          <w:rFonts w:ascii="Arial" w:eastAsia="Times New Roman" w:hAnsi="Arial" w:cs="Arial"/>
          <w:sz w:val="24"/>
          <w:szCs w:val="24"/>
          <w:lang w:eastAsia="es-EC"/>
        </w:rPr>
        <w:lastRenderedPageBreak/>
        <w:t>2000</w:t>
      </w:r>
    </w:p>
    <w:p w:rsidR="00A3014D" w:rsidRPr="00C17E2C" w:rsidRDefault="00A3014D" w:rsidP="00315E79">
      <w:pPr>
        <w:shd w:val="clear" w:color="auto" w:fill="FFFFFF"/>
        <w:spacing w:before="100" w:beforeAutospacing="1" w:after="100" w:afterAutospacing="1" w:line="360" w:lineRule="auto"/>
        <w:ind w:left="360" w:firstLine="454"/>
        <w:jc w:val="both"/>
        <w:rPr>
          <w:rFonts w:ascii="Arial" w:eastAsia="Times New Roman" w:hAnsi="Arial" w:cs="Arial"/>
          <w:sz w:val="24"/>
          <w:szCs w:val="24"/>
          <w:lang w:eastAsia="es-EC"/>
        </w:rPr>
      </w:pPr>
      <w:r w:rsidRPr="00C17E2C">
        <w:rPr>
          <w:rFonts w:ascii="Arial" w:eastAsia="Times New Roman" w:hAnsi="Arial" w:cs="Arial"/>
          <w:sz w:val="24"/>
          <w:szCs w:val="24"/>
          <w:lang w:eastAsia="es-EC"/>
        </w:rPr>
        <w:t>La entidad financiera se inicio con una de las más severas crisis que ha sufrido el país en los últimos años. El Ecuador recibió los embates de profundos problemas económicos, políticos, sociales e institucionales. Sin embargo, el Grupo Financiero Producción (GFP) supo sortear con acierto un entorno adverso en todos los ámbitos.</w:t>
      </w:r>
    </w:p>
    <w:p w:rsidR="00A3014D" w:rsidRPr="00C17E2C" w:rsidRDefault="00A3014D" w:rsidP="00315E79">
      <w:pPr>
        <w:shd w:val="clear" w:color="auto" w:fill="FFFFFF"/>
        <w:spacing w:before="100" w:beforeAutospacing="1" w:after="100" w:afterAutospacing="1" w:line="360" w:lineRule="auto"/>
        <w:ind w:left="360" w:firstLine="454"/>
        <w:jc w:val="both"/>
        <w:rPr>
          <w:rFonts w:ascii="Arial" w:eastAsia="Times New Roman" w:hAnsi="Arial" w:cs="Arial"/>
          <w:sz w:val="24"/>
          <w:szCs w:val="24"/>
          <w:lang w:eastAsia="es-EC"/>
        </w:rPr>
      </w:pPr>
      <w:r w:rsidRPr="00C17E2C">
        <w:rPr>
          <w:rFonts w:ascii="Arial" w:eastAsia="Times New Roman" w:hAnsi="Arial" w:cs="Arial"/>
          <w:sz w:val="24"/>
          <w:szCs w:val="24"/>
          <w:lang w:eastAsia="es-EC"/>
        </w:rPr>
        <w:t>2007</w:t>
      </w:r>
    </w:p>
    <w:p w:rsidR="00A3014D" w:rsidRDefault="00A3014D" w:rsidP="00315E79">
      <w:pPr>
        <w:shd w:val="clear" w:color="auto" w:fill="FFFFFF"/>
        <w:spacing w:before="100" w:beforeAutospacing="1" w:after="100" w:afterAutospacing="1" w:line="360" w:lineRule="auto"/>
        <w:ind w:left="360" w:firstLine="454"/>
        <w:jc w:val="both"/>
        <w:rPr>
          <w:rFonts w:ascii="Arial" w:eastAsia="Times New Roman" w:hAnsi="Arial" w:cs="Arial"/>
          <w:sz w:val="24"/>
          <w:szCs w:val="24"/>
          <w:lang w:eastAsia="es-EC"/>
        </w:rPr>
      </w:pPr>
      <w:r w:rsidRPr="00C17E2C">
        <w:rPr>
          <w:rFonts w:ascii="Arial" w:eastAsia="Times New Roman" w:hAnsi="Arial" w:cs="Arial"/>
          <w:sz w:val="24"/>
          <w:szCs w:val="24"/>
          <w:lang w:eastAsia="es-EC"/>
        </w:rPr>
        <w:t xml:space="preserve">El sistema financiero vivió un año especialmente complejo por un proceso de reformas fuertemente confrontacionales, que termino con la aprobación de </w:t>
      </w:r>
      <w:smartTag w:uri="urn:schemas-microsoft-com:office:smarttags" w:element="PersonName">
        <w:smartTagPr>
          <w:attr w:name="ProductID" w:val="la Ley"/>
        </w:smartTagPr>
        <w:r w:rsidRPr="00C17E2C">
          <w:rPr>
            <w:rFonts w:ascii="Arial" w:eastAsia="Times New Roman" w:hAnsi="Arial" w:cs="Arial"/>
            <w:sz w:val="24"/>
            <w:szCs w:val="24"/>
            <w:lang w:eastAsia="es-EC"/>
          </w:rPr>
          <w:t>la Ley</w:t>
        </w:r>
      </w:smartTag>
      <w:r w:rsidRPr="00C17E2C">
        <w:rPr>
          <w:rFonts w:ascii="Arial" w:eastAsia="Times New Roman" w:hAnsi="Arial" w:cs="Arial"/>
          <w:sz w:val="24"/>
          <w:szCs w:val="24"/>
          <w:lang w:eastAsia="es-EC"/>
        </w:rPr>
        <w:t xml:space="preserve"> de Regulación del Costo Máximo Efectivo del Crédito. Este cuerpo legal prohibió el cobro de cualquier tipo de comisiones o recargos  a los créditos y estableció tasas máximas por segmento de crédito así como tarifas máximas para los diferentes servicios que presta el sistema a sus clientes.</w:t>
      </w:r>
    </w:p>
    <w:p w:rsidR="00315E79" w:rsidRPr="00C17E2C" w:rsidRDefault="00315E79" w:rsidP="00315E79">
      <w:pPr>
        <w:shd w:val="clear" w:color="auto" w:fill="FFFFFF"/>
        <w:spacing w:before="100" w:beforeAutospacing="1" w:after="100" w:afterAutospacing="1" w:line="360" w:lineRule="auto"/>
        <w:ind w:left="360" w:firstLine="454"/>
        <w:jc w:val="both"/>
        <w:rPr>
          <w:rFonts w:ascii="Arial" w:eastAsia="Times New Roman" w:hAnsi="Arial" w:cs="Arial"/>
          <w:sz w:val="24"/>
          <w:szCs w:val="24"/>
          <w:lang w:eastAsia="es-EC"/>
        </w:rPr>
      </w:pPr>
    </w:p>
    <w:p w:rsidR="00A3014D" w:rsidRPr="00C17E2C" w:rsidRDefault="00A3014D" w:rsidP="00315E79">
      <w:pPr>
        <w:shd w:val="clear" w:color="auto" w:fill="FFFFFF"/>
        <w:spacing w:before="100" w:beforeAutospacing="1" w:after="100" w:afterAutospacing="1" w:line="360" w:lineRule="auto"/>
        <w:ind w:left="360" w:firstLine="454"/>
        <w:jc w:val="both"/>
        <w:rPr>
          <w:rFonts w:ascii="Arial" w:eastAsia="Times New Roman" w:hAnsi="Arial" w:cs="Arial"/>
          <w:sz w:val="24"/>
          <w:szCs w:val="24"/>
          <w:lang w:eastAsia="es-EC"/>
        </w:rPr>
      </w:pPr>
      <w:r w:rsidRPr="00C17E2C">
        <w:rPr>
          <w:rFonts w:ascii="Arial" w:eastAsia="Times New Roman" w:hAnsi="Arial" w:cs="Arial"/>
          <w:sz w:val="24"/>
          <w:szCs w:val="24"/>
          <w:lang w:eastAsia="es-EC"/>
        </w:rPr>
        <w:t>Este último año se logro conquistar muchos premios como son:</w:t>
      </w:r>
    </w:p>
    <w:p w:rsidR="00A3014D" w:rsidRPr="00C17E2C" w:rsidRDefault="00A3014D" w:rsidP="00315E79">
      <w:pPr>
        <w:pStyle w:val="Prrafodelista1"/>
        <w:numPr>
          <w:ilvl w:val="0"/>
          <w:numId w:val="7"/>
        </w:numPr>
        <w:shd w:val="clear" w:color="auto" w:fill="FFFFFF"/>
        <w:spacing w:before="100" w:beforeAutospacing="1" w:after="100" w:afterAutospacing="1" w:line="360" w:lineRule="auto"/>
        <w:ind w:left="360" w:firstLine="454"/>
        <w:jc w:val="both"/>
        <w:rPr>
          <w:rFonts w:ascii="Arial" w:eastAsia="Times New Roman" w:hAnsi="Arial" w:cs="Arial"/>
          <w:sz w:val="24"/>
          <w:szCs w:val="24"/>
          <w:lang w:eastAsia="es-EC"/>
        </w:rPr>
      </w:pPr>
      <w:r w:rsidRPr="00C17E2C">
        <w:rPr>
          <w:rFonts w:ascii="Arial" w:eastAsia="Times New Roman" w:hAnsi="Arial" w:cs="Arial"/>
          <w:sz w:val="24"/>
          <w:szCs w:val="24"/>
          <w:lang w:eastAsia="es-EC"/>
        </w:rPr>
        <w:t xml:space="preserve">La calificación de Riesgo de Categoría Máxima en el Sistema Financiero Nacional RIESGO AAA- por </w:t>
      </w:r>
      <w:smartTag w:uri="urn:schemas-microsoft-com:office:smarttags" w:element="PersonName">
        <w:smartTagPr>
          <w:attr w:name="ProductID" w:val="la Calificadora PCR"/>
        </w:smartTagPr>
        <w:r w:rsidRPr="00C17E2C">
          <w:rPr>
            <w:rFonts w:ascii="Arial" w:eastAsia="Times New Roman" w:hAnsi="Arial" w:cs="Arial"/>
            <w:sz w:val="24"/>
            <w:szCs w:val="24"/>
            <w:lang w:eastAsia="es-EC"/>
          </w:rPr>
          <w:t>la Calificadora PCR</w:t>
        </w:r>
      </w:smartTag>
      <w:r w:rsidRPr="00C17E2C">
        <w:rPr>
          <w:rFonts w:ascii="Arial" w:eastAsia="Times New Roman" w:hAnsi="Arial" w:cs="Arial"/>
          <w:sz w:val="24"/>
          <w:szCs w:val="24"/>
          <w:lang w:eastAsia="es-EC"/>
        </w:rPr>
        <w:t xml:space="preserve"> (Pacific Credit Rating).</w:t>
      </w:r>
    </w:p>
    <w:p w:rsidR="00A3014D" w:rsidRPr="00C17E2C" w:rsidRDefault="00A3014D" w:rsidP="00315E79">
      <w:pPr>
        <w:pStyle w:val="Prrafodelista1"/>
        <w:numPr>
          <w:ilvl w:val="0"/>
          <w:numId w:val="7"/>
        </w:numPr>
        <w:shd w:val="clear" w:color="auto" w:fill="FFFFFF"/>
        <w:spacing w:before="100" w:beforeAutospacing="1" w:after="100" w:afterAutospacing="1" w:line="360" w:lineRule="auto"/>
        <w:ind w:left="360" w:firstLine="454"/>
        <w:jc w:val="both"/>
        <w:rPr>
          <w:rFonts w:ascii="Arial" w:eastAsia="Times New Roman" w:hAnsi="Arial" w:cs="Arial"/>
          <w:sz w:val="24"/>
          <w:szCs w:val="24"/>
          <w:lang w:eastAsia="es-EC"/>
        </w:rPr>
      </w:pPr>
      <w:r w:rsidRPr="00C17E2C">
        <w:rPr>
          <w:rFonts w:ascii="Arial" w:eastAsia="Times New Roman" w:hAnsi="Arial" w:cs="Arial"/>
          <w:sz w:val="24"/>
          <w:szCs w:val="24"/>
          <w:lang w:eastAsia="es-EC"/>
        </w:rPr>
        <w:t>Mención de Honor dentro de Las Mejores Empresas en Calidad de Servicio (categoría de Servicios Bajo Contratos)</w:t>
      </w:r>
    </w:p>
    <w:p w:rsidR="00A3014D" w:rsidRPr="00C17E2C" w:rsidRDefault="00A3014D" w:rsidP="00315E79">
      <w:pPr>
        <w:pStyle w:val="Prrafodelista1"/>
        <w:numPr>
          <w:ilvl w:val="0"/>
          <w:numId w:val="7"/>
        </w:numPr>
        <w:shd w:val="clear" w:color="auto" w:fill="FFFFFF"/>
        <w:spacing w:before="100" w:beforeAutospacing="1" w:after="100" w:afterAutospacing="1" w:line="360" w:lineRule="auto"/>
        <w:ind w:left="360" w:firstLine="454"/>
        <w:jc w:val="both"/>
        <w:rPr>
          <w:rFonts w:ascii="Arial" w:eastAsia="Times New Roman" w:hAnsi="Arial" w:cs="Arial"/>
          <w:sz w:val="24"/>
          <w:szCs w:val="24"/>
          <w:lang w:eastAsia="es-EC"/>
        </w:rPr>
      </w:pPr>
      <w:r w:rsidRPr="00C17E2C">
        <w:rPr>
          <w:rFonts w:ascii="Arial" w:eastAsia="Times New Roman" w:hAnsi="Arial" w:cs="Arial"/>
          <w:sz w:val="24"/>
          <w:szCs w:val="24"/>
          <w:lang w:eastAsia="es-EC"/>
        </w:rPr>
        <w:t>El primer Grupo Financiero del país entre los “Mejores Grandes”</w:t>
      </w:r>
    </w:p>
    <w:p w:rsidR="00A3014D" w:rsidRPr="00C17E2C" w:rsidRDefault="00A3014D" w:rsidP="00315E79">
      <w:pPr>
        <w:pStyle w:val="Prrafodelista1"/>
        <w:numPr>
          <w:ilvl w:val="0"/>
          <w:numId w:val="7"/>
        </w:numPr>
        <w:shd w:val="clear" w:color="auto" w:fill="FFFFFF"/>
        <w:spacing w:before="100" w:beforeAutospacing="1" w:after="100" w:afterAutospacing="1" w:line="360" w:lineRule="auto"/>
        <w:ind w:left="360" w:firstLine="454"/>
        <w:jc w:val="both"/>
        <w:rPr>
          <w:rFonts w:ascii="Arial" w:eastAsia="Times New Roman" w:hAnsi="Arial" w:cs="Arial"/>
          <w:sz w:val="24"/>
          <w:szCs w:val="24"/>
          <w:lang w:eastAsia="es-EC"/>
        </w:rPr>
      </w:pPr>
      <w:r w:rsidRPr="00C17E2C">
        <w:rPr>
          <w:rFonts w:ascii="Arial" w:eastAsia="Times New Roman" w:hAnsi="Arial" w:cs="Arial"/>
          <w:sz w:val="24"/>
          <w:szCs w:val="24"/>
          <w:lang w:eastAsia="es-EC"/>
        </w:rPr>
        <w:t>Produbanco el segundo banco entre “Los Mejores Grandes”.</w:t>
      </w:r>
    </w:p>
    <w:p w:rsidR="00A3014D" w:rsidRPr="00C17E2C" w:rsidRDefault="00A3014D" w:rsidP="00315E79">
      <w:pPr>
        <w:pStyle w:val="Prrafodelista1"/>
        <w:numPr>
          <w:ilvl w:val="0"/>
          <w:numId w:val="7"/>
        </w:numPr>
        <w:shd w:val="clear" w:color="auto" w:fill="FFFFFF"/>
        <w:tabs>
          <w:tab w:val="left" w:pos="1276"/>
        </w:tabs>
        <w:spacing w:before="100" w:beforeAutospacing="1" w:after="100" w:afterAutospacing="1" w:line="360" w:lineRule="auto"/>
        <w:ind w:left="360" w:firstLine="454"/>
        <w:jc w:val="both"/>
        <w:rPr>
          <w:rFonts w:ascii="Arial" w:eastAsia="Times New Roman" w:hAnsi="Arial" w:cs="Arial"/>
          <w:sz w:val="24"/>
          <w:szCs w:val="24"/>
          <w:lang w:eastAsia="es-EC"/>
        </w:rPr>
      </w:pPr>
      <w:r w:rsidRPr="00C17E2C">
        <w:rPr>
          <w:rFonts w:ascii="Arial" w:eastAsia="Times New Roman" w:hAnsi="Arial" w:cs="Arial"/>
          <w:sz w:val="24"/>
          <w:szCs w:val="24"/>
          <w:lang w:eastAsia="es-EC"/>
        </w:rPr>
        <w:t>Obtiene Certificado ISO 9001:2000 al proceso de Contrataciones y Compras del GFP</w:t>
      </w:r>
    </w:p>
    <w:p w:rsidR="00A3014D" w:rsidRPr="00C17E2C" w:rsidRDefault="00A3014D" w:rsidP="00315E79">
      <w:pPr>
        <w:pStyle w:val="Prrafodelista1"/>
        <w:numPr>
          <w:ilvl w:val="0"/>
          <w:numId w:val="7"/>
        </w:numPr>
        <w:shd w:val="clear" w:color="auto" w:fill="FFFFFF"/>
        <w:spacing w:before="100" w:beforeAutospacing="1" w:after="100" w:afterAutospacing="1" w:line="360" w:lineRule="auto"/>
        <w:ind w:left="360" w:firstLine="454"/>
        <w:jc w:val="both"/>
        <w:rPr>
          <w:rFonts w:ascii="Arial" w:eastAsia="Times New Roman" w:hAnsi="Arial" w:cs="Arial"/>
          <w:sz w:val="24"/>
          <w:szCs w:val="24"/>
          <w:lang w:eastAsia="es-EC"/>
        </w:rPr>
      </w:pPr>
      <w:r w:rsidRPr="00C17E2C">
        <w:rPr>
          <w:rFonts w:ascii="Arial" w:eastAsia="Times New Roman" w:hAnsi="Arial" w:cs="Arial"/>
          <w:sz w:val="24"/>
          <w:szCs w:val="24"/>
          <w:lang w:eastAsia="es-EC"/>
        </w:rPr>
        <w:lastRenderedPageBreak/>
        <w:t>El Presidente del Directorio Rodrigo Paz y el Presidente Ejecutivo Abelardo Pachano en el ranking de los 15 empresarios más respetados del 2007.</w:t>
      </w:r>
    </w:p>
    <w:p w:rsidR="00A3014D" w:rsidRPr="00C17E2C" w:rsidRDefault="00A3014D" w:rsidP="00315E79">
      <w:pPr>
        <w:pStyle w:val="Prrafodelista1"/>
        <w:numPr>
          <w:ilvl w:val="0"/>
          <w:numId w:val="7"/>
        </w:numPr>
        <w:shd w:val="clear" w:color="auto" w:fill="FFFFFF"/>
        <w:spacing w:before="100" w:beforeAutospacing="1" w:after="100" w:afterAutospacing="1" w:line="360" w:lineRule="auto"/>
        <w:ind w:left="360" w:firstLine="454"/>
        <w:jc w:val="both"/>
        <w:rPr>
          <w:rFonts w:ascii="Arial" w:eastAsia="Times New Roman" w:hAnsi="Arial" w:cs="Arial"/>
          <w:sz w:val="24"/>
          <w:szCs w:val="24"/>
          <w:lang w:eastAsia="es-EC"/>
        </w:rPr>
      </w:pPr>
      <w:r w:rsidRPr="00C17E2C">
        <w:rPr>
          <w:rFonts w:ascii="Arial" w:eastAsia="Times New Roman" w:hAnsi="Arial" w:cs="Arial"/>
          <w:sz w:val="24"/>
          <w:szCs w:val="24"/>
          <w:lang w:eastAsia="es-EC"/>
        </w:rPr>
        <w:t>Produbanco en el ranking de las 100 empresas más grandes de Leasing en América Latina del 2006</w:t>
      </w:r>
    </w:p>
    <w:p w:rsidR="00A3014D" w:rsidRPr="00C17E2C" w:rsidRDefault="00A3014D" w:rsidP="00315E79">
      <w:pPr>
        <w:pStyle w:val="Prrafodelista1"/>
        <w:numPr>
          <w:ilvl w:val="0"/>
          <w:numId w:val="7"/>
        </w:numPr>
        <w:shd w:val="clear" w:color="auto" w:fill="FFFFFF"/>
        <w:spacing w:before="100" w:beforeAutospacing="1" w:after="100" w:afterAutospacing="1" w:line="360" w:lineRule="auto"/>
        <w:ind w:left="360" w:firstLine="454"/>
        <w:jc w:val="both"/>
        <w:rPr>
          <w:rFonts w:ascii="Arial" w:eastAsia="Times New Roman" w:hAnsi="Arial" w:cs="Arial"/>
          <w:sz w:val="24"/>
          <w:szCs w:val="24"/>
          <w:lang w:eastAsia="es-EC"/>
        </w:rPr>
      </w:pPr>
      <w:r w:rsidRPr="00C17E2C">
        <w:rPr>
          <w:rFonts w:ascii="Arial" w:eastAsia="Times New Roman" w:hAnsi="Arial" w:cs="Arial"/>
          <w:sz w:val="24"/>
          <w:szCs w:val="24"/>
          <w:lang w:eastAsia="es-EC"/>
        </w:rPr>
        <w:t>El banco del Año 2007 del Ecuador.</w:t>
      </w:r>
    </w:p>
    <w:p w:rsidR="00A3014D" w:rsidRPr="00C17E2C" w:rsidRDefault="00A3014D" w:rsidP="00A3014D">
      <w:pPr>
        <w:pStyle w:val="Prrafodelista1"/>
        <w:shd w:val="clear" w:color="auto" w:fill="FFFFFF"/>
        <w:spacing w:before="100" w:beforeAutospacing="1" w:after="100" w:afterAutospacing="1" w:line="480" w:lineRule="auto"/>
        <w:ind w:left="360" w:firstLine="207"/>
        <w:jc w:val="both"/>
        <w:rPr>
          <w:rFonts w:ascii="Arial" w:eastAsia="Times New Roman" w:hAnsi="Arial" w:cs="Arial"/>
          <w:sz w:val="24"/>
          <w:szCs w:val="24"/>
          <w:lang w:eastAsia="es-EC"/>
        </w:rPr>
      </w:pPr>
    </w:p>
    <w:p w:rsidR="00A3014D" w:rsidRPr="00315E79" w:rsidRDefault="00A3014D" w:rsidP="00A3014D">
      <w:pPr>
        <w:pStyle w:val="Prrafodelista1"/>
        <w:numPr>
          <w:ilvl w:val="2"/>
          <w:numId w:val="4"/>
        </w:numPr>
        <w:shd w:val="clear" w:color="auto" w:fill="FFFFFF"/>
        <w:spacing w:before="100" w:beforeAutospacing="1" w:after="100" w:afterAutospacing="1" w:line="480" w:lineRule="auto"/>
        <w:ind w:left="360" w:firstLine="207"/>
        <w:jc w:val="both"/>
        <w:rPr>
          <w:rFonts w:ascii="Arial" w:hAnsi="Arial" w:cs="Arial"/>
          <w:b/>
          <w:sz w:val="28"/>
          <w:szCs w:val="28"/>
        </w:rPr>
      </w:pPr>
      <w:r w:rsidRPr="00315E79">
        <w:rPr>
          <w:rFonts w:ascii="Arial" w:hAnsi="Arial" w:cs="Arial"/>
          <w:b/>
          <w:sz w:val="28"/>
          <w:szCs w:val="28"/>
        </w:rPr>
        <w:t>ESTRUCTURA DEL PRODUBANCO</w:t>
      </w:r>
    </w:p>
    <w:p w:rsidR="00A3014D" w:rsidRPr="00315E79" w:rsidRDefault="00A3014D" w:rsidP="00A3014D">
      <w:pPr>
        <w:shd w:val="clear" w:color="auto" w:fill="FFFFFF"/>
        <w:spacing w:before="100" w:beforeAutospacing="1" w:after="100" w:afterAutospacing="1" w:line="480" w:lineRule="auto"/>
        <w:ind w:firstLine="851"/>
        <w:jc w:val="both"/>
        <w:rPr>
          <w:rFonts w:ascii="Arial" w:hAnsi="Arial" w:cs="Arial"/>
          <w:b/>
          <w:sz w:val="28"/>
          <w:szCs w:val="28"/>
        </w:rPr>
      </w:pPr>
      <w:r w:rsidRPr="00315E79">
        <w:rPr>
          <w:rFonts w:ascii="Arial" w:hAnsi="Arial" w:cs="Arial"/>
          <w:b/>
          <w:sz w:val="28"/>
          <w:szCs w:val="28"/>
        </w:rPr>
        <w:t>ESTRUCTURA FUNCIONAL</w:t>
      </w:r>
    </w:p>
    <w:p w:rsidR="00A3014D" w:rsidRPr="00C17E2C" w:rsidRDefault="00A3014D" w:rsidP="00315E79">
      <w:pPr>
        <w:shd w:val="clear" w:color="auto" w:fill="FFFFFF"/>
        <w:spacing w:before="100" w:beforeAutospacing="1" w:after="100" w:afterAutospacing="1" w:line="360" w:lineRule="auto"/>
        <w:ind w:firstLine="454"/>
        <w:jc w:val="both"/>
        <w:rPr>
          <w:rFonts w:ascii="Arial" w:hAnsi="Arial" w:cs="Arial"/>
          <w:sz w:val="24"/>
          <w:szCs w:val="24"/>
        </w:rPr>
      </w:pPr>
      <w:r w:rsidRPr="00C17E2C">
        <w:rPr>
          <w:rFonts w:ascii="Arial" w:hAnsi="Arial" w:cs="Arial"/>
          <w:sz w:val="24"/>
          <w:szCs w:val="24"/>
        </w:rPr>
        <w:t xml:space="preserve">En la actualidad del GFP se maneja en base a los que es la estructura organizacional de tipo funcional “Forma de </w:t>
      </w:r>
      <w:r w:rsidR="00315E79">
        <w:rPr>
          <w:rFonts w:ascii="Arial" w:hAnsi="Arial" w:cs="Arial"/>
          <w:sz w:val="24"/>
          <w:szCs w:val="24"/>
        </w:rPr>
        <w:t xml:space="preserve">departamentalización en que las </w:t>
      </w:r>
      <w:r w:rsidRPr="00C17E2C">
        <w:rPr>
          <w:rFonts w:ascii="Arial" w:hAnsi="Arial" w:cs="Arial"/>
          <w:sz w:val="24"/>
          <w:szCs w:val="24"/>
        </w:rPr>
        <w:t>personas que se dedican a una actividad funcional”.</w:t>
      </w:r>
    </w:p>
    <w:p w:rsidR="00A3014D" w:rsidRPr="00C17E2C" w:rsidRDefault="00A3014D" w:rsidP="00315E79">
      <w:pPr>
        <w:shd w:val="clear" w:color="auto" w:fill="FFFFFF"/>
        <w:spacing w:before="100" w:beforeAutospacing="1" w:after="100" w:afterAutospacing="1" w:line="360" w:lineRule="auto"/>
        <w:ind w:firstLine="454"/>
        <w:jc w:val="both"/>
        <w:rPr>
          <w:rFonts w:ascii="Arial" w:hAnsi="Arial" w:cs="Arial"/>
          <w:sz w:val="24"/>
          <w:szCs w:val="24"/>
        </w:rPr>
      </w:pPr>
      <w:r w:rsidRPr="00C17E2C">
        <w:rPr>
          <w:rFonts w:ascii="Arial" w:hAnsi="Arial" w:cs="Arial"/>
          <w:sz w:val="24"/>
          <w:szCs w:val="24"/>
        </w:rPr>
        <w:t>La estructura organizacional es la forma más lógica y básica de departamentalización, facilita el movimiento de las habilidades especializadas para poder usarlas en los puntos donde más se necesitan.</w:t>
      </w:r>
    </w:p>
    <w:p w:rsidR="00A3014D" w:rsidRPr="00315E79" w:rsidRDefault="00A3014D" w:rsidP="00315E79">
      <w:pPr>
        <w:shd w:val="clear" w:color="auto" w:fill="FFFFFF"/>
        <w:spacing w:before="100" w:beforeAutospacing="1" w:after="100" w:afterAutospacing="1" w:line="360" w:lineRule="auto"/>
        <w:ind w:firstLine="454"/>
        <w:jc w:val="both"/>
        <w:rPr>
          <w:rFonts w:ascii="Arial" w:hAnsi="Arial" w:cs="Arial"/>
          <w:sz w:val="24"/>
          <w:szCs w:val="24"/>
        </w:rPr>
      </w:pPr>
      <w:r w:rsidRPr="00C17E2C">
        <w:rPr>
          <w:rFonts w:ascii="Arial" w:hAnsi="Arial" w:cs="Arial"/>
          <w:sz w:val="24"/>
          <w:szCs w:val="24"/>
        </w:rPr>
        <w:t>El banco en toda su estructura se dividen en 3 áreas de negocios que de ahí se desprenden las siguientes sub-áreas con las cuales se desarrolla toda la actividad bancaria, en el siguiente cuadro podrán observar todas las áreas con las que se trabajan.</w:t>
      </w:r>
    </w:p>
    <w:p w:rsidR="009565B5" w:rsidRDefault="009565B5" w:rsidP="00A3014D">
      <w:pPr>
        <w:shd w:val="clear" w:color="auto" w:fill="FFFFFF"/>
        <w:spacing w:before="100" w:beforeAutospacing="1" w:after="100" w:afterAutospacing="1" w:line="360" w:lineRule="auto"/>
        <w:ind w:left="360" w:firstLine="207"/>
        <w:jc w:val="center"/>
        <w:rPr>
          <w:rFonts w:ascii="Arial" w:hAnsi="Arial" w:cs="Arial"/>
          <w:b/>
          <w:sz w:val="20"/>
          <w:szCs w:val="20"/>
          <w:u w:val="single"/>
        </w:rPr>
      </w:pPr>
    </w:p>
    <w:p w:rsidR="009565B5" w:rsidRDefault="009565B5" w:rsidP="00A3014D">
      <w:pPr>
        <w:shd w:val="clear" w:color="auto" w:fill="FFFFFF"/>
        <w:spacing w:before="100" w:beforeAutospacing="1" w:after="100" w:afterAutospacing="1" w:line="360" w:lineRule="auto"/>
        <w:ind w:left="360" w:firstLine="207"/>
        <w:jc w:val="center"/>
        <w:rPr>
          <w:rFonts w:ascii="Arial" w:hAnsi="Arial" w:cs="Arial"/>
          <w:b/>
          <w:sz w:val="20"/>
          <w:szCs w:val="20"/>
          <w:u w:val="single"/>
        </w:rPr>
      </w:pPr>
    </w:p>
    <w:p w:rsidR="009565B5" w:rsidRDefault="009565B5" w:rsidP="00A3014D">
      <w:pPr>
        <w:shd w:val="clear" w:color="auto" w:fill="FFFFFF"/>
        <w:spacing w:before="100" w:beforeAutospacing="1" w:after="100" w:afterAutospacing="1" w:line="360" w:lineRule="auto"/>
        <w:ind w:left="360" w:firstLine="207"/>
        <w:jc w:val="center"/>
        <w:rPr>
          <w:rFonts w:ascii="Arial" w:hAnsi="Arial" w:cs="Arial"/>
          <w:b/>
          <w:sz w:val="20"/>
          <w:szCs w:val="20"/>
          <w:u w:val="single"/>
        </w:rPr>
      </w:pPr>
    </w:p>
    <w:p w:rsidR="009565B5" w:rsidRDefault="009565B5" w:rsidP="00A3014D">
      <w:pPr>
        <w:shd w:val="clear" w:color="auto" w:fill="FFFFFF"/>
        <w:spacing w:before="100" w:beforeAutospacing="1" w:after="100" w:afterAutospacing="1" w:line="360" w:lineRule="auto"/>
        <w:ind w:left="360" w:firstLine="207"/>
        <w:jc w:val="center"/>
        <w:rPr>
          <w:rFonts w:ascii="Arial" w:hAnsi="Arial" w:cs="Arial"/>
          <w:b/>
          <w:sz w:val="20"/>
          <w:szCs w:val="20"/>
          <w:u w:val="single"/>
        </w:rPr>
      </w:pPr>
    </w:p>
    <w:p w:rsidR="009565B5" w:rsidRDefault="009565B5" w:rsidP="00A3014D">
      <w:pPr>
        <w:shd w:val="clear" w:color="auto" w:fill="FFFFFF"/>
        <w:spacing w:before="100" w:beforeAutospacing="1" w:after="100" w:afterAutospacing="1" w:line="360" w:lineRule="auto"/>
        <w:ind w:left="360" w:firstLine="207"/>
        <w:jc w:val="center"/>
        <w:rPr>
          <w:rFonts w:ascii="Arial" w:hAnsi="Arial" w:cs="Arial"/>
          <w:b/>
          <w:sz w:val="20"/>
          <w:szCs w:val="20"/>
          <w:u w:val="single"/>
        </w:rPr>
      </w:pPr>
    </w:p>
    <w:p w:rsidR="00A3014D" w:rsidRPr="006D7988" w:rsidRDefault="00A3014D" w:rsidP="00A3014D">
      <w:pPr>
        <w:shd w:val="clear" w:color="auto" w:fill="FFFFFF"/>
        <w:spacing w:before="100" w:beforeAutospacing="1" w:after="100" w:afterAutospacing="1" w:line="360" w:lineRule="auto"/>
        <w:ind w:left="360" w:firstLine="207"/>
        <w:jc w:val="center"/>
        <w:rPr>
          <w:rFonts w:ascii="Arial" w:hAnsi="Arial" w:cs="Arial"/>
          <w:b/>
          <w:sz w:val="20"/>
          <w:szCs w:val="20"/>
          <w:u w:val="single"/>
        </w:rPr>
      </w:pPr>
      <w:r w:rsidRPr="006D7988">
        <w:rPr>
          <w:rFonts w:ascii="Arial" w:hAnsi="Arial" w:cs="Arial"/>
          <w:b/>
          <w:sz w:val="20"/>
          <w:szCs w:val="20"/>
          <w:u w:val="single"/>
        </w:rPr>
        <w:lastRenderedPageBreak/>
        <w:t>ORGANISMOS DIRECTIVOS</w:t>
      </w:r>
    </w:p>
    <w:p w:rsidR="00A3014D" w:rsidRPr="00CF5829" w:rsidRDefault="003A24B0" w:rsidP="00A3014D">
      <w:pPr>
        <w:shd w:val="clear" w:color="auto" w:fill="FFFFFF"/>
        <w:spacing w:before="100" w:beforeAutospacing="1" w:after="100" w:afterAutospacing="1" w:line="360" w:lineRule="auto"/>
        <w:ind w:left="360" w:firstLine="207"/>
        <w:jc w:val="both"/>
        <w:rPr>
          <w:rFonts w:ascii="Arial" w:eastAsia="Times New Roman" w:hAnsi="Arial" w:cs="Arial"/>
          <w:sz w:val="17"/>
          <w:szCs w:val="17"/>
          <w:lang w:eastAsia="es-EC"/>
        </w:rPr>
      </w:pPr>
      <w:r>
        <w:rPr>
          <w:rFonts w:ascii="Arial" w:eastAsia="Times New Roman" w:hAnsi="Arial" w:cs="Arial"/>
          <w:noProof/>
          <w:sz w:val="17"/>
          <w:szCs w:val="17"/>
          <w:lang w:val="es-ES" w:eastAsia="es-ES"/>
        </w:rPr>
        <w:drawing>
          <wp:inline distT="0" distB="0" distL="0" distR="0">
            <wp:extent cx="4533900" cy="3032362"/>
            <wp:effectExtent l="0" t="38100" r="0" b="34688"/>
            <wp:docPr id="6" name="Diagrama 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rsidR="00A3014D" w:rsidRPr="00CF5829" w:rsidRDefault="00A3014D" w:rsidP="00315E79">
      <w:pPr>
        <w:spacing w:after="0" w:line="240" w:lineRule="atLeast"/>
        <w:ind w:left="1208"/>
        <w:rPr>
          <w:rFonts w:ascii="Arial" w:eastAsia="Times New Roman" w:hAnsi="Arial" w:cs="Arial"/>
          <w:sz w:val="17"/>
          <w:szCs w:val="17"/>
          <w:lang w:eastAsia="es-EC"/>
        </w:rPr>
      </w:pPr>
      <w:r w:rsidRPr="00CF5829">
        <w:rPr>
          <w:rFonts w:ascii="Arial" w:eastAsia="Times New Roman" w:hAnsi="Arial" w:cs="Arial"/>
          <w:sz w:val="17"/>
          <w:szCs w:val="17"/>
          <w:lang w:eastAsia="es-EC"/>
        </w:rPr>
        <w:t>Fuente: Charla de Inducción Corporativa</w:t>
      </w:r>
    </w:p>
    <w:p w:rsidR="00A3014D" w:rsidRPr="00CF5829" w:rsidRDefault="00A3014D" w:rsidP="00315E79">
      <w:pPr>
        <w:spacing w:after="0" w:line="240" w:lineRule="atLeast"/>
        <w:ind w:left="1208"/>
        <w:rPr>
          <w:rFonts w:ascii="Arial" w:eastAsia="Times New Roman" w:hAnsi="Arial" w:cs="Arial"/>
          <w:sz w:val="17"/>
          <w:szCs w:val="17"/>
          <w:lang w:eastAsia="es-EC"/>
        </w:rPr>
      </w:pPr>
      <w:r w:rsidRPr="00CF5829">
        <w:rPr>
          <w:rFonts w:ascii="Arial" w:eastAsia="Times New Roman" w:hAnsi="Arial" w:cs="Arial"/>
          <w:sz w:val="17"/>
          <w:szCs w:val="17"/>
          <w:lang w:eastAsia="es-EC"/>
        </w:rPr>
        <w:t>Elaboración: Autores</w:t>
      </w:r>
    </w:p>
    <w:p w:rsidR="00A3014D" w:rsidRDefault="003A24B0" w:rsidP="00A3014D">
      <w:pPr>
        <w:shd w:val="clear" w:color="auto" w:fill="FFFFFF"/>
        <w:spacing w:before="100" w:beforeAutospacing="1" w:after="100" w:afterAutospacing="1" w:line="360" w:lineRule="auto"/>
        <w:ind w:left="360" w:firstLine="207"/>
        <w:jc w:val="both"/>
        <w:rPr>
          <w:rFonts w:ascii="Arial" w:hAnsi="Arial" w:cs="Arial"/>
          <w:sz w:val="20"/>
          <w:szCs w:val="20"/>
        </w:rPr>
      </w:pPr>
      <w:r>
        <w:rPr>
          <w:rFonts w:ascii="Arial" w:hAnsi="Arial" w:cs="Arial"/>
          <w:noProof/>
          <w:sz w:val="20"/>
          <w:szCs w:val="20"/>
          <w:lang w:val="es-ES" w:eastAsia="es-ES"/>
        </w:rPr>
        <w:drawing>
          <wp:inline distT="0" distB="0" distL="0" distR="0">
            <wp:extent cx="5540296" cy="2085975"/>
            <wp:effectExtent l="76200" t="0" r="60404" b="0"/>
            <wp:docPr id="7" name="Diagrama 10"/>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rsidR="00A3014D" w:rsidRDefault="003A24B0" w:rsidP="00A3014D">
      <w:pPr>
        <w:shd w:val="clear" w:color="auto" w:fill="FFFFFF"/>
        <w:spacing w:before="100" w:beforeAutospacing="1" w:after="100" w:afterAutospacing="1" w:line="360" w:lineRule="auto"/>
        <w:ind w:left="360" w:firstLine="207"/>
        <w:jc w:val="both"/>
        <w:rPr>
          <w:rFonts w:ascii="Arial" w:hAnsi="Arial" w:cs="Arial"/>
          <w:sz w:val="20"/>
          <w:szCs w:val="20"/>
        </w:rPr>
      </w:pPr>
      <w:r>
        <w:rPr>
          <w:rFonts w:ascii="Arial" w:hAnsi="Arial" w:cs="Arial"/>
          <w:noProof/>
          <w:sz w:val="20"/>
          <w:szCs w:val="20"/>
          <w:lang w:val="es-ES" w:eastAsia="es-ES"/>
        </w:rPr>
        <w:drawing>
          <wp:inline distT="0" distB="0" distL="0" distR="0">
            <wp:extent cx="5612130" cy="828675"/>
            <wp:effectExtent l="19050" t="0" r="26670" b="0"/>
            <wp:docPr id="8" name="Diagrama 14"/>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2" r:lo="rId23" r:qs="rId24" r:cs="rId25"/>
              </a:graphicData>
            </a:graphic>
          </wp:inline>
        </w:drawing>
      </w:r>
    </w:p>
    <w:p w:rsidR="00A3014D" w:rsidRPr="00CF5829" w:rsidRDefault="00A3014D" w:rsidP="009B73EE">
      <w:pPr>
        <w:spacing w:before="240" w:after="0" w:line="240" w:lineRule="auto"/>
        <w:rPr>
          <w:rFonts w:ascii="Arial" w:eastAsia="Times New Roman" w:hAnsi="Arial" w:cs="Arial"/>
          <w:sz w:val="17"/>
          <w:szCs w:val="17"/>
          <w:lang w:eastAsia="es-EC"/>
        </w:rPr>
      </w:pPr>
      <w:r w:rsidRPr="00CF5829">
        <w:rPr>
          <w:rFonts w:ascii="Arial" w:eastAsia="Times New Roman" w:hAnsi="Arial" w:cs="Arial"/>
          <w:sz w:val="17"/>
          <w:szCs w:val="17"/>
          <w:lang w:eastAsia="es-EC"/>
        </w:rPr>
        <w:t>Fuente: Charla de Inducción Corporativa</w:t>
      </w:r>
    </w:p>
    <w:p w:rsidR="009B73EE" w:rsidRDefault="00A3014D" w:rsidP="00B000EC">
      <w:pPr>
        <w:shd w:val="clear" w:color="auto" w:fill="FFFFFF"/>
        <w:spacing w:before="240" w:after="100" w:afterAutospacing="1" w:line="240" w:lineRule="auto"/>
        <w:rPr>
          <w:rFonts w:ascii="Arial" w:hAnsi="Arial" w:cs="Arial"/>
          <w:sz w:val="24"/>
          <w:szCs w:val="24"/>
        </w:rPr>
      </w:pPr>
      <w:r w:rsidRPr="00CF5829">
        <w:rPr>
          <w:rFonts w:ascii="Arial" w:eastAsia="Times New Roman" w:hAnsi="Arial" w:cs="Arial"/>
          <w:sz w:val="17"/>
          <w:szCs w:val="17"/>
          <w:lang w:eastAsia="es-EC"/>
        </w:rPr>
        <w:t>Elaboración: Autores</w:t>
      </w:r>
    </w:p>
    <w:p w:rsidR="00A3014D" w:rsidRPr="00C17E2C" w:rsidRDefault="00A3014D" w:rsidP="009B73EE">
      <w:pPr>
        <w:shd w:val="clear" w:color="auto" w:fill="FFFFFF"/>
        <w:spacing w:before="240" w:after="100" w:afterAutospacing="1" w:line="360" w:lineRule="auto"/>
        <w:ind w:firstLine="454"/>
        <w:jc w:val="both"/>
        <w:rPr>
          <w:rFonts w:ascii="Arial" w:hAnsi="Arial" w:cs="Arial"/>
          <w:sz w:val="24"/>
          <w:szCs w:val="24"/>
        </w:rPr>
      </w:pPr>
      <w:r w:rsidRPr="00C17E2C">
        <w:rPr>
          <w:rFonts w:ascii="Arial" w:hAnsi="Arial" w:cs="Arial"/>
          <w:sz w:val="24"/>
          <w:szCs w:val="24"/>
        </w:rPr>
        <w:lastRenderedPageBreak/>
        <w:t>Las áreas de negocios se reúnen para tomar  decisiones, discutir sobre los nuevos productos que están por salir al mercado y cuáles serán las estrategias que se deben implementar para poder enfrentar las regulaciones que cada vez al sector bancario les está exigiendo el gobierno; una vez tomadas las decisiones respectivas, estas son comunicadas mediante los diferentes canales tecnológicos (mail, call center, atm, etc.,) tanto a los clientes internos como externos.</w:t>
      </w:r>
    </w:p>
    <w:p w:rsidR="00A3014D" w:rsidRDefault="00A3014D" w:rsidP="009B73EE">
      <w:pPr>
        <w:shd w:val="clear" w:color="auto" w:fill="FFFFFF"/>
        <w:spacing w:before="100" w:beforeAutospacing="1" w:after="100" w:afterAutospacing="1" w:line="360" w:lineRule="auto"/>
        <w:ind w:firstLine="454"/>
        <w:jc w:val="both"/>
        <w:rPr>
          <w:rFonts w:ascii="Arial" w:hAnsi="Arial" w:cs="Arial"/>
          <w:sz w:val="24"/>
          <w:szCs w:val="24"/>
        </w:rPr>
      </w:pPr>
      <w:r w:rsidRPr="00C17E2C">
        <w:rPr>
          <w:rFonts w:ascii="Arial" w:hAnsi="Arial" w:cs="Arial"/>
          <w:sz w:val="24"/>
          <w:szCs w:val="24"/>
        </w:rPr>
        <w:t xml:space="preserve">El Banco de </w:t>
      </w:r>
      <w:smartTag w:uri="urn:schemas-microsoft-com:office:smarttags" w:element="PersonName">
        <w:smartTagPr>
          <w:attr w:name="ProductID" w:val="la Producción"/>
        </w:smartTagPr>
        <w:r w:rsidRPr="00C17E2C">
          <w:rPr>
            <w:rFonts w:ascii="Arial" w:hAnsi="Arial" w:cs="Arial"/>
            <w:sz w:val="24"/>
            <w:szCs w:val="24"/>
          </w:rPr>
          <w:t>la Producción</w:t>
        </w:r>
      </w:smartTag>
      <w:r w:rsidRPr="00C17E2C">
        <w:rPr>
          <w:rFonts w:ascii="Arial" w:hAnsi="Arial" w:cs="Arial"/>
          <w:sz w:val="24"/>
          <w:szCs w:val="24"/>
        </w:rPr>
        <w:t xml:space="preserve"> no trabaja solo también hay compañías las cuales forman parte del GFP y que ayudan a complementar los diversos sectores los cuales un banco no llegase a satisfacer.</w:t>
      </w:r>
    </w:p>
    <w:p w:rsidR="009B73EE" w:rsidRPr="009B73EE" w:rsidRDefault="009B73EE" w:rsidP="009B73EE">
      <w:pPr>
        <w:shd w:val="clear" w:color="auto" w:fill="FFFFFF"/>
        <w:spacing w:before="100" w:beforeAutospacing="1" w:after="100" w:afterAutospacing="1" w:line="360" w:lineRule="auto"/>
        <w:ind w:firstLine="454"/>
        <w:jc w:val="both"/>
        <w:rPr>
          <w:rFonts w:ascii="Arial" w:hAnsi="Arial" w:cs="Arial"/>
          <w:sz w:val="28"/>
          <w:szCs w:val="28"/>
        </w:rPr>
      </w:pPr>
    </w:p>
    <w:p w:rsidR="00A3014D" w:rsidRPr="00CF5829" w:rsidRDefault="00A3014D" w:rsidP="009B73EE">
      <w:pPr>
        <w:pStyle w:val="Prrafodelista1"/>
        <w:spacing w:line="360" w:lineRule="auto"/>
        <w:ind w:left="0" w:firstLine="851"/>
        <w:rPr>
          <w:rFonts w:ascii="Arial" w:hAnsi="Arial" w:cs="Arial"/>
          <w:b/>
          <w:sz w:val="32"/>
          <w:szCs w:val="32"/>
        </w:rPr>
      </w:pPr>
      <w:r w:rsidRPr="009B73EE">
        <w:rPr>
          <w:rFonts w:ascii="Arial" w:hAnsi="Arial" w:cs="Arial"/>
          <w:b/>
          <w:sz w:val="28"/>
          <w:szCs w:val="28"/>
        </w:rPr>
        <w:t>ESTRUCTURA FINANCIERA</w:t>
      </w:r>
    </w:p>
    <w:p w:rsidR="00A3014D" w:rsidRPr="00C17E2C" w:rsidRDefault="00A3014D" w:rsidP="009B73EE">
      <w:pPr>
        <w:pStyle w:val="Prrafodelista1"/>
        <w:spacing w:line="360" w:lineRule="auto"/>
        <w:ind w:left="0" w:firstLine="851"/>
        <w:rPr>
          <w:rFonts w:ascii="Arial" w:hAnsi="Arial" w:cs="Arial"/>
          <w:sz w:val="24"/>
          <w:szCs w:val="24"/>
        </w:rPr>
      </w:pPr>
    </w:p>
    <w:p w:rsidR="00A3014D" w:rsidRDefault="00A3014D" w:rsidP="009B73EE">
      <w:pPr>
        <w:spacing w:line="360" w:lineRule="auto"/>
        <w:ind w:firstLine="454"/>
        <w:jc w:val="both"/>
        <w:rPr>
          <w:rFonts w:ascii="Arial" w:hAnsi="Arial" w:cs="Arial"/>
          <w:sz w:val="24"/>
          <w:szCs w:val="24"/>
        </w:rPr>
      </w:pPr>
      <w:r w:rsidRPr="00C17E2C">
        <w:rPr>
          <w:rFonts w:ascii="Arial" w:hAnsi="Arial" w:cs="Arial"/>
          <w:sz w:val="24"/>
          <w:szCs w:val="24"/>
        </w:rPr>
        <w:t xml:space="preserve">Produbanco es una de las entidades financieras mas representativas en estos tiempos se encuentra situada en los bancos grandes y cada vez se está posicionando mejor; se encuentra con una base sólida en la parte financiera la cual es muy difícil que pueda verse con problemas en un futuro cercano. </w:t>
      </w:r>
    </w:p>
    <w:p w:rsidR="009B73EE" w:rsidRPr="00C17E2C" w:rsidRDefault="009B73EE" w:rsidP="009B73EE">
      <w:pPr>
        <w:spacing w:line="360" w:lineRule="auto"/>
        <w:ind w:firstLine="454"/>
        <w:jc w:val="both"/>
        <w:rPr>
          <w:rFonts w:ascii="Arial" w:hAnsi="Arial" w:cs="Arial"/>
          <w:sz w:val="24"/>
          <w:szCs w:val="24"/>
        </w:rPr>
      </w:pPr>
    </w:p>
    <w:p w:rsidR="00A3014D" w:rsidRPr="00C17E2C" w:rsidRDefault="00A3014D" w:rsidP="009B73EE">
      <w:pPr>
        <w:spacing w:line="360" w:lineRule="auto"/>
        <w:ind w:firstLine="454"/>
        <w:jc w:val="both"/>
        <w:rPr>
          <w:rFonts w:ascii="Arial" w:hAnsi="Arial" w:cs="Arial"/>
          <w:sz w:val="24"/>
          <w:szCs w:val="24"/>
        </w:rPr>
      </w:pPr>
      <w:r w:rsidRPr="00C17E2C">
        <w:rPr>
          <w:rFonts w:ascii="Arial" w:hAnsi="Arial" w:cs="Arial"/>
          <w:sz w:val="24"/>
          <w:szCs w:val="24"/>
        </w:rPr>
        <w:t xml:space="preserve">En los siguientes cuadros se puede mostrar que tan posicionado se encuentra en relación con los otros bancos grandes los cuales tienen mucho más tiempo en el mercado; grafico 1.3 se muestra que entre todos los bancos grandes ha logrado tomar una parte bastante considerable tomando en cuenta que es un banco conservador no toma muchos riesgos y que en el mercado justo en este año cumple 30 años de actividad. </w:t>
      </w:r>
    </w:p>
    <w:p w:rsidR="00A3014D" w:rsidRDefault="00A3014D" w:rsidP="00A3014D">
      <w:pPr>
        <w:pStyle w:val="Prrafodelista1"/>
        <w:spacing w:line="360" w:lineRule="auto"/>
        <w:ind w:left="360" w:firstLine="207"/>
        <w:jc w:val="center"/>
        <w:rPr>
          <w:rFonts w:ascii="Arial" w:hAnsi="Arial" w:cs="Arial"/>
          <w:b/>
          <w:sz w:val="20"/>
          <w:szCs w:val="20"/>
        </w:rPr>
      </w:pPr>
    </w:p>
    <w:p w:rsidR="00B000EC" w:rsidRDefault="00B000EC" w:rsidP="00A3014D">
      <w:pPr>
        <w:pStyle w:val="Prrafodelista1"/>
        <w:spacing w:line="360" w:lineRule="auto"/>
        <w:ind w:left="360" w:firstLine="207"/>
        <w:jc w:val="center"/>
        <w:rPr>
          <w:rFonts w:ascii="Arial" w:hAnsi="Arial" w:cs="Arial"/>
          <w:b/>
          <w:sz w:val="20"/>
          <w:szCs w:val="20"/>
        </w:rPr>
      </w:pPr>
    </w:p>
    <w:p w:rsidR="00A3014D" w:rsidRPr="00EB3D7F" w:rsidRDefault="00A3014D" w:rsidP="00A3014D">
      <w:pPr>
        <w:pStyle w:val="Prrafodelista1"/>
        <w:spacing w:line="360" w:lineRule="auto"/>
        <w:ind w:left="360" w:firstLine="207"/>
        <w:jc w:val="center"/>
        <w:rPr>
          <w:rFonts w:ascii="Arial" w:hAnsi="Arial" w:cs="Arial"/>
          <w:b/>
          <w:sz w:val="20"/>
          <w:szCs w:val="20"/>
        </w:rPr>
      </w:pPr>
      <w:r w:rsidRPr="00EB3D7F">
        <w:rPr>
          <w:rFonts w:ascii="Arial" w:hAnsi="Arial" w:cs="Arial"/>
          <w:b/>
          <w:sz w:val="20"/>
          <w:szCs w:val="20"/>
        </w:rPr>
        <w:lastRenderedPageBreak/>
        <w:t>GRÁFICO 1.3</w:t>
      </w:r>
    </w:p>
    <w:p w:rsidR="00A3014D" w:rsidRPr="0035338C" w:rsidRDefault="003A24B0" w:rsidP="00A3014D">
      <w:pPr>
        <w:pStyle w:val="Prrafodelista1"/>
        <w:spacing w:line="360" w:lineRule="auto"/>
        <w:ind w:left="360" w:firstLine="207"/>
        <w:jc w:val="center"/>
        <w:rPr>
          <w:rFonts w:ascii="Arial" w:hAnsi="Arial" w:cs="Arial"/>
          <w:sz w:val="20"/>
          <w:szCs w:val="20"/>
        </w:rPr>
      </w:pPr>
      <w:r>
        <w:rPr>
          <w:rFonts w:ascii="Arial" w:hAnsi="Arial" w:cs="Arial"/>
          <w:noProof/>
          <w:sz w:val="20"/>
          <w:szCs w:val="20"/>
          <w:lang w:val="es-ES" w:eastAsia="es-ES"/>
        </w:rPr>
        <w:drawing>
          <wp:inline distT="0" distB="0" distL="0" distR="0">
            <wp:extent cx="5076825" cy="2171700"/>
            <wp:effectExtent l="19050" t="0" r="9525" b="0"/>
            <wp:docPr id="9"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26"/>
                    <a:srcRect/>
                    <a:stretch>
                      <a:fillRect/>
                    </a:stretch>
                  </pic:blipFill>
                  <pic:spPr bwMode="auto">
                    <a:xfrm>
                      <a:off x="0" y="0"/>
                      <a:ext cx="5076825" cy="2171700"/>
                    </a:xfrm>
                    <a:prstGeom prst="rect">
                      <a:avLst/>
                    </a:prstGeom>
                    <a:noFill/>
                    <a:ln w="9525">
                      <a:noFill/>
                      <a:miter lim="800000"/>
                      <a:headEnd/>
                      <a:tailEnd/>
                    </a:ln>
                  </pic:spPr>
                </pic:pic>
              </a:graphicData>
            </a:graphic>
          </wp:inline>
        </w:drawing>
      </w:r>
    </w:p>
    <w:p w:rsidR="00A3014D" w:rsidRPr="00EB3D7F" w:rsidRDefault="009B73EE" w:rsidP="009B73EE">
      <w:pPr>
        <w:tabs>
          <w:tab w:val="left" w:pos="6600"/>
        </w:tabs>
        <w:spacing w:line="240" w:lineRule="auto"/>
        <w:ind w:left="360" w:firstLine="207"/>
        <w:rPr>
          <w:rFonts w:ascii="Arial" w:hAnsi="Arial" w:cs="Arial"/>
          <w:sz w:val="16"/>
          <w:szCs w:val="16"/>
        </w:rPr>
      </w:pPr>
      <w:r>
        <w:rPr>
          <w:rFonts w:ascii="Arial" w:hAnsi="Arial" w:cs="Arial"/>
          <w:sz w:val="16"/>
          <w:szCs w:val="16"/>
        </w:rPr>
        <w:t>Fuente</w:t>
      </w:r>
      <w:r w:rsidR="00A3014D" w:rsidRPr="00EB3D7F">
        <w:rPr>
          <w:rFonts w:ascii="Arial" w:hAnsi="Arial" w:cs="Arial"/>
          <w:sz w:val="16"/>
          <w:szCs w:val="16"/>
        </w:rPr>
        <w:t>: Superintendencias de Bancos Boletín Financiero Dic. 2007</w:t>
      </w:r>
    </w:p>
    <w:p w:rsidR="00A3014D" w:rsidRPr="0035338C" w:rsidRDefault="00A3014D" w:rsidP="009B73EE">
      <w:pPr>
        <w:tabs>
          <w:tab w:val="left" w:pos="6600"/>
        </w:tabs>
        <w:spacing w:line="240" w:lineRule="auto"/>
        <w:ind w:left="360" w:firstLine="207"/>
        <w:rPr>
          <w:rFonts w:ascii="Arial" w:hAnsi="Arial" w:cs="Arial"/>
          <w:sz w:val="20"/>
          <w:szCs w:val="20"/>
        </w:rPr>
      </w:pPr>
      <w:r w:rsidRPr="00EB3D7F">
        <w:rPr>
          <w:rFonts w:ascii="Arial" w:hAnsi="Arial" w:cs="Arial"/>
          <w:sz w:val="16"/>
          <w:szCs w:val="16"/>
        </w:rPr>
        <w:t>Elaboración: Autores</w:t>
      </w:r>
    </w:p>
    <w:p w:rsidR="00A3014D" w:rsidRPr="0035338C" w:rsidRDefault="00A3014D" w:rsidP="00A3014D">
      <w:pPr>
        <w:tabs>
          <w:tab w:val="left" w:pos="6600"/>
        </w:tabs>
        <w:spacing w:line="360" w:lineRule="auto"/>
        <w:ind w:left="360" w:firstLine="207"/>
        <w:jc w:val="center"/>
        <w:rPr>
          <w:rFonts w:ascii="Arial" w:hAnsi="Arial" w:cs="Arial"/>
          <w:sz w:val="20"/>
          <w:szCs w:val="20"/>
        </w:rPr>
      </w:pPr>
    </w:p>
    <w:p w:rsidR="00A3014D" w:rsidRPr="009B73EE" w:rsidRDefault="00A3014D" w:rsidP="009B73EE">
      <w:pPr>
        <w:pStyle w:val="Prrafodelista1"/>
        <w:numPr>
          <w:ilvl w:val="2"/>
          <w:numId w:val="6"/>
        </w:numPr>
        <w:spacing w:line="360" w:lineRule="auto"/>
        <w:ind w:left="360" w:firstLine="207"/>
        <w:rPr>
          <w:rFonts w:ascii="Arial" w:hAnsi="Arial" w:cs="Arial"/>
          <w:b/>
          <w:sz w:val="28"/>
          <w:szCs w:val="28"/>
        </w:rPr>
      </w:pPr>
      <w:r w:rsidRPr="009B73EE">
        <w:rPr>
          <w:rFonts w:ascii="Arial" w:hAnsi="Arial" w:cs="Arial"/>
          <w:b/>
          <w:sz w:val="28"/>
          <w:szCs w:val="28"/>
        </w:rPr>
        <w:t>SITUACIÓN FINANCIERA DE PRODUBANCO</w:t>
      </w:r>
    </w:p>
    <w:p w:rsidR="00A3014D" w:rsidRPr="00C17E2C" w:rsidRDefault="00A3014D" w:rsidP="009B73EE">
      <w:pPr>
        <w:tabs>
          <w:tab w:val="left" w:pos="6600"/>
        </w:tabs>
        <w:spacing w:line="360" w:lineRule="auto"/>
        <w:ind w:firstLine="454"/>
        <w:jc w:val="both"/>
        <w:rPr>
          <w:rFonts w:ascii="Arial" w:hAnsi="Arial" w:cs="Arial"/>
          <w:sz w:val="24"/>
          <w:szCs w:val="24"/>
        </w:rPr>
      </w:pPr>
      <w:r w:rsidRPr="00C17E2C">
        <w:rPr>
          <w:rFonts w:ascii="Arial" w:hAnsi="Arial" w:cs="Arial"/>
          <w:sz w:val="24"/>
          <w:szCs w:val="24"/>
        </w:rPr>
        <w:t>Dentro del sistema financiero hay indicadores los cuales permiten hacer el estudio de las empresas de una manera panorámica y muy ráp</w:t>
      </w:r>
      <w:r w:rsidR="009B73EE">
        <w:rPr>
          <w:rFonts w:ascii="Arial" w:hAnsi="Arial" w:cs="Arial"/>
          <w:sz w:val="24"/>
          <w:szCs w:val="24"/>
        </w:rPr>
        <w:t xml:space="preserve">ida a lo que se </w:t>
      </w:r>
      <w:r w:rsidRPr="00C17E2C">
        <w:rPr>
          <w:rFonts w:ascii="Arial" w:hAnsi="Arial" w:cs="Arial"/>
          <w:sz w:val="24"/>
          <w:szCs w:val="24"/>
        </w:rPr>
        <w:t>refiere la solvencia, los riesgos y la eficiencia con la que se está trabajando</w:t>
      </w:r>
    </w:p>
    <w:p w:rsidR="00A3014D" w:rsidRDefault="00A3014D" w:rsidP="009B73EE">
      <w:pPr>
        <w:tabs>
          <w:tab w:val="left" w:pos="6600"/>
        </w:tabs>
        <w:spacing w:line="360" w:lineRule="auto"/>
        <w:ind w:firstLine="454"/>
        <w:jc w:val="both"/>
        <w:rPr>
          <w:rFonts w:ascii="Arial" w:hAnsi="Arial" w:cs="Arial"/>
          <w:sz w:val="24"/>
          <w:szCs w:val="24"/>
        </w:rPr>
      </w:pPr>
      <w:smartTag w:uri="urn:schemas-microsoft-com:office:smarttags" w:element="PersonName">
        <w:smartTagPr>
          <w:attr w:name="ProductID" w:val="la Superintendencia"/>
        </w:smartTagPr>
        <w:r w:rsidRPr="00C17E2C">
          <w:rPr>
            <w:rFonts w:ascii="Arial" w:hAnsi="Arial" w:cs="Arial"/>
            <w:sz w:val="24"/>
            <w:szCs w:val="24"/>
          </w:rPr>
          <w:t>La Superintendencia</w:t>
        </w:r>
      </w:smartTag>
      <w:r w:rsidRPr="00C17E2C">
        <w:rPr>
          <w:rFonts w:ascii="Arial" w:hAnsi="Arial" w:cs="Arial"/>
          <w:sz w:val="24"/>
          <w:szCs w:val="24"/>
        </w:rPr>
        <w:t xml:space="preserve"> de Bancos es que regula toda la información por lo que solicita que en el boletín financiero se publique esos datos debido a que da la facilidad de observar la calidad de los activos, los cotos como se han incurridos, la rentabilidad y mas situaciones q en un balance en importante.</w:t>
      </w:r>
    </w:p>
    <w:p w:rsidR="009B73EE" w:rsidRPr="00C17E2C" w:rsidRDefault="009B73EE" w:rsidP="009B73EE">
      <w:pPr>
        <w:tabs>
          <w:tab w:val="left" w:pos="6600"/>
        </w:tabs>
        <w:spacing w:line="360" w:lineRule="auto"/>
        <w:ind w:firstLine="454"/>
        <w:jc w:val="both"/>
        <w:rPr>
          <w:rFonts w:ascii="Arial" w:hAnsi="Arial" w:cs="Arial"/>
          <w:sz w:val="24"/>
          <w:szCs w:val="24"/>
        </w:rPr>
      </w:pPr>
    </w:p>
    <w:p w:rsidR="00A3014D" w:rsidRPr="005C124C" w:rsidRDefault="00A3014D" w:rsidP="009B73EE">
      <w:pPr>
        <w:tabs>
          <w:tab w:val="left" w:pos="6600"/>
        </w:tabs>
        <w:spacing w:line="360" w:lineRule="auto"/>
        <w:ind w:firstLine="851"/>
        <w:jc w:val="both"/>
        <w:rPr>
          <w:rFonts w:ascii="Arial" w:hAnsi="Arial" w:cs="Arial"/>
          <w:b/>
          <w:sz w:val="28"/>
          <w:szCs w:val="28"/>
        </w:rPr>
      </w:pPr>
      <w:r w:rsidRPr="005C124C">
        <w:rPr>
          <w:rFonts w:ascii="Arial" w:hAnsi="Arial" w:cs="Arial"/>
          <w:b/>
          <w:sz w:val="28"/>
          <w:szCs w:val="28"/>
        </w:rPr>
        <w:t>ESTRUCTURA Y CALIDAD DE ACTIVOS</w:t>
      </w:r>
    </w:p>
    <w:p w:rsidR="00A3014D" w:rsidRPr="00C17E2C" w:rsidRDefault="00A3014D" w:rsidP="005C124C">
      <w:pPr>
        <w:tabs>
          <w:tab w:val="left" w:pos="6600"/>
        </w:tabs>
        <w:spacing w:line="360" w:lineRule="auto"/>
        <w:ind w:firstLine="454"/>
        <w:jc w:val="both"/>
        <w:rPr>
          <w:rFonts w:ascii="Arial" w:hAnsi="Arial" w:cs="Arial"/>
          <w:sz w:val="24"/>
          <w:szCs w:val="24"/>
        </w:rPr>
      </w:pPr>
      <w:r w:rsidRPr="00C17E2C">
        <w:rPr>
          <w:rFonts w:ascii="Arial" w:hAnsi="Arial" w:cs="Arial"/>
          <w:sz w:val="24"/>
          <w:szCs w:val="24"/>
        </w:rPr>
        <w:t>Este ratio indica la eficiencia en la conformación de los activos y pasivos, la posición de riesgos y la posibilidad de cobertura en los créditos incobrables.</w:t>
      </w:r>
    </w:p>
    <w:p w:rsidR="00A3014D" w:rsidRPr="00C17E2C" w:rsidRDefault="00A3014D" w:rsidP="005C124C">
      <w:pPr>
        <w:tabs>
          <w:tab w:val="left" w:pos="6600"/>
        </w:tabs>
        <w:spacing w:line="360" w:lineRule="auto"/>
        <w:ind w:firstLine="454"/>
        <w:jc w:val="both"/>
        <w:rPr>
          <w:rFonts w:ascii="Arial" w:hAnsi="Arial" w:cs="Arial"/>
          <w:sz w:val="24"/>
          <w:szCs w:val="24"/>
        </w:rPr>
      </w:pPr>
      <w:r w:rsidRPr="00C17E2C">
        <w:rPr>
          <w:rFonts w:ascii="Arial" w:hAnsi="Arial" w:cs="Arial"/>
          <w:sz w:val="24"/>
          <w:szCs w:val="24"/>
        </w:rPr>
        <w:lastRenderedPageBreak/>
        <w:t>La razón “Activos Productivos/ Total de Activos” mide la proporción de activos que generan rendimientos y los “Activos Productivos/ Pasivos sin costos” mide la eficiencia de la colocación de los recursos captados.</w:t>
      </w:r>
    </w:p>
    <w:p w:rsidR="00A3014D" w:rsidRDefault="00A3014D" w:rsidP="005C124C">
      <w:pPr>
        <w:tabs>
          <w:tab w:val="left" w:pos="6600"/>
        </w:tabs>
        <w:spacing w:line="360" w:lineRule="auto"/>
        <w:ind w:firstLine="454"/>
        <w:jc w:val="both"/>
        <w:rPr>
          <w:rFonts w:ascii="Arial" w:hAnsi="Arial" w:cs="Arial"/>
          <w:sz w:val="24"/>
          <w:szCs w:val="24"/>
        </w:rPr>
      </w:pPr>
      <w:r w:rsidRPr="00C17E2C">
        <w:rPr>
          <w:rFonts w:ascii="Arial" w:hAnsi="Arial" w:cs="Arial"/>
          <w:sz w:val="24"/>
          <w:szCs w:val="24"/>
        </w:rPr>
        <w:t>En Produbanco los ratios son más alto que el sistema, lo cual refleja una situación favorable para la entidad estos son 89.34% y 201.25 respectivamente ya antes mencionados.</w:t>
      </w:r>
    </w:p>
    <w:p w:rsidR="005C124C" w:rsidRPr="00C17E2C" w:rsidRDefault="005C124C" w:rsidP="005C124C">
      <w:pPr>
        <w:tabs>
          <w:tab w:val="left" w:pos="6600"/>
        </w:tabs>
        <w:spacing w:line="360" w:lineRule="auto"/>
        <w:ind w:firstLine="454"/>
        <w:jc w:val="both"/>
        <w:rPr>
          <w:rFonts w:ascii="Arial" w:hAnsi="Arial" w:cs="Arial"/>
          <w:sz w:val="24"/>
          <w:szCs w:val="24"/>
        </w:rPr>
      </w:pPr>
    </w:p>
    <w:p w:rsidR="00A3014D" w:rsidRPr="005C124C" w:rsidRDefault="00A3014D" w:rsidP="009B73EE">
      <w:pPr>
        <w:tabs>
          <w:tab w:val="left" w:pos="6600"/>
        </w:tabs>
        <w:spacing w:line="360" w:lineRule="auto"/>
        <w:ind w:firstLine="851"/>
        <w:jc w:val="both"/>
        <w:rPr>
          <w:rFonts w:ascii="Arial" w:hAnsi="Arial" w:cs="Arial"/>
          <w:b/>
          <w:sz w:val="28"/>
          <w:szCs w:val="28"/>
        </w:rPr>
      </w:pPr>
      <w:r w:rsidRPr="005C124C">
        <w:rPr>
          <w:rFonts w:ascii="Arial" w:hAnsi="Arial" w:cs="Arial"/>
          <w:b/>
          <w:sz w:val="28"/>
          <w:szCs w:val="28"/>
        </w:rPr>
        <w:t xml:space="preserve">INDICE DE MOROSIDAD </w:t>
      </w:r>
    </w:p>
    <w:p w:rsidR="00A3014D" w:rsidRPr="00C17E2C" w:rsidRDefault="00A3014D" w:rsidP="005C124C">
      <w:pPr>
        <w:tabs>
          <w:tab w:val="left" w:pos="6600"/>
        </w:tabs>
        <w:spacing w:line="360" w:lineRule="auto"/>
        <w:ind w:firstLine="454"/>
        <w:jc w:val="both"/>
        <w:rPr>
          <w:rFonts w:ascii="Arial" w:hAnsi="Arial" w:cs="Arial"/>
          <w:sz w:val="24"/>
          <w:szCs w:val="24"/>
        </w:rPr>
      </w:pPr>
      <w:r w:rsidRPr="00C17E2C">
        <w:rPr>
          <w:rFonts w:ascii="Arial" w:hAnsi="Arial" w:cs="Arial"/>
          <w:sz w:val="24"/>
          <w:szCs w:val="24"/>
        </w:rPr>
        <w:t>Este ratio comprende la proporción de la cartera se encuentra en mora. Este índice se encuentra divido por dependiendo del área con la cual se dieron los créditos o la operaciones.</w:t>
      </w:r>
    </w:p>
    <w:p w:rsidR="00A3014D" w:rsidRDefault="00A3014D" w:rsidP="005C124C">
      <w:pPr>
        <w:tabs>
          <w:tab w:val="left" w:pos="6600"/>
        </w:tabs>
        <w:spacing w:line="360" w:lineRule="auto"/>
        <w:ind w:firstLine="454"/>
        <w:jc w:val="both"/>
        <w:rPr>
          <w:rFonts w:ascii="Arial" w:hAnsi="Arial" w:cs="Arial"/>
          <w:sz w:val="24"/>
          <w:szCs w:val="24"/>
        </w:rPr>
      </w:pPr>
      <w:r w:rsidRPr="00C17E2C">
        <w:rPr>
          <w:rFonts w:ascii="Arial" w:hAnsi="Arial" w:cs="Arial"/>
          <w:sz w:val="24"/>
          <w:szCs w:val="24"/>
        </w:rPr>
        <w:t>En comparación al sistema se tiene unos índice muy bajos como lo son en cartera comercial 0.38%, consumo 2.74%, vivienda 2.13% y en el producto de microempresa Produbanco no se había abierto campo recién este año está incursionando en los microcréditos.</w:t>
      </w:r>
    </w:p>
    <w:p w:rsidR="005C124C" w:rsidRPr="00C17E2C" w:rsidRDefault="005C124C" w:rsidP="005C124C">
      <w:pPr>
        <w:tabs>
          <w:tab w:val="left" w:pos="6600"/>
        </w:tabs>
        <w:spacing w:line="360" w:lineRule="auto"/>
        <w:ind w:firstLine="454"/>
        <w:jc w:val="both"/>
        <w:rPr>
          <w:rFonts w:ascii="Arial" w:hAnsi="Arial" w:cs="Arial"/>
          <w:sz w:val="24"/>
          <w:szCs w:val="24"/>
        </w:rPr>
      </w:pPr>
    </w:p>
    <w:p w:rsidR="00A3014D" w:rsidRPr="00C17E2C" w:rsidRDefault="00A3014D" w:rsidP="005C124C">
      <w:pPr>
        <w:tabs>
          <w:tab w:val="left" w:pos="6600"/>
        </w:tabs>
        <w:spacing w:line="360" w:lineRule="auto"/>
        <w:ind w:firstLine="851"/>
        <w:jc w:val="both"/>
        <w:rPr>
          <w:rFonts w:ascii="Arial" w:hAnsi="Arial" w:cs="Arial"/>
          <w:b/>
          <w:sz w:val="24"/>
          <w:szCs w:val="24"/>
        </w:rPr>
      </w:pPr>
      <w:r w:rsidRPr="00C17E2C">
        <w:rPr>
          <w:rFonts w:ascii="Arial" w:hAnsi="Arial" w:cs="Arial"/>
          <w:b/>
          <w:sz w:val="24"/>
          <w:szCs w:val="24"/>
        </w:rPr>
        <w:t>COBERTURA DE CARTERA</w:t>
      </w:r>
    </w:p>
    <w:p w:rsidR="00A3014D" w:rsidRDefault="00A3014D" w:rsidP="005C124C">
      <w:pPr>
        <w:tabs>
          <w:tab w:val="left" w:pos="6600"/>
        </w:tabs>
        <w:spacing w:line="360" w:lineRule="auto"/>
        <w:ind w:firstLine="454"/>
        <w:jc w:val="both"/>
        <w:rPr>
          <w:rFonts w:ascii="Arial" w:hAnsi="Arial" w:cs="Arial"/>
          <w:sz w:val="24"/>
          <w:szCs w:val="24"/>
        </w:rPr>
      </w:pPr>
      <w:r w:rsidRPr="00C17E2C">
        <w:rPr>
          <w:rFonts w:ascii="Arial" w:hAnsi="Arial" w:cs="Arial"/>
          <w:sz w:val="24"/>
          <w:szCs w:val="24"/>
        </w:rPr>
        <w:t>Mide el nivel de protección que la entidad asume ante el riesgo de cartera morosa ya sea en cualquiera de los ámbitos que las operaciones se haya concebido</w:t>
      </w:r>
      <w:r w:rsidR="005C124C">
        <w:rPr>
          <w:rFonts w:ascii="Arial" w:hAnsi="Arial" w:cs="Arial"/>
          <w:sz w:val="24"/>
          <w:szCs w:val="24"/>
        </w:rPr>
        <w:t>.</w:t>
      </w:r>
    </w:p>
    <w:p w:rsidR="005C124C" w:rsidRDefault="005C124C" w:rsidP="005C124C">
      <w:pPr>
        <w:tabs>
          <w:tab w:val="left" w:pos="6600"/>
        </w:tabs>
        <w:spacing w:line="360" w:lineRule="auto"/>
        <w:ind w:firstLine="454"/>
        <w:jc w:val="both"/>
        <w:rPr>
          <w:rFonts w:ascii="Arial" w:hAnsi="Arial" w:cs="Arial"/>
          <w:sz w:val="24"/>
          <w:szCs w:val="24"/>
        </w:rPr>
      </w:pPr>
    </w:p>
    <w:p w:rsidR="005C124C" w:rsidRPr="00C17E2C" w:rsidRDefault="005C124C" w:rsidP="005C124C">
      <w:pPr>
        <w:tabs>
          <w:tab w:val="left" w:pos="6600"/>
        </w:tabs>
        <w:spacing w:line="360" w:lineRule="auto"/>
        <w:ind w:firstLine="454"/>
        <w:jc w:val="both"/>
        <w:rPr>
          <w:rFonts w:ascii="Arial" w:hAnsi="Arial" w:cs="Arial"/>
          <w:sz w:val="24"/>
          <w:szCs w:val="24"/>
        </w:rPr>
      </w:pPr>
    </w:p>
    <w:p w:rsidR="00A3014D" w:rsidRPr="005C124C" w:rsidRDefault="00A3014D" w:rsidP="009B73EE">
      <w:pPr>
        <w:spacing w:line="360" w:lineRule="auto"/>
        <w:ind w:firstLine="851"/>
        <w:jc w:val="both"/>
        <w:rPr>
          <w:rFonts w:ascii="Arial" w:hAnsi="Arial" w:cs="Arial"/>
          <w:b/>
          <w:sz w:val="28"/>
          <w:szCs w:val="28"/>
        </w:rPr>
      </w:pPr>
      <w:r w:rsidRPr="005C124C">
        <w:rPr>
          <w:rFonts w:ascii="Arial" w:hAnsi="Arial" w:cs="Arial"/>
          <w:b/>
          <w:sz w:val="28"/>
          <w:szCs w:val="28"/>
        </w:rPr>
        <w:t>INDICADORES DE EFICIENCIA ADMINISTRATIVA</w:t>
      </w:r>
    </w:p>
    <w:p w:rsidR="005C124C" w:rsidRPr="00C17E2C" w:rsidRDefault="00A3014D" w:rsidP="009B73EE">
      <w:pPr>
        <w:spacing w:line="360" w:lineRule="auto"/>
        <w:ind w:firstLine="851"/>
        <w:jc w:val="both"/>
        <w:rPr>
          <w:rFonts w:ascii="Arial" w:hAnsi="Arial" w:cs="Arial"/>
          <w:sz w:val="24"/>
          <w:szCs w:val="24"/>
        </w:rPr>
      </w:pPr>
      <w:r w:rsidRPr="00C17E2C">
        <w:rPr>
          <w:rFonts w:ascii="Arial" w:hAnsi="Arial" w:cs="Arial"/>
          <w:sz w:val="24"/>
          <w:szCs w:val="24"/>
        </w:rPr>
        <w:t>Muestran la proporción de los componentes operativos del costo, en relación con los recursos de intermediación y a los activos.</w:t>
      </w:r>
    </w:p>
    <w:p w:rsidR="00A3014D" w:rsidRPr="005C124C" w:rsidRDefault="00A3014D" w:rsidP="005C124C">
      <w:pPr>
        <w:spacing w:line="360" w:lineRule="auto"/>
        <w:ind w:left="708" w:firstLine="851"/>
        <w:jc w:val="both"/>
        <w:rPr>
          <w:rFonts w:ascii="Arial" w:hAnsi="Arial" w:cs="Arial"/>
          <w:sz w:val="24"/>
          <w:szCs w:val="24"/>
        </w:rPr>
      </w:pPr>
      <w:r w:rsidRPr="005C124C">
        <w:rPr>
          <w:rFonts w:ascii="Arial" w:hAnsi="Arial" w:cs="Arial"/>
          <w:b/>
          <w:sz w:val="24"/>
          <w:szCs w:val="24"/>
        </w:rPr>
        <w:lastRenderedPageBreak/>
        <w:t>GASTOS DE OPERACIÓN ESTIMADOS /TOTAL ACTIVO PROMEDIO (1)</w:t>
      </w:r>
    </w:p>
    <w:p w:rsidR="00A3014D" w:rsidRDefault="00A3014D" w:rsidP="00875E51">
      <w:pPr>
        <w:spacing w:line="360" w:lineRule="auto"/>
        <w:ind w:firstLine="454"/>
        <w:jc w:val="both"/>
        <w:rPr>
          <w:rFonts w:ascii="Arial" w:hAnsi="Arial" w:cs="Arial"/>
          <w:sz w:val="24"/>
          <w:szCs w:val="24"/>
        </w:rPr>
      </w:pPr>
      <w:r w:rsidRPr="00C17E2C">
        <w:rPr>
          <w:rFonts w:ascii="Arial" w:hAnsi="Arial" w:cs="Arial"/>
          <w:sz w:val="24"/>
          <w:szCs w:val="24"/>
        </w:rPr>
        <w:t>Representa la carga operacional implícita en el</w:t>
      </w:r>
      <w:r w:rsidR="00875E51">
        <w:rPr>
          <w:rFonts w:ascii="Arial" w:hAnsi="Arial" w:cs="Arial"/>
          <w:sz w:val="24"/>
          <w:szCs w:val="24"/>
        </w:rPr>
        <w:t xml:space="preserve"> financiamiento de los activos. </w:t>
      </w:r>
      <w:r w:rsidRPr="00C17E2C">
        <w:rPr>
          <w:rFonts w:ascii="Arial" w:hAnsi="Arial" w:cs="Arial"/>
          <w:sz w:val="24"/>
          <w:szCs w:val="24"/>
        </w:rPr>
        <w:t>En comparación con el banco mas fuerte (Pichincha), Produbanco se sitúa con un nivel más bajo como es del 6.18%, lo cual nos demuestra que está utilizando sus activos de una manera muy productiva.</w:t>
      </w:r>
    </w:p>
    <w:p w:rsidR="005C124C" w:rsidRPr="00C17E2C" w:rsidRDefault="005C124C" w:rsidP="005C124C">
      <w:pPr>
        <w:spacing w:line="360" w:lineRule="auto"/>
        <w:ind w:firstLine="454"/>
        <w:jc w:val="both"/>
        <w:rPr>
          <w:rFonts w:ascii="Arial" w:hAnsi="Arial" w:cs="Arial"/>
          <w:sz w:val="24"/>
          <w:szCs w:val="24"/>
        </w:rPr>
      </w:pPr>
    </w:p>
    <w:p w:rsidR="00A3014D" w:rsidRPr="00C17E2C" w:rsidRDefault="00A3014D" w:rsidP="009B73EE">
      <w:pPr>
        <w:spacing w:line="360" w:lineRule="auto"/>
        <w:ind w:firstLine="851"/>
        <w:jc w:val="both"/>
        <w:rPr>
          <w:rFonts w:ascii="Arial" w:hAnsi="Arial" w:cs="Arial"/>
          <w:b/>
          <w:sz w:val="24"/>
          <w:szCs w:val="24"/>
        </w:rPr>
      </w:pPr>
      <w:r>
        <w:rPr>
          <w:rFonts w:ascii="Arial" w:hAnsi="Arial" w:cs="Arial"/>
          <w:b/>
          <w:sz w:val="24"/>
          <w:szCs w:val="24"/>
        </w:rPr>
        <w:t>GASTOS DE PERSONAL ESTIMADOS</w:t>
      </w:r>
      <w:r w:rsidRPr="00C17E2C">
        <w:rPr>
          <w:rFonts w:ascii="Arial" w:hAnsi="Arial" w:cs="Arial"/>
          <w:b/>
          <w:sz w:val="24"/>
          <w:szCs w:val="24"/>
        </w:rPr>
        <w:t xml:space="preserve"> /TOTAL ACTIVO PROMEDIO (1)</w:t>
      </w:r>
    </w:p>
    <w:p w:rsidR="00A3014D" w:rsidRDefault="00A3014D" w:rsidP="00875E51">
      <w:pPr>
        <w:spacing w:line="360" w:lineRule="auto"/>
        <w:ind w:firstLine="454"/>
        <w:jc w:val="both"/>
        <w:rPr>
          <w:rFonts w:ascii="Arial" w:hAnsi="Arial" w:cs="Arial"/>
          <w:sz w:val="24"/>
          <w:szCs w:val="24"/>
        </w:rPr>
      </w:pPr>
      <w:r w:rsidRPr="00C17E2C">
        <w:rPr>
          <w:rFonts w:ascii="Arial" w:hAnsi="Arial" w:cs="Arial"/>
          <w:sz w:val="24"/>
          <w:szCs w:val="24"/>
        </w:rPr>
        <w:t>Indica el costo de personal implícito en el manejo de activos.</w:t>
      </w:r>
      <w:r w:rsidR="00875E51">
        <w:rPr>
          <w:rFonts w:ascii="Arial" w:hAnsi="Arial" w:cs="Arial"/>
          <w:sz w:val="24"/>
          <w:szCs w:val="24"/>
        </w:rPr>
        <w:t xml:space="preserve"> </w:t>
      </w:r>
      <w:r w:rsidRPr="00C17E2C">
        <w:rPr>
          <w:rFonts w:ascii="Arial" w:hAnsi="Arial" w:cs="Arial"/>
          <w:sz w:val="24"/>
          <w:szCs w:val="24"/>
        </w:rPr>
        <w:t xml:space="preserve">Este muestra que para ser uno de los bancos más grande no está </w:t>
      </w:r>
      <w:r w:rsidR="005C124C">
        <w:rPr>
          <w:rFonts w:ascii="Arial" w:hAnsi="Arial" w:cs="Arial"/>
          <w:sz w:val="24"/>
          <w:szCs w:val="24"/>
        </w:rPr>
        <w:t xml:space="preserve">siendo </w:t>
      </w:r>
      <w:r w:rsidRPr="00C17E2C">
        <w:rPr>
          <w:rFonts w:ascii="Arial" w:hAnsi="Arial" w:cs="Arial"/>
          <w:sz w:val="24"/>
          <w:szCs w:val="24"/>
        </w:rPr>
        <w:t>productivo con esta relación debido a que está bastante alto como es 2% en comparación con el total de los bancos grandes que es 1.82%.</w:t>
      </w:r>
    </w:p>
    <w:p w:rsidR="005C124C" w:rsidRPr="00C17E2C" w:rsidRDefault="005C124C" w:rsidP="005C124C">
      <w:pPr>
        <w:spacing w:line="360" w:lineRule="auto"/>
        <w:ind w:left="708" w:firstLine="143"/>
        <w:jc w:val="both"/>
        <w:rPr>
          <w:rFonts w:ascii="Arial" w:hAnsi="Arial" w:cs="Arial"/>
          <w:sz w:val="24"/>
          <w:szCs w:val="24"/>
        </w:rPr>
      </w:pPr>
    </w:p>
    <w:p w:rsidR="00A3014D" w:rsidRPr="00C17E2C" w:rsidRDefault="00A3014D" w:rsidP="009B73EE">
      <w:pPr>
        <w:spacing w:line="360" w:lineRule="auto"/>
        <w:ind w:firstLine="851"/>
        <w:jc w:val="both"/>
        <w:rPr>
          <w:rFonts w:ascii="Arial" w:hAnsi="Arial" w:cs="Arial"/>
          <w:b/>
          <w:sz w:val="24"/>
          <w:szCs w:val="24"/>
        </w:rPr>
      </w:pPr>
      <w:r w:rsidRPr="00C17E2C">
        <w:rPr>
          <w:rFonts w:ascii="Arial" w:hAnsi="Arial" w:cs="Arial"/>
          <w:b/>
          <w:sz w:val="24"/>
          <w:szCs w:val="24"/>
        </w:rPr>
        <w:t>INDICADORES DE RENTABILIDAD</w:t>
      </w:r>
    </w:p>
    <w:p w:rsidR="00A3014D" w:rsidRDefault="00A3014D" w:rsidP="00875E51">
      <w:pPr>
        <w:spacing w:line="360" w:lineRule="auto"/>
        <w:ind w:firstLine="454"/>
        <w:jc w:val="both"/>
        <w:rPr>
          <w:rFonts w:ascii="Arial" w:hAnsi="Arial" w:cs="Arial"/>
          <w:sz w:val="24"/>
          <w:szCs w:val="24"/>
        </w:rPr>
      </w:pPr>
      <w:r w:rsidRPr="00C17E2C">
        <w:rPr>
          <w:rFonts w:ascii="Arial" w:hAnsi="Arial" w:cs="Arial"/>
          <w:sz w:val="24"/>
          <w:szCs w:val="24"/>
        </w:rPr>
        <w:t>Muestran el grado de retorno de la inversión de los accionistas y los resultados obtenidos por la gestión operativa del negocio.</w:t>
      </w:r>
    </w:p>
    <w:p w:rsidR="00875E51" w:rsidRPr="00C17E2C" w:rsidRDefault="00875E51" w:rsidP="00875E51">
      <w:pPr>
        <w:spacing w:line="360" w:lineRule="auto"/>
        <w:ind w:firstLine="454"/>
        <w:jc w:val="both"/>
        <w:rPr>
          <w:rFonts w:ascii="Arial" w:hAnsi="Arial" w:cs="Arial"/>
          <w:sz w:val="24"/>
          <w:szCs w:val="24"/>
        </w:rPr>
      </w:pPr>
    </w:p>
    <w:p w:rsidR="00A3014D" w:rsidRPr="00C17E2C" w:rsidRDefault="00A3014D" w:rsidP="009B73EE">
      <w:pPr>
        <w:spacing w:line="360" w:lineRule="auto"/>
        <w:ind w:firstLine="851"/>
        <w:jc w:val="both"/>
        <w:rPr>
          <w:rFonts w:ascii="Arial" w:hAnsi="Arial" w:cs="Arial"/>
          <w:b/>
          <w:sz w:val="24"/>
          <w:szCs w:val="24"/>
        </w:rPr>
      </w:pPr>
      <w:r w:rsidRPr="00C17E2C">
        <w:rPr>
          <w:rFonts w:ascii="Arial" w:hAnsi="Arial" w:cs="Arial"/>
          <w:b/>
          <w:sz w:val="24"/>
          <w:szCs w:val="24"/>
        </w:rPr>
        <w:t>ROE</w:t>
      </w:r>
    </w:p>
    <w:p w:rsidR="00B000EC" w:rsidRPr="00B000EC" w:rsidRDefault="00A3014D" w:rsidP="00875E51">
      <w:pPr>
        <w:spacing w:line="360" w:lineRule="auto"/>
        <w:ind w:firstLine="454"/>
        <w:jc w:val="both"/>
        <w:rPr>
          <w:rFonts w:ascii="Arial" w:hAnsi="Arial" w:cs="Arial"/>
          <w:sz w:val="24"/>
          <w:szCs w:val="24"/>
        </w:rPr>
      </w:pPr>
      <w:r w:rsidRPr="00C17E2C">
        <w:rPr>
          <w:rFonts w:ascii="Arial" w:hAnsi="Arial" w:cs="Arial"/>
          <w:sz w:val="24"/>
          <w:szCs w:val="24"/>
        </w:rPr>
        <w:t>Mide el nivel de retorno generado por el patrimonio.</w:t>
      </w:r>
      <w:r w:rsidR="00875E51">
        <w:rPr>
          <w:rFonts w:ascii="Arial" w:hAnsi="Arial" w:cs="Arial"/>
          <w:sz w:val="24"/>
          <w:szCs w:val="24"/>
        </w:rPr>
        <w:t xml:space="preserve"> </w:t>
      </w:r>
      <w:r w:rsidRPr="00C17E2C">
        <w:rPr>
          <w:rFonts w:ascii="Arial" w:hAnsi="Arial" w:cs="Arial"/>
          <w:sz w:val="24"/>
          <w:szCs w:val="24"/>
        </w:rPr>
        <w:t>En Produbanco este índice esta al 23%, el cual comparándose con Pichincha esta mas alto debido a que en esta entidad se encuentra con el 17.76%.</w:t>
      </w:r>
    </w:p>
    <w:p w:rsidR="00B000EC" w:rsidRDefault="00B000EC" w:rsidP="00875E51">
      <w:pPr>
        <w:spacing w:line="360" w:lineRule="auto"/>
        <w:ind w:firstLine="454"/>
        <w:jc w:val="both"/>
        <w:rPr>
          <w:rFonts w:ascii="Arial" w:hAnsi="Arial" w:cs="Arial"/>
          <w:b/>
          <w:sz w:val="24"/>
          <w:szCs w:val="24"/>
        </w:rPr>
      </w:pPr>
    </w:p>
    <w:p w:rsidR="00DD0614" w:rsidRDefault="00DD0614" w:rsidP="00875E51">
      <w:pPr>
        <w:spacing w:line="360" w:lineRule="auto"/>
        <w:ind w:firstLine="454"/>
        <w:jc w:val="both"/>
        <w:rPr>
          <w:rFonts w:ascii="Arial" w:hAnsi="Arial" w:cs="Arial"/>
          <w:b/>
          <w:sz w:val="24"/>
          <w:szCs w:val="24"/>
        </w:rPr>
      </w:pPr>
    </w:p>
    <w:p w:rsidR="00DD0614" w:rsidRDefault="00DD0614" w:rsidP="00875E51">
      <w:pPr>
        <w:spacing w:line="360" w:lineRule="auto"/>
        <w:ind w:firstLine="454"/>
        <w:jc w:val="both"/>
        <w:rPr>
          <w:rFonts w:ascii="Arial" w:hAnsi="Arial" w:cs="Arial"/>
          <w:b/>
          <w:sz w:val="24"/>
          <w:szCs w:val="24"/>
        </w:rPr>
      </w:pPr>
    </w:p>
    <w:p w:rsidR="00A3014D" w:rsidRPr="00C17E2C" w:rsidRDefault="00DD0614" w:rsidP="00DD0614">
      <w:pPr>
        <w:spacing w:line="360" w:lineRule="auto"/>
        <w:ind w:left="708"/>
        <w:jc w:val="both"/>
        <w:rPr>
          <w:rFonts w:ascii="Arial" w:hAnsi="Arial" w:cs="Arial"/>
          <w:b/>
          <w:sz w:val="24"/>
          <w:szCs w:val="24"/>
        </w:rPr>
      </w:pPr>
      <w:r>
        <w:rPr>
          <w:rFonts w:ascii="Arial" w:hAnsi="Arial" w:cs="Arial"/>
          <w:b/>
          <w:sz w:val="24"/>
          <w:szCs w:val="24"/>
        </w:rPr>
        <w:lastRenderedPageBreak/>
        <w:t xml:space="preserve">  </w:t>
      </w:r>
      <w:r w:rsidR="00A3014D" w:rsidRPr="00C17E2C">
        <w:rPr>
          <w:rFonts w:ascii="Arial" w:hAnsi="Arial" w:cs="Arial"/>
          <w:b/>
          <w:sz w:val="24"/>
          <w:szCs w:val="24"/>
        </w:rPr>
        <w:t>ROA</w:t>
      </w:r>
    </w:p>
    <w:p w:rsidR="00A3014D" w:rsidRDefault="00A3014D" w:rsidP="00875E51">
      <w:pPr>
        <w:spacing w:line="360" w:lineRule="auto"/>
        <w:ind w:firstLine="454"/>
        <w:jc w:val="both"/>
        <w:rPr>
          <w:rFonts w:ascii="Arial" w:hAnsi="Arial" w:cs="Arial"/>
          <w:sz w:val="24"/>
          <w:szCs w:val="24"/>
        </w:rPr>
      </w:pPr>
      <w:r w:rsidRPr="00C17E2C">
        <w:rPr>
          <w:rFonts w:ascii="Arial" w:hAnsi="Arial" w:cs="Arial"/>
          <w:sz w:val="24"/>
          <w:szCs w:val="24"/>
        </w:rPr>
        <w:t>Mide el nivel de retorno generado por el activo. El valor de este índice esta 2.01% es alto en comparación con Pichincha que esta en 1.65%, lo cual muestra que es un banco el cual está invirtiendo bien con sus activos.</w:t>
      </w:r>
    </w:p>
    <w:p w:rsidR="00875E51" w:rsidRPr="00C17E2C" w:rsidRDefault="00875E51" w:rsidP="00875E51">
      <w:pPr>
        <w:spacing w:line="360" w:lineRule="auto"/>
        <w:ind w:firstLine="454"/>
        <w:jc w:val="both"/>
        <w:rPr>
          <w:rFonts w:ascii="Arial" w:hAnsi="Arial" w:cs="Arial"/>
          <w:sz w:val="24"/>
          <w:szCs w:val="24"/>
        </w:rPr>
      </w:pPr>
    </w:p>
    <w:p w:rsidR="00A3014D" w:rsidRPr="00C17E2C" w:rsidRDefault="00A3014D" w:rsidP="009B73EE">
      <w:pPr>
        <w:spacing w:line="360" w:lineRule="auto"/>
        <w:ind w:firstLine="851"/>
        <w:jc w:val="both"/>
        <w:rPr>
          <w:rFonts w:ascii="Arial" w:hAnsi="Arial" w:cs="Arial"/>
          <w:b/>
          <w:sz w:val="24"/>
          <w:szCs w:val="24"/>
        </w:rPr>
      </w:pPr>
      <w:r w:rsidRPr="00C17E2C">
        <w:rPr>
          <w:rFonts w:ascii="Arial" w:hAnsi="Arial" w:cs="Arial"/>
          <w:b/>
          <w:sz w:val="24"/>
          <w:szCs w:val="24"/>
        </w:rPr>
        <w:t>INDICADORES DE LIQUIDEZ</w:t>
      </w:r>
    </w:p>
    <w:p w:rsidR="00A3014D" w:rsidRDefault="00A3014D" w:rsidP="009B73EE">
      <w:pPr>
        <w:spacing w:line="360" w:lineRule="auto"/>
        <w:ind w:firstLine="851"/>
        <w:jc w:val="both"/>
        <w:rPr>
          <w:rFonts w:ascii="Arial" w:hAnsi="Arial" w:cs="Arial"/>
          <w:sz w:val="24"/>
          <w:szCs w:val="24"/>
        </w:rPr>
      </w:pPr>
      <w:r w:rsidRPr="00C17E2C">
        <w:rPr>
          <w:rFonts w:ascii="Arial" w:hAnsi="Arial" w:cs="Arial"/>
          <w:sz w:val="24"/>
          <w:szCs w:val="24"/>
        </w:rPr>
        <w:t>Estos niveles establecen el nivel de liquidez que posee la entidad en un determinado periodo económico.</w:t>
      </w:r>
    </w:p>
    <w:p w:rsidR="00875E51" w:rsidRPr="00C17E2C" w:rsidRDefault="00875E51" w:rsidP="009B73EE">
      <w:pPr>
        <w:spacing w:line="360" w:lineRule="auto"/>
        <w:ind w:firstLine="851"/>
        <w:jc w:val="both"/>
        <w:rPr>
          <w:rFonts w:ascii="Arial" w:hAnsi="Arial" w:cs="Arial"/>
          <w:sz w:val="24"/>
          <w:szCs w:val="24"/>
        </w:rPr>
      </w:pPr>
    </w:p>
    <w:p w:rsidR="00A3014D" w:rsidRPr="00C17E2C" w:rsidRDefault="00A3014D" w:rsidP="009B73EE">
      <w:pPr>
        <w:spacing w:line="360" w:lineRule="auto"/>
        <w:ind w:firstLine="851"/>
        <w:jc w:val="both"/>
        <w:rPr>
          <w:rFonts w:ascii="Arial" w:hAnsi="Arial" w:cs="Arial"/>
          <w:b/>
          <w:sz w:val="24"/>
          <w:szCs w:val="24"/>
        </w:rPr>
      </w:pPr>
      <w:r w:rsidRPr="00C17E2C">
        <w:rPr>
          <w:rFonts w:ascii="Arial" w:hAnsi="Arial" w:cs="Arial"/>
          <w:b/>
          <w:sz w:val="24"/>
          <w:szCs w:val="24"/>
        </w:rPr>
        <w:t>FONDOS DISPONIBLES / TOTAL DEPOSITOS A CORTO PLAZO</w:t>
      </w:r>
    </w:p>
    <w:p w:rsidR="00A3014D" w:rsidRPr="00C17E2C" w:rsidRDefault="00A3014D" w:rsidP="009B73EE">
      <w:pPr>
        <w:spacing w:line="360" w:lineRule="auto"/>
        <w:ind w:firstLine="851"/>
        <w:jc w:val="both"/>
        <w:rPr>
          <w:rFonts w:ascii="Arial" w:hAnsi="Arial" w:cs="Arial"/>
          <w:sz w:val="24"/>
          <w:szCs w:val="24"/>
        </w:rPr>
      </w:pPr>
      <w:r w:rsidRPr="00C17E2C">
        <w:rPr>
          <w:rFonts w:ascii="Arial" w:hAnsi="Arial" w:cs="Arial"/>
          <w:sz w:val="24"/>
          <w:szCs w:val="24"/>
        </w:rPr>
        <w:tab/>
        <w:t xml:space="preserve"> Mide el nivel de disponibilidad que tiene la entidad para atender el pago de pasivo de mayor exigibilidad.</w:t>
      </w:r>
    </w:p>
    <w:p w:rsidR="00E843A7" w:rsidRDefault="00A3014D" w:rsidP="009B73EE">
      <w:pPr>
        <w:spacing w:line="360" w:lineRule="auto"/>
        <w:ind w:firstLine="851"/>
        <w:jc w:val="both"/>
        <w:rPr>
          <w:rFonts w:ascii="Arial" w:hAnsi="Arial" w:cs="Arial"/>
          <w:sz w:val="24"/>
          <w:szCs w:val="24"/>
        </w:rPr>
      </w:pPr>
      <w:r w:rsidRPr="00C17E2C">
        <w:rPr>
          <w:rFonts w:ascii="Arial" w:hAnsi="Arial" w:cs="Arial"/>
          <w:sz w:val="24"/>
          <w:szCs w:val="24"/>
        </w:rPr>
        <w:t>La entidad la cual se está llevando el estudio tiene este índice con el valor de 18.82%, lo optimo seria que sea alto, pero analizando este se encuentra sumamente bajo en comparación con los otros bancos grandes.</w:t>
      </w:r>
    </w:p>
    <w:p w:rsidR="00E36DBC" w:rsidRDefault="00E36DBC" w:rsidP="009B73EE">
      <w:pPr>
        <w:spacing w:line="360" w:lineRule="auto"/>
        <w:ind w:firstLine="851"/>
        <w:jc w:val="both"/>
        <w:rPr>
          <w:rFonts w:ascii="Arial" w:hAnsi="Arial" w:cs="Arial"/>
          <w:sz w:val="24"/>
          <w:szCs w:val="24"/>
        </w:rPr>
      </w:pPr>
    </w:p>
    <w:p w:rsidR="00E36DBC" w:rsidRDefault="00E36DBC" w:rsidP="009B73EE">
      <w:pPr>
        <w:spacing w:line="360" w:lineRule="auto"/>
        <w:ind w:firstLine="851"/>
        <w:jc w:val="both"/>
        <w:sectPr w:rsidR="00E36DBC" w:rsidSect="00F27DFF">
          <w:pgSz w:w="11907" w:h="16840" w:code="9"/>
          <w:pgMar w:top="1985" w:right="1418" w:bottom="1985" w:left="2268" w:header="709" w:footer="709" w:gutter="0"/>
          <w:cols w:space="708"/>
          <w:docGrid w:linePitch="360"/>
        </w:sectPr>
      </w:pPr>
    </w:p>
    <w:p w:rsidR="00E36DBC" w:rsidRDefault="00E36DBC" w:rsidP="00E36DBC">
      <w:pPr>
        <w:spacing w:line="360" w:lineRule="auto"/>
        <w:rPr>
          <w:rFonts w:ascii="Arial" w:hAnsi="Arial" w:cs="Arial"/>
          <w:b/>
          <w:sz w:val="32"/>
          <w:szCs w:val="32"/>
          <w:lang/>
        </w:rPr>
      </w:pPr>
    </w:p>
    <w:p w:rsidR="00E36DBC" w:rsidRDefault="00E36DBC" w:rsidP="00E36DBC">
      <w:pPr>
        <w:spacing w:line="360" w:lineRule="auto"/>
        <w:rPr>
          <w:rFonts w:ascii="Arial" w:hAnsi="Arial" w:cs="Arial"/>
          <w:b/>
          <w:sz w:val="32"/>
          <w:szCs w:val="32"/>
          <w:lang/>
        </w:rPr>
      </w:pPr>
    </w:p>
    <w:p w:rsidR="00E36DBC" w:rsidRDefault="00E36DBC" w:rsidP="00E36DBC">
      <w:pPr>
        <w:spacing w:line="360" w:lineRule="auto"/>
        <w:rPr>
          <w:rFonts w:ascii="Arial" w:hAnsi="Arial" w:cs="Arial"/>
          <w:b/>
          <w:sz w:val="32"/>
          <w:szCs w:val="32"/>
          <w:lang/>
        </w:rPr>
      </w:pPr>
    </w:p>
    <w:p w:rsidR="00E36DBC" w:rsidRDefault="00E36DBC" w:rsidP="00E36DBC">
      <w:pPr>
        <w:spacing w:line="360" w:lineRule="auto"/>
        <w:rPr>
          <w:rFonts w:ascii="Arial" w:hAnsi="Arial" w:cs="Arial"/>
          <w:b/>
          <w:sz w:val="32"/>
          <w:szCs w:val="32"/>
          <w:lang/>
        </w:rPr>
      </w:pPr>
    </w:p>
    <w:p w:rsidR="00E36DBC" w:rsidRDefault="00E36DBC" w:rsidP="00E36DBC">
      <w:pPr>
        <w:spacing w:line="360" w:lineRule="auto"/>
        <w:rPr>
          <w:rFonts w:ascii="Arial" w:hAnsi="Arial" w:cs="Arial"/>
          <w:b/>
          <w:sz w:val="32"/>
          <w:szCs w:val="32"/>
          <w:lang/>
        </w:rPr>
      </w:pPr>
    </w:p>
    <w:p w:rsidR="005C294B" w:rsidRDefault="005C294B" w:rsidP="00E36DBC">
      <w:pPr>
        <w:spacing w:line="360" w:lineRule="auto"/>
        <w:ind w:firstLine="454"/>
        <w:jc w:val="center"/>
        <w:rPr>
          <w:rFonts w:ascii="Arial" w:hAnsi="Arial" w:cs="Arial"/>
          <w:b/>
          <w:sz w:val="32"/>
          <w:szCs w:val="32"/>
          <w:lang/>
        </w:rPr>
      </w:pPr>
    </w:p>
    <w:p w:rsidR="005C294B" w:rsidRDefault="005C294B" w:rsidP="00E36DBC">
      <w:pPr>
        <w:spacing w:line="360" w:lineRule="auto"/>
        <w:ind w:firstLine="454"/>
        <w:jc w:val="center"/>
        <w:rPr>
          <w:rFonts w:ascii="Arial" w:hAnsi="Arial" w:cs="Arial"/>
          <w:b/>
          <w:sz w:val="32"/>
          <w:szCs w:val="32"/>
          <w:lang/>
        </w:rPr>
      </w:pPr>
    </w:p>
    <w:p w:rsidR="00E36DBC" w:rsidRDefault="00E36DBC" w:rsidP="00E36DBC">
      <w:pPr>
        <w:spacing w:line="360" w:lineRule="auto"/>
        <w:ind w:firstLine="454"/>
        <w:jc w:val="center"/>
        <w:rPr>
          <w:rFonts w:ascii="Arial" w:hAnsi="Arial" w:cs="Arial"/>
          <w:b/>
          <w:sz w:val="32"/>
          <w:szCs w:val="32"/>
          <w:lang/>
        </w:rPr>
      </w:pPr>
      <w:r>
        <w:rPr>
          <w:rFonts w:ascii="Arial" w:hAnsi="Arial" w:cs="Arial"/>
          <w:b/>
          <w:sz w:val="32"/>
          <w:szCs w:val="32"/>
          <w:lang/>
        </w:rPr>
        <w:t>CAPÌTULO II</w:t>
      </w:r>
    </w:p>
    <w:p w:rsidR="00E36DBC" w:rsidRDefault="00E36DBC" w:rsidP="00E36DBC">
      <w:pPr>
        <w:spacing w:line="360" w:lineRule="auto"/>
        <w:ind w:firstLine="454"/>
        <w:rPr>
          <w:rFonts w:ascii="Arial" w:hAnsi="Arial" w:cs="Arial"/>
          <w:sz w:val="20"/>
          <w:szCs w:val="20"/>
          <w:lang/>
        </w:rPr>
      </w:pPr>
    </w:p>
    <w:p w:rsidR="00E36DBC" w:rsidRDefault="00E36DBC" w:rsidP="00E36DBC">
      <w:pPr>
        <w:spacing w:line="360" w:lineRule="auto"/>
        <w:ind w:left="454" w:hanging="454"/>
        <w:jc w:val="both"/>
        <w:rPr>
          <w:rFonts w:ascii="Arial" w:hAnsi="Arial" w:cs="Arial"/>
          <w:b/>
          <w:spacing w:val="20"/>
          <w:sz w:val="28"/>
          <w:szCs w:val="28"/>
          <w:lang/>
        </w:rPr>
      </w:pPr>
      <w:r>
        <w:rPr>
          <w:rFonts w:ascii="Arial" w:hAnsi="Arial" w:cs="Arial"/>
          <w:b/>
          <w:spacing w:val="20"/>
          <w:sz w:val="28"/>
          <w:szCs w:val="28"/>
          <w:lang/>
        </w:rPr>
        <w:t>2.</w:t>
      </w:r>
      <w:r>
        <w:rPr>
          <w:rFonts w:ascii="Arial" w:hAnsi="Arial" w:cs="Arial"/>
          <w:b/>
          <w:spacing w:val="20"/>
          <w:sz w:val="28"/>
          <w:szCs w:val="28"/>
          <w:lang/>
        </w:rPr>
        <w:tab/>
        <w:t xml:space="preserve">METODOLOGÌA PARA </w:t>
      </w:r>
      <w:smartTag w:uri="urn:schemas-microsoft-com:office:smarttags" w:element="PersonName">
        <w:smartTagPr>
          <w:attr w:name="ProductID" w:val="LA PROYECCIÒN DE"/>
        </w:smartTagPr>
        <w:r>
          <w:rPr>
            <w:rFonts w:ascii="Arial" w:hAnsi="Arial" w:cs="Arial"/>
            <w:b/>
            <w:spacing w:val="20"/>
            <w:sz w:val="28"/>
            <w:szCs w:val="28"/>
            <w:lang/>
          </w:rPr>
          <w:t>LA PROYECCIÒN DE</w:t>
        </w:r>
      </w:smartTag>
      <w:r>
        <w:rPr>
          <w:rFonts w:ascii="Arial" w:hAnsi="Arial" w:cs="Arial"/>
          <w:b/>
          <w:spacing w:val="20"/>
          <w:sz w:val="28"/>
          <w:szCs w:val="28"/>
          <w:lang/>
        </w:rPr>
        <w:t xml:space="preserve"> LOS ESTADOS FINANCIEROS Y VALORACIÒN DEL PRODUBANCO</w:t>
      </w:r>
    </w:p>
    <w:p w:rsidR="00E36DBC" w:rsidRDefault="00E36DBC" w:rsidP="00E36DBC">
      <w:pPr>
        <w:spacing w:line="360" w:lineRule="auto"/>
        <w:ind w:firstLine="454"/>
        <w:jc w:val="center"/>
        <w:rPr>
          <w:rFonts w:ascii="Arial" w:hAnsi="Arial" w:cs="Arial"/>
          <w:b/>
          <w:spacing w:val="20"/>
          <w:sz w:val="28"/>
          <w:szCs w:val="28"/>
          <w:lang/>
        </w:rPr>
      </w:pPr>
    </w:p>
    <w:p w:rsidR="00E36DBC" w:rsidRPr="006774DB" w:rsidRDefault="00E36DBC" w:rsidP="00E36DBC">
      <w:pPr>
        <w:spacing w:line="360" w:lineRule="auto"/>
        <w:ind w:firstLine="454"/>
        <w:jc w:val="both"/>
        <w:rPr>
          <w:rFonts w:ascii="Arial" w:eastAsia="Times New Roman" w:hAnsi="Arial" w:cs="Arial"/>
          <w:sz w:val="24"/>
          <w:szCs w:val="24"/>
          <w:lang w:val="es-ES"/>
        </w:rPr>
      </w:pPr>
      <w:r w:rsidRPr="006774DB">
        <w:rPr>
          <w:rFonts w:ascii="Arial" w:eastAsia="Times New Roman" w:hAnsi="Arial" w:cs="Arial"/>
          <w:sz w:val="24"/>
          <w:szCs w:val="24"/>
          <w:lang w:val="es-ES"/>
        </w:rPr>
        <w:t>El objetivo de este capítulo es dar a conocer la metodología para realizar una valoración económica de una entidad bancaria, en este caso Produbanco. El capítulo se encuentra dividido en dos secciones. La primera parte se enfoca en la proyección de las cuentas de los Estados Financieros, las cuales proporcionarán la información necesaria para realizar la valoración. En la segunda parte se describe los requerimientos metodológicos y las herramientas adecuadas para realizar un correcto análisis de valoración.</w:t>
      </w:r>
    </w:p>
    <w:p w:rsidR="00E36DBC" w:rsidRDefault="00E36DBC" w:rsidP="00E36DBC">
      <w:pPr>
        <w:spacing w:line="360" w:lineRule="auto"/>
        <w:ind w:firstLine="454"/>
        <w:jc w:val="both"/>
        <w:rPr>
          <w:rFonts w:ascii="Arial" w:eastAsia="Times New Roman" w:hAnsi="Arial" w:cs="Arial"/>
          <w:lang w:val="es-ES"/>
        </w:rPr>
      </w:pPr>
    </w:p>
    <w:p w:rsidR="00E36DBC" w:rsidRDefault="00E36DBC" w:rsidP="00E36DBC">
      <w:pPr>
        <w:spacing w:line="360" w:lineRule="auto"/>
        <w:ind w:left="705" w:hanging="705"/>
        <w:jc w:val="both"/>
        <w:rPr>
          <w:rFonts w:ascii="Arial" w:hAnsi="Arial" w:cs="Arial"/>
          <w:b/>
          <w:spacing w:val="20"/>
          <w:sz w:val="28"/>
          <w:szCs w:val="28"/>
          <w:lang/>
        </w:rPr>
      </w:pPr>
      <w:r>
        <w:rPr>
          <w:rFonts w:ascii="Arial" w:hAnsi="Arial" w:cs="Arial"/>
          <w:b/>
          <w:spacing w:val="20"/>
          <w:sz w:val="28"/>
          <w:szCs w:val="28"/>
          <w:lang/>
        </w:rPr>
        <w:lastRenderedPageBreak/>
        <w:t>2.1</w:t>
      </w:r>
      <w:r>
        <w:rPr>
          <w:rFonts w:ascii="Arial" w:hAnsi="Arial" w:cs="Arial"/>
          <w:b/>
          <w:spacing w:val="20"/>
          <w:sz w:val="28"/>
          <w:szCs w:val="28"/>
          <w:lang/>
        </w:rPr>
        <w:tab/>
      </w:r>
      <w:r>
        <w:rPr>
          <w:rFonts w:ascii="Arial" w:hAnsi="Arial" w:cs="Arial"/>
          <w:b/>
          <w:spacing w:val="20"/>
          <w:sz w:val="28"/>
          <w:szCs w:val="28"/>
          <w:lang/>
        </w:rPr>
        <w:tab/>
        <w:t>DESCRIPCIÒN DEL MÈTODO DE PROYECCIÓN DE ESTADOS FINANCIEROS</w:t>
      </w:r>
    </w:p>
    <w:p w:rsidR="00E36DBC" w:rsidRDefault="00E36DBC" w:rsidP="00E36DBC">
      <w:pPr>
        <w:spacing w:line="360" w:lineRule="auto"/>
        <w:ind w:firstLine="454"/>
        <w:jc w:val="both"/>
        <w:rPr>
          <w:rFonts w:ascii="Arial" w:hAnsi="Arial" w:cs="Arial"/>
          <w:b/>
          <w:spacing w:val="20"/>
          <w:lang/>
        </w:rPr>
      </w:pPr>
      <w:r>
        <w:rPr>
          <w:rFonts w:ascii="Arial" w:hAnsi="Arial" w:cs="Arial"/>
          <w:b/>
          <w:spacing w:val="20"/>
          <w:lang/>
        </w:rPr>
        <w:t xml:space="preserve">      </w:t>
      </w:r>
    </w:p>
    <w:p w:rsidR="00E36DBC" w:rsidRPr="006774DB" w:rsidRDefault="00E36DBC" w:rsidP="00E36DBC">
      <w:pPr>
        <w:spacing w:line="360" w:lineRule="auto"/>
        <w:ind w:firstLine="454"/>
        <w:jc w:val="both"/>
        <w:rPr>
          <w:rFonts w:ascii="Arial" w:eastAsia="Times New Roman" w:hAnsi="Arial" w:cs="Arial"/>
          <w:sz w:val="24"/>
          <w:szCs w:val="24"/>
          <w:lang w:val="es-ES"/>
        </w:rPr>
      </w:pPr>
      <w:r w:rsidRPr="006774DB">
        <w:rPr>
          <w:rFonts w:ascii="Arial" w:eastAsia="Times New Roman" w:hAnsi="Arial" w:cs="Arial"/>
          <w:sz w:val="24"/>
          <w:szCs w:val="24"/>
          <w:lang w:val="es-ES"/>
        </w:rPr>
        <w:t>Proyectar es hacer una estimación del valor futuro de las cuentas que son objeto de análisis, basándose en el comportamiento histórico de los mismos y en el criterio del analista.</w:t>
      </w:r>
    </w:p>
    <w:p w:rsidR="00E36DBC" w:rsidRPr="006774DB" w:rsidRDefault="00E36DBC" w:rsidP="00E36DBC">
      <w:pPr>
        <w:spacing w:line="360" w:lineRule="auto"/>
        <w:ind w:firstLine="454"/>
        <w:jc w:val="both"/>
        <w:rPr>
          <w:rFonts w:ascii="Arial" w:eastAsia="Times New Roman" w:hAnsi="Arial" w:cs="Arial"/>
          <w:sz w:val="24"/>
          <w:szCs w:val="24"/>
          <w:lang w:val="es-ES"/>
        </w:rPr>
      </w:pPr>
    </w:p>
    <w:p w:rsidR="00E36DBC" w:rsidRPr="006774DB" w:rsidRDefault="00E36DBC" w:rsidP="00E36DBC">
      <w:pPr>
        <w:spacing w:line="360" w:lineRule="auto"/>
        <w:ind w:firstLine="454"/>
        <w:jc w:val="both"/>
        <w:rPr>
          <w:rFonts w:ascii="Arial" w:eastAsia="Times New Roman" w:hAnsi="Arial" w:cs="Arial"/>
          <w:sz w:val="24"/>
          <w:szCs w:val="24"/>
          <w:lang w:val="es-ES"/>
        </w:rPr>
      </w:pPr>
      <w:r w:rsidRPr="006774DB">
        <w:rPr>
          <w:rFonts w:ascii="Arial" w:eastAsia="Times New Roman" w:hAnsi="Arial" w:cs="Arial"/>
          <w:sz w:val="24"/>
          <w:szCs w:val="24"/>
          <w:lang w:val="es-ES"/>
        </w:rPr>
        <w:t>Un buen modelo de proyección financiera debe tener las siguientes características con la finalidad de realizar un correcto análisis de valoración:</w:t>
      </w:r>
    </w:p>
    <w:p w:rsidR="00E36DBC" w:rsidRPr="006774DB" w:rsidRDefault="00E36DBC" w:rsidP="00E36DBC">
      <w:pPr>
        <w:spacing w:line="360" w:lineRule="auto"/>
        <w:ind w:firstLine="454"/>
        <w:jc w:val="both"/>
        <w:rPr>
          <w:rFonts w:ascii="Arial" w:eastAsia="Times New Roman" w:hAnsi="Arial" w:cs="Arial"/>
          <w:sz w:val="24"/>
          <w:szCs w:val="24"/>
          <w:lang w:val="es-ES"/>
        </w:rPr>
      </w:pPr>
    </w:p>
    <w:p w:rsidR="00E36DBC" w:rsidRPr="006774DB" w:rsidRDefault="00E36DBC" w:rsidP="00E36DBC">
      <w:pPr>
        <w:widowControl w:val="0"/>
        <w:numPr>
          <w:ilvl w:val="0"/>
          <w:numId w:val="9"/>
        </w:numPr>
        <w:tabs>
          <w:tab w:val="left" w:pos="1624"/>
        </w:tabs>
        <w:suppressAutoHyphens/>
        <w:spacing w:after="0" w:line="360" w:lineRule="auto"/>
        <w:ind w:left="714" w:hanging="357"/>
        <w:jc w:val="both"/>
        <w:rPr>
          <w:rFonts w:ascii="Arial" w:eastAsia="Times New Roman" w:hAnsi="Arial" w:cs="Arial"/>
          <w:sz w:val="24"/>
          <w:szCs w:val="24"/>
          <w:lang w:val="es-ES"/>
        </w:rPr>
      </w:pPr>
      <w:r w:rsidRPr="006774DB">
        <w:rPr>
          <w:rFonts w:ascii="Arial" w:eastAsia="Times New Roman" w:hAnsi="Arial" w:cs="Arial"/>
          <w:sz w:val="24"/>
          <w:szCs w:val="24"/>
          <w:lang w:val="es-ES"/>
        </w:rPr>
        <w:t>Elaborar los Estados Financieros proyectados para fechas futuras, las cuales incluyen  pronósticos de diferentes cuentas pertenecientes al Activo, Pasivo, Patrimonio y de Resultado</w:t>
      </w:r>
      <w:r w:rsidRPr="006774DB">
        <w:rPr>
          <w:rStyle w:val="Refdenotaalpie1"/>
          <w:rFonts w:cs="Tahoma"/>
          <w:sz w:val="24"/>
          <w:szCs w:val="24"/>
          <w:lang/>
        </w:rPr>
        <w:footnoteReference w:id="2"/>
      </w:r>
      <w:r w:rsidRPr="006774DB">
        <w:rPr>
          <w:rFonts w:ascii="Arial" w:eastAsia="Times New Roman" w:hAnsi="Arial" w:cs="Arial"/>
          <w:sz w:val="24"/>
          <w:szCs w:val="24"/>
          <w:lang w:val="es-ES"/>
        </w:rPr>
        <w:t>.</w:t>
      </w:r>
    </w:p>
    <w:p w:rsidR="00E36DBC" w:rsidRPr="006774DB" w:rsidRDefault="00E36DBC" w:rsidP="00E36DBC">
      <w:pPr>
        <w:widowControl w:val="0"/>
        <w:numPr>
          <w:ilvl w:val="0"/>
          <w:numId w:val="9"/>
        </w:numPr>
        <w:tabs>
          <w:tab w:val="left" w:pos="1624"/>
        </w:tabs>
        <w:suppressAutoHyphens/>
        <w:spacing w:after="0" w:line="360" w:lineRule="auto"/>
        <w:jc w:val="both"/>
        <w:rPr>
          <w:rFonts w:ascii="Arial" w:eastAsia="Times New Roman" w:hAnsi="Arial" w:cs="Arial"/>
          <w:sz w:val="24"/>
          <w:szCs w:val="24"/>
          <w:lang w:val="es-ES"/>
        </w:rPr>
      </w:pPr>
      <w:r w:rsidRPr="006774DB">
        <w:rPr>
          <w:rFonts w:ascii="Arial" w:eastAsia="Times New Roman" w:hAnsi="Arial" w:cs="Arial"/>
          <w:sz w:val="24"/>
          <w:szCs w:val="24"/>
          <w:lang w:val="es-ES"/>
        </w:rPr>
        <w:t>Determinar el exceso de retorno que se va a percibir en un tiempo determinado</w:t>
      </w:r>
      <w:r w:rsidRPr="006774DB">
        <w:rPr>
          <w:rStyle w:val="Refdenotaalpie1"/>
          <w:rFonts w:cs="Tahoma"/>
          <w:sz w:val="24"/>
          <w:szCs w:val="24"/>
          <w:lang/>
        </w:rPr>
        <w:footnoteReference w:id="3"/>
      </w:r>
      <w:r w:rsidRPr="006774DB">
        <w:rPr>
          <w:rFonts w:ascii="Arial" w:eastAsia="Times New Roman" w:hAnsi="Arial" w:cs="Arial"/>
          <w:sz w:val="24"/>
          <w:szCs w:val="24"/>
          <w:lang w:val="es-ES"/>
        </w:rPr>
        <w:t>.</w:t>
      </w:r>
    </w:p>
    <w:p w:rsidR="00E36DBC" w:rsidRDefault="00E36DBC" w:rsidP="00E36DBC">
      <w:pPr>
        <w:tabs>
          <w:tab w:val="left" w:pos="1418"/>
        </w:tabs>
        <w:spacing w:line="360" w:lineRule="auto"/>
        <w:jc w:val="both"/>
        <w:rPr>
          <w:rFonts w:ascii="Arial" w:eastAsia="Times New Roman" w:hAnsi="Arial" w:cs="Arial"/>
          <w:lang w:val="es-ES"/>
        </w:rPr>
      </w:pPr>
    </w:p>
    <w:p w:rsidR="00E36DBC" w:rsidRDefault="00E36DBC" w:rsidP="00E36DBC">
      <w:pPr>
        <w:tabs>
          <w:tab w:val="left" w:pos="1418"/>
        </w:tabs>
        <w:spacing w:line="360" w:lineRule="auto"/>
        <w:ind w:left="851" w:hanging="851"/>
        <w:jc w:val="both"/>
        <w:rPr>
          <w:rFonts w:ascii="Arial" w:hAnsi="Arial" w:cs="Arial"/>
          <w:b/>
          <w:spacing w:val="20"/>
          <w:sz w:val="28"/>
          <w:szCs w:val="28"/>
          <w:lang/>
        </w:rPr>
      </w:pPr>
      <w:r>
        <w:rPr>
          <w:rFonts w:ascii="Arial" w:hAnsi="Arial" w:cs="Arial"/>
          <w:b/>
          <w:spacing w:val="20"/>
          <w:sz w:val="28"/>
          <w:szCs w:val="28"/>
          <w:lang/>
        </w:rPr>
        <w:t>2.1.1</w:t>
      </w:r>
      <w:r>
        <w:rPr>
          <w:rFonts w:ascii="Arial" w:hAnsi="Arial" w:cs="Arial"/>
          <w:b/>
          <w:spacing w:val="20"/>
          <w:sz w:val="28"/>
          <w:szCs w:val="28"/>
          <w:lang/>
        </w:rPr>
        <w:tab/>
        <w:t>MODELO DE PROYECCIÓN DE LOS ESTADOS FINANCIEROS Y MODELO DE PROYECCIÓN PARA PRODUBANCO</w:t>
      </w:r>
    </w:p>
    <w:p w:rsidR="00E36DBC" w:rsidRDefault="00E36DBC" w:rsidP="00E36DBC">
      <w:pPr>
        <w:spacing w:line="360" w:lineRule="auto"/>
        <w:ind w:firstLine="454"/>
        <w:jc w:val="both"/>
        <w:rPr>
          <w:rFonts w:ascii="Arial" w:hAnsi="Arial" w:cs="Arial"/>
          <w:b/>
          <w:spacing w:val="20"/>
          <w:sz w:val="20"/>
          <w:szCs w:val="20"/>
          <w:lang/>
        </w:rPr>
      </w:pPr>
      <w:r>
        <w:rPr>
          <w:rFonts w:ascii="Arial" w:hAnsi="Arial" w:cs="Arial"/>
          <w:b/>
          <w:spacing w:val="20"/>
          <w:sz w:val="20"/>
          <w:szCs w:val="20"/>
          <w:lang/>
        </w:rPr>
        <w:tab/>
      </w:r>
      <w:r>
        <w:rPr>
          <w:rFonts w:ascii="Arial" w:hAnsi="Arial" w:cs="Arial"/>
          <w:b/>
          <w:spacing w:val="20"/>
          <w:sz w:val="20"/>
          <w:szCs w:val="20"/>
          <w:lang/>
        </w:rPr>
        <w:tab/>
      </w:r>
    </w:p>
    <w:p w:rsidR="00E36DBC" w:rsidRPr="006774DB" w:rsidRDefault="00E36DBC" w:rsidP="00E36DBC">
      <w:pPr>
        <w:spacing w:line="360" w:lineRule="auto"/>
        <w:ind w:firstLine="454"/>
        <w:jc w:val="both"/>
        <w:rPr>
          <w:rFonts w:ascii="Arial" w:eastAsia="Times New Roman" w:hAnsi="Arial" w:cs="Arial"/>
          <w:sz w:val="24"/>
          <w:szCs w:val="24"/>
          <w:lang w:val="es-ES"/>
        </w:rPr>
      </w:pPr>
      <w:r w:rsidRPr="006774DB">
        <w:rPr>
          <w:rFonts w:ascii="Arial" w:eastAsia="Times New Roman" w:hAnsi="Arial" w:cs="Arial"/>
          <w:sz w:val="24"/>
          <w:szCs w:val="24"/>
          <w:lang w:val="es-ES"/>
        </w:rPr>
        <w:lastRenderedPageBreak/>
        <w:t xml:space="preserve">En el sector financiero ecuatoriano existen diferentes entidades bancarias, ya sea por su tamaño o por su actividad, lo que hace complejo establecer un modelo estándar de proyección que abarque todas las instituciones. En la actualidad las áreas financieras de los Bancos basan sus proyecciones en tendencias históricas de crecimiento y decisiones futuras por parte de la gerencia. </w:t>
      </w:r>
    </w:p>
    <w:p w:rsidR="00E36DBC" w:rsidRPr="006774DB" w:rsidRDefault="00E36DBC" w:rsidP="00E36DBC">
      <w:pPr>
        <w:spacing w:line="360" w:lineRule="auto"/>
        <w:ind w:firstLine="454"/>
        <w:jc w:val="both"/>
        <w:rPr>
          <w:rFonts w:ascii="Arial" w:eastAsia="Times New Roman" w:hAnsi="Arial" w:cs="Arial"/>
          <w:sz w:val="24"/>
          <w:szCs w:val="24"/>
          <w:lang w:val="es-ES"/>
        </w:rPr>
      </w:pPr>
      <w:r w:rsidRPr="006774DB">
        <w:rPr>
          <w:rFonts w:ascii="Arial" w:eastAsia="Times New Roman" w:hAnsi="Arial" w:cs="Arial"/>
          <w:sz w:val="24"/>
          <w:szCs w:val="24"/>
          <w:lang w:val="es-ES"/>
        </w:rPr>
        <w:t>Un  buen modelo de proyección financiera debe tener las siguientes características</w:t>
      </w:r>
      <w:r w:rsidRPr="006774DB">
        <w:rPr>
          <w:rStyle w:val="Refdenotaalpie1"/>
          <w:rFonts w:cs="Tahoma"/>
          <w:sz w:val="24"/>
          <w:szCs w:val="24"/>
          <w:lang/>
        </w:rPr>
        <w:footnoteReference w:id="4"/>
      </w:r>
      <w:r w:rsidRPr="006774DB">
        <w:rPr>
          <w:rFonts w:ascii="Arial" w:eastAsia="Times New Roman" w:hAnsi="Arial" w:cs="Arial"/>
          <w:sz w:val="24"/>
          <w:szCs w:val="24"/>
          <w:lang w:val="es-ES"/>
        </w:rPr>
        <w:t>:</w:t>
      </w:r>
    </w:p>
    <w:p w:rsidR="00E36DBC" w:rsidRPr="006774DB" w:rsidRDefault="00E36DBC" w:rsidP="00E36DBC">
      <w:pPr>
        <w:spacing w:line="360" w:lineRule="auto"/>
        <w:ind w:firstLine="454"/>
        <w:jc w:val="both"/>
        <w:rPr>
          <w:rFonts w:ascii="Arial" w:eastAsia="Times New Roman" w:hAnsi="Arial" w:cs="Arial"/>
          <w:sz w:val="24"/>
          <w:szCs w:val="24"/>
          <w:lang w:val="es-ES"/>
        </w:rPr>
      </w:pPr>
    </w:p>
    <w:p w:rsidR="00E36DBC" w:rsidRPr="006774DB" w:rsidRDefault="00E36DBC" w:rsidP="00E36DBC">
      <w:pPr>
        <w:widowControl w:val="0"/>
        <w:numPr>
          <w:ilvl w:val="0"/>
          <w:numId w:val="9"/>
        </w:numPr>
        <w:tabs>
          <w:tab w:val="left" w:pos="1624"/>
        </w:tabs>
        <w:suppressAutoHyphens/>
        <w:spacing w:after="0" w:line="360" w:lineRule="auto"/>
        <w:jc w:val="both"/>
        <w:rPr>
          <w:rFonts w:ascii="Arial" w:eastAsia="Times New Roman" w:hAnsi="Arial" w:cs="Arial"/>
          <w:sz w:val="24"/>
          <w:szCs w:val="24"/>
          <w:lang w:val="es-ES"/>
        </w:rPr>
      </w:pPr>
      <w:r w:rsidRPr="006774DB">
        <w:rPr>
          <w:rFonts w:ascii="Arial" w:eastAsia="Times New Roman" w:hAnsi="Arial" w:cs="Arial"/>
          <w:sz w:val="24"/>
          <w:szCs w:val="24"/>
          <w:lang w:val="es-ES"/>
        </w:rPr>
        <w:t>Los supuestos y los resultados, deben ser creíbles.</w:t>
      </w:r>
    </w:p>
    <w:p w:rsidR="00E36DBC" w:rsidRPr="006774DB" w:rsidRDefault="00E36DBC" w:rsidP="00E36DBC">
      <w:pPr>
        <w:widowControl w:val="0"/>
        <w:numPr>
          <w:ilvl w:val="0"/>
          <w:numId w:val="9"/>
        </w:numPr>
        <w:tabs>
          <w:tab w:val="left" w:pos="1624"/>
        </w:tabs>
        <w:suppressAutoHyphens/>
        <w:spacing w:after="0" w:line="360" w:lineRule="auto"/>
        <w:jc w:val="both"/>
        <w:rPr>
          <w:rFonts w:ascii="Arial" w:eastAsia="Times New Roman" w:hAnsi="Arial" w:cs="Arial"/>
          <w:sz w:val="24"/>
          <w:szCs w:val="24"/>
          <w:lang w:val="es-ES"/>
        </w:rPr>
      </w:pPr>
      <w:r w:rsidRPr="006774DB">
        <w:rPr>
          <w:rFonts w:ascii="Arial" w:eastAsia="Times New Roman" w:hAnsi="Arial" w:cs="Arial"/>
          <w:sz w:val="24"/>
          <w:szCs w:val="24"/>
          <w:lang w:val="es-ES"/>
        </w:rPr>
        <w:t>El modelo debe ser flexible, es decir, que pueda ser adaptado y expandido según la variedad de las  circunstancias.</w:t>
      </w:r>
    </w:p>
    <w:p w:rsidR="00E36DBC" w:rsidRPr="006774DB" w:rsidRDefault="00E36DBC" w:rsidP="00E36DBC">
      <w:pPr>
        <w:widowControl w:val="0"/>
        <w:numPr>
          <w:ilvl w:val="0"/>
          <w:numId w:val="9"/>
        </w:numPr>
        <w:tabs>
          <w:tab w:val="left" w:pos="1624"/>
        </w:tabs>
        <w:suppressAutoHyphens/>
        <w:spacing w:after="0" w:line="360" w:lineRule="auto"/>
        <w:jc w:val="both"/>
        <w:rPr>
          <w:rFonts w:ascii="Arial" w:eastAsia="Times New Roman" w:hAnsi="Arial" w:cs="Arial"/>
          <w:sz w:val="24"/>
          <w:szCs w:val="24"/>
          <w:lang w:val="es-ES"/>
        </w:rPr>
      </w:pPr>
      <w:r w:rsidRPr="006774DB">
        <w:rPr>
          <w:rFonts w:ascii="Arial" w:eastAsia="Times New Roman" w:hAnsi="Arial" w:cs="Arial"/>
          <w:sz w:val="24"/>
          <w:szCs w:val="24"/>
          <w:lang w:val="es-ES"/>
        </w:rPr>
        <w:t>Debe ofrecer un método práctico y técnico.</w:t>
      </w:r>
    </w:p>
    <w:p w:rsidR="00E36DBC" w:rsidRPr="006774DB" w:rsidRDefault="00E36DBC" w:rsidP="00E36DBC">
      <w:pPr>
        <w:widowControl w:val="0"/>
        <w:numPr>
          <w:ilvl w:val="0"/>
          <w:numId w:val="9"/>
        </w:numPr>
        <w:tabs>
          <w:tab w:val="left" w:pos="1624"/>
        </w:tabs>
        <w:suppressAutoHyphens/>
        <w:spacing w:after="0" w:line="360" w:lineRule="auto"/>
        <w:jc w:val="both"/>
        <w:rPr>
          <w:rFonts w:ascii="Arial" w:eastAsia="Times New Roman" w:hAnsi="Arial" w:cs="Arial"/>
          <w:sz w:val="24"/>
          <w:szCs w:val="24"/>
          <w:lang w:val="es-ES"/>
        </w:rPr>
      </w:pPr>
      <w:r w:rsidRPr="006774DB">
        <w:rPr>
          <w:rFonts w:ascii="Arial" w:eastAsia="Times New Roman" w:hAnsi="Arial" w:cs="Arial"/>
          <w:sz w:val="24"/>
          <w:szCs w:val="24"/>
          <w:lang w:val="es-ES"/>
        </w:rPr>
        <w:t>Los datos que utilice y los resultados que el modelo proporcionen deben ser comprensibles.</w:t>
      </w:r>
    </w:p>
    <w:p w:rsidR="00E36DBC" w:rsidRPr="006774DB" w:rsidRDefault="00E36DBC" w:rsidP="00E36DBC">
      <w:pPr>
        <w:widowControl w:val="0"/>
        <w:numPr>
          <w:ilvl w:val="0"/>
          <w:numId w:val="9"/>
        </w:numPr>
        <w:tabs>
          <w:tab w:val="left" w:pos="1624"/>
        </w:tabs>
        <w:suppressAutoHyphens/>
        <w:spacing w:after="0" w:line="360" w:lineRule="auto"/>
        <w:jc w:val="both"/>
        <w:rPr>
          <w:rFonts w:ascii="Arial" w:eastAsia="Times New Roman" w:hAnsi="Arial" w:cs="Arial"/>
          <w:sz w:val="24"/>
          <w:szCs w:val="24"/>
          <w:lang w:val="es-ES"/>
        </w:rPr>
      </w:pPr>
      <w:r w:rsidRPr="006774DB">
        <w:rPr>
          <w:rFonts w:ascii="Arial" w:eastAsia="Times New Roman" w:hAnsi="Arial" w:cs="Arial"/>
          <w:sz w:val="24"/>
          <w:szCs w:val="24"/>
          <w:lang w:val="es-ES"/>
        </w:rPr>
        <w:t>Debe tomar en cuenta diferentes factores, tales como  las inversiones, financiamiento, políticas de dividendos y producción, así como decisiones futuras que puedan alterar la proyección.</w:t>
      </w:r>
    </w:p>
    <w:p w:rsidR="00524A2C" w:rsidRDefault="00E36DBC" w:rsidP="00524A2C">
      <w:pPr>
        <w:widowControl w:val="0"/>
        <w:numPr>
          <w:ilvl w:val="0"/>
          <w:numId w:val="9"/>
        </w:numPr>
        <w:tabs>
          <w:tab w:val="left" w:pos="1624"/>
        </w:tabs>
        <w:suppressAutoHyphens/>
        <w:spacing w:after="0" w:line="360" w:lineRule="auto"/>
        <w:jc w:val="both"/>
        <w:rPr>
          <w:rFonts w:ascii="Arial" w:eastAsia="Times New Roman" w:hAnsi="Arial" w:cs="Arial"/>
          <w:sz w:val="24"/>
          <w:szCs w:val="24"/>
          <w:lang w:val="es-ES"/>
        </w:rPr>
      </w:pPr>
      <w:r w:rsidRPr="006774DB">
        <w:rPr>
          <w:rFonts w:ascii="Arial" w:eastAsia="Times New Roman" w:hAnsi="Arial" w:cs="Arial"/>
          <w:sz w:val="24"/>
          <w:szCs w:val="24"/>
          <w:lang w:val="es-ES"/>
        </w:rPr>
        <w:t>El modelo debe ser sencillo de aplicar, sin la necesidad de extensas y complejas formulaciones o difícil manejo de los datos.</w:t>
      </w:r>
    </w:p>
    <w:p w:rsidR="00524A2C" w:rsidRPr="00524A2C" w:rsidRDefault="00524A2C" w:rsidP="00524A2C">
      <w:pPr>
        <w:widowControl w:val="0"/>
        <w:tabs>
          <w:tab w:val="left" w:pos="1624"/>
        </w:tabs>
        <w:suppressAutoHyphens/>
        <w:spacing w:after="0" w:line="360" w:lineRule="auto"/>
        <w:ind w:left="720"/>
        <w:jc w:val="both"/>
        <w:rPr>
          <w:rFonts w:ascii="Arial" w:eastAsia="Times New Roman" w:hAnsi="Arial" w:cs="Arial"/>
          <w:sz w:val="24"/>
          <w:szCs w:val="24"/>
          <w:lang w:val="es-ES"/>
        </w:rPr>
      </w:pPr>
    </w:p>
    <w:p w:rsidR="00524A2C" w:rsidRPr="006774DB" w:rsidRDefault="00524A2C" w:rsidP="00524A2C">
      <w:pPr>
        <w:spacing w:line="360" w:lineRule="auto"/>
        <w:ind w:firstLine="360"/>
        <w:jc w:val="both"/>
        <w:rPr>
          <w:rFonts w:ascii="Arial" w:hAnsi="Arial" w:cs="Arial"/>
          <w:color w:val="000000"/>
          <w:sz w:val="24"/>
          <w:szCs w:val="24"/>
          <w:lang/>
        </w:rPr>
      </w:pPr>
      <w:r w:rsidRPr="006774DB">
        <w:rPr>
          <w:rFonts w:ascii="Arial" w:hAnsi="Arial" w:cs="Arial"/>
          <w:color w:val="000000"/>
          <w:sz w:val="24"/>
          <w:szCs w:val="24"/>
          <w:lang/>
        </w:rPr>
        <w:t>Dado que el futuro no puede ser proyectado perfectamente, el analista debe conocer la forma de como una desviación en las estimaciones pueden afectar la planeación; así como también debe poseer planes de contingencia para posibles cambios en las proyecciones.</w:t>
      </w:r>
    </w:p>
    <w:p w:rsidR="00E36DBC" w:rsidRPr="006774DB" w:rsidRDefault="00E36DBC" w:rsidP="00E36DBC">
      <w:pPr>
        <w:spacing w:line="360" w:lineRule="auto"/>
        <w:ind w:firstLine="454"/>
        <w:jc w:val="both"/>
        <w:rPr>
          <w:rFonts w:ascii="Arial" w:hAnsi="Arial" w:cs="Arial"/>
          <w:color w:val="000000"/>
          <w:sz w:val="24"/>
          <w:szCs w:val="24"/>
          <w:lang/>
        </w:rPr>
      </w:pPr>
    </w:p>
    <w:p w:rsidR="000B2F35" w:rsidRDefault="005C294B" w:rsidP="000B2F35">
      <w:pPr>
        <w:spacing w:line="360" w:lineRule="auto"/>
        <w:ind w:firstLine="454"/>
        <w:jc w:val="both"/>
        <w:rPr>
          <w:rFonts w:ascii="Arial" w:hAnsi="Arial" w:cs="Arial"/>
          <w:color w:val="000000"/>
          <w:sz w:val="24"/>
          <w:szCs w:val="24"/>
          <w:lang/>
        </w:rPr>
      </w:pPr>
      <w:r>
        <w:rPr>
          <w:rFonts w:ascii="Arial" w:hAnsi="Arial" w:cs="Arial"/>
          <w:color w:val="000000"/>
          <w:sz w:val="24"/>
          <w:szCs w:val="24"/>
          <w:lang/>
        </w:rPr>
        <w:lastRenderedPageBreak/>
        <w:t xml:space="preserve">Para la proyección de los Estados Financieros de una compañía </w:t>
      </w:r>
      <w:r w:rsidR="009A3228">
        <w:rPr>
          <w:rFonts w:ascii="Arial" w:hAnsi="Arial" w:cs="Arial"/>
          <w:color w:val="000000"/>
          <w:sz w:val="24"/>
          <w:szCs w:val="24"/>
          <w:lang/>
        </w:rPr>
        <w:t>comer</w:t>
      </w:r>
      <w:r w:rsidR="003E1EB3">
        <w:rPr>
          <w:rFonts w:ascii="Arial" w:hAnsi="Arial" w:cs="Arial"/>
          <w:color w:val="000000"/>
          <w:sz w:val="24"/>
          <w:szCs w:val="24"/>
          <w:lang/>
        </w:rPr>
        <w:t>cial o de servicios se</w:t>
      </w:r>
      <w:r w:rsidR="009A3228">
        <w:rPr>
          <w:rFonts w:ascii="Arial" w:hAnsi="Arial" w:cs="Arial"/>
          <w:color w:val="000000"/>
          <w:sz w:val="24"/>
          <w:szCs w:val="24"/>
          <w:lang/>
        </w:rPr>
        <w:t xml:space="preserve"> </w:t>
      </w:r>
      <w:r w:rsidR="00153E6C">
        <w:rPr>
          <w:rFonts w:ascii="Arial" w:hAnsi="Arial" w:cs="Arial"/>
          <w:color w:val="000000"/>
          <w:sz w:val="24"/>
          <w:szCs w:val="24"/>
          <w:lang/>
        </w:rPr>
        <w:t xml:space="preserve">puede </w:t>
      </w:r>
      <w:r w:rsidR="009A3228">
        <w:rPr>
          <w:rFonts w:ascii="Arial" w:hAnsi="Arial" w:cs="Arial"/>
          <w:color w:val="000000"/>
          <w:sz w:val="24"/>
          <w:szCs w:val="24"/>
          <w:lang/>
        </w:rPr>
        <w:t>utilizar la proyección de la cuenta ventas, dado</w:t>
      </w:r>
      <w:r w:rsidR="003E1EB3">
        <w:rPr>
          <w:rFonts w:ascii="Arial" w:hAnsi="Arial" w:cs="Arial"/>
          <w:color w:val="000000"/>
          <w:sz w:val="24"/>
          <w:szCs w:val="24"/>
          <w:lang/>
        </w:rPr>
        <w:t xml:space="preserve"> que refleja el mayor ingreso; sin embargo en una entidad bancaria el rubro Colocaciones B</w:t>
      </w:r>
      <w:r w:rsidR="00153E6C">
        <w:rPr>
          <w:rFonts w:ascii="Arial" w:hAnsi="Arial" w:cs="Arial"/>
          <w:color w:val="000000"/>
          <w:sz w:val="24"/>
          <w:szCs w:val="24"/>
          <w:lang/>
        </w:rPr>
        <w:t>rutas, es decir, Cartera Neta má</w:t>
      </w:r>
      <w:r w:rsidR="003E1EB3">
        <w:rPr>
          <w:rFonts w:ascii="Arial" w:hAnsi="Arial" w:cs="Arial"/>
          <w:color w:val="000000"/>
          <w:sz w:val="24"/>
          <w:szCs w:val="24"/>
          <w:lang/>
        </w:rPr>
        <w:t>s provision</w:t>
      </w:r>
      <w:r w:rsidR="00153E6C">
        <w:rPr>
          <w:rFonts w:ascii="Arial" w:hAnsi="Arial" w:cs="Arial"/>
          <w:color w:val="000000"/>
          <w:sz w:val="24"/>
          <w:szCs w:val="24"/>
          <w:lang/>
        </w:rPr>
        <w:t xml:space="preserve">es, representa </w:t>
      </w:r>
      <w:r w:rsidR="000B2F35">
        <w:rPr>
          <w:rFonts w:ascii="Arial" w:hAnsi="Arial" w:cs="Arial"/>
          <w:color w:val="000000"/>
          <w:sz w:val="24"/>
          <w:szCs w:val="24"/>
          <w:lang/>
        </w:rPr>
        <w:t>la cantidad del dinero</w:t>
      </w:r>
      <w:r w:rsidR="002F5D4F">
        <w:rPr>
          <w:rFonts w:ascii="Arial" w:hAnsi="Arial" w:cs="Arial"/>
          <w:color w:val="000000"/>
          <w:sz w:val="24"/>
          <w:szCs w:val="24"/>
          <w:lang/>
        </w:rPr>
        <w:t xml:space="preserve"> que una Institución bancaria</w:t>
      </w:r>
      <w:r w:rsidR="000B2F35">
        <w:rPr>
          <w:rFonts w:ascii="Arial" w:hAnsi="Arial" w:cs="Arial"/>
          <w:color w:val="000000"/>
          <w:sz w:val="24"/>
          <w:szCs w:val="24"/>
          <w:lang/>
        </w:rPr>
        <w:t xml:space="preserve"> ha colocado en el mercado a través de su cartera.</w:t>
      </w:r>
    </w:p>
    <w:p w:rsidR="000B2F35" w:rsidRDefault="000B2F35" w:rsidP="000B2F35">
      <w:pPr>
        <w:spacing w:line="360" w:lineRule="auto"/>
        <w:ind w:firstLine="454"/>
        <w:jc w:val="both"/>
        <w:rPr>
          <w:rFonts w:ascii="Arial" w:hAnsi="Arial" w:cs="Arial"/>
          <w:color w:val="000000"/>
          <w:sz w:val="24"/>
          <w:szCs w:val="24"/>
          <w:lang/>
        </w:rPr>
      </w:pPr>
    </w:p>
    <w:p w:rsidR="00715280" w:rsidRDefault="00F07611" w:rsidP="00767052">
      <w:pPr>
        <w:spacing w:line="360" w:lineRule="auto"/>
        <w:ind w:firstLine="454"/>
        <w:jc w:val="both"/>
        <w:rPr>
          <w:rFonts w:ascii="Arial" w:hAnsi="Arial" w:cs="Arial"/>
          <w:color w:val="000000"/>
          <w:sz w:val="24"/>
          <w:szCs w:val="24"/>
          <w:lang/>
        </w:rPr>
      </w:pPr>
      <w:r>
        <w:rPr>
          <w:rFonts w:ascii="Arial" w:hAnsi="Arial" w:cs="Arial"/>
          <w:color w:val="000000"/>
          <w:sz w:val="24"/>
          <w:szCs w:val="24"/>
          <w:lang/>
        </w:rPr>
        <w:t xml:space="preserve">Por esta razón, se ha proyectado esta cuenta, mediante el uso del Programa E-wies, </w:t>
      </w:r>
      <w:r w:rsidR="00524A2C">
        <w:rPr>
          <w:rFonts w:ascii="Arial" w:hAnsi="Arial" w:cs="Arial"/>
          <w:color w:val="000000"/>
          <w:sz w:val="24"/>
          <w:szCs w:val="24"/>
          <w:lang/>
        </w:rPr>
        <w:t>donde se relacionó Colocaciones Brutas al PIB, de esta manera el rubro principal del Banco está ligado al crecimiento que experimente este índice</w:t>
      </w:r>
      <w:r w:rsidR="00715280">
        <w:rPr>
          <w:rFonts w:ascii="Arial" w:hAnsi="Arial" w:cs="Arial"/>
          <w:color w:val="000000"/>
          <w:sz w:val="24"/>
          <w:szCs w:val="24"/>
          <w:lang/>
        </w:rPr>
        <w:t>.</w:t>
      </w:r>
    </w:p>
    <w:p w:rsidR="003C1A2A" w:rsidRPr="006774DB" w:rsidRDefault="003C1A2A" w:rsidP="00371A15">
      <w:pPr>
        <w:spacing w:line="360" w:lineRule="auto"/>
        <w:ind w:firstLine="454"/>
        <w:jc w:val="both"/>
        <w:rPr>
          <w:rFonts w:ascii="Arial" w:hAnsi="Arial" w:cs="Arial"/>
          <w:color w:val="000000"/>
          <w:sz w:val="24"/>
          <w:szCs w:val="24"/>
          <w:lang/>
        </w:rPr>
      </w:pPr>
    </w:p>
    <w:p w:rsidR="00E36DBC" w:rsidRPr="006774DB" w:rsidRDefault="00310747" w:rsidP="00E36DBC">
      <w:pPr>
        <w:spacing w:line="360" w:lineRule="auto"/>
        <w:ind w:firstLine="454"/>
        <w:jc w:val="both"/>
        <w:rPr>
          <w:rFonts w:ascii="Arial" w:hAnsi="Arial" w:cs="Arial"/>
          <w:color w:val="000000"/>
          <w:sz w:val="24"/>
          <w:szCs w:val="24"/>
          <w:lang/>
        </w:rPr>
      </w:pPr>
      <w:r>
        <w:rPr>
          <w:rFonts w:ascii="Arial" w:hAnsi="Arial" w:cs="Arial"/>
          <w:color w:val="000000"/>
          <w:sz w:val="24"/>
          <w:szCs w:val="24"/>
          <w:lang/>
        </w:rPr>
        <w:t xml:space="preserve">Así mismo, se debe </w:t>
      </w:r>
      <w:r w:rsidR="00E36DBC" w:rsidRPr="006774DB">
        <w:rPr>
          <w:rFonts w:ascii="Arial" w:hAnsi="Arial" w:cs="Arial"/>
          <w:color w:val="000000"/>
          <w:sz w:val="24"/>
          <w:szCs w:val="24"/>
          <w:lang/>
        </w:rPr>
        <w:t xml:space="preserve"> seleccionaron las cuentas de mayor relevancia para la entidad, con las cuales se realizan los ratios financieros que posteriormente sirven para la proyección de los Estados Financieros.</w:t>
      </w:r>
    </w:p>
    <w:p w:rsidR="00E36DBC" w:rsidRDefault="00E36DBC" w:rsidP="00371A15">
      <w:pPr>
        <w:spacing w:line="360" w:lineRule="auto"/>
        <w:ind w:firstLine="454"/>
        <w:jc w:val="both"/>
        <w:rPr>
          <w:rFonts w:ascii="Arial" w:hAnsi="Arial" w:cs="Arial"/>
          <w:b/>
          <w:lang/>
        </w:rPr>
      </w:pPr>
    </w:p>
    <w:p w:rsidR="00E36DBC" w:rsidRDefault="00E36DBC" w:rsidP="00E36DBC">
      <w:pPr>
        <w:tabs>
          <w:tab w:val="left" w:pos="1310"/>
        </w:tabs>
        <w:spacing w:line="360" w:lineRule="auto"/>
        <w:ind w:left="851" w:hanging="851"/>
        <w:jc w:val="both"/>
        <w:rPr>
          <w:rFonts w:ascii="Arial" w:eastAsia="Times New Roman" w:hAnsi="Arial" w:cs="Arial"/>
          <w:b/>
          <w:sz w:val="28"/>
          <w:szCs w:val="28"/>
          <w:lang w:val="es-ES"/>
        </w:rPr>
      </w:pPr>
      <w:r>
        <w:rPr>
          <w:rFonts w:ascii="Arial" w:eastAsia="Times New Roman" w:hAnsi="Arial" w:cs="Arial"/>
          <w:b/>
          <w:sz w:val="28"/>
          <w:szCs w:val="28"/>
          <w:lang w:val="es-ES"/>
        </w:rPr>
        <w:t>2.1.2</w:t>
      </w:r>
      <w:r>
        <w:rPr>
          <w:rFonts w:ascii="Arial" w:eastAsia="Times New Roman" w:hAnsi="Arial" w:cs="Arial"/>
          <w:b/>
          <w:sz w:val="28"/>
          <w:szCs w:val="28"/>
          <w:lang w:val="es-ES"/>
        </w:rPr>
        <w:tab/>
        <w:t>ESTUDIO DE CUENTAS RELEVANTES Y  RATIOS PARA EL MODELO DE PROYECCIÒN</w:t>
      </w:r>
    </w:p>
    <w:p w:rsidR="00E36DBC" w:rsidRDefault="00E36DBC" w:rsidP="00E36DBC">
      <w:pPr>
        <w:spacing w:line="360" w:lineRule="auto"/>
        <w:ind w:firstLine="454"/>
        <w:jc w:val="both"/>
        <w:rPr>
          <w:rFonts w:ascii="Arial" w:hAnsi="Arial" w:cs="Arial"/>
          <w:lang/>
        </w:rPr>
      </w:pPr>
    </w:p>
    <w:p w:rsidR="00371A15" w:rsidRDefault="00E36DBC" w:rsidP="00E36DBC">
      <w:pPr>
        <w:spacing w:line="360" w:lineRule="auto"/>
        <w:ind w:firstLine="454"/>
        <w:jc w:val="both"/>
        <w:rPr>
          <w:rFonts w:ascii="Arial" w:hAnsi="Arial" w:cs="Arial"/>
          <w:sz w:val="24"/>
          <w:szCs w:val="24"/>
          <w:lang/>
        </w:rPr>
      </w:pPr>
      <w:r w:rsidRPr="006774DB">
        <w:rPr>
          <w:rFonts w:ascii="Arial" w:hAnsi="Arial" w:cs="Arial"/>
          <w:sz w:val="24"/>
          <w:szCs w:val="24"/>
          <w:lang/>
        </w:rPr>
        <w:t xml:space="preserve">Los Estados Financieros proporcionan información sobre la situación financiera de una empresa en un determinado tiempo, así como de sus operaciones a lo largo de un periodo anterior.  Sin embargo, el valor real de los Estados Financieros radica en que se pueden utilizar para pronosticar la posición financiera que una compañía en el futuro, así como también sus </w:t>
      </w:r>
    </w:p>
    <w:p w:rsidR="00371A15" w:rsidRDefault="00371A15" w:rsidP="00E36DBC">
      <w:pPr>
        <w:spacing w:line="360" w:lineRule="auto"/>
        <w:ind w:firstLine="454"/>
        <w:jc w:val="both"/>
        <w:rPr>
          <w:rFonts w:ascii="Arial" w:hAnsi="Arial" w:cs="Arial"/>
          <w:sz w:val="24"/>
          <w:szCs w:val="24"/>
          <w:lang/>
        </w:rPr>
      </w:pPr>
    </w:p>
    <w:p w:rsidR="00371A15" w:rsidRDefault="00371A15" w:rsidP="00E36DBC">
      <w:pPr>
        <w:spacing w:line="360" w:lineRule="auto"/>
        <w:ind w:firstLine="454"/>
        <w:jc w:val="both"/>
        <w:rPr>
          <w:rFonts w:ascii="Arial" w:hAnsi="Arial" w:cs="Arial"/>
          <w:sz w:val="24"/>
          <w:szCs w:val="24"/>
          <w:lang/>
        </w:rPr>
      </w:pPr>
    </w:p>
    <w:p w:rsidR="00E36DBC" w:rsidRPr="004A07FC" w:rsidRDefault="00E36DBC" w:rsidP="00E36DBC">
      <w:pPr>
        <w:spacing w:line="360" w:lineRule="auto"/>
        <w:ind w:firstLine="454"/>
        <w:jc w:val="both"/>
        <w:rPr>
          <w:rFonts w:ascii="Arial" w:hAnsi="Arial" w:cs="Arial"/>
          <w:sz w:val="18"/>
          <w:szCs w:val="18"/>
          <w:lang/>
        </w:rPr>
      </w:pPr>
      <w:r w:rsidRPr="006774DB">
        <w:rPr>
          <w:rFonts w:ascii="Arial" w:hAnsi="Arial" w:cs="Arial"/>
          <w:sz w:val="24"/>
          <w:szCs w:val="24"/>
          <w:lang/>
        </w:rPr>
        <w:lastRenderedPageBreak/>
        <w:t>utilidades y dividendos esperados</w:t>
      </w:r>
      <w:r w:rsidRPr="006774DB">
        <w:rPr>
          <w:rStyle w:val="Refdenotaalpie1"/>
          <w:rFonts w:ascii="Arial" w:hAnsi="Arial" w:cs="Arial"/>
          <w:sz w:val="24"/>
          <w:szCs w:val="24"/>
          <w:lang/>
        </w:rPr>
        <w:t>4</w:t>
      </w:r>
    </w:p>
    <w:p w:rsidR="00E36DBC" w:rsidRPr="006774DB" w:rsidRDefault="00E36DBC" w:rsidP="006774DB">
      <w:pPr>
        <w:spacing w:line="360" w:lineRule="auto"/>
        <w:ind w:firstLine="454"/>
        <w:jc w:val="both"/>
        <w:rPr>
          <w:rFonts w:ascii="Arial" w:hAnsi="Arial" w:cs="Arial"/>
          <w:sz w:val="24"/>
          <w:szCs w:val="24"/>
          <w:lang/>
        </w:rPr>
      </w:pPr>
      <w:r w:rsidRPr="006774DB">
        <w:rPr>
          <w:rFonts w:ascii="Arial" w:hAnsi="Arial" w:cs="Arial"/>
          <w:sz w:val="24"/>
          <w:szCs w:val="24"/>
          <w:lang/>
        </w:rPr>
        <w:t>Para poder proyectar los Balances, es necesario el uso de ratios financieros, que son un índice que relaciona entre sí dos elementos de</w:t>
      </w:r>
      <w:r w:rsidR="006774DB" w:rsidRPr="006774DB">
        <w:rPr>
          <w:rFonts w:ascii="Arial" w:hAnsi="Arial" w:cs="Arial"/>
          <w:sz w:val="24"/>
          <w:szCs w:val="24"/>
          <w:lang/>
        </w:rPr>
        <w:t xml:space="preserve"> </w:t>
      </w:r>
      <w:r w:rsidRPr="006774DB">
        <w:rPr>
          <w:rFonts w:ascii="Arial" w:hAnsi="Arial" w:cs="Arial"/>
          <w:sz w:val="24"/>
          <w:szCs w:val="24"/>
          <w:lang/>
        </w:rPr>
        <w:t>información financiera al dividir una cantidad entre otra, con la cual obtenemos una comparación que resulta mas útil que las cantidades nominales</w:t>
      </w:r>
      <w:r w:rsidRPr="006774DB">
        <w:rPr>
          <w:rStyle w:val="Refdenotaalpie1"/>
          <w:rFonts w:ascii="Arial" w:hAnsi="Arial" w:cs="Arial"/>
          <w:sz w:val="24"/>
          <w:szCs w:val="24"/>
          <w:lang/>
        </w:rPr>
        <w:t>5</w:t>
      </w:r>
      <w:r w:rsidRPr="006774DB">
        <w:rPr>
          <w:rFonts w:ascii="Arial" w:hAnsi="Arial" w:cs="Arial"/>
          <w:sz w:val="24"/>
          <w:szCs w:val="24"/>
          <w:lang/>
        </w:rPr>
        <w:t>.</w:t>
      </w:r>
    </w:p>
    <w:p w:rsidR="00E36DBC" w:rsidRPr="006774DB" w:rsidRDefault="00E36DBC" w:rsidP="00E36DBC">
      <w:pPr>
        <w:spacing w:line="360" w:lineRule="auto"/>
        <w:ind w:firstLine="454"/>
        <w:jc w:val="both"/>
        <w:rPr>
          <w:rFonts w:ascii="Arial" w:hAnsi="Arial" w:cs="Arial"/>
          <w:sz w:val="24"/>
          <w:szCs w:val="24"/>
          <w:lang/>
        </w:rPr>
      </w:pPr>
    </w:p>
    <w:p w:rsidR="00E36DBC" w:rsidRPr="006774DB" w:rsidRDefault="00E36DBC" w:rsidP="00E36DBC">
      <w:pPr>
        <w:spacing w:line="360" w:lineRule="auto"/>
        <w:ind w:firstLine="454"/>
        <w:jc w:val="both"/>
        <w:rPr>
          <w:rFonts w:ascii="Arial" w:hAnsi="Arial" w:cs="Arial"/>
          <w:sz w:val="24"/>
          <w:szCs w:val="24"/>
          <w:lang/>
        </w:rPr>
      </w:pPr>
      <w:r w:rsidRPr="006774DB">
        <w:rPr>
          <w:rFonts w:ascii="Arial" w:hAnsi="Arial" w:cs="Arial"/>
          <w:sz w:val="24"/>
          <w:szCs w:val="24"/>
          <w:lang/>
        </w:rPr>
        <w:t xml:space="preserve">De esta manera se puede utilizar la información histórica de los Estados Financieros para calcular ratios que relacionen las cuentas más importantes seleccionadas de acuerdo a la estructura de la institución y la actividad que desempeña. </w:t>
      </w:r>
    </w:p>
    <w:p w:rsidR="00E36DBC" w:rsidRPr="006774DB" w:rsidRDefault="00E36DBC" w:rsidP="00E36DBC">
      <w:pPr>
        <w:spacing w:line="360" w:lineRule="auto"/>
        <w:ind w:firstLine="454"/>
        <w:jc w:val="both"/>
        <w:rPr>
          <w:rFonts w:ascii="Arial" w:hAnsi="Arial" w:cs="Arial"/>
          <w:sz w:val="24"/>
          <w:szCs w:val="24"/>
          <w:lang/>
        </w:rPr>
      </w:pPr>
    </w:p>
    <w:p w:rsidR="00E36DBC" w:rsidRPr="006774DB" w:rsidRDefault="00E36DBC" w:rsidP="00E36DBC">
      <w:pPr>
        <w:spacing w:line="360" w:lineRule="auto"/>
        <w:ind w:firstLine="454"/>
        <w:jc w:val="both"/>
        <w:rPr>
          <w:rFonts w:ascii="Arial" w:hAnsi="Arial" w:cs="Arial"/>
          <w:sz w:val="24"/>
          <w:szCs w:val="24"/>
          <w:lang/>
        </w:rPr>
      </w:pPr>
      <w:r w:rsidRPr="006774DB">
        <w:rPr>
          <w:rFonts w:ascii="Arial" w:hAnsi="Arial" w:cs="Arial"/>
          <w:sz w:val="24"/>
          <w:szCs w:val="24"/>
          <w:lang/>
        </w:rPr>
        <w:t>Si estos ratios, se mantienen estables a través del tiempo se pueden usar para predecir los rubros que componen el Balance General y el Estado de Resultados.</w:t>
      </w:r>
    </w:p>
    <w:p w:rsidR="00E36DBC" w:rsidRPr="006774DB" w:rsidRDefault="00E36DBC" w:rsidP="00E36DBC">
      <w:pPr>
        <w:spacing w:line="360" w:lineRule="auto"/>
        <w:ind w:firstLine="454"/>
        <w:jc w:val="both"/>
        <w:rPr>
          <w:rFonts w:ascii="Arial" w:hAnsi="Arial" w:cs="Arial"/>
          <w:sz w:val="24"/>
          <w:szCs w:val="24"/>
          <w:lang/>
        </w:rPr>
      </w:pPr>
    </w:p>
    <w:p w:rsidR="00E36DBC" w:rsidRPr="006774DB" w:rsidRDefault="00E36DBC" w:rsidP="00E36DBC">
      <w:pPr>
        <w:spacing w:line="360" w:lineRule="auto"/>
        <w:ind w:firstLine="454"/>
        <w:jc w:val="both"/>
        <w:rPr>
          <w:rFonts w:ascii="Arial" w:hAnsi="Arial" w:cs="Arial"/>
          <w:sz w:val="24"/>
          <w:szCs w:val="24"/>
          <w:lang/>
        </w:rPr>
      </w:pPr>
      <w:r w:rsidRPr="006774DB">
        <w:rPr>
          <w:rFonts w:ascii="Arial" w:hAnsi="Arial" w:cs="Arial"/>
          <w:sz w:val="24"/>
          <w:szCs w:val="24"/>
          <w:lang/>
        </w:rPr>
        <w:t>A continuación se detallaran Los rubros de los Estados Financieros, que se utilizarán para la proyección.</w:t>
      </w:r>
    </w:p>
    <w:p w:rsidR="00371A15" w:rsidRPr="006774DB" w:rsidRDefault="00371A15" w:rsidP="00371A15">
      <w:pPr>
        <w:spacing w:line="360" w:lineRule="auto"/>
        <w:ind w:firstLine="454"/>
        <w:jc w:val="both"/>
        <w:rPr>
          <w:rFonts w:ascii="Arial" w:hAnsi="Arial" w:cs="Arial"/>
          <w:sz w:val="24"/>
          <w:szCs w:val="24"/>
          <w:lang/>
        </w:rPr>
      </w:pPr>
      <w:r>
        <w:pict>
          <v:line id="_x0000_s1082" style="position:absolute;left:0;text-align:left;z-index:251668992" from="22pt,17.2pt" to="148.75pt,17.2pt" strokeweight=".26mm">
            <v:stroke joinstyle="miter"/>
          </v:line>
        </w:pict>
      </w:r>
    </w:p>
    <w:p w:rsidR="00371A15" w:rsidRDefault="00371A15" w:rsidP="00371A15">
      <w:pPr>
        <w:spacing w:line="360" w:lineRule="auto"/>
        <w:ind w:firstLine="454"/>
        <w:jc w:val="both"/>
        <w:rPr>
          <w:rFonts w:ascii="Arial" w:hAnsi="Arial" w:cs="Arial"/>
          <w:sz w:val="18"/>
          <w:szCs w:val="18"/>
          <w:lang/>
        </w:rPr>
      </w:pPr>
      <w:r>
        <w:rPr>
          <w:rStyle w:val="Refdenotaalpie1"/>
          <w:rFonts w:ascii="Arial" w:hAnsi="Arial" w:cs="Arial"/>
          <w:sz w:val="18"/>
          <w:szCs w:val="18"/>
          <w:lang/>
        </w:rPr>
        <w:t>4</w:t>
      </w:r>
      <w:r>
        <w:rPr>
          <w:rFonts w:ascii="Arial" w:hAnsi="Arial" w:cs="Arial"/>
          <w:sz w:val="18"/>
          <w:szCs w:val="18"/>
          <w:lang/>
        </w:rPr>
        <w:t xml:space="preserve"> Fundametos de Administracion Financiera, Scout Besly y Eugene F. Brighman, 12 ava edicion, Mc Graw Hill, Pag 110</w:t>
      </w:r>
    </w:p>
    <w:p w:rsidR="00371A15" w:rsidRPr="006774DB" w:rsidRDefault="00371A15" w:rsidP="00371A15">
      <w:pPr>
        <w:spacing w:line="360" w:lineRule="auto"/>
        <w:ind w:firstLine="454"/>
        <w:jc w:val="both"/>
        <w:rPr>
          <w:rFonts w:ascii="Arial" w:hAnsi="Arial" w:cs="Arial"/>
          <w:sz w:val="18"/>
          <w:szCs w:val="18"/>
          <w:lang w:val="en-GB"/>
        </w:rPr>
      </w:pPr>
      <w:r>
        <w:rPr>
          <w:rStyle w:val="Refdenotaalpie1"/>
          <w:rFonts w:ascii="Arial" w:hAnsi="Arial" w:cs="Arial"/>
          <w:sz w:val="18"/>
          <w:szCs w:val="18"/>
          <w:lang/>
        </w:rPr>
        <w:t xml:space="preserve">5 </w:t>
      </w:r>
      <w:r>
        <w:rPr>
          <w:rFonts w:cs="Calibri"/>
          <w:b/>
          <w:lang/>
        </w:rPr>
        <w:t xml:space="preserve"> </w:t>
      </w:r>
      <w:r>
        <w:rPr>
          <w:rFonts w:ascii="Arial" w:hAnsi="Arial" w:cs="Arial"/>
          <w:sz w:val="18"/>
          <w:szCs w:val="18"/>
          <w:lang/>
        </w:rPr>
        <w:t xml:space="preserve">Fundametos de Administracion Financiera, JC Van Home- JM Wachowicz 8 ava edicion. </w:t>
      </w:r>
      <w:r>
        <w:rPr>
          <w:rFonts w:ascii="Arial" w:hAnsi="Arial" w:cs="Arial"/>
          <w:sz w:val="18"/>
          <w:szCs w:val="18"/>
          <w:lang w:val="en-GB"/>
        </w:rPr>
        <w:t>Prentice Hall, pag 250</w:t>
      </w:r>
    </w:p>
    <w:p w:rsidR="00371A15" w:rsidRDefault="00371A15" w:rsidP="00371A15">
      <w:pPr>
        <w:spacing w:line="360" w:lineRule="auto"/>
        <w:ind w:firstLine="454"/>
        <w:jc w:val="both"/>
        <w:rPr>
          <w:rFonts w:ascii="Arial" w:hAnsi="Arial" w:cs="Arial"/>
          <w:sz w:val="18"/>
          <w:szCs w:val="18"/>
          <w:lang/>
        </w:rPr>
      </w:pPr>
    </w:p>
    <w:p w:rsidR="006774DB" w:rsidRDefault="006774DB" w:rsidP="006774DB">
      <w:pPr>
        <w:spacing w:line="360" w:lineRule="auto"/>
        <w:ind w:firstLine="454"/>
        <w:jc w:val="center"/>
        <w:rPr>
          <w:rFonts w:ascii="Arial" w:hAnsi="Arial" w:cs="Arial"/>
          <w:b/>
          <w:sz w:val="28"/>
          <w:szCs w:val="28"/>
          <w:lang/>
        </w:rPr>
      </w:pPr>
    </w:p>
    <w:p w:rsidR="00371A15" w:rsidRDefault="00371A15" w:rsidP="006774DB">
      <w:pPr>
        <w:spacing w:line="360" w:lineRule="auto"/>
        <w:ind w:firstLine="454"/>
        <w:jc w:val="center"/>
        <w:rPr>
          <w:rFonts w:ascii="Arial" w:hAnsi="Arial" w:cs="Arial"/>
          <w:b/>
          <w:sz w:val="28"/>
          <w:szCs w:val="28"/>
          <w:lang/>
        </w:rPr>
      </w:pPr>
    </w:p>
    <w:p w:rsidR="006774DB" w:rsidRDefault="006774DB" w:rsidP="006774DB">
      <w:pPr>
        <w:spacing w:line="360" w:lineRule="auto"/>
        <w:ind w:firstLine="454"/>
        <w:jc w:val="center"/>
        <w:rPr>
          <w:rFonts w:ascii="Arial" w:hAnsi="Arial" w:cs="Arial"/>
          <w:b/>
          <w:sz w:val="28"/>
          <w:szCs w:val="28"/>
          <w:lang/>
        </w:rPr>
      </w:pPr>
      <w:r>
        <w:rPr>
          <w:rFonts w:ascii="Arial" w:hAnsi="Arial" w:cs="Arial"/>
          <w:b/>
          <w:sz w:val="28"/>
          <w:szCs w:val="28"/>
          <w:lang/>
        </w:rPr>
        <w:lastRenderedPageBreak/>
        <w:t>CUENTAS DE BALANCE GENERAL</w:t>
      </w:r>
    </w:p>
    <w:p w:rsidR="006774DB" w:rsidRDefault="006774DB" w:rsidP="006774DB">
      <w:pPr>
        <w:spacing w:line="360" w:lineRule="auto"/>
        <w:ind w:firstLine="454"/>
        <w:jc w:val="both"/>
        <w:rPr>
          <w:rFonts w:ascii="Arial" w:hAnsi="Arial" w:cs="Arial"/>
          <w:lang/>
        </w:rPr>
      </w:pPr>
    </w:p>
    <w:p w:rsidR="006774DB" w:rsidRPr="006774DB" w:rsidRDefault="006774DB" w:rsidP="006774DB">
      <w:pPr>
        <w:spacing w:line="360" w:lineRule="auto"/>
        <w:ind w:firstLine="454"/>
        <w:jc w:val="both"/>
        <w:rPr>
          <w:rFonts w:ascii="Arial" w:hAnsi="Arial" w:cs="Arial"/>
          <w:sz w:val="24"/>
          <w:szCs w:val="24"/>
          <w:lang/>
        </w:rPr>
      </w:pPr>
      <w:r w:rsidRPr="006774DB">
        <w:rPr>
          <w:rFonts w:ascii="Arial" w:hAnsi="Arial" w:cs="Arial"/>
          <w:sz w:val="24"/>
          <w:szCs w:val="24"/>
          <w:lang/>
        </w:rPr>
        <w:t>En el cuadro  2.1. se clasifican  las cuentas o grupo de cuentas que se emplean en los ratios  para la proyección del Balance General.</w:t>
      </w:r>
    </w:p>
    <w:p w:rsidR="006774DB" w:rsidRDefault="006774DB" w:rsidP="006774DB">
      <w:pPr>
        <w:spacing w:line="360" w:lineRule="auto"/>
        <w:ind w:firstLine="454"/>
        <w:jc w:val="center"/>
        <w:rPr>
          <w:rFonts w:ascii="Arial" w:hAnsi="Arial" w:cs="Arial"/>
          <w:b/>
          <w:lang/>
        </w:rPr>
      </w:pPr>
      <w:r>
        <w:rPr>
          <w:rFonts w:ascii="Arial" w:hAnsi="Arial" w:cs="Arial"/>
          <w:b/>
          <w:lang/>
        </w:rPr>
        <w:t>CUADRO 2.1</w:t>
      </w:r>
    </w:p>
    <w:p w:rsidR="006774DB" w:rsidRDefault="006774DB" w:rsidP="006774DB">
      <w:pPr>
        <w:spacing w:line="360" w:lineRule="auto"/>
        <w:ind w:firstLine="454"/>
        <w:jc w:val="center"/>
        <w:rPr>
          <w:rFonts w:ascii="Arial" w:hAnsi="Arial" w:cs="Arial"/>
          <w:b/>
          <w:lang/>
        </w:rPr>
      </w:pPr>
      <w:r>
        <w:rPr>
          <w:rFonts w:ascii="Arial" w:hAnsi="Arial" w:cs="Arial"/>
          <w:b/>
          <w:lang/>
        </w:rPr>
        <w:t>CUENTAS BALANCE GENERAL</w:t>
      </w:r>
    </w:p>
    <w:p w:rsidR="006774DB" w:rsidRDefault="006774DB" w:rsidP="006774DB">
      <w:pPr>
        <w:spacing w:line="360" w:lineRule="auto"/>
        <w:ind w:firstLine="454"/>
        <w:jc w:val="both"/>
        <w:rPr>
          <w:rFonts w:ascii="Arial" w:hAnsi="Arial" w:cs="Arial"/>
          <w:sz w:val="18"/>
          <w:szCs w:val="18"/>
          <w:lang w:val="es-ES"/>
        </w:rPr>
      </w:pPr>
    </w:p>
    <w:tbl>
      <w:tblPr>
        <w:tblW w:w="0" w:type="auto"/>
        <w:tblInd w:w="1804" w:type="dxa"/>
        <w:tblLayout w:type="fixed"/>
        <w:tblLook w:val="0000"/>
      </w:tblPr>
      <w:tblGrid>
        <w:gridCol w:w="2995"/>
        <w:gridCol w:w="3111"/>
      </w:tblGrid>
      <w:tr w:rsidR="006774DB">
        <w:trPr>
          <w:trHeight w:val="402"/>
        </w:trPr>
        <w:tc>
          <w:tcPr>
            <w:tcW w:w="2995" w:type="dxa"/>
            <w:tcBorders>
              <w:top w:val="single" w:sz="4" w:space="0" w:color="000000"/>
              <w:left w:val="single" w:sz="4" w:space="0" w:color="000000"/>
              <w:bottom w:val="single" w:sz="4" w:space="0" w:color="000000"/>
            </w:tcBorders>
            <w:vAlign w:val="center"/>
          </w:tcPr>
          <w:p w:rsidR="006774DB" w:rsidRDefault="006774DB" w:rsidP="00CD270D">
            <w:pPr>
              <w:snapToGrid w:val="0"/>
              <w:spacing w:line="360" w:lineRule="auto"/>
              <w:ind w:firstLine="454"/>
              <w:jc w:val="center"/>
              <w:rPr>
                <w:rFonts w:cs="Calibri"/>
                <w:b/>
                <w:sz w:val="20"/>
                <w:szCs w:val="20"/>
                <w:lang/>
              </w:rPr>
            </w:pPr>
            <w:r>
              <w:rPr>
                <w:rFonts w:cs="Calibri"/>
                <w:b/>
                <w:sz w:val="20"/>
                <w:szCs w:val="20"/>
                <w:lang/>
              </w:rPr>
              <w:t>CUENTAS DE ACTIVO</w:t>
            </w:r>
          </w:p>
        </w:tc>
        <w:tc>
          <w:tcPr>
            <w:tcW w:w="3111" w:type="dxa"/>
            <w:tcBorders>
              <w:top w:val="single" w:sz="4" w:space="0" w:color="000000"/>
              <w:left w:val="single" w:sz="4" w:space="0" w:color="000000"/>
              <w:bottom w:val="single" w:sz="4" w:space="0" w:color="000000"/>
              <w:right w:val="single" w:sz="4" w:space="0" w:color="000000"/>
            </w:tcBorders>
          </w:tcPr>
          <w:p w:rsidR="006774DB" w:rsidRDefault="006774DB" w:rsidP="00CD270D">
            <w:pPr>
              <w:snapToGrid w:val="0"/>
              <w:spacing w:line="360" w:lineRule="auto"/>
              <w:ind w:firstLine="454"/>
              <w:jc w:val="center"/>
              <w:rPr>
                <w:rFonts w:cs="Calibri"/>
                <w:b/>
                <w:sz w:val="20"/>
                <w:szCs w:val="20"/>
                <w:lang/>
              </w:rPr>
            </w:pPr>
            <w:r>
              <w:rPr>
                <w:rFonts w:cs="Calibri"/>
                <w:b/>
                <w:sz w:val="20"/>
                <w:szCs w:val="20"/>
                <w:lang/>
              </w:rPr>
              <w:t>CUENTAS DE PASIVO</w:t>
            </w:r>
          </w:p>
        </w:tc>
      </w:tr>
      <w:tr w:rsidR="006774DB">
        <w:trPr>
          <w:cantSplit/>
          <w:trHeight w:hRule="exact" w:val="2020"/>
        </w:trPr>
        <w:tc>
          <w:tcPr>
            <w:tcW w:w="2995" w:type="dxa"/>
            <w:vMerge w:val="restart"/>
            <w:tcBorders>
              <w:left w:val="single" w:sz="4" w:space="0" w:color="000000"/>
              <w:bottom w:val="single" w:sz="4" w:space="0" w:color="000000"/>
            </w:tcBorders>
          </w:tcPr>
          <w:p w:rsidR="006774DB" w:rsidRDefault="006774DB" w:rsidP="00CD270D">
            <w:pPr>
              <w:snapToGrid w:val="0"/>
              <w:spacing w:line="360" w:lineRule="auto"/>
              <w:ind w:firstLine="454"/>
              <w:jc w:val="both"/>
              <w:rPr>
                <w:rFonts w:ascii="Arial" w:hAnsi="Arial" w:cs="Arial"/>
                <w:sz w:val="20"/>
                <w:szCs w:val="20"/>
                <w:lang/>
              </w:rPr>
            </w:pPr>
          </w:p>
          <w:p w:rsidR="006774DB" w:rsidRDefault="006774DB" w:rsidP="006774DB">
            <w:pPr>
              <w:widowControl w:val="0"/>
              <w:numPr>
                <w:ilvl w:val="0"/>
                <w:numId w:val="10"/>
              </w:numPr>
              <w:tabs>
                <w:tab w:val="left" w:pos="720"/>
              </w:tabs>
              <w:suppressAutoHyphens/>
              <w:spacing w:after="0" w:line="360" w:lineRule="auto"/>
              <w:ind w:left="0" w:firstLine="454"/>
              <w:jc w:val="both"/>
              <w:rPr>
                <w:rFonts w:ascii="Arial" w:hAnsi="Arial" w:cs="Arial"/>
                <w:sz w:val="20"/>
                <w:szCs w:val="20"/>
                <w:lang/>
              </w:rPr>
            </w:pPr>
            <w:r>
              <w:rPr>
                <w:rFonts w:ascii="Arial" w:hAnsi="Arial" w:cs="Arial"/>
                <w:sz w:val="20"/>
                <w:szCs w:val="20"/>
                <w:lang/>
              </w:rPr>
              <w:t xml:space="preserve">Fondos Disponibles </w:t>
            </w:r>
          </w:p>
          <w:p w:rsidR="006774DB" w:rsidRDefault="006774DB" w:rsidP="006774DB">
            <w:pPr>
              <w:widowControl w:val="0"/>
              <w:numPr>
                <w:ilvl w:val="0"/>
                <w:numId w:val="10"/>
              </w:numPr>
              <w:tabs>
                <w:tab w:val="left" w:pos="720"/>
              </w:tabs>
              <w:suppressAutoHyphens/>
              <w:spacing w:after="0" w:line="360" w:lineRule="auto"/>
              <w:ind w:left="0" w:firstLine="454"/>
              <w:jc w:val="both"/>
              <w:rPr>
                <w:rFonts w:ascii="Arial" w:hAnsi="Arial" w:cs="Arial"/>
                <w:sz w:val="20"/>
                <w:szCs w:val="20"/>
                <w:lang/>
              </w:rPr>
            </w:pPr>
            <w:r>
              <w:rPr>
                <w:rFonts w:ascii="Arial" w:hAnsi="Arial" w:cs="Arial"/>
                <w:sz w:val="20"/>
                <w:szCs w:val="20"/>
                <w:lang/>
              </w:rPr>
              <w:t>Inversiones</w:t>
            </w:r>
          </w:p>
          <w:p w:rsidR="006774DB" w:rsidRDefault="006774DB" w:rsidP="006774DB">
            <w:pPr>
              <w:widowControl w:val="0"/>
              <w:numPr>
                <w:ilvl w:val="0"/>
                <w:numId w:val="10"/>
              </w:numPr>
              <w:tabs>
                <w:tab w:val="left" w:pos="720"/>
              </w:tabs>
              <w:suppressAutoHyphens/>
              <w:spacing w:after="0" w:line="360" w:lineRule="auto"/>
              <w:ind w:left="0" w:firstLine="454"/>
              <w:jc w:val="both"/>
              <w:rPr>
                <w:rFonts w:ascii="Arial" w:hAnsi="Arial" w:cs="Arial"/>
                <w:sz w:val="20"/>
                <w:szCs w:val="20"/>
                <w:lang/>
              </w:rPr>
            </w:pPr>
            <w:r>
              <w:rPr>
                <w:rFonts w:ascii="Arial" w:hAnsi="Arial" w:cs="Arial"/>
                <w:sz w:val="20"/>
                <w:szCs w:val="20"/>
                <w:lang/>
              </w:rPr>
              <w:t>Colocaciones Brutos</w:t>
            </w:r>
          </w:p>
          <w:p w:rsidR="006774DB" w:rsidRDefault="006774DB" w:rsidP="006774DB">
            <w:pPr>
              <w:widowControl w:val="0"/>
              <w:numPr>
                <w:ilvl w:val="0"/>
                <w:numId w:val="10"/>
              </w:numPr>
              <w:tabs>
                <w:tab w:val="left" w:pos="720"/>
              </w:tabs>
              <w:suppressAutoHyphens/>
              <w:spacing w:after="0" w:line="360" w:lineRule="auto"/>
              <w:ind w:left="0" w:firstLine="454"/>
              <w:jc w:val="both"/>
              <w:rPr>
                <w:rFonts w:ascii="Arial" w:hAnsi="Arial" w:cs="Arial"/>
                <w:sz w:val="20"/>
                <w:szCs w:val="20"/>
                <w:lang/>
              </w:rPr>
            </w:pPr>
            <w:r>
              <w:rPr>
                <w:rFonts w:ascii="Arial" w:hAnsi="Arial" w:cs="Arial"/>
                <w:sz w:val="20"/>
                <w:szCs w:val="20"/>
                <w:lang/>
              </w:rPr>
              <w:t>Cartera Vencida</w:t>
            </w:r>
          </w:p>
          <w:p w:rsidR="006774DB" w:rsidRDefault="006774DB" w:rsidP="006774DB">
            <w:pPr>
              <w:widowControl w:val="0"/>
              <w:numPr>
                <w:ilvl w:val="0"/>
                <w:numId w:val="10"/>
              </w:numPr>
              <w:tabs>
                <w:tab w:val="left" w:pos="720"/>
              </w:tabs>
              <w:suppressAutoHyphens/>
              <w:spacing w:after="0" w:line="360" w:lineRule="auto"/>
              <w:ind w:left="0" w:firstLine="454"/>
              <w:jc w:val="both"/>
              <w:rPr>
                <w:rFonts w:ascii="Arial" w:hAnsi="Arial" w:cs="Arial"/>
                <w:sz w:val="20"/>
                <w:szCs w:val="20"/>
                <w:lang/>
              </w:rPr>
            </w:pPr>
            <w:r>
              <w:rPr>
                <w:rFonts w:ascii="Arial" w:hAnsi="Arial" w:cs="Arial"/>
                <w:sz w:val="20"/>
                <w:szCs w:val="20"/>
                <w:lang/>
              </w:rPr>
              <w:t>Provisiones sobre Colocaciones</w:t>
            </w:r>
          </w:p>
          <w:p w:rsidR="006774DB" w:rsidRDefault="006774DB" w:rsidP="006774DB">
            <w:pPr>
              <w:widowControl w:val="0"/>
              <w:numPr>
                <w:ilvl w:val="0"/>
                <w:numId w:val="10"/>
              </w:numPr>
              <w:tabs>
                <w:tab w:val="left" w:pos="720"/>
              </w:tabs>
              <w:suppressAutoHyphens/>
              <w:spacing w:line="360" w:lineRule="auto"/>
              <w:ind w:left="0" w:firstLine="454"/>
              <w:jc w:val="both"/>
              <w:rPr>
                <w:rFonts w:ascii="Arial" w:hAnsi="Arial" w:cs="Arial"/>
                <w:sz w:val="20"/>
                <w:szCs w:val="20"/>
                <w:lang/>
              </w:rPr>
            </w:pPr>
            <w:r>
              <w:rPr>
                <w:rFonts w:ascii="Arial" w:hAnsi="Arial" w:cs="Arial"/>
                <w:sz w:val="20"/>
                <w:szCs w:val="20"/>
                <w:lang/>
              </w:rPr>
              <w:t>Otros Activos</w:t>
            </w:r>
          </w:p>
        </w:tc>
        <w:tc>
          <w:tcPr>
            <w:tcW w:w="3111" w:type="dxa"/>
            <w:tcBorders>
              <w:left w:val="single" w:sz="4" w:space="0" w:color="000000"/>
              <w:bottom w:val="single" w:sz="4" w:space="0" w:color="000000"/>
              <w:right w:val="single" w:sz="4" w:space="0" w:color="000000"/>
            </w:tcBorders>
          </w:tcPr>
          <w:p w:rsidR="006774DB" w:rsidRDefault="006774DB" w:rsidP="00CD270D">
            <w:pPr>
              <w:snapToGrid w:val="0"/>
              <w:spacing w:line="360" w:lineRule="auto"/>
              <w:ind w:firstLine="454"/>
              <w:jc w:val="both"/>
              <w:rPr>
                <w:rFonts w:ascii="Arial" w:hAnsi="Arial" w:cs="Arial"/>
                <w:sz w:val="20"/>
                <w:szCs w:val="20"/>
                <w:lang/>
              </w:rPr>
            </w:pPr>
          </w:p>
          <w:p w:rsidR="006774DB" w:rsidRDefault="006774DB" w:rsidP="006774DB">
            <w:pPr>
              <w:widowControl w:val="0"/>
              <w:numPr>
                <w:ilvl w:val="0"/>
                <w:numId w:val="10"/>
              </w:numPr>
              <w:tabs>
                <w:tab w:val="left" w:pos="720"/>
              </w:tabs>
              <w:suppressAutoHyphens/>
              <w:spacing w:after="0" w:line="360" w:lineRule="auto"/>
              <w:ind w:left="0" w:firstLine="454"/>
              <w:jc w:val="both"/>
              <w:rPr>
                <w:rFonts w:ascii="Arial" w:hAnsi="Arial" w:cs="Arial"/>
                <w:sz w:val="20"/>
                <w:szCs w:val="20"/>
                <w:lang/>
              </w:rPr>
            </w:pPr>
            <w:r>
              <w:rPr>
                <w:rFonts w:ascii="Arial" w:hAnsi="Arial" w:cs="Arial"/>
                <w:sz w:val="20"/>
                <w:szCs w:val="20"/>
                <w:lang/>
              </w:rPr>
              <w:t>Obligaciones con el Publico</w:t>
            </w:r>
          </w:p>
          <w:p w:rsidR="006774DB" w:rsidRDefault="006774DB" w:rsidP="006774DB">
            <w:pPr>
              <w:widowControl w:val="0"/>
              <w:numPr>
                <w:ilvl w:val="0"/>
                <w:numId w:val="10"/>
              </w:numPr>
              <w:tabs>
                <w:tab w:val="left" w:pos="720"/>
              </w:tabs>
              <w:suppressAutoHyphens/>
              <w:spacing w:line="360" w:lineRule="auto"/>
              <w:ind w:left="0" w:firstLine="454"/>
              <w:jc w:val="both"/>
              <w:rPr>
                <w:rFonts w:ascii="Arial" w:hAnsi="Arial" w:cs="Arial"/>
                <w:sz w:val="20"/>
                <w:szCs w:val="20"/>
                <w:lang/>
              </w:rPr>
            </w:pPr>
            <w:r>
              <w:rPr>
                <w:rFonts w:ascii="Arial" w:hAnsi="Arial" w:cs="Arial"/>
                <w:sz w:val="20"/>
                <w:szCs w:val="20"/>
                <w:lang/>
              </w:rPr>
              <w:t>Otros Pasivos con Costo</w:t>
            </w:r>
          </w:p>
        </w:tc>
      </w:tr>
      <w:tr w:rsidR="006774DB">
        <w:trPr>
          <w:cantSplit/>
        </w:trPr>
        <w:tc>
          <w:tcPr>
            <w:tcW w:w="2995" w:type="dxa"/>
            <w:vMerge/>
            <w:tcBorders>
              <w:left w:val="single" w:sz="4" w:space="0" w:color="000000"/>
              <w:bottom w:val="single" w:sz="4" w:space="0" w:color="000000"/>
            </w:tcBorders>
          </w:tcPr>
          <w:p w:rsidR="006774DB" w:rsidRDefault="006774DB" w:rsidP="00CD270D">
            <w:pPr>
              <w:spacing w:line="360" w:lineRule="auto"/>
              <w:ind w:firstLine="454"/>
            </w:pPr>
          </w:p>
        </w:tc>
        <w:tc>
          <w:tcPr>
            <w:tcW w:w="3111" w:type="dxa"/>
            <w:tcBorders>
              <w:left w:val="single" w:sz="4" w:space="0" w:color="000000"/>
              <w:bottom w:val="single" w:sz="4" w:space="0" w:color="000000"/>
              <w:right w:val="single" w:sz="4" w:space="0" w:color="000000"/>
            </w:tcBorders>
          </w:tcPr>
          <w:p w:rsidR="006774DB" w:rsidRDefault="006774DB" w:rsidP="00CD270D">
            <w:pPr>
              <w:snapToGrid w:val="0"/>
              <w:spacing w:line="360" w:lineRule="auto"/>
              <w:ind w:firstLine="454"/>
              <w:jc w:val="both"/>
              <w:rPr>
                <w:rFonts w:ascii="Arial" w:hAnsi="Arial" w:cs="Arial"/>
                <w:b/>
                <w:sz w:val="20"/>
                <w:szCs w:val="20"/>
                <w:lang/>
              </w:rPr>
            </w:pPr>
          </w:p>
          <w:p w:rsidR="006774DB" w:rsidRDefault="006774DB" w:rsidP="00CD270D">
            <w:pPr>
              <w:spacing w:line="360" w:lineRule="auto"/>
              <w:ind w:firstLine="454"/>
              <w:jc w:val="center"/>
              <w:rPr>
                <w:rFonts w:ascii="Arial" w:hAnsi="Arial" w:cs="Arial"/>
                <w:b/>
                <w:sz w:val="20"/>
                <w:szCs w:val="20"/>
                <w:lang/>
              </w:rPr>
            </w:pPr>
            <w:r>
              <w:rPr>
                <w:rFonts w:ascii="Arial" w:hAnsi="Arial" w:cs="Arial"/>
                <w:b/>
                <w:sz w:val="20"/>
                <w:szCs w:val="20"/>
                <w:lang/>
              </w:rPr>
              <w:t>CUENTAS DE PATRIMONIO</w:t>
            </w:r>
          </w:p>
          <w:p w:rsidR="006774DB" w:rsidRDefault="006774DB" w:rsidP="006774DB">
            <w:pPr>
              <w:widowControl w:val="0"/>
              <w:numPr>
                <w:ilvl w:val="0"/>
                <w:numId w:val="11"/>
              </w:numPr>
              <w:tabs>
                <w:tab w:val="left" w:pos="928"/>
              </w:tabs>
              <w:suppressAutoHyphens/>
              <w:spacing w:line="360" w:lineRule="auto"/>
              <w:ind w:left="0" w:firstLine="454"/>
              <w:jc w:val="both"/>
              <w:rPr>
                <w:rFonts w:ascii="Arial" w:hAnsi="Arial" w:cs="Arial"/>
                <w:sz w:val="20"/>
                <w:szCs w:val="20"/>
                <w:lang/>
              </w:rPr>
            </w:pPr>
            <w:r>
              <w:rPr>
                <w:rFonts w:ascii="Arial" w:hAnsi="Arial" w:cs="Arial"/>
                <w:sz w:val="20"/>
                <w:szCs w:val="20"/>
                <w:lang/>
              </w:rPr>
              <w:t>Patrimonio Total (Cierre año anterior)</w:t>
            </w:r>
          </w:p>
        </w:tc>
      </w:tr>
    </w:tbl>
    <w:p w:rsidR="006774DB" w:rsidRDefault="006774DB" w:rsidP="006774DB">
      <w:pPr>
        <w:spacing w:line="360" w:lineRule="auto"/>
        <w:ind w:firstLine="454"/>
        <w:rPr>
          <w:rFonts w:ascii="Arial" w:hAnsi="Arial" w:cs="Arial"/>
          <w:sz w:val="16"/>
          <w:szCs w:val="16"/>
          <w:lang/>
        </w:rPr>
      </w:pPr>
      <w:r>
        <w:rPr>
          <w:rFonts w:ascii="Arial" w:hAnsi="Arial" w:cs="Arial"/>
          <w:sz w:val="16"/>
          <w:szCs w:val="16"/>
          <w:lang/>
        </w:rPr>
        <w:t xml:space="preserve">Fuente: Pag. Web de </w:t>
      </w:r>
      <w:smartTag w:uri="urn:schemas-microsoft-com:office:smarttags" w:element="PersonName">
        <w:smartTagPr>
          <w:attr w:name="ProductID" w:val="la Superintendencia"/>
        </w:smartTagPr>
        <w:r>
          <w:rPr>
            <w:rFonts w:ascii="Arial" w:hAnsi="Arial" w:cs="Arial"/>
            <w:sz w:val="16"/>
            <w:szCs w:val="16"/>
            <w:lang/>
          </w:rPr>
          <w:t>la Superintendencia</w:t>
        </w:r>
      </w:smartTag>
      <w:r>
        <w:rPr>
          <w:rFonts w:ascii="Arial" w:hAnsi="Arial" w:cs="Arial"/>
          <w:sz w:val="16"/>
          <w:szCs w:val="16"/>
          <w:lang/>
        </w:rPr>
        <w:t xml:space="preserve"> de Bancos</w:t>
      </w:r>
    </w:p>
    <w:p w:rsidR="006774DB" w:rsidRDefault="006774DB" w:rsidP="006774DB">
      <w:pPr>
        <w:spacing w:line="360" w:lineRule="auto"/>
        <w:ind w:firstLine="454"/>
        <w:rPr>
          <w:rFonts w:ascii="Arial" w:hAnsi="Arial" w:cs="Arial"/>
          <w:sz w:val="16"/>
          <w:szCs w:val="16"/>
          <w:lang/>
        </w:rPr>
      </w:pPr>
      <w:r>
        <w:rPr>
          <w:rFonts w:ascii="Arial" w:hAnsi="Arial" w:cs="Arial"/>
          <w:sz w:val="16"/>
          <w:szCs w:val="16"/>
          <w:lang/>
        </w:rPr>
        <w:t>Elaboracion: Autores</w:t>
      </w:r>
    </w:p>
    <w:p w:rsidR="006774DB" w:rsidRDefault="006774DB" w:rsidP="006774DB">
      <w:pPr>
        <w:spacing w:line="360" w:lineRule="auto"/>
        <w:ind w:firstLine="454"/>
        <w:jc w:val="both"/>
        <w:rPr>
          <w:rFonts w:ascii="Arial" w:hAnsi="Arial" w:cs="Arial"/>
          <w:sz w:val="20"/>
          <w:szCs w:val="20"/>
          <w:lang/>
        </w:rPr>
      </w:pPr>
    </w:p>
    <w:p w:rsidR="006774DB" w:rsidRDefault="006774DB" w:rsidP="006774DB">
      <w:pPr>
        <w:spacing w:line="360" w:lineRule="auto"/>
        <w:ind w:firstLine="454"/>
        <w:jc w:val="both"/>
        <w:rPr>
          <w:rFonts w:ascii="Arial" w:hAnsi="Arial" w:cs="Arial"/>
          <w:lang/>
        </w:rPr>
      </w:pPr>
      <w:r w:rsidRPr="006774DB">
        <w:rPr>
          <w:rFonts w:ascii="Arial" w:hAnsi="Arial" w:cs="Arial"/>
          <w:sz w:val="24"/>
          <w:szCs w:val="24"/>
          <w:lang/>
        </w:rPr>
        <w:t>Se seleccionó las cuentas o grupos de cuentas mostrados en el cuadro anterior debido a que son las de mayor importancia y relevancia para las Instituciones Bancarias, porque en ellas se concentra la principal actividad que desempeña este sector</w:t>
      </w:r>
      <w:r>
        <w:rPr>
          <w:rFonts w:ascii="Arial" w:hAnsi="Arial" w:cs="Arial"/>
          <w:lang/>
        </w:rPr>
        <w:t>.</w:t>
      </w:r>
    </w:p>
    <w:p w:rsidR="00866D24" w:rsidRDefault="00866D24" w:rsidP="006774DB">
      <w:pPr>
        <w:spacing w:line="360" w:lineRule="auto"/>
        <w:ind w:firstLine="454"/>
        <w:jc w:val="both"/>
        <w:rPr>
          <w:rFonts w:ascii="Arial" w:hAnsi="Arial" w:cs="Arial"/>
          <w:b/>
          <w:lang/>
        </w:rPr>
      </w:pPr>
    </w:p>
    <w:p w:rsidR="006774DB" w:rsidRPr="00866D24" w:rsidRDefault="006774DB" w:rsidP="006774DB">
      <w:pPr>
        <w:spacing w:line="360" w:lineRule="auto"/>
        <w:ind w:firstLine="454"/>
        <w:jc w:val="both"/>
        <w:rPr>
          <w:rFonts w:ascii="Arial" w:hAnsi="Arial" w:cs="Arial"/>
          <w:b/>
          <w:sz w:val="28"/>
          <w:szCs w:val="28"/>
          <w:lang/>
        </w:rPr>
      </w:pPr>
      <w:r w:rsidRPr="00866D24">
        <w:rPr>
          <w:rFonts w:ascii="Arial" w:hAnsi="Arial" w:cs="Arial"/>
          <w:b/>
          <w:sz w:val="28"/>
          <w:szCs w:val="28"/>
          <w:lang/>
        </w:rPr>
        <w:lastRenderedPageBreak/>
        <w:t>CUENTAS CORRESPONDIENTES AL ACTIVO</w:t>
      </w:r>
    </w:p>
    <w:p w:rsidR="006774DB" w:rsidRPr="00866D24" w:rsidRDefault="006774DB" w:rsidP="006774DB">
      <w:pPr>
        <w:spacing w:line="360" w:lineRule="auto"/>
        <w:ind w:firstLine="454"/>
        <w:jc w:val="both"/>
        <w:rPr>
          <w:rFonts w:ascii="Arial" w:hAnsi="Arial" w:cs="Arial"/>
          <w:b/>
          <w:sz w:val="28"/>
          <w:szCs w:val="28"/>
          <w:lang/>
        </w:rPr>
      </w:pPr>
    </w:p>
    <w:p w:rsidR="006774DB" w:rsidRPr="00866D24" w:rsidRDefault="006774DB" w:rsidP="006774DB">
      <w:pPr>
        <w:widowControl w:val="0"/>
        <w:numPr>
          <w:ilvl w:val="0"/>
          <w:numId w:val="11"/>
        </w:numPr>
        <w:tabs>
          <w:tab w:val="left" w:pos="1262"/>
        </w:tabs>
        <w:suppressAutoHyphens/>
        <w:spacing w:after="0" w:line="360" w:lineRule="auto"/>
        <w:ind w:left="0" w:firstLine="454"/>
        <w:jc w:val="both"/>
        <w:rPr>
          <w:rFonts w:ascii="Arial" w:hAnsi="Arial" w:cs="Arial"/>
          <w:b/>
          <w:sz w:val="28"/>
          <w:szCs w:val="28"/>
          <w:lang/>
        </w:rPr>
      </w:pPr>
      <w:r w:rsidRPr="00866D24">
        <w:rPr>
          <w:rFonts w:ascii="Arial" w:hAnsi="Arial" w:cs="Arial"/>
          <w:b/>
          <w:sz w:val="28"/>
          <w:szCs w:val="28"/>
          <w:lang/>
        </w:rPr>
        <w:t>FONDOS DISPONIBLES</w:t>
      </w:r>
    </w:p>
    <w:p w:rsidR="006774DB" w:rsidRDefault="006774DB" w:rsidP="006774DB">
      <w:pPr>
        <w:tabs>
          <w:tab w:val="left" w:pos="1262"/>
        </w:tabs>
        <w:spacing w:line="360" w:lineRule="auto"/>
        <w:jc w:val="both"/>
        <w:rPr>
          <w:rFonts w:ascii="Arial" w:hAnsi="Arial" w:cs="Arial"/>
          <w:b/>
          <w:lang/>
        </w:rPr>
      </w:pPr>
    </w:p>
    <w:p w:rsidR="006774DB" w:rsidRPr="00866D24" w:rsidRDefault="006774DB" w:rsidP="006774DB">
      <w:pPr>
        <w:spacing w:line="360" w:lineRule="auto"/>
        <w:ind w:firstLine="454"/>
        <w:jc w:val="both"/>
        <w:rPr>
          <w:rFonts w:ascii="Arial" w:hAnsi="Arial" w:cs="Arial"/>
          <w:b/>
          <w:sz w:val="24"/>
          <w:szCs w:val="24"/>
          <w:lang/>
        </w:rPr>
      </w:pPr>
      <w:r w:rsidRPr="00866D24">
        <w:rPr>
          <w:rFonts w:ascii="Arial" w:hAnsi="Arial" w:cs="Arial"/>
          <w:sz w:val="24"/>
          <w:szCs w:val="24"/>
          <w:lang/>
        </w:rPr>
        <w:t xml:space="preserve">Es un grupo de rubros de activo codificado en el plan de cuentas con el código 1.1. Fondos Disponibles refleja los recursos de alta liquidez que la entidad posee para sus operaciones y sin ningún tipo de restricción. Comprende las cuentas que registran el efectivo o el equivalente, tales como Caja, Depósitos para Encaje, Depósitos en Bancos y otras Instituciones Financieras, entre otros. </w:t>
      </w:r>
      <w:r w:rsidRPr="00866D24">
        <w:rPr>
          <w:rFonts w:ascii="Arial" w:hAnsi="Arial" w:cs="Arial"/>
          <w:b/>
          <w:sz w:val="24"/>
          <w:szCs w:val="24"/>
          <w:lang/>
        </w:rPr>
        <w:t xml:space="preserve"> </w:t>
      </w:r>
    </w:p>
    <w:p w:rsidR="006774DB" w:rsidRDefault="006774DB" w:rsidP="006774DB">
      <w:pPr>
        <w:spacing w:line="360" w:lineRule="auto"/>
        <w:ind w:firstLine="454"/>
        <w:jc w:val="both"/>
        <w:rPr>
          <w:rFonts w:ascii="Arial" w:hAnsi="Arial" w:cs="Arial"/>
          <w:b/>
          <w:lang/>
        </w:rPr>
      </w:pPr>
    </w:p>
    <w:p w:rsidR="006774DB" w:rsidRPr="00866D24" w:rsidRDefault="006774DB" w:rsidP="006774DB">
      <w:pPr>
        <w:widowControl w:val="0"/>
        <w:numPr>
          <w:ilvl w:val="0"/>
          <w:numId w:val="17"/>
        </w:numPr>
        <w:tabs>
          <w:tab w:val="left" w:pos="1262"/>
        </w:tabs>
        <w:suppressAutoHyphens/>
        <w:spacing w:after="0" w:line="360" w:lineRule="auto"/>
        <w:ind w:left="0" w:firstLine="454"/>
        <w:jc w:val="both"/>
        <w:rPr>
          <w:rFonts w:ascii="Arial" w:hAnsi="Arial" w:cs="Arial"/>
          <w:b/>
          <w:sz w:val="28"/>
          <w:szCs w:val="28"/>
          <w:lang/>
        </w:rPr>
      </w:pPr>
      <w:r w:rsidRPr="00866D24">
        <w:rPr>
          <w:rFonts w:ascii="Arial" w:hAnsi="Arial" w:cs="Arial"/>
          <w:b/>
          <w:sz w:val="28"/>
          <w:szCs w:val="28"/>
          <w:lang/>
        </w:rPr>
        <w:t>INVERSIONES</w:t>
      </w:r>
    </w:p>
    <w:p w:rsidR="006774DB" w:rsidRDefault="006774DB" w:rsidP="006774DB">
      <w:pPr>
        <w:tabs>
          <w:tab w:val="left" w:pos="1262"/>
        </w:tabs>
        <w:spacing w:line="360" w:lineRule="auto"/>
        <w:jc w:val="both"/>
        <w:rPr>
          <w:rFonts w:ascii="Arial" w:hAnsi="Arial" w:cs="Arial"/>
          <w:b/>
          <w:lang/>
        </w:rPr>
      </w:pPr>
    </w:p>
    <w:p w:rsidR="006774DB" w:rsidRPr="00866D24" w:rsidRDefault="006774DB" w:rsidP="006774DB">
      <w:pPr>
        <w:spacing w:line="360" w:lineRule="auto"/>
        <w:ind w:firstLine="454"/>
        <w:jc w:val="both"/>
        <w:rPr>
          <w:rFonts w:ascii="Arial" w:hAnsi="Arial" w:cs="Arial"/>
          <w:sz w:val="24"/>
          <w:szCs w:val="24"/>
          <w:lang/>
        </w:rPr>
      </w:pPr>
      <w:r w:rsidRPr="00866D24">
        <w:rPr>
          <w:rFonts w:ascii="Arial" w:hAnsi="Arial" w:cs="Arial"/>
          <w:sz w:val="24"/>
          <w:szCs w:val="24"/>
          <w:lang/>
        </w:rPr>
        <w:t xml:space="preserve">Corresponde al grupo 13 de las cuentas del activo donde se registran las inversiones que realizan  las instituciones financieras a través de los títulos de valores, adquiridos con el objetivo de tener recursos que proporcionen liquidez según el artículo 51 literal L y T, de la codificación de </w:t>
      </w:r>
      <w:smartTag w:uri="urn:schemas-microsoft-com:office:smarttags" w:element="PersonName">
        <w:smartTagPr>
          <w:attr w:name="ProductID" w:val="la Ley General"/>
        </w:smartTagPr>
        <w:r w:rsidRPr="00866D24">
          <w:rPr>
            <w:rFonts w:ascii="Arial" w:hAnsi="Arial" w:cs="Arial"/>
            <w:sz w:val="24"/>
            <w:szCs w:val="24"/>
            <w:lang/>
          </w:rPr>
          <w:t>la Ley General</w:t>
        </w:r>
      </w:smartTag>
      <w:r w:rsidRPr="00866D24">
        <w:rPr>
          <w:rFonts w:ascii="Arial" w:hAnsi="Arial" w:cs="Arial"/>
          <w:sz w:val="24"/>
          <w:szCs w:val="24"/>
          <w:lang/>
        </w:rPr>
        <w:t xml:space="preserve"> de Instituciones del Sistema Financiero.</w:t>
      </w:r>
    </w:p>
    <w:p w:rsidR="006774DB" w:rsidRPr="00866D24" w:rsidRDefault="006774DB" w:rsidP="006774DB">
      <w:pPr>
        <w:spacing w:line="360" w:lineRule="auto"/>
        <w:ind w:firstLine="454"/>
        <w:jc w:val="both"/>
        <w:rPr>
          <w:rFonts w:ascii="Arial" w:hAnsi="Arial" w:cs="Arial"/>
          <w:sz w:val="24"/>
          <w:szCs w:val="24"/>
          <w:lang/>
        </w:rPr>
      </w:pPr>
    </w:p>
    <w:p w:rsidR="006774DB" w:rsidRPr="00866D24" w:rsidRDefault="006774DB" w:rsidP="006774DB">
      <w:pPr>
        <w:spacing w:line="360" w:lineRule="auto"/>
        <w:ind w:firstLine="454"/>
        <w:jc w:val="both"/>
        <w:rPr>
          <w:rFonts w:ascii="Arial" w:hAnsi="Arial" w:cs="Arial"/>
          <w:sz w:val="24"/>
          <w:szCs w:val="24"/>
          <w:lang/>
        </w:rPr>
      </w:pPr>
      <w:r w:rsidRPr="00866D24">
        <w:rPr>
          <w:rFonts w:ascii="Arial" w:hAnsi="Arial" w:cs="Arial"/>
          <w:sz w:val="24"/>
          <w:szCs w:val="24"/>
          <w:lang/>
        </w:rPr>
        <w:t xml:space="preserve">En Inversiones no se consideran los contratos de opciones, contratos financieros de futuros,  contratos de arrendamiento, cuentas de clientes por cobrar originadas en ventas a créditos, préstamos por cobrar originadas en actividades crediticias de consumo y de bienes inmuebles a cargo de las instituciones financieras. </w:t>
      </w:r>
    </w:p>
    <w:p w:rsidR="00866D24" w:rsidRPr="00866D24" w:rsidRDefault="00866D24" w:rsidP="006774DB">
      <w:pPr>
        <w:spacing w:line="360" w:lineRule="auto"/>
        <w:ind w:firstLine="454"/>
        <w:jc w:val="both"/>
        <w:rPr>
          <w:rFonts w:ascii="Arial" w:hAnsi="Arial" w:cs="Arial"/>
          <w:sz w:val="24"/>
          <w:szCs w:val="24"/>
          <w:lang/>
        </w:rPr>
      </w:pPr>
    </w:p>
    <w:p w:rsidR="006774DB" w:rsidRPr="00866D24" w:rsidRDefault="006774DB" w:rsidP="006774DB">
      <w:pPr>
        <w:widowControl w:val="0"/>
        <w:numPr>
          <w:ilvl w:val="0"/>
          <w:numId w:val="11"/>
        </w:numPr>
        <w:tabs>
          <w:tab w:val="left" w:pos="1262"/>
        </w:tabs>
        <w:suppressAutoHyphens/>
        <w:spacing w:after="0" w:line="360" w:lineRule="auto"/>
        <w:ind w:left="0" w:firstLine="454"/>
        <w:jc w:val="both"/>
        <w:rPr>
          <w:rFonts w:ascii="Arial" w:hAnsi="Arial" w:cs="Arial"/>
          <w:b/>
          <w:sz w:val="28"/>
          <w:szCs w:val="28"/>
          <w:lang/>
        </w:rPr>
      </w:pPr>
      <w:r w:rsidRPr="00866D24">
        <w:rPr>
          <w:rFonts w:ascii="Arial" w:hAnsi="Arial" w:cs="Arial"/>
          <w:b/>
          <w:sz w:val="28"/>
          <w:szCs w:val="28"/>
          <w:lang/>
        </w:rPr>
        <w:lastRenderedPageBreak/>
        <w:t>COLOCACIONES BRUTAS</w:t>
      </w:r>
    </w:p>
    <w:p w:rsidR="006774DB" w:rsidRPr="000F1C9B" w:rsidRDefault="006774DB" w:rsidP="006774DB">
      <w:pPr>
        <w:tabs>
          <w:tab w:val="left" w:pos="1262"/>
        </w:tabs>
        <w:spacing w:line="360" w:lineRule="auto"/>
        <w:jc w:val="both"/>
        <w:rPr>
          <w:rFonts w:ascii="Arial" w:hAnsi="Arial" w:cs="Arial"/>
          <w:b/>
          <w:lang/>
        </w:rPr>
      </w:pPr>
    </w:p>
    <w:p w:rsidR="006774DB" w:rsidRPr="004A07FC" w:rsidRDefault="006774DB" w:rsidP="006774DB">
      <w:pPr>
        <w:spacing w:line="360" w:lineRule="auto"/>
        <w:ind w:firstLine="454"/>
        <w:jc w:val="both"/>
        <w:rPr>
          <w:rFonts w:ascii="Arial" w:hAnsi="Arial" w:cs="Arial"/>
          <w:sz w:val="24"/>
          <w:szCs w:val="24"/>
          <w:lang/>
        </w:rPr>
      </w:pPr>
      <w:r w:rsidRPr="00866D24">
        <w:rPr>
          <w:rFonts w:ascii="Arial" w:hAnsi="Arial" w:cs="Arial"/>
          <w:sz w:val="24"/>
          <w:szCs w:val="24"/>
          <w:lang/>
        </w:rPr>
        <w:t xml:space="preserve">Se encuentra en el código 14 de los Activos del Banco. En esta cuenta se registran todos los préstamos otorgados a  clientes y son clasificados de acuerdo a la actividad a la cual se destinan los recursos; entre estos tenemos a  consumo, comercial, vivienda y microempresa (clasificación autorizada por </w:t>
      </w:r>
      <w:smartTag w:uri="urn:schemas-microsoft-com:office:smarttags" w:element="PersonName">
        <w:smartTagPr>
          <w:attr w:name="ProductID" w:val="la Superintendencia"/>
        </w:smartTagPr>
        <w:r w:rsidRPr="00866D24">
          <w:rPr>
            <w:rFonts w:ascii="Arial" w:hAnsi="Arial" w:cs="Arial"/>
            <w:sz w:val="24"/>
            <w:szCs w:val="24"/>
            <w:lang/>
          </w:rPr>
          <w:t>la Superintendencia</w:t>
        </w:r>
      </w:smartTag>
      <w:r w:rsidRPr="00866D24">
        <w:rPr>
          <w:rFonts w:ascii="Arial" w:hAnsi="Arial" w:cs="Arial"/>
          <w:sz w:val="24"/>
          <w:szCs w:val="24"/>
          <w:lang/>
        </w:rPr>
        <w:t xml:space="preserve"> de Bancos). Así mismo se puede dividir de acuerdo a su vencimiento, es decir, Cartera por Vencer, Cartera Vencida y Cartera que no devengue intereses, incluyendo a </w:t>
      </w:r>
      <w:smartTag w:uri="urn:schemas-microsoft-com:office:smarttags" w:element="PersonName">
        <w:smartTagPr>
          <w:attr w:name="ProductID" w:val="la Cartera"/>
        </w:smartTagPr>
        <w:r w:rsidRPr="00866D24">
          <w:rPr>
            <w:rFonts w:ascii="Arial" w:hAnsi="Arial" w:cs="Arial"/>
            <w:sz w:val="24"/>
            <w:szCs w:val="24"/>
            <w:lang/>
          </w:rPr>
          <w:t>la Cartera</w:t>
        </w:r>
      </w:smartTag>
      <w:r w:rsidRPr="00866D24">
        <w:rPr>
          <w:rFonts w:ascii="Arial" w:hAnsi="Arial" w:cs="Arial"/>
          <w:sz w:val="24"/>
          <w:szCs w:val="24"/>
          <w:lang/>
        </w:rPr>
        <w:t xml:space="preserve"> reestructurada con la misma clasificación.</w:t>
      </w:r>
    </w:p>
    <w:p w:rsidR="006774DB" w:rsidRPr="00866D24" w:rsidRDefault="006774DB" w:rsidP="006774DB">
      <w:pPr>
        <w:widowControl w:val="0"/>
        <w:numPr>
          <w:ilvl w:val="0"/>
          <w:numId w:val="11"/>
        </w:numPr>
        <w:tabs>
          <w:tab w:val="left" w:pos="1262"/>
        </w:tabs>
        <w:suppressAutoHyphens/>
        <w:spacing w:after="0" w:line="360" w:lineRule="auto"/>
        <w:ind w:left="0" w:firstLine="454"/>
        <w:jc w:val="both"/>
        <w:rPr>
          <w:rFonts w:ascii="Arial" w:hAnsi="Arial" w:cs="Arial"/>
          <w:b/>
          <w:sz w:val="28"/>
          <w:szCs w:val="28"/>
          <w:lang/>
        </w:rPr>
      </w:pPr>
      <w:r w:rsidRPr="00866D24">
        <w:rPr>
          <w:rFonts w:ascii="Arial" w:hAnsi="Arial" w:cs="Arial"/>
          <w:b/>
          <w:sz w:val="28"/>
          <w:szCs w:val="28"/>
          <w:lang/>
        </w:rPr>
        <w:t>CARTERA VENCIDA</w:t>
      </w:r>
    </w:p>
    <w:p w:rsidR="006774DB" w:rsidRPr="005C0A18" w:rsidRDefault="006774DB" w:rsidP="006774DB">
      <w:pPr>
        <w:tabs>
          <w:tab w:val="left" w:pos="1262"/>
        </w:tabs>
        <w:spacing w:line="360" w:lineRule="auto"/>
        <w:jc w:val="both"/>
        <w:rPr>
          <w:rFonts w:ascii="Arial" w:hAnsi="Arial" w:cs="Arial"/>
          <w:b/>
          <w:lang/>
        </w:rPr>
      </w:pPr>
    </w:p>
    <w:p w:rsidR="006774DB" w:rsidRPr="00866D24" w:rsidRDefault="006774DB" w:rsidP="00866D24">
      <w:pPr>
        <w:spacing w:line="360" w:lineRule="auto"/>
        <w:ind w:firstLine="454"/>
        <w:jc w:val="both"/>
        <w:rPr>
          <w:rFonts w:ascii="Arial" w:hAnsi="Arial" w:cs="Arial"/>
          <w:sz w:val="24"/>
          <w:szCs w:val="24"/>
          <w:lang/>
        </w:rPr>
      </w:pPr>
      <w:r w:rsidRPr="00866D24">
        <w:rPr>
          <w:rFonts w:ascii="Arial" w:hAnsi="Arial" w:cs="Arial"/>
          <w:sz w:val="24"/>
          <w:szCs w:val="24"/>
          <w:lang/>
        </w:rPr>
        <w:t>Comprende al grupo de cuentas</w:t>
      </w:r>
      <w:r w:rsidRPr="00866D24">
        <w:rPr>
          <w:rStyle w:val="Refdenotaalpie1"/>
          <w:rFonts w:ascii="Arial" w:hAnsi="Arial" w:cs="Arial"/>
          <w:sz w:val="24"/>
          <w:szCs w:val="24"/>
          <w:lang/>
        </w:rPr>
        <w:t>6</w:t>
      </w:r>
      <w:r w:rsidRPr="00866D24">
        <w:rPr>
          <w:rFonts w:ascii="Arial" w:hAnsi="Arial" w:cs="Arial"/>
          <w:sz w:val="24"/>
          <w:szCs w:val="24"/>
          <w:lang/>
        </w:rPr>
        <w:t xml:space="preserve"> donde según lo establecido en </w:t>
      </w:r>
      <w:smartTag w:uri="urn:schemas-microsoft-com:office:smarttags" w:element="PersonName">
        <w:smartTagPr>
          <w:attr w:name="ProductID" w:val="la Codificación"/>
        </w:smartTagPr>
        <w:r w:rsidRPr="00866D24">
          <w:rPr>
            <w:rFonts w:ascii="Arial" w:hAnsi="Arial" w:cs="Arial"/>
            <w:sz w:val="24"/>
            <w:szCs w:val="24"/>
            <w:lang/>
          </w:rPr>
          <w:t>la Codificación</w:t>
        </w:r>
      </w:smartTag>
      <w:r w:rsidRPr="00866D24">
        <w:rPr>
          <w:rFonts w:ascii="Arial" w:hAnsi="Arial" w:cs="Arial"/>
          <w:sz w:val="24"/>
          <w:szCs w:val="24"/>
          <w:lang/>
        </w:rPr>
        <w:t xml:space="preserve"> de </w:t>
      </w:r>
      <w:r w:rsidR="00866D24" w:rsidRPr="00866D24">
        <w:rPr>
          <w:rFonts w:ascii="Arial" w:hAnsi="Arial" w:cs="Arial"/>
          <w:sz w:val="24"/>
          <w:szCs w:val="24"/>
          <w:lang/>
        </w:rPr>
        <w:t xml:space="preserve">Resoluciones  de </w:t>
      </w:r>
      <w:smartTag w:uri="urn:schemas-microsoft-com:office:smarttags" w:element="PersonName">
        <w:smartTagPr>
          <w:attr w:name="ProductID" w:val="la Superintendencia"/>
        </w:smartTagPr>
        <w:r w:rsidR="00866D24" w:rsidRPr="00866D24">
          <w:rPr>
            <w:rFonts w:ascii="Arial" w:hAnsi="Arial" w:cs="Arial"/>
            <w:sz w:val="24"/>
            <w:szCs w:val="24"/>
            <w:lang/>
          </w:rPr>
          <w:t>la Superintendencia</w:t>
        </w:r>
      </w:smartTag>
      <w:r w:rsidRPr="00866D24">
        <w:rPr>
          <w:rFonts w:ascii="Arial" w:hAnsi="Arial" w:cs="Arial"/>
          <w:sz w:val="24"/>
          <w:szCs w:val="24"/>
          <w:lang/>
        </w:rPr>
        <w:t xml:space="preserve"> de Bancos y Seguros del Ecuador y </w:t>
      </w:r>
      <w:smartTag w:uri="urn:schemas-microsoft-com:office:smarttags" w:element="PersonName">
        <w:smartTagPr>
          <w:attr w:name="ProductID" w:val="la Junta Bancaria"/>
        </w:smartTagPr>
        <w:r w:rsidRPr="00866D24">
          <w:rPr>
            <w:rFonts w:ascii="Arial" w:hAnsi="Arial" w:cs="Arial"/>
            <w:sz w:val="24"/>
            <w:szCs w:val="24"/>
            <w:lang/>
          </w:rPr>
          <w:t>la Junta Bancaria</w:t>
        </w:r>
      </w:smartTag>
      <w:r w:rsidRPr="00866D24">
        <w:rPr>
          <w:rFonts w:ascii="Arial" w:hAnsi="Arial" w:cs="Arial"/>
          <w:sz w:val="24"/>
          <w:szCs w:val="24"/>
          <w:lang/>
        </w:rPr>
        <w:t>, las entidades bajo su control deben transferir a cartera vencida los saldos de sus créditos, ya sean estos de tipo comercial, consumo, vivienda o microempresa incluyendo los reestructurados que no hubieran sido cancelados de acuerdo a los siguientes criterios.</w:t>
      </w:r>
    </w:p>
    <w:p w:rsidR="006774DB" w:rsidRPr="00866D24" w:rsidRDefault="006774DB" w:rsidP="006774DB">
      <w:pPr>
        <w:spacing w:line="360" w:lineRule="auto"/>
        <w:jc w:val="both"/>
        <w:rPr>
          <w:rFonts w:ascii="Arial" w:hAnsi="Arial" w:cs="Arial"/>
          <w:sz w:val="24"/>
          <w:szCs w:val="24"/>
          <w:lang/>
        </w:rPr>
      </w:pPr>
    </w:p>
    <w:p w:rsidR="006774DB" w:rsidRPr="00866D24" w:rsidRDefault="006774DB" w:rsidP="006774DB">
      <w:pPr>
        <w:widowControl w:val="0"/>
        <w:numPr>
          <w:ilvl w:val="0"/>
          <w:numId w:val="11"/>
        </w:numPr>
        <w:tabs>
          <w:tab w:val="left" w:pos="1778"/>
        </w:tabs>
        <w:suppressAutoHyphens/>
        <w:spacing w:after="0" w:line="360" w:lineRule="auto"/>
        <w:ind w:left="0" w:firstLine="454"/>
        <w:jc w:val="both"/>
        <w:rPr>
          <w:rFonts w:ascii="Arial" w:hAnsi="Arial" w:cs="Arial"/>
          <w:sz w:val="24"/>
          <w:szCs w:val="24"/>
          <w:lang/>
        </w:rPr>
      </w:pPr>
      <w:r w:rsidRPr="00866D24">
        <w:rPr>
          <w:rFonts w:ascii="Arial" w:hAnsi="Arial" w:cs="Arial"/>
          <w:sz w:val="24"/>
          <w:szCs w:val="24"/>
          <w:lang/>
        </w:rPr>
        <w:t>Los saldos de créditos, cuotas, dividendos, cánones de arrendamiento mercantil comercial a los 30 días posteriores a su fecha de vencimiento.</w:t>
      </w:r>
    </w:p>
    <w:p w:rsidR="006774DB" w:rsidRDefault="006774DB" w:rsidP="006774DB">
      <w:pPr>
        <w:widowControl w:val="0"/>
        <w:numPr>
          <w:ilvl w:val="0"/>
          <w:numId w:val="11"/>
        </w:numPr>
        <w:tabs>
          <w:tab w:val="left" w:pos="1778"/>
        </w:tabs>
        <w:suppressAutoHyphens/>
        <w:spacing w:after="0" w:line="360" w:lineRule="auto"/>
        <w:ind w:left="0" w:firstLine="454"/>
        <w:jc w:val="both"/>
        <w:rPr>
          <w:rFonts w:ascii="Arial" w:hAnsi="Arial" w:cs="Arial"/>
          <w:sz w:val="24"/>
          <w:szCs w:val="24"/>
          <w:lang/>
        </w:rPr>
      </w:pPr>
      <w:r w:rsidRPr="00866D24">
        <w:rPr>
          <w:rFonts w:ascii="Arial" w:hAnsi="Arial" w:cs="Arial"/>
          <w:sz w:val="24"/>
          <w:szCs w:val="24"/>
          <w:lang/>
        </w:rPr>
        <w:t>Las cuotas o dividendos de créditos de amortización gradual con garantía hipotecaria, a los 60 días posteriores a la fecha de vencimiento de la cuota o dividendo.</w:t>
      </w:r>
    </w:p>
    <w:p w:rsidR="00FF2E1A" w:rsidRDefault="00FF2E1A" w:rsidP="00FF2E1A">
      <w:pPr>
        <w:widowControl w:val="0"/>
        <w:tabs>
          <w:tab w:val="left" w:pos="1778"/>
        </w:tabs>
        <w:suppressAutoHyphens/>
        <w:spacing w:after="0" w:line="360" w:lineRule="auto"/>
        <w:jc w:val="both"/>
        <w:rPr>
          <w:rFonts w:ascii="Arial" w:hAnsi="Arial" w:cs="Arial"/>
          <w:sz w:val="24"/>
          <w:szCs w:val="24"/>
          <w:lang/>
        </w:rPr>
      </w:pPr>
      <w:r>
        <w:pict>
          <v:line id="_x0000_s1083" style="position:absolute;left:0;text-align:left;z-index:251670016" from="-2.55pt,16.5pt" to="140.7pt,16.5pt" strokeweight=".26mm">
            <v:stroke joinstyle="miter"/>
          </v:line>
        </w:pict>
      </w:r>
    </w:p>
    <w:p w:rsidR="00FF2E1A" w:rsidRPr="00FF2E1A" w:rsidRDefault="00FF2E1A" w:rsidP="00FF2E1A">
      <w:pPr>
        <w:spacing w:line="360" w:lineRule="auto"/>
        <w:ind w:firstLine="454"/>
        <w:jc w:val="both"/>
        <w:rPr>
          <w:rFonts w:ascii="Arial" w:hAnsi="Arial" w:cs="Arial"/>
          <w:sz w:val="18"/>
          <w:szCs w:val="18"/>
          <w:lang/>
        </w:rPr>
      </w:pPr>
      <w:r>
        <w:rPr>
          <w:rStyle w:val="Refdenotaalpie1"/>
          <w:rFonts w:ascii="Arial" w:hAnsi="Arial" w:cs="Arial"/>
          <w:sz w:val="18"/>
          <w:szCs w:val="18"/>
          <w:lang/>
        </w:rPr>
        <w:t>6</w:t>
      </w:r>
      <w:r>
        <w:rPr>
          <w:rFonts w:ascii="Arial" w:hAnsi="Arial" w:cs="Arial"/>
          <w:sz w:val="18"/>
          <w:szCs w:val="18"/>
          <w:lang/>
        </w:rPr>
        <w:t xml:space="preserve"> Según Reg.No.SBS-2002-0297 Corresponde desde la cuenta 1421 hasta la 1428 del grupo 14 (Cartera de Credito).</w:t>
      </w:r>
    </w:p>
    <w:p w:rsidR="006774DB" w:rsidRPr="00866D24" w:rsidRDefault="006774DB" w:rsidP="006774DB">
      <w:pPr>
        <w:widowControl w:val="0"/>
        <w:numPr>
          <w:ilvl w:val="0"/>
          <w:numId w:val="11"/>
        </w:numPr>
        <w:tabs>
          <w:tab w:val="left" w:pos="1778"/>
        </w:tabs>
        <w:suppressAutoHyphens/>
        <w:spacing w:after="0" w:line="360" w:lineRule="auto"/>
        <w:ind w:left="0" w:firstLine="454"/>
        <w:jc w:val="both"/>
        <w:rPr>
          <w:rFonts w:ascii="Arial" w:hAnsi="Arial" w:cs="Arial"/>
          <w:sz w:val="24"/>
          <w:szCs w:val="24"/>
          <w:lang/>
        </w:rPr>
      </w:pPr>
      <w:r w:rsidRPr="00866D24">
        <w:rPr>
          <w:rFonts w:ascii="Arial" w:hAnsi="Arial" w:cs="Arial"/>
          <w:sz w:val="24"/>
          <w:szCs w:val="24"/>
          <w:lang/>
        </w:rPr>
        <w:lastRenderedPageBreak/>
        <w:t>Las cuotas o dividendos de los créditos para microempresa y consumo, a los 5 días posteriores a la fecha de su vencimiento, exceptuando los consumos por Tarjeta de Crédito, los cuales se transferían a los 15 días posteriores a su fecha de vencimiento.</w:t>
      </w:r>
    </w:p>
    <w:p w:rsidR="006774DB" w:rsidRDefault="006774DB" w:rsidP="006774DB">
      <w:pPr>
        <w:spacing w:line="360" w:lineRule="auto"/>
        <w:ind w:firstLine="454"/>
        <w:jc w:val="both"/>
        <w:rPr>
          <w:rFonts w:ascii="Arial" w:hAnsi="Arial" w:cs="Arial"/>
          <w:sz w:val="20"/>
          <w:szCs w:val="20"/>
          <w:lang/>
        </w:rPr>
      </w:pPr>
    </w:p>
    <w:p w:rsidR="006774DB" w:rsidRPr="00866D24" w:rsidRDefault="006774DB" w:rsidP="006774DB">
      <w:pPr>
        <w:widowControl w:val="0"/>
        <w:numPr>
          <w:ilvl w:val="0"/>
          <w:numId w:val="11"/>
        </w:numPr>
        <w:tabs>
          <w:tab w:val="left" w:pos="1262"/>
        </w:tabs>
        <w:suppressAutoHyphens/>
        <w:spacing w:after="0" w:line="360" w:lineRule="auto"/>
        <w:ind w:left="0" w:firstLine="454"/>
        <w:jc w:val="both"/>
        <w:rPr>
          <w:rFonts w:ascii="Arial" w:hAnsi="Arial" w:cs="Arial"/>
          <w:b/>
          <w:sz w:val="28"/>
          <w:szCs w:val="28"/>
          <w:lang/>
        </w:rPr>
      </w:pPr>
      <w:r w:rsidRPr="00866D24">
        <w:rPr>
          <w:rFonts w:ascii="Arial" w:hAnsi="Arial" w:cs="Arial"/>
          <w:b/>
          <w:sz w:val="28"/>
          <w:szCs w:val="28"/>
          <w:lang/>
        </w:rPr>
        <w:t>PROVISIONES SOBRE COLOCACIONES</w:t>
      </w:r>
    </w:p>
    <w:p w:rsidR="006774DB" w:rsidRPr="006D7AE5" w:rsidRDefault="006774DB" w:rsidP="006774DB">
      <w:pPr>
        <w:tabs>
          <w:tab w:val="left" w:pos="1262"/>
        </w:tabs>
        <w:spacing w:line="360" w:lineRule="auto"/>
        <w:jc w:val="both"/>
        <w:rPr>
          <w:rFonts w:ascii="Arial" w:hAnsi="Arial" w:cs="Arial"/>
          <w:b/>
          <w:lang/>
        </w:rPr>
      </w:pPr>
    </w:p>
    <w:p w:rsidR="006774DB" w:rsidRPr="00866D24" w:rsidRDefault="006774DB" w:rsidP="006774DB">
      <w:pPr>
        <w:spacing w:line="360" w:lineRule="auto"/>
        <w:ind w:firstLine="454"/>
        <w:jc w:val="both"/>
        <w:rPr>
          <w:rFonts w:ascii="Arial" w:hAnsi="Arial" w:cs="Arial"/>
          <w:sz w:val="24"/>
          <w:szCs w:val="24"/>
          <w:lang/>
        </w:rPr>
      </w:pPr>
      <w:r w:rsidRPr="00866D24">
        <w:rPr>
          <w:rFonts w:ascii="Arial" w:hAnsi="Arial" w:cs="Arial"/>
          <w:sz w:val="24"/>
          <w:szCs w:val="24"/>
          <w:lang/>
        </w:rPr>
        <w:t xml:space="preserve">De acuerdo al artículo 69 de </w:t>
      </w:r>
      <w:smartTag w:uri="urn:schemas-microsoft-com:office:smarttags" w:element="PersonName">
        <w:smartTagPr>
          <w:attr w:name="ProductID" w:val="la Ley General"/>
        </w:smartTagPr>
        <w:r w:rsidRPr="00866D24">
          <w:rPr>
            <w:rFonts w:ascii="Arial" w:hAnsi="Arial" w:cs="Arial"/>
            <w:sz w:val="24"/>
            <w:szCs w:val="24"/>
            <w:lang/>
          </w:rPr>
          <w:t>la Ley General</w:t>
        </w:r>
      </w:smartTag>
      <w:r w:rsidRPr="00866D24">
        <w:rPr>
          <w:rFonts w:ascii="Arial" w:hAnsi="Arial" w:cs="Arial"/>
          <w:sz w:val="24"/>
          <w:szCs w:val="24"/>
          <w:lang/>
        </w:rPr>
        <w:t xml:space="preserve"> del Sistema Financiero, las Provisiones, son un rubro de valuación de activo y naturaleza acreedora,  afecta a los resultados y  se constituye para cubrir eventuales pérdidas por cuentas incobrables o por desvalorización de los activos o de los contingentes que se </w:t>
      </w:r>
      <w:r w:rsidR="004A07FC">
        <w:rPr>
          <w:rFonts w:ascii="Arial" w:hAnsi="Arial" w:cs="Arial"/>
          <w:sz w:val="24"/>
          <w:szCs w:val="24"/>
          <w:lang/>
        </w:rPr>
        <w:t>pueden</w:t>
      </w:r>
      <w:r w:rsidR="004254CE">
        <w:rPr>
          <w:rFonts w:ascii="Arial" w:hAnsi="Arial" w:cs="Arial"/>
          <w:sz w:val="24"/>
          <w:szCs w:val="24"/>
          <w:lang/>
        </w:rPr>
        <w:t xml:space="preserve"> </w:t>
      </w:r>
      <w:r w:rsidRPr="00866D24">
        <w:rPr>
          <w:rFonts w:ascii="Arial" w:hAnsi="Arial" w:cs="Arial"/>
          <w:sz w:val="24"/>
          <w:szCs w:val="24"/>
          <w:lang/>
        </w:rPr>
        <w:t>generar en las distintas clases y categorías de crédito que una entidad bancaria otorga.</w:t>
      </w:r>
    </w:p>
    <w:p w:rsidR="006774DB" w:rsidRDefault="006774DB" w:rsidP="006774DB">
      <w:pPr>
        <w:spacing w:line="360" w:lineRule="auto"/>
        <w:ind w:firstLine="454"/>
        <w:jc w:val="both"/>
        <w:rPr>
          <w:rFonts w:cs="Calibri"/>
          <w:b/>
          <w:lang/>
        </w:rPr>
      </w:pPr>
    </w:p>
    <w:p w:rsidR="006774DB" w:rsidRPr="00866D24" w:rsidRDefault="006774DB" w:rsidP="006774DB">
      <w:pPr>
        <w:spacing w:line="360" w:lineRule="auto"/>
        <w:ind w:firstLine="454"/>
        <w:jc w:val="both"/>
        <w:rPr>
          <w:rFonts w:ascii="Arial" w:hAnsi="Arial" w:cs="Arial"/>
          <w:b/>
          <w:sz w:val="28"/>
          <w:szCs w:val="28"/>
          <w:lang/>
        </w:rPr>
      </w:pPr>
      <w:r w:rsidRPr="00866D24">
        <w:rPr>
          <w:rFonts w:ascii="Arial" w:hAnsi="Arial" w:cs="Arial"/>
          <w:b/>
          <w:sz w:val="28"/>
          <w:szCs w:val="28"/>
          <w:lang/>
        </w:rPr>
        <w:t>CUENTAS CORRESPONDIENTES AL PASIVO</w:t>
      </w:r>
    </w:p>
    <w:p w:rsidR="006774DB" w:rsidRPr="00866D24" w:rsidRDefault="006774DB" w:rsidP="006774DB">
      <w:pPr>
        <w:spacing w:line="360" w:lineRule="auto"/>
        <w:ind w:firstLine="454"/>
        <w:jc w:val="both"/>
        <w:rPr>
          <w:rFonts w:ascii="Arial" w:hAnsi="Arial" w:cs="Arial"/>
          <w:sz w:val="28"/>
          <w:szCs w:val="28"/>
          <w:lang/>
        </w:rPr>
      </w:pPr>
      <w:r w:rsidRPr="00866D24">
        <w:rPr>
          <w:rFonts w:ascii="Arial" w:hAnsi="Arial" w:cs="Arial"/>
          <w:sz w:val="28"/>
          <w:szCs w:val="28"/>
          <w:lang/>
        </w:rPr>
        <w:t xml:space="preserve"> </w:t>
      </w:r>
    </w:p>
    <w:p w:rsidR="006774DB" w:rsidRPr="00866D24" w:rsidRDefault="00866D24" w:rsidP="006774DB">
      <w:pPr>
        <w:widowControl w:val="0"/>
        <w:numPr>
          <w:ilvl w:val="0"/>
          <w:numId w:val="12"/>
        </w:numPr>
        <w:tabs>
          <w:tab w:val="left" w:pos="1262"/>
        </w:tabs>
        <w:suppressAutoHyphens/>
        <w:spacing w:after="0" w:line="360" w:lineRule="auto"/>
        <w:ind w:left="0" w:firstLine="454"/>
        <w:jc w:val="both"/>
        <w:rPr>
          <w:rFonts w:ascii="Arial" w:hAnsi="Arial" w:cs="Arial"/>
          <w:b/>
          <w:sz w:val="28"/>
          <w:szCs w:val="28"/>
          <w:lang/>
        </w:rPr>
      </w:pPr>
      <w:r>
        <w:rPr>
          <w:rFonts w:ascii="Arial" w:hAnsi="Arial" w:cs="Arial"/>
          <w:b/>
          <w:sz w:val="28"/>
          <w:szCs w:val="28"/>
          <w:lang/>
        </w:rPr>
        <w:t>OBLIGACIONES CON EL PÚ</w:t>
      </w:r>
      <w:r w:rsidR="006774DB" w:rsidRPr="00866D24">
        <w:rPr>
          <w:rFonts w:ascii="Arial" w:hAnsi="Arial" w:cs="Arial"/>
          <w:b/>
          <w:sz w:val="28"/>
          <w:szCs w:val="28"/>
          <w:lang/>
        </w:rPr>
        <w:t>BLICO</w:t>
      </w:r>
    </w:p>
    <w:p w:rsidR="006774DB" w:rsidRDefault="006774DB" w:rsidP="006774DB">
      <w:pPr>
        <w:tabs>
          <w:tab w:val="left" w:pos="1262"/>
        </w:tabs>
        <w:spacing w:line="360" w:lineRule="auto"/>
        <w:jc w:val="both"/>
        <w:rPr>
          <w:rFonts w:ascii="Arial" w:hAnsi="Arial" w:cs="Arial"/>
          <w:b/>
          <w:lang/>
        </w:rPr>
      </w:pPr>
    </w:p>
    <w:p w:rsidR="006774DB" w:rsidRPr="00866D24" w:rsidRDefault="006774DB" w:rsidP="006774DB">
      <w:pPr>
        <w:spacing w:line="360" w:lineRule="auto"/>
        <w:ind w:firstLine="454"/>
        <w:jc w:val="both"/>
        <w:rPr>
          <w:rFonts w:ascii="Arial" w:hAnsi="Arial" w:cs="Arial"/>
          <w:sz w:val="24"/>
          <w:szCs w:val="24"/>
          <w:lang/>
        </w:rPr>
      </w:pPr>
      <w:r w:rsidRPr="00866D24">
        <w:rPr>
          <w:rFonts w:ascii="Arial" w:hAnsi="Arial" w:cs="Arial"/>
          <w:sz w:val="24"/>
          <w:szCs w:val="24"/>
          <w:lang/>
        </w:rPr>
        <w:t xml:space="preserve">En este rubro se registran todas las obligaciones a corto plazo como Depósitos a </w:t>
      </w:r>
      <w:smartTag w:uri="urn:schemas-microsoft-com:office:smarttags" w:element="PersonName">
        <w:smartTagPr>
          <w:attr w:name="ProductID" w:val="la Vista"/>
        </w:smartTagPr>
        <w:r w:rsidRPr="00866D24">
          <w:rPr>
            <w:rFonts w:ascii="Arial" w:hAnsi="Arial" w:cs="Arial"/>
            <w:sz w:val="24"/>
            <w:szCs w:val="24"/>
            <w:lang/>
          </w:rPr>
          <w:t>la Vista</w:t>
        </w:r>
      </w:smartTag>
      <w:r w:rsidRPr="00866D24">
        <w:rPr>
          <w:rFonts w:ascii="Arial" w:hAnsi="Arial" w:cs="Arial"/>
          <w:sz w:val="24"/>
          <w:szCs w:val="24"/>
          <w:lang/>
        </w:rPr>
        <w:t>, Operaciones de Reporto, Depósitos a Plazo, Depósitos en Garantía, Depósitos Registrados que una entidad bancaria capta de su clientes. Las obligaciones recibidas dentro de este grupo de cuentas consisten en custodiarlas y devolver el dinero recibido.</w:t>
      </w:r>
    </w:p>
    <w:p w:rsidR="00866D24" w:rsidRDefault="00866D24" w:rsidP="006774DB">
      <w:pPr>
        <w:spacing w:line="360" w:lineRule="auto"/>
        <w:ind w:firstLine="454"/>
        <w:jc w:val="both"/>
        <w:rPr>
          <w:rFonts w:cs="Calibri"/>
          <w:b/>
          <w:lang/>
        </w:rPr>
      </w:pPr>
    </w:p>
    <w:p w:rsidR="006774DB" w:rsidRDefault="006774DB" w:rsidP="006774DB">
      <w:pPr>
        <w:widowControl w:val="0"/>
        <w:numPr>
          <w:ilvl w:val="0"/>
          <w:numId w:val="12"/>
        </w:numPr>
        <w:tabs>
          <w:tab w:val="left" w:pos="1262"/>
        </w:tabs>
        <w:suppressAutoHyphens/>
        <w:spacing w:after="0" w:line="360" w:lineRule="auto"/>
        <w:ind w:left="0" w:firstLine="454"/>
        <w:jc w:val="both"/>
        <w:rPr>
          <w:rFonts w:ascii="Arial" w:hAnsi="Arial" w:cs="Arial"/>
          <w:b/>
          <w:lang/>
        </w:rPr>
      </w:pPr>
      <w:r w:rsidRPr="00836722">
        <w:rPr>
          <w:rFonts w:ascii="Arial" w:hAnsi="Arial" w:cs="Arial"/>
          <w:b/>
          <w:lang/>
        </w:rPr>
        <w:t>OTROS PASIVOS CON COSTO</w:t>
      </w:r>
    </w:p>
    <w:p w:rsidR="006774DB" w:rsidRPr="00836722" w:rsidRDefault="006774DB" w:rsidP="006774DB">
      <w:pPr>
        <w:tabs>
          <w:tab w:val="left" w:pos="1262"/>
        </w:tabs>
        <w:spacing w:line="360" w:lineRule="auto"/>
        <w:jc w:val="both"/>
        <w:rPr>
          <w:rFonts w:ascii="Arial" w:hAnsi="Arial" w:cs="Arial"/>
          <w:b/>
          <w:lang/>
        </w:rPr>
      </w:pPr>
    </w:p>
    <w:p w:rsidR="006774DB" w:rsidRPr="00866D24" w:rsidRDefault="006774DB" w:rsidP="006774DB">
      <w:pPr>
        <w:spacing w:line="360" w:lineRule="auto"/>
        <w:ind w:firstLine="454"/>
        <w:jc w:val="both"/>
        <w:rPr>
          <w:rFonts w:ascii="Arial" w:hAnsi="Arial" w:cs="Arial"/>
          <w:sz w:val="24"/>
          <w:szCs w:val="24"/>
          <w:lang/>
        </w:rPr>
      </w:pPr>
      <w:r w:rsidRPr="00866D24">
        <w:rPr>
          <w:rFonts w:ascii="Arial" w:hAnsi="Arial" w:cs="Arial"/>
          <w:sz w:val="24"/>
          <w:szCs w:val="24"/>
          <w:lang/>
        </w:rPr>
        <w:lastRenderedPageBreak/>
        <w:t>Para una mejor proyección del balance general se han agrupado las demás obligaciones que una entidad adquiere y que no pertenecen al público, debido a que son manejables y negociables en comparación con las obligaciones con el público.</w:t>
      </w:r>
    </w:p>
    <w:p w:rsidR="006774DB" w:rsidRDefault="006774DB" w:rsidP="006774DB">
      <w:pPr>
        <w:spacing w:line="360" w:lineRule="auto"/>
        <w:ind w:firstLine="454"/>
        <w:jc w:val="both"/>
        <w:rPr>
          <w:rFonts w:cs="Calibri"/>
          <w:b/>
          <w:lang/>
        </w:rPr>
      </w:pPr>
    </w:p>
    <w:p w:rsidR="006774DB" w:rsidRPr="00866D24" w:rsidRDefault="006774DB" w:rsidP="006774DB">
      <w:pPr>
        <w:spacing w:line="360" w:lineRule="auto"/>
        <w:ind w:firstLine="454"/>
        <w:jc w:val="both"/>
        <w:rPr>
          <w:rFonts w:ascii="Arial" w:hAnsi="Arial" w:cs="Arial"/>
          <w:b/>
          <w:sz w:val="28"/>
          <w:szCs w:val="28"/>
          <w:lang/>
        </w:rPr>
      </w:pPr>
      <w:r w:rsidRPr="00866D24">
        <w:rPr>
          <w:rFonts w:ascii="Arial" w:hAnsi="Arial" w:cs="Arial"/>
          <w:b/>
          <w:sz w:val="28"/>
          <w:szCs w:val="28"/>
          <w:lang/>
        </w:rPr>
        <w:t>CUENTAS CORRESPONDIENTES AL PATRIMONIO</w:t>
      </w:r>
    </w:p>
    <w:p w:rsidR="006774DB" w:rsidRPr="00866D24" w:rsidRDefault="006774DB" w:rsidP="006774DB">
      <w:pPr>
        <w:spacing w:line="360" w:lineRule="auto"/>
        <w:ind w:firstLine="454"/>
        <w:jc w:val="both"/>
        <w:rPr>
          <w:rFonts w:ascii="Arial" w:hAnsi="Arial" w:cs="Arial"/>
          <w:b/>
          <w:sz w:val="28"/>
          <w:szCs w:val="28"/>
          <w:lang/>
        </w:rPr>
      </w:pPr>
    </w:p>
    <w:p w:rsidR="006774DB" w:rsidRPr="00866D24" w:rsidRDefault="006774DB" w:rsidP="006774DB">
      <w:pPr>
        <w:widowControl w:val="0"/>
        <w:numPr>
          <w:ilvl w:val="0"/>
          <w:numId w:val="12"/>
        </w:numPr>
        <w:tabs>
          <w:tab w:val="left" w:pos="1262"/>
        </w:tabs>
        <w:suppressAutoHyphens/>
        <w:spacing w:after="0" w:line="360" w:lineRule="auto"/>
        <w:ind w:left="0" w:firstLine="454"/>
        <w:jc w:val="both"/>
        <w:rPr>
          <w:rFonts w:ascii="Arial" w:hAnsi="Arial" w:cs="Arial"/>
          <w:b/>
          <w:sz w:val="28"/>
          <w:szCs w:val="28"/>
          <w:lang/>
        </w:rPr>
      </w:pPr>
      <w:r w:rsidRPr="00866D24">
        <w:rPr>
          <w:rFonts w:ascii="Arial" w:hAnsi="Arial" w:cs="Arial"/>
          <w:b/>
          <w:sz w:val="28"/>
          <w:szCs w:val="28"/>
          <w:lang/>
        </w:rPr>
        <w:t>PATRIMONIO TOTAL</w:t>
      </w:r>
    </w:p>
    <w:p w:rsidR="006774DB" w:rsidRPr="00866D24" w:rsidRDefault="006774DB" w:rsidP="006774DB">
      <w:pPr>
        <w:tabs>
          <w:tab w:val="left" w:pos="1262"/>
        </w:tabs>
        <w:spacing w:line="360" w:lineRule="auto"/>
        <w:jc w:val="both"/>
        <w:rPr>
          <w:rFonts w:ascii="Arial" w:hAnsi="Arial" w:cs="Arial"/>
          <w:b/>
          <w:sz w:val="28"/>
          <w:szCs w:val="28"/>
          <w:lang/>
        </w:rPr>
      </w:pPr>
    </w:p>
    <w:p w:rsidR="006774DB" w:rsidRPr="009315B5" w:rsidRDefault="006774DB" w:rsidP="006774DB">
      <w:pPr>
        <w:spacing w:line="360" w:lineRule="auto"/>
        <w:ind w:firstLine="454"/>
        <w:jc w:val="both"/>
        <w:rPr>
          <w:rFonts w:ascii="Arial" w:hAnsi="Arial" w:cs="Arial"/>
          <w:sz w:val="24"/>
          <w:szCs w:val="24"/>
          <w:lang/>
        </w:rPr>
      </w:pPr>
      <w:r w:rsidRPr="009315B5">
        <w:rPr>
          <w:rFonts w:ascii="Arial" w:hAnsi="Arial" w:cs="Arial"/>
          <w:sz w:val="24"/>
          <w:szCs w:val="24"/>
          <w:lang/>
        </w:rPr>
        <w:t>Este grupo de cuentas representa la participación de los propietarios en los activos de la empresa. En estos rubros se registran los aportes de los accionistas, socios o Gobierno Nacional, la prima  de descuento en colocaciones de acciones, las reservas, otros aportes patrimoniales, superávit por valuaciones, y resultados acumulados del ejercicio.</w:t>
      </w:r>
    </w:p>
    <w:p w:rsidR="006774DB" w:rsidRDefault="006774DB" w:rsidP="006774DB">
      <w:pPr>
        <w:spacing w:line="360" w:lineRule="auto"/>
        <w:ind w:firstLine="454"/>
        <w:jc w:val="both"/>
        <w:rPr>
          <w:rFonts w:ascii="Arial" w:hAnsi="Arial" w:cs="Arial"/>
          <w:lang/>
        </w:rPr>
      </w:pPr>
    </w:p>
    <w:p w:rsidR="006774DB" w:rsidRPr="009315B5" w:rsidRDefault="006774DB" w:rsidP="006774DB">
      <w:pPr>
        <w:widowControl w:val="0"/>
        <w:numPr>
          <w:ilvl w:val="0"/>
          <w:numId w:val="12"/>
        </w:numPr>
        <w:tabs>
          <w:tab w:val="left" w:pos="1262"/>
        </w:tabs>
        <w:suppressAutoHyphens/>
        <w:spacing w:after="0" w:line="360" w:lineRule="auto"/>
        <w:ind w:left="0" w:firstLine="454"/>
        <w:jc w:val="both"/>
        <w:rPr>
          <w:rFonts w:ascii="Arial" w:hAnsi="Arial" w:cs="Arial"/>
          <w:b/>
          <w:sz w:val="28"/>
          <w:szCs w:val="28"/>
          <w:lang/>
        </w:rPr>
      </w:pPr>
      <w:r w:rsidRPr="009315B5">
        <w:rPr>
          <w:rFonts w:ascii="Arial" w:hAnsi="Arial" w:cs="Arial"/>
          <w:b/>
          <w:sz w:val="28"/>
          <w:szCs w:val="28"/>
          <w:lang/>
        </w:rPr>
        <w:t>UTILIDADES</w:t>
      </w:r>
    </w:p>
    <w:p w:rsidR="006774DB" w:rsidRDefault="006774DB" w:rsidP="006774DB">
      <w:pPr>
        <w:spacing w:line="360" w:lineRule="auto"/>
        <w:ind w:firstLine="454"/>
        <w:jc w:val="both"/>
        <w:rPr>
          <w:rFonts w:ascii="Arial" w:hAnsi="Arial" w:cs="Arial"/>
          <w:lang/>
        </w:rPr>
      </w:pPr>
    </w:p>
    <w:p w:rsidR="009315B5" w:rsidRDefault="006774DB" w:rsidP="00A84B71">
      <w:pPr>
        <w:spacing w:line="360" w:lineRule="auto"/>
        <w:ind w:firstLine="454"/>
        <w:jc w:val="both"/>
        <w:rPr>
          <w:rFonts w:ascii="Arial" w:hAnsi="Arial" w:cs="Arial"/>
          <w:sz w:val="24"/>
          <w:szCs w:val="24"/>
          <w:lang/>
        </w:rPr>
      </w:pPr>
      <w:r w:rsidRPr="009315B5">
        <w:rPr>
          <w:rFonts w:ascii="Arial" w:hAnsi="Arial" w:cs="Arial"/>
          <w:sz w:val="24"/>
          <w:szCs w:val="24"/>
          <w:lang/>
        </w:rPr>
        <w:t>En estos rubros se encuentran los saldos de las cuentas acreedoras y deudoras para el cierre del ejercicio económico. A fin de determinar la utilidad o pérdida bruta por lo que su saldo podría ser deudor o acreedor dependiendo del resultado.</w:t>
      </w:r>
    </w:p>
    <w:p w:rsidR="00A84B71" w:rsidRPr="00A84B71" w:rsidRDefault="00A84B71" w:rsidP="00A84B71">
      <w:pPr>
        <w:spacing w:line="360" w:lineRule="auto"/>
        <w:ind w:firstLine="454"/>
        <w:jc w:val="both"/>
        <w:rPr>
          <w:rFonts w:ascii="Arial" w:hAnsi="Arial" w:cs="Arial"/>
          <w:sz w:val="24"/>
          <w:szCs w:val="24"/>
          <w:lang/>
        </w:rPr>
      </w:pPr>
    </w:p>
    <w:p w:rsidR="006774DB" w:rsidRPr="009315B5" w:rsidRDefault="006774DB" w:rsidP="00A84B71">
      <w:pPr>
        <w:spacing w:line="360" w:lineRule="auto"/>
        <w:ind w:firstLine="454"/>
        <w:rPr>
          <w:rFonts w:ascii="Arial" w:hAnsi="Arial" w:cs="Arial"/>
          <w:b/>
          <w:sz w:val="28"/>
          <w:szCs w:val="28"/>
          <w:lang/>
        </w:rPr>
      </w:pPr>
      <w:r w:rsidRPr="009315B5">
        <w:rPr>
          <w:rFonts w:ascii="Arial" w:hAnsi="Arial" w:cs="Arial"/>
          <w:b/>
          <w:sz w:val="28"/>
          <w:szCs w:val="28"/>
          <w:lang/>
        </w:rPr>
        <w:t>CUENTAS DEL ESTADO DE RESULTADOS</w:t>
      </w:r>
    </w:p>
    <w:p w:rsidR="006774DB" w:rsidRPr="009315B5" w:rsidRDefault="006774DB" w:rsidP="009315B5">
      <w:pPr>
        <w:spacing w:line="360" w:lineRule="auto"/>
        <w:ind w:firstLine="454"/>
        <w:jc w:val="both"/>
        <w:rPr>
          <w:rFonts w:ascii="Arial" w:hAnsi="Arial" w:cs="Arial"/>
          <w:lang/>
        </w:rPr>
      </w:pPr>
      <w:r w:rsidRPr="009315B5">
        <w:rPr>
          <w:rFonts w:ascii="Arial" w:hAnsi="Arial" w:cs="Arial"/>
          <w:sz w:val="24"/>
          <w:szCs w:val="24"/>
          <w:lang/>
        </w:rPr>
        <w:lastRenderedPageBreak/>
        <w:t xml:space="preserve">Las cuentas que forman parte del Estado de Resultados emitido por las entidades bancarias y publicadas por </w:t>
      </w:r>
      <w:smartTag w:uri="urn:schemas-microsoft-com:office:smarttags" w:element="PersonName">
        <w:smartTagPr>
          <w:attr w:name="ProductID" w:val="la Superintendencia"/>
        </w:smartTagPr>
        <w:r w:rsidRPr="009315B5">
          <w:rPr>
            <w:rFonts w:ascii="Arial" w:hAnsi="Arial" w:cs="Arial"/>
            <w:sz w:val="24"/>
            <w:szCs w:val="24"/>
            <w:lang/>
          </w:rPr>
          <w:t>la Superintendencia</w:t>
        </w:r>
      </w:smartTag>
      <w:r w:rsidRPr="009315B5">
        <w:rPr>
          <w:rFonts w:ascii="Arial" w:hAnsi="Arial" w:cs="Arial"/>
          <w:sz w:val="24"/>
          <w:szCs w:val="24"/>
          <w:lang/>
        </w:rPr>
        <w:t xml:space="preserve"> de Bancos, se muestra el siguiente cuadro</w:t>
      </w:r>
      <w:r>
        <w:rPr>
          <w:rFonts w:ascii="Arial" w:hAnsi="Arial" w:cs="Arial"/>
          <w:lang/>
        </w:rPr>
        <w:t>.</w:t>
      </w:r>
    </w:p>
    <w:p w:rsidR="006774DB" w:rsidRDefault="006774DB" w:rsidP="006774DB">
      <w:pPr>
        <w:spacing w:line="360" w:lineRule="auto"/>
        <w:ind w:firstLine="454"/>
        <w:jc w:val="center"/>
        <w:rPr>
          <w:rFonts w:ascii="Arial" w:hAnsi="Arial" w:cs="Arial"/>
          <w:b/>
          <w:lang/>
        </w:rPr>
      </w:pPr>
      <w:r>
        <w:rPr>
          <w:rFonts w:ascii="Arial" w:hAnsi="Arial" w:cs="Arial"/>
          <w:b/>
          <w:lang/>
        </w:rPr>
        <w:t>CUADRO  2.2</w:t>
      </w:r>
    </w:p>
    <w:p w:rsidR="006774DB" w:rsidRDefault="006774DB" w:rsidP="006774DB">
      <w:pPr>
        <w:spacing w:line="360" w:lineRule="auto"/>
        <w:ind w:firstLine="454"/>
        <w:jc w:val="center"/>
        <w:rPr>
          <w:rFonts w:ascii="Arial" w:hAnsi="Arial" w:cs="Arial"/>
          <w:b/>
          <w:lang/>
        </w:rPr>
      </w:pPr>
      <w:r>
        <w:rPr>
          <w:rFonts w:ascii="Arial" w:hAnsi="Arial" w:cs="Arial"/>
          <w:b/>
          <w:lang/>
        </w:rPr>
        <w:t>ESTADO DE RESULTADOS</w:t>
      </w:r>
    </w:p>
    <w:p w:rsidR="006774DB" w:rsidRDefault="006774DB" w:rsidP="006774DB">
      <w:pPr>
        <w:spacing w:line="360" w:lineRule="auto"/>
        <w:ind w:firstLine="454"/>
        <w:jc w:val="both"/>
        <w:rPr>
          <w:rFonts w:ascii="Arial" w:hAnsi="Arial" w:cs="Arial"/>
          <w:sz w:val="20"/>
          <w:szCs w:val="20"/>
          <w:lang/>
        </w:rPr>
      </w:pPr>
      <w:r>
        <w:pict>
          <v:shapetype id="_x0000_t202" coordsize="21600,21600" o:spt="202" path="m,l,21600r21600,l21600,xe">
            <v:stroke joinstyle="miter"/>
            <v:path gradientshapeok="t" o:connecttype="rect"/>
          </v:shapetype>
          <v:shape id="_x0000_s1036" type="#_x0000_t202" style="position:absolute;left:0;text-align:left;margin-left:122pt;margin-top:5.6pt;width:224.5pt;height:453.05pt;z-index:251643392;mso-wrap-distance-left:0;mso-wrap-distance-right:7.05pt" stroked="f">
            <v:fill opacity="0" color2="black"/>
            <v:textbox style="mso-next-textbox:#_x0000_s1036" inset="0,0,0,0">
              <w:txbxContent>
                <w:tbl>
                  <w:tblPr>
                    <w:tblW w:w="0" w:type="auto"/>
                    <w:tblInd w:w="108" w:type="dxa"/>
                    <w:tblLayout w:type="fixed"/>
                    <w:tblLook w:val="0000"/>
                  </w:tblPr>
                  <w:tblGrid>
                    <w:gridCol w:w="3696"/>
                  </w:tblGrid>
                  <w:tr w:rsidR="00534734">
                    <w:trPr>
                      <w:trHeight w:val="1121"/>
                    </w:trPr>
                    <w:tc>
                      <w:tcPr>
                        <w:tcW w:w="3696" w:type="dxa"/>
                        <w:tcBorders>
                          <w:top w:val="single" w:sz="4" w:space="0" w:color="000000"/>
                          <w:left w:val="single" w:sz="4" w:space="0" w:color="000000"/>
                          <w:bottom w:val="single" w:sz="4" w:space="0" w:color="000000"/>
                          <w:right w:val="single" w:sz="4" w:space="0" w:color="000000"/>
                        </w:tcBorders>
                      </w:tcPr>
                      <w:p w:rsidR="00534734" w:rsidRDefault="00534734">
                        <w:pPr>
                          <w:snapToGrid w:val="0"/>
                          <w:jc w:val="both"/>
                          <w:rPr>
                            <w:rFonts w:ascii="Arial" w:hAnsi="Arial" w:cs="Arial"/>
                            <w:b/>
                            <w:sz w:val="20"/>
                            <w:szCs w:val="20"/>
                            <w:lang/>
                          </w:rPr>
                        </w:pPr>
                        <w:r>
                          <w:rPr>
                            <w:rFonts w:ascii="Arial" w:hAnsi="Arial" w:cs="Arial"/>
                            <w:b/>
                            <w:sz w:val="20"/>
                            <w:szCs w:val="20"/>
                            <w:lang/>
                          </w:rPr>
                          <w:t xml:space="preserve">    Intereses y Descuentos Ganados</w:t>
                        </w:r>
                      </w:p>
                      <w:p w:rsidR="00534734" w:rsidRDefault="00534734">
                        <w:pPr>
                          <w:jc w:val="both"/>
                          <w:rPr>
                            <w:rFonts w:ascii="Arial" w:hAnsi="Arial" w:cs="Arial"/>
                            <w:sz w:val="20"/>
                            <w:szCs w:val="20"/>
                            <w:lang/>
                          </w:rPr>
                        </w:pPr>
                        <w:r>
                          <w:rPr>
                            <w:rFonts w:ascii="Arial" w:hAnsi="Arial" w:cs="Arial"/>
                            <w:b/>
                            <w:sz w:val="20"/>
                            <w:szCs w:val="20"/>
                            <w:lang/>
                          </w:rPr>
                          <w:t xml:space="preserve">+   </w:t>
                        </w:r>
                        <w:r>
                          <w:rPr>
                            <w:rFonts w:ascii="Arial" w:hAnsi="Arial" w:cs="Arial"/>
                            <w:sz w:val="20"/>
                            <w:szCs w:val="20"/>
                            <w:lang/>
                          </w:rPr>
                          <w:t>Intereses Causados</w:t>
                        </w:r>
                      </w:p>
                      <w:p w:rsidR="00534734" w:rsidRDefault="00534734">
                        <w:pPr>
                          <w:jc w:val="both"/>
                          <w:rPr>
                            <w:rFonts w:ascii="Arial" w:hAnsi="Arial" w:cs="Arial"/>
                            <w:sz w:val="20"/>
                            <w:szCs w:val="20"/>
                            <w:lang/>
                          </w:rPr>
                        </w:pPr>
                        <w:r>
                          <w:rPr>
                            <w:rFonts w:ascii="Arial" w:hAnsi="Arial" w:cs="Arial"/>
                            <w:sz w:val="20"/>
                            <w:szCs w:val="20"/>
                            <w:lang/>
                          </w:rPr>
                          <w:t>+   Margen Neto de Interés</w:t>
                        </w:r>
                      </w:p>
                      <w:p w:rsidR="00534734" w:rsidRDefault="00534734">
                        <w:pPr>
                          <w:jc w:val="both"/>
                          <w:rPr>
                            <w:rFonts w:ascii="Arial" w:hAnsi="Arial" w:cs="Arial"/>
                            <w:sz w:val="20"/>
                            <w:szCs w:val="20"/>
                            <w:lang/>
                          </w:rPr>
                        </w:pPr>
                        <w:r>
                          <w:rPr>
                            <w:rFonts w:ascii="Arial" w:hAnsi="Arial" w:cs="Arial"/>
                            <w:sz w:val="20"/>
                            <w:szCs w:val="20"/>
                            <w:lang/>
                          </w:rPr>
                          <w:t>+   Comisiones Ganadas</w:t>
                        </w:r>
                      </w:p>
                      <w:p w:rsidR="00534734" w:rsidRDefault="00534734">
                        <w:pPr>
                          <w:jc w:val="both"/>
                          <w:rPr>
                            <w:rFonts w:ascii="Arial" w:hAnsi="Arial" w:cs="Arial"/>
                            <w:sz w:val="20"/>
                            <w:szCs w:val="20"/>
                            <w:lang/>
                          </w:rPr>
                        </w:pPr>
                        <w:r>
                          <w:rPr>
                            <w:rFonts w:ascii="Arial" w:hAnsi="Arial" w:cs="Arial"/>
                            <w:sz w:val="20"/>
                            <w:szCs w:val="20"/>
                            <w:lang/>
                          </w:rPr>
                          <w:t>+   Ingresos por Servicios</w:t>
                        </w:r>
                      </w:p>
                      <w:p w:rsidR="00534734" w:rsidRDefault="00534734">
                        <w:pPr>
                          <w:jc w:val="both"/>
                          <w:rPr>
                            <w:rFonts w:ascii="Arial" w:hAnsi="Arial" w:cs="Arial"/>
                            <w:sz w:val="20"/>
                            <w:szCs w:val="20"/>
                            <w:lang/>
                          </w:rPr>
                        </w:pPr>
                        <w:r>
                          <w:rPr>
                            <w:rFonts w:ascii="Arial" w:hAnsi="Arial" w:cs="Arial"/>
                            <w:sz w:val="20"/>
                            <w:szCs w:val="20"/>
                            <w:lang/>
                          </w:rPr>
                          <w:t>+   Comisiones Causadas</w:t>
                        </w:r>
                      </w:p>
                    </w:tc>
                  </w:tr>
                  <w:tr w:rsidR="00534734">
                    <w:trPr>
                      <w:trHeight w:val="699"/>
                    </w:trPr>
                    <w:tc>
                      <w:tcPr>
                        <w:tcW w:w="3696" w:type="dxa"/>
                        <w:tcBorders>
                          <w:left w:val="single" w:sz="4" w:space="0" w:color="000000"/>
                          <w:bottom w:val="single" w:sz="4" w:space="0" w:color="000000"/>
                          <w:right w:val="single" w:sz="4" w:space="0" w:color="000000"/>
                        </w:tcBorders>
                      </w:tcPr>
                      <w:p w:rsidR="00534734" w:rsidRDefault="00534734">
                        <w:pPr>
                          <w:snapToGrid w:val="0"/>
                          <w:jc w:val="both"/>
                          <w:rPr>
                            <w:rFonts w:ascii="Arial" w:hAnsi="Arial" w:cs="Arial"/>
                            <w:b/>
                            <w:sz w:val="20"/>
                            <w:szCs w:val="20"/>
                            <w:lang/>
                          </w:rPr>
                        </w:pPr>
                        <w:r>
                          <w:rPr>
                            <w:rFonts w:ascii="Arial" w:hAnsi="Arial" w:cs="Arial"/>
                            <w:sz w:val="20"/>
                            <w:szCs w:val="20"/>
                            <w:lang/>
                          </w:rPr>
                          <w:t xml:space="preserve">=  </w:t>
                        </w:r>
                        <w:r>
                          <w:rPr>
                            <w:rFonts w:ascii="Arial" w:hAnsi="Arial" w:cs="Arial"/>
                            <w:b/>
                            <w:sz w:val="20"/>
                            <w:szCs w:val="20"/>
                            <w:lang/>
                          </w:rPr>
                          <w:t>Utilidades Financieras Netas</w:t>
                        </w:r>
                      </w:p>
                      <w:p w:rsidR="00534734" w:rsidRPr="003231C2" w:rsidRDefault="00534734">
                        <w:pPr>
                          <w:jc w:val="both"/>
                          <w:rPr>
                            <w:rFonts w:ascii="Arial" w:hAnsi="Arial" w:cs="Arial"/>
                            <w:b/>
                            <w:sz w:val="20"/>
                            <w:szCs w:val="20"/>
                            <w:lang/>
                          </w:rPr>
                        </w:pPr>
                        <w:r w:rsidRPr="003231C2">
                          <w:rPr>
                            <w:rFonts w:ascii="Arial" w:hAnsi="Arial" w:cs="Arial"/>
                            <w:b/>
                            <w:sz w:val="20"/>
                            <w:szCs w:val="20"/>
                            <w:lang/>
                          </w:rPr>
                          <w:t>-   Pérdidas Financieras</w:t>
                        </w:r>
                      </w:p>
                    </w:tc>
                  </w:tr>
                  <w:tr w:rsidR="00534734">
                    <w:trPr>
                      <w:trHeight w:val="669"/>
                    </w:trPr>
                    <w:tc>
                      <w:tcPr>
                        <w:tcW w:w="3696" w:type="dxa"/>
                        <w:tcBorders>
                          <w:left w:val="single" w:sz="4" w:space="0" w:color="000000"/>
                          <w:bottom w:val="single" w:sz="4" w:space="0" w:color="000000"/>
                          <w:right w:val="single" w:sz="4" w:space="0" w:color="000000"/>
                        </w:tcBorders>
                      </w:tcPr>
                      <w:p w:rsidR="00534734" w:rsidRDefault="00534734">
                        <w:pPr>
                          <w:snapToGrid w:val="0"/>
                          <w:jc w:val="both"/>
                          <w:rPr>
                            <w:rFonts w:ascii="Arial" w:hAnsi="Arial" w:cs="Arial"/>
                            <w:b/>
                            <w:sz w:val="20"/>
                            <w:szCs w:val="20"/>
                            <w:lang/>
                          </w:rPr>
                        </w:pPr>
                        <w:r>
                          <w:rPr>
                            <w:rFonts w:ascii="Arial" w:hAnsi="Arial" w:cs="Arial"/>
                            <w:sz w:val="20"/>
                            <w:szCs w:val="20"/>
                            <w:lang/>
                          </w:rPr>
                          <w:t xml:space="preserve">=  </w:t>
                        </w:r>
                        <w:r>
                          <w:rPr>
                            <w:rFonts w:ascii="Arial" w:hAnsi="Arial" w:cs="Arial"/>
                            <w:b/>
                            <w:sz w:val="20"/>
                            <w:szCs w:val="20"/>
                            <w:lang/>
                          </w:rPr>
                          <w:t>Margen Bruto Financiero</w:t>
                        </w:r>
                      </w:p>
                      <w:p w:rsidR="00534734" w:rsidRDefault="00534734">
                        <w:pPr>
                          <w:jc w:val="both"/>
                          <w:rPr>
                            <w:rFonts w:ascii="Arial" w:hAnsi="Arial" w:cs="Arial"/>
                            <w:sz w:val="20"/>
                            <w:szCs w:val="20"/>
                            <w:lang/>
                          </w:rPr>
                        </w:pPr>
                        <w:r>
                          <w:rPr>
                            <w:rFonts w:ascii="Arial" w:hAnsi="Arial" w:cs="Arial"/>
                            <w:sz w:val="20"/>
                            <w:szCs w:val="20"/>
                            <w:lang/>
                          </w:rPr>
                          <w:t>-  Gastos de Provisión</w:t>
                        </w:r>
                      </w:p>
                    </w:tc>
                  </w:tr>
                  <w:tr w:rsidR="00534734">
                    <w:trPr>
                      <w:trHeight w:val="681"/>
                    </w:trPr>
                    <w:tc>
                      <w:tcPr>
                        <w:tcW w:w="3696" w:type="dxa"/>
                        <w:tcBorders>
                          <w:left w:val="single" w:sz="4" w:space="0" w:color="000000"/>
                          <w:bottom w:val="single" w:sz="4" w:space="0" w:color="000000"/>
                          <w:right w:val="single" w:sz="4" w:space="0" w:color="000000"/>
                        </w:tcBorders>
                      </w:tcPr>
                      <w:p w:rsidR="00534734" w:rsidRDefault="00534734">
                        <w:pPr>
                          <w:snapToGrid w:val="0"/>
                          <w:jc w:val="both"/>
                          <w:rPr>
                            <w:rFonts w:ascii="Arial" w:hAnsi="Arial" w:cs="Arial"/>
                            <w:b/>
                            <w:sz w:val="20"/>
                            <w:szCs w:val="20"/>
                            <w:lang/>
                          </w:rPr>
                        </w:pPr>
                        <w:r>
                          <w:rPr>
                            <w:rFonts w:ascii="Arial" w:hAnsi="Arial" w:cs="Arial"/>
                            <w:sz w:val="20"/>
                            <w:szCs w:val="20"/>
                            <w:lang/>
                          </w:rPr>
                          <w:t xml:space="preserve">=  </w:t>
                        </w:r>
                        <w:r>
                          <w:rPr>
                            <w:rFonts w:ascii="Arial" w:hAnsi="Arial" w:cs="Arial"/>
                            <w:b/>
                            <w:sz w:val="20"/>
                            <w:szCs w:val="20"/>
                            <w:lang/>
                          </w:rPr>
                          <w:t>Margen Neto Financiero</w:t>
                        </w:r>
                      </w:p>
                      <w:p w:rsidR="00534734" w:rsidRDefault="00534734">
                        <w:pPr>
                          <w:jc w:val="both"/>
                          <w:rPr>
                            <w:rFonts w:ascii="Arial" w:hAnsi="Arial" w:cs="Arial"/>
                            <w:sz w:val="20"/>
                            <w:szCs w:val="20"/>
                            <w:lang/>
                          </w:rPr>
                        </w:pPr>
                        <w:r>
                          <w:rPr>
                            <w:rFonts w:ascii="Arial" w:hAnsi="Arial" w:cs="Arial"/>
                            <w:b/>
                            <w:sz w:val="20"/>
                            <w:szCs w:val="20"/>
                            <w:lang/>
                          </w:rPr>
                          <w:t xml:space="preserve"> -  </w:t>
                        </w:r>
                        <w:r>
                          <w:rPr>
                            <w:rFonts w:ascii="Arial" w:hAnsi="Arial" w:cs="Arial"/>
                            <w:sz w:val="20"/>
                            <w:szCs w:val="20"/>
                            <w:lang/>
                          </w:rPr>
                          <w:t>Gastos de Operación</w:t>
                        </w:r>
                      </w:p>
                    </w:tc>
                  </w:tr>
                  <w:tr w:rsidR="00534734">
                    <w:trPr>
                      <w:trHeight w:val="771"/>
                    </w:trPr>
                    <w:tc>
                      <w:tcPr>
                        <w:tcW w:w="3696" w:type="dxa"/>
                        <w:tcBorders>
                          <w:left w:val="single" w:sz="4" w:space="0" w:color="000000"/>
                          <w:bottom w:val="single" w:sz="4" w:space="0" w:color="000000"/>
                          <w:right w:val="single" w:sz="4" w:space="0" w:color="000000"/>
                        </w:tcBorders>
                      </w:tcPr>
                      <w:p w:rsidR="00534734" w:rsidRDefault="00534734">
                        <w:pPr>
                          <w:snapToGrid w:val="0"/>
                          <w:jc w:val="both"/>
                          <w:rPr>
                            <w:rFonts w:ascii="Arial" w:hAnsi="Arial" w:cs="Arial"/>
                            <w:b/>
                            <w:sz w:val="20"/>
                            <w:szCs w:val="20"/>
                            <w:lang/>
                          </w:rPr>
                        </w:pPr>
                        <w:r>
                          <w:rPr>
                            <w:rFonts w:ascii="Arial" w:hAnsi="Arial" w:cs="Arial"/>
                            <w:sz w:val="20"/>
                            <w:szCs w:val="20"/>
                            <w:lang/>
                          </w:rPr>
                          <w:t xml:space="preserve">=   </w:t>
                        </w:r>
                        <w:r>
                          <w:rPr>
                            <w:rFonts w:ascii="Arial" w:hAnsi="Arial" w:cs="Arial"/>
                            <w:b/>
                            <w:sz w:val="20"/>
                            <w:szCs w:val="20"/>
                            <w:lang/>
                          </w:rPr>
                          <w:t>Margen de Intermediación</w:t>
                        </w:r>
                      </w:p>
                      <w:p w:rsidR="00534734" w:rsidRDefault="00534734">
                        <w:pPr>
                          <w:jc w:val="both"/>
                          <w:rPr>
                            <w:rFonts w:ascii="Arial" w:hAnsi="Arial" w:cs="Arial"/>
                            <w:sz w:val="20"/>
                            <w:szCs w:val="20"/>
                            <w:lang/>
                          </w:rPr>
                        </w:pPr>
                        <w:r>
                          <w:rPr>
                            <w:rFonts w:ascii="Arial" w:hAnsi="Arial" w:cs="Arial"/>
                            <w:sz w:val="20"/>
                            <w:szCs w:val="20"/>
                            <w:lang/>
                          </w:rPr>
                          <w:t>+   Otros Ingresos Operacionales</w:t>
                        </w:r>
                      </w:p>
                      <w:p w:rsidR="00534734" w:rsidRDefault="00534734">
                        <w:pPr>
                          <w:jc w:val="both"/>
                          <w:rPr>
                            <w:rFonts w:ascii="Arial" w:hAnsi="Arial" w:cs="Arial"/>
                            <w:sz w:val="20"/>
                            <w:szCs w:val="20"/>
                            <w:lang/>
                          </w:rPr>
                        </w:pPr>
                        <w:r>
                          <w:rPr>
                            <w:rFonts w:ascii="Arial" w:hAnsi="Arial" w:cs="Arial"/>
                            <w:sz w:val="20"/>
                            <w:szCs w:val="20"/>
                            <w:lang/>
                          </w:rPr>
                          <w:t xml:space="preserve"> -   Otras Perdidas Operacionales</w:t>
                        </w:r>
                      </w:p>
                    </w:tc>
                  </w:tr>
                  <w:tr w:rsidR="00534734">
                    <w:trPr>
                      <w:trHeight w:val="955"/>
                    </w:trPr>
                    <w:tc>
                      <w:tcPr>
                        <w:tcW w:w="3696" w:type="dxa"/>
                        <w:tcBorders>
                          <w:left w:val="single" w:sz="4" w:space="0" w:color="000000"/>
                          <w:bottom w:val="single" w:sz="8" w:space="0" w:color="000000"/>
                          <w:right w:val="single" w:sz="4" w:space="0" w:color="000000"/>
                        </w:tcBorders>
                      </w:tcPr>
                      <w:p w:rsidR="00534734" w:rsidRDefault="00534734">
                        <w:pPr>
                          <w:snapToGrid w:val="0"/>
                          <w:jc w:val="both"/>
                          <w:rPr>
                            <w:rFonts w:ascii="Arial" w:hAnsi="Arial" w:cs="Arial"/>
                            <w:b/>
                            <w:sz w:val="20"/>
                            <w:szCs w:val="20"/>
                            <w:lang/>
                          </w:rPr>
                        </w:pPr>
                        <w:r>
                          <w:rPr>
                            <w:rFonts w:ascii="Arial" w:hAnsi="Arial" w:cs="Arial"/>
                            <w:b/>
                            <w:sz w:val="20"/>
                            <w:szCs w:val="20"/>
                            <w:lang/>
                          </w:rPr>
                          <w:t>=   Margen Operacional</w:t>
                        </w:r>
                      </w:p>
                      <w:p w:rsidR="00534734" w:rsidRDefault="00534734">
                        <w:pPr>
                          <w:jc w:val="both"/>
                          <w:rPr>
                            <w:rFonts w:ascii="Arial" w:hAnsi="Arial" w:cs="Arial"/>
                            <w:sz w:val="20"/>
                            <w:szCs w:val="20"/>
                            <w:lang/>
                          </w:rPr>
                        </w:pPr>
                        <w:r>
                          <w:rPr>
                            <w:rFonts w:ascii="Arial" w:hAnsi="Arial" w:cs="Arial"/>
                            <w:sz w:val="20"/>
                            <w:szCs w:val="20"/>
                            <w:lang/>
                          </w:rPr>
                          <w:t>+   Otros Ingresos</w:t>
                        </w:r>
                      </w:p>
                      <w:p w:rsidR="00534734" w:rsidRDefault="00534734">
                        <w:pPr>
                          <w:jc w:val="both"/>
                          <w:rPr>
                            <w:rFonts w:ascii="Arial" w:hAnsi="Arial" w:cs="Arial"/>
                            <w:sz w:val="20"/>
                            <w:szCs w:val="20"/>
                            <w:lang/>
                          </w:rPr>
                        </w:pPr>
                        <w:r>
                          <w:rPr>
                            <w:rFonts w:ascii="Arial" w:hAnsi="Arial" w:cs="Arial"/>
                            <w:sz w:val="20"/>
                            <w:szCs w:val="20"/>
                            <w:lang/>
                          </w:rPr>
                          <w:t xml:space="preserve"> -  Otros Gastos y Perdidas</w:t>
                        </w:r>
                      </w:p>
                    </w:tc>
                  </w:tr>
                  <w:tr w:rsidR="00534734">
                    <w:trPr>
                      <w:trHeight w:val="349"/>
                    </w:trPr>
                    <w:tc>
                      <w:tcPr>
                        <w:tcW w:w="3696" w:type="dxa"/>
                        <w:tcBorders>
                          <w:left w:val="single" w:sz="4" w:space="0" w:color="000000"/>
                          <w:bottom w:val="single" w:sz="8" w:space="0" w:color="000000"/>
                          <w:right w:val="single" w:sz="4" w:space="0" w:color="000000"/>
                        </w:tcBorders>
                        <w:vAlign w:val="center"/>
                      </w:tcPr>
                      <w:p w:rsidR="00534734" w:rsidRDefault="00534734">
                        <w:pPr>
                          <w:snapToGrid w:val="0"/>
                          <w:jc w:val="center"/>
                          <w:rPr>
                            <w:rFonts w:ascii="Arial" w:hAnsi="Arial" w:cs="Arial"/>
                            <w:b/>
                            <w:sz w:val="20"/>
                            <w:szCs w:val="20"/>
                            <w:lang/>
                          </w:rPr>
                        </w:pPr>
                        <w:r>
                          <w:rPr>
                            <w:rFonts w:ascii="Arial" w:hAnsi="Arial" w:cs="Arial"/>
                            <w:b/>
                            <w:sz w:val="20"/>
                            <w:szCs w:val="20"/>
                            <w:lang/>
                          </w:rPr>
                          <w:t>Ganancia o Perdida del Ejercicio</w:t>
                        </w:r>
                      </w:p>
                    </w:tc>
                  </w:tr>
                </w:tbl>
              </w:txbxContent>
            </v:textbox>
            <w10:wrap type="square" side="largest"/>
          </v:shape>
        </w:pict>
      </w:r>
    </w:p>
    <w:p w:rsidR="006774DB" w:rsidRDefault="006774DB" w:rsidP="006774DB">
      <w:pPr>
        <w:spacing w:line="360" w:lineRule="auto"/>
        <w:ind w:firstLine="454"/>
        <w:jc w:val="both"/>
        <w:rPr>
          <w:rFonts w:ascii="Arial" w:hAnsi="Arial" w:cs="Arial"/>
          <w:sz w:val="20"/>
          <w:szCs w:val="20"/>
          <w:lang/>
        </w:rPr>
      </w:pPr>
    </w:p>
    <w:p w:rsidR="006774DB" w:rsidRDefault="006774DB" w:rsidP="006774DB">
      <w:pPr>
        <w:spacing w:line="360" w:lineRule="auto"/>
        <w:ind w:firstLine="454"/>
        <w:jc w:val="both"/>
        <w:rPr>
          <w:rFonts w:ascii="Arial" w:hAnsi="Arial" w:cs="Arial"/>
          <w:sz w:val="20"/>
          <w:szCs w:val="20"/>
          <w:lang/>
        </w:rPr>
      </w:pPr>
    </w:p>
    <w:p w:rsidR="006774DB" w:rsidRDefault="006774DB" w:rsidP="006774DB">
      <w:pPr>
        <w:spacing w:line="360" w:lineRule="auto"/>
        <w:ind w:firstLine="454"/>
        <w:jc w:val="both"/>
        <w:rPr>
          <w:rFonts w:ascii="Arial" w:hAnsi="Arial" w:cs="Arial"/>
          <w:sz w:val="20"/>
          <w:szCs w:val="20"/>
          <w:lang/>
        </w:rPr>
      </w:pPr>
    </w:p>
    <w:p w:rsidR="006774DB" w:rsidRDefault="006774DB" w:rsidP="006774DB">
      <w:pPr>
        <w:spacing w:line="360" w:lineRule="auto"/>
        <w:ind w:firstLine="454"/>
        <w:jc w:val="both"/>
        <w:rPr>
          <w:rFonts w:ascii="Arial" w:hAnsi="Arial" w:cs="Arial"/>
          <w:sz w:val="20"/>
          <w:szCs w:val="20"/>
          <w:lang/>
        </w:rPr>
      </w:pPr>
    </w:p>
    <w:p w:rsidR="006774DB" w:rsidRDefault="006774DB" w:rsidP="006774DB">
      <w:pPr>
        <w:spacing w:line="360" w:lineRule="auto"/>
        <w:ind w:firstLine="454"/>
        <w:jc w:val="both"/>
        <w:rPr>
          <w:rFonts w:ascii="Arial" w:hAnsi="Arial" w:cs="Arial"/>
          <w:sz w:val="20"/>
          <w:szCs w:val="20"/>
          <w:lang/>
        </w:rPr>
      </w:pPr>
    </w:p>
    <w:p w:rsidR="006774DB" w:rsidRDefault="006774DB" w:rsidP="006774DB">
      <w:pPr>
        <w:spacing w:line="360" w:lineRule="auto"/>
        <w:ind w:firstLine="454"/>
        <w:jc w:val="both"/>
        <w:rPr>
          <w:rFonts w:ascii="Arial" w:hAnsi="Arial" w:cs="Arial"/>
          <w:sz w:val="20"/>
          <w:szCs w:val="20"/>
          <w:lang/>
        </w:rPr>
      </w:pPr>
    </w:p>
    <w:p w:rsidR="006774DB" w:rsidRDefault="006774DB" w:rsidP="006774DB">
      <w:pPr>
        <w:spacing w:line="360" w:lineRule="auto"/>
        <w:ind w:firstLine="454"/>
        <w:jc w:val="both"/>
        <w:rPr>
          <w:rFonts w:ascii="Arial" w:hAnsi="Arial" w:cs="Arial"/>
          <w:sz w:val="20"/>
          <w:szCs w:val="20"/>
          <w:lang/>
        </w:rPr>
      </w:pPr>
    </w:p>
    <w:p w:rsidR="006774DB" w:rsidRDefault="006774DB" w:rsidP="006774DB">
      <w:pPr>
        <w:spacing w:line="360" w:lineRule="auto"/>
        <w:ind w:firstLine="454"/>
        <w:jc w:val="both"/>
        <w:rPr>
          <w:rFonts w:ascii="Arial" w:hAnsi="Arial" w:cs="Arial"/>
          <w:sz w:val="20"/>
          <w:szCs w:val="20"/>
          <w:lang/>
        </w:rPr>
      </w:pPr>
    </w:p>
    <w:p w:rsidR="006774DB" w:rsidRDefault="006774DB" w:rsidP="006774DB">
      <w:pPr>
        <w:spacing w:line="360" w:lineRule="auto"/>
        <w:ind w:firstLine="454"/>
        <w:jc w:val="both"/>
        <w:rPr>
          <w:rFonts w:ascii="Arial" w:hAnsi="Arial" w:cs="Arial"/>
          <w:sz w:val="20"/>
          <w:szCs w:val="20"/>
          <w:lang/>
        </w:rPr>
      </w:pPr>
    </w:p>
    <w:p w:rsidR="006774DB" w:rsidRDefault="006774DB" w:rsidP="009315B5">
      <w:pPr>
        <w:spacing w:line="360" w:lineRule="auto"/>
        <w:rPr>
          <w:rFonts w:ascii="Arial" w:hAnsi="Arial" w:cs="Arial"/>
          <w:sz w:val="20"/>
          <w:szCs w:val="20"/>
          <w:lang/>
        </w:rPr>
      </w:pPr>
    </w:p>
    <w:p w:rsidR="006774DB" w:rsidRDefault="006774DB" w:rsidP="006774DB">
      <w:pPr>
        <w:spacing w:line="360" w:lineRule="auto"/>
        <w:rPr>
          <w:rFonts w:ascii="Arial" w:hAnsi="Arial" w:cs="Arial"/>
          <w:sz w:val="20"/>
          <w:szCs w:val="20"/>
          <w:lang/>
        </w:rPr>
      </w:pPr>
    </w:p>
    <w:p w:rsidR="00A84B71" w:rsidRDefault="00A84B71" w:rsidP="006774DB">
      <w:pPr>
        <w:spacing w:line="360" w:lineRule="auto"/>
        <w:ind w:firstLine="454"/>
        <w:rPr>
          <w:rFonts w:ascii="Arial" w:hAnsi="Arial" w:cs="Arial"/>
          <w:sz w:val="16"/>
          <w:szCs w:val="16"/>
          <w:lang/>
        </w:rPr>
      </w:pPr>
    </w:p>
    <w:p w:rsidR="00A84B71" w:rsidRDefault="00A84B71" w:rsidP="006774DB">
      <w:pPr>
        <w:spacing w:line="360" w:lineRule="auto"/>
        <w:ind w:firstLine="454"/>
        <w:rPr>
          <w:rFonts w:ascii="Arial" w:hAnsi="Arial" w:cs="Arial"/>
          <w:sz w:val="16"/>
          <w:szCs w:val="16"/>
          <w:lang/>
        </w:rPr>
      </w:pPr>
    </w:p>
    <w:p w:rsidR="00A84B71" w:rsidRDefault="00A84B71" w:rsidP="006774DB">
      <w:pPr>
        <w:spacing w:line="360" w:lineRule="auto"/>
        <w:ind w:firstLine="454"/>
        <w:rPr>
          <w:rFonts w:ascii="Arial" w:hAnsi="Arial" w:cs="Arial"/>
          <w:sz w:val="16"/>
          <w:szCs w:val="16"/>
          <w:lang/>
        </w:rPr>
      </w:pPr>
    </w:p>
    <w:p w:rsidR="00A84B71" w:rsidRDefault="00A84B71" w:rsidP="006774DB">
      <w:pPr>
        <w:spacing w:line="360" w:lineRule="auto"/>
        <w:ind w:firstLine="454"/>
        <w:rPr>
          <w:rFonts w:ascii="Arial" w:hAnsi="Arial" w:cs="Arial"/>
          <w:sz w:val="16"/>
          <w:szCs w:val="16"/>
          <w:lang/>
        </w:rPr>
      </w:pPr>
    </w:p>
    <w:p w:rsidR="00A84B71" w:rsidRDefault="00A84B71" w:rsidP="006774DB">
      <w:pPr>
        <w:spacing w:line="360" w:lineRule="auto"/>
        <w:ind w:firstLine="454"/>
        <w:rPr>
          <w:rFonts w:ascii="Arial" w:hAnsi="Arial" w:cs="Arial"/>
          <w:sz w:val="16"/>
          <w:szCs w:val="16"/>
          <w:lang/>
        </w:rPr>
      </w:pPr>
    </w:p>
    <w:p w:rsidR="00A84B71" w:rsidRDefault="00A84B71" w:rsidP="006774DB">
      <w:pPr>
        <w:spacing w:line="360" w:lineRule="auto"/>
        <w:ind w:firstLine="454"/>
        <w:rPr>
          <w:rFonts w:ascii="Arial" w:hAnsi="Arial" w:cs="Arial"/>
          <w:sz w:val="16"/>
          <w:szCs w:val="16"/>
          <w:lang/>
        </w:rPr>
      </w:pPr>
    </w:p>
    <w:p w:rsidR="006774DB" w:rsidRDefault="006774DB" w:rsidP="006774DB">
      <w:pPr>
        <w:spacing w:line="360" w:lineRule="auto"/>
        <w:ind w:firstLine="454"/>
        <w:rPr>
          <w:rFonts w:ascii="Arial" w:hAnsi="Arial" w:cs="Arial"/>
          <w:sz w:val="16"/>
          <w:szCs w:val="16"/>
          <w:lang/>
        </w:rPr>
      </w:pPr>
      <w:r>
        <w:rPr>
          <w:rFonts w:ascii="Arial" w:hAnsi="Arial" w:cs="Arial"/>
          <w:sz w:val="16"/>
          <w:szCs w:val="16"/>
          <w:lang/>
        </w:rPr>
        <w:t xml:space="preserve">Fuente: </w:t>
      </w:r>
      <w:r w:rsidR="003231C2">
        <w:rPr>
          <w:rFonts w:ascii="Arial" w:hAnsi="Arial" w:cs="Arial"/>
          <w:sz w:val="16"/>
          <w:szCs w:val="16"/>
          <w:lang/>
        </w:rPr>
        <w:t>Pág.</w:t>
      </w:r>
      <w:r>
        <w:rPr>
          <w:rFonts w:ascii="Arial" w:hAnsi="Arial" w:cs="Arial"/>
          <w:sz w:val="16"/>
          <w:szCs w:val="16"/>
          <w:lang/>
        </w:rPr>
        <w:t xml:space="preserve"> Web de </w:t>
      </w:r>
      <w:smartTag w:uri="urn:schemas-microsoft-com:office:smarttags" w:element="PersonName">
        <w:smartTagPr>
          <w:attr w:name="ProductID" w:val="la Superintendencia"/>
        </w:smartTagPr>
        <w:r>
          <w:rPr>
            <w:rFonts w:ascii="Arial" w:hAnsi="Arial" w:cs="Arial"/>
            <w:sz w:val="16"/>
            <w:szCs w:val="16"/>
            <w:lang/>
          </w:rPr>
          <w:t>la Superintendencia</w:t>
        </w:r>
      </w:smartTag>
      <w:r>
        <w:rPr>
          <w:rFonts w:ascii="Arial" w:hAnsi="Arial" w:cs="Arial"/>
          <w:sz w:val="16"/>
          <w:szCs w:val="16"/>
          <w:lang/>
        </w:rPr>
        <w:t xml:space="preserve"> de Bancos</w:t>
      </w:r>
    </w:p>
    <w:p w:rsidR="006774DB" w:rsidRPr="000A2AAD" w:rsidRDefault="003231C2" w:rsidP="000A2AAD">
      <w:pPr>
        <w:spacing w:line="360" w:lineRule="auto"/>
        <w:ind w:firstLine="454"/>
        <w:rPr>
          <w:rFonts w:ascii="Arial" w:hAnsi="Arial" w:cs="Arial"/>
          <w:sz w:val="16"/>
          <w:szCs w:val="16"/>
          <w:lang/>
        </w:rPr>
      </w:pPr>
      <w:r>
        <w:rPr>
          <w:rFonts w:ascii="Arial" w:hAnsi="Arial" w:cs="Arial"/>
          <w:sz w:val="16"/>
          <w:szCs w:val="16"/>
          <w:lang/>
        </w:rPr>
        <w:t>Elaboración</w:t>
      </w:r>
      <w:r w:rsidR="006774DB">
        <w:rPr>
          <w:rFonts w:ascii="Arial" w:hAnsi="Arial" w:cs="Arial"/>
          <w:sz w:val="16"/>
          <w:szCs w:val="16"/>
          <w:lang/>
        </w:rPr>
        <w:t>: Autores</w:t>
      </w:r>
    </w:p>
    <w:p w:rsidR="006774DB" w:rsidRDefault="006774DB" w:rsidP="006774DB">
      <w:pPr>
        <w:spacing w:line="360" w:lineRule="auto"/>
        <w:ind w:firstLine="454"/>
        <w:jc w:val="both"/>
        <w:rPr>
          <w:rFonts w:ascii="Arial" w:hAnsi="Arial" w:cs="Arial"/>
          <w:lang/>
        </w:rPr>
      </w:pPr>
      <w:r w:rsidRPr="009315B5">
        <w:rPr>
          <w:rFonts w:ascii="Arial" w:hAnsi="Arial" w:cs="Arial"/>
          <w:sz w:val="24"/>
          <w:szCs w:val="24"/>
          <w:lang/>
        </w:rPr>
        <w:lastRenderedPageBreak/>
        <w:t>De las cuentas anteriormente mencionadas para poder efectuar un análisis más eficiente y facilitar los cálculos al momento de realizar la proyección, se ordenó el Estado de Resultados en el orden que se detalla en el siguiente cuadro</w:t>
      </w:r>
      <w:r>
        <w:rPr>
          <w:rFonts w:ascii="Arial" w:hAnsi="Arial" w:cs="Arial"/>
          <w:lang/>
        </w:rPr>
        <w:t>.</w:t>
      </w:r>
    </w:p>
    <w:p w:rsidR="006774DB" w:rsidRDefault="006774DB" w:rsidP="006774DB">
      <w:pPr>
        <w:spacing w:line="360" w:lineRule="auto"/>
        <w:ind w:firstLine="454"/>
        <w:rPr>
          <w:rFonts w:ascii="Arial" w:hAnsi="Arial" w:cs="Arial"/>
          <w:b/>
          <w:lang/>
        </w:rPr>
      </w:pPr>
    </w:p>
    <w:p w:rsidR="006774DB" w:rsidRDefault="006774DB" w:rsidP="006774DB">
      <w:pPr>
        <w:spacing w:line="360" w:lineRule="auto"/>
        <w:ind w:firstLine="454"/>
        <w:jc w:val="center"/>
        <w:rPr>
          <w:rFonts w:ascii="Arial" w:hAnsi="Arial" w:cs="Arial"/>
          <w:b/>
          <w:lang/>
        </w:rPr>
      </w:pPr>
      <w:r>
        <w:rPr>
          <w:rFonts w:ascii="Arial" w:hAnsi="Arial" w:cs="Arial"/>
          <w:b/>
          <w:lang/>
        </w:rPr>
        <w:t>CUADRO 2.3</w:t>
      </w:r>
    </w:p>
    <w:p w:rsidR="006774DB" w:rsidRDefault="006774DB" w:rsidP="006774DB">
      <w:pPr>
        <w:spacing w:line="360" w:lineRule="auto"/>
        <w:ind w:firstLine="454"/>
        <w:jc w:val="center"/>
        <w:rPr>
          <w:rFonts w:ascii="Arial" w:hAnsi="Arial" w:cs="Arial"/>
          <w:b/>
          <w:lang/>
        </w:rPr>
      </w:pPr>
      <w:r>
        <w:rPr>
          <w:rFonts w:ascii="Arial" w:hAnsi="Arial" w:cs="Arial"/>
          <w:b/>
          <w:lang/>
        </w:rPr>
        <w:t>ESTADO DE PERDIDAS Y GANACIAS</w:t>
      </w:r>
    </w:p>
    <w:p w:rsidR="006774DB" w:rsidRDefault="006774DB" w:rsidP="006774DB">
      <w:pPr>
        <w:spacing w:line="360" w:lineRule="auto"/>
        <w:ind w:firstLine="454"/>
        <w:jc w:val="both"/>
        <w:rPr>
          <w:rFonts w:ascii="Arial" w:hAnsi="Arial" w:cs="Arial"/>
          <w:sz w:val="20"/>
          <w:szCs w:val="20"/>
          <w:lang/>
        </w:rPr>
      </w:pPr>
      <w:r>
        <w:pict>
          <v:shape id="_x0000_s1037" type="#_x0000_t202" style="position:absolute;left:0;text-align:left;margin-left:121.6pt;margin-top:2.3pt;width:180.9pt;height:324.7pt;z-index:251644416;mso-wrap-distance-left:7.05pt;mso-wrap-distance-right:7.05pt" stroked="f">
            <v:fill opacity="0" color2="black"/>
            <v:textbox style="mso-next-textbox:#_x0000_s1037" inset="0,0,0,0">
              <w:txbxContent>
                <w:tbl>
                  <w:tblPr>
                    <w:tblW w:w="0" w:type="auto"/>
                    <w:tblInd w:w="108" w:type="dxa"/>
                    <w:tblLayout w:type="fixed"/>
                    <w:tblLook w:val="0000"/>
                  </w:tblPr>
                  <w:tblGrid>
                    <w:gridCol w:w="3627"/>
                  </w:tblGrid>
                  <w:tr w:rsidR="00534734">
                    <w:trPr>
                      <w:trHeight w:val="2495"/>
                    </w:trPr>
                    <w:tc>
                      <w:tcPr>
                        <w:tcW w:w="3627" w:type="dxa"/>
                        <w:tcBorders>
                          <w:top w:val="single" w:sz="4" w:space="0" w:color="000000"/>
                          <w:left w:val="single" w:sz="4" w:space="0" w:color="000000"/>
                          <w:bottom w:val="single" w:sz="4" w:space="0" w:color="000000"/>
                          <w:right w:val="single" w:sz="4" w:space="0" w:color="000000"/>
                        </w:tcBorders>
                      </w:tcPr>
                      <w:p w:rsidR="00534734" w:rsidRDefault="00534734">
                        <w:pPr>
                          <w:snapToGrid w:val="0"/>
                          <w:jc w:val="both"/>
                          <w:rPr>
                            <w:rFonts w:ascii="Arial" w:hAnsi="Arial" w:cs="Arial"/>
                            <w:b/>
                            <w:sz w:val="20"/>
                            <w:szCs w:val="20"/>
                            <w:lang/>
                          </w:rPr>
                        </w:pPr>
                        <w:r>
                          <w:rPr>
                            <w:rFonts w:ascii="Arial" w:hAnsi="Arial" w:cs="Arial"/>
                            <w:b/>
                            <w:sz w:val="20"/>
                            <w:szCs w:val="20"/>
                            <w:lang/>
                          </w:rPr>
                          <w:t xml:space="preserve">  Intereses y Descuentos Ganados</w:t>
                        </w:r>
                      </w:p>
                      <w:p w:rsidR="00534734" w:rsidRDefault="00534734">
                        <w:pPr>
                          <w:jc w:val="both"/>
                          <w:rPr>
                            <w:rFonts w:ascii="Arial" w:hAnsi="Arial" w:cs="Arial"/>
                            <w:sz w:val="20"/>
                            <w:szCs w:val="20"/>
                            <w:lang/>
                          </w:rPr>
                        </w:pPr>
                        <w:r>
                          <w:rPr>
                            <w:rFonts w:ascii="Arial" w:hAnsi="Arial" w:cs="Arial"/>
                            <w:sz w:val="20"/>
                            <w:szCs w:val="20"/>
                            <w:lang/>
                          </w:rPr>
                          <w:t>+   Margen Neto de Interés</w:t>
                        </w:r>
                      </w:p>
                      <w:p w:rsidR="00534734" w:rsidRDefault="00534734">
                        <w:pPr>
                          <w:jc w:val="both"/>
                          <w:rPr>
                            <w:rFonts w:ascii="Arial" w:hAnsi="Arial" w:cs="Arial"/>
                            <w:sz w:val="20"/>
                            <w:szCs w:val="20"/>
                            <w:lang/>
                          </w:rPr>
                        </w:pPr>
                        <w:r>
                          <w:rPr>
                            <w:rFonts w:ascii="Arial" w:hAnsi="Arial" w:cs="Arial"/>
                            <w:sz w:val="20"/>
                            <w:szCs w:val="20"/>
                            <w:lang/>
                          </w:rPr>
                          <w:t>+   Comisiones Netas</w:t>
                        </w:r>
                      </w:p>
                      <w:p w:rsidR="00534734" w:rsidRDefault="00534734">
                        <w:pPr>
                          <w:jc w:val="both"/>
                          <w:rPr>
                            <w:rFonts w:ascii="Arial" w:hAnsi="Arial" w:cs="Arial"/>
                            <w:sz w:val="20"/>
                            <w:szCs w:val="20"/>
                            <w:lang/>
                          </w:rPr>
                        </w:pPr>
                        <w:r>
                          <w:rPr>
                            <w:rFonts w:ascii="Arial" w:hAnsi="Arial" w:cs="Arial"/>
                            <w:sz w:val="20"/>
                            <w:szCs w:val="20"/>
                            <w:lang/>
                          </w:rPr>
                          <w:t>+   Ingresos por Servicios</w:t>
                        </w:r>
                      </w:p>
                      <w:p w:rsidR="00534734" w:rsidRDefault="00534734">
                        <w:pPr>
                          <w:jc w:val="both"/>
                          <w:rPr>
                            <w:rFonts w:ascii="Arial" w:hAnsi="Arial" w:cs="Arial"/>
                            <w:sz w:val="20"/>
                            <w:szCs w:val="20"/>
                            <w:lang/>
                          </w:rPr>
                        </w:pPr>
                        <w:r>
                          <w:rPr>
                            <w:rFonts w:ascii="Arial" w:hAnsi="Arial" w:cs="Arial"/>
                            <w:sz w:val="20"/>
                            <w:szCs w:val="20"/>
                            <w:lang/>
                          </w:rPr>
                          <w:t>+  Utilidades Financieras Netas</w:t>
                        </w:r>
                      </w:p>
                    </w:tc>
                  </w:tr>
                  <w:tr w:rsidR="00534734">
                    <w:trPr>
                      <w:trHeight w:val="981"/>
                    </w:trPr>
                    <w:tc>
                      <w:tcPr>
                        <w:tcW w:w="3627" w:type="dxa"/>
                        <w:tcBorders>
                          <w:left w:val="single" w:sz="4" w:space="0" w:color="000000"/>
                          <w:bottom w:val="single" w:sz="4" w:space="0" w:color="000000"/>
                          <w:right w:val="single" w:sz="4" w:space="0" w:color="000000"/>
                        </w:tcBorders>
                      </w:tcPr>
                      <w:p w:rsidR="00534734" w:rsidRDefault="00534734">
                        <w:pPr>
                          <w:snapToGrid w:val="0"/>
                          <w:jc w:val="both"/>
                          <w:rPr>
                            <w:rFonts w:ascii="Arial" w:hAnsi="Arial" w:cs="Arial"/>
                            <w:b/>
                            <w:sz w:val="20"/>
                            <w:szCs w:val="20"/>
                            <w:lang/>
                          </w:rPr>
                        </w:pPr>
                        <w:r>
                          <w:rPr>
                            <w:rFonts w:ascii="Arial" w:hAnsi="Arial" w:cs="Arial"/>
                            <w:sz w:val="20"/>
                            <w:szCs w:val="20"/>
                            <w:lang/>
                          </w:rPr>
                          <w:t xml:space="preserve">=  </w:t>
                        </w:r>
                        <w:r>
                          <w:rPr>
                            <w:rFonts w:ascii="Arial" w:hAnsi="Arial" w:cs="Arial"/>
                            <w:b/>
                            <w:sz w:val="20"/>
                            <w:szCs w:val="20"/>
                            <w:lang/>
                          </w:rPr>
                          <w:t>Margen Bruto Financiero</w:t>
                        </w:r>
                      </w:p>
                      <w:p w:rsidR="00534734" w:rsidRDefault="00534734">
                        <w:pPr>
                          <w:jc w:val="both"/>
                          <w:rPr>
                            <w:rFonts w:ascii="Arial" w:hAnsi="Arial" w:cs="Arial"/>
                            <w:sz w:val="20"/>
                            <w:szCs w:val="20"/>
                            <w:lang/>
                          </w:rPr>
                        </w:pPr>
                        <w:r>
                          <w:rPr>
                            <w:rFonts w:ascii="Arial" w:hAnsi="Arial" w:cs="Arial"/>
                            <w:sz w:val="20"/>
                            <w:szCs w:val="20"/>
                            <w:lang/>
                          </w:rPr>
                          <w:t>-  Gastos de Provisión</w:t>
                        </w:r>
                      </w:p>
                    </w:tc>
                  </w:tr>
                  <w:tr w:rsidR="00534734">
                    <w:trPr>
                      <w:trHeight w:val="999"/>
                    </w:trPr>
                    <w:tc>
                      <w:tcPr>
                        <w:tcW w:w="3627" w:type="dxa"/>
                        <w:tcBorders>
                          <w:left w:val="single" w:sz="4" w:space="0" w:color="000000"/>
                          <w:bottom w:val="single" w:sz="4" w:space="0" w:color="000000"/>
                          <w:right w:val="single" w:sz="4" w:space="0" w:color="000000"/>
                        </w:tcBorders>
                      </w:tcPr>
                      <w:p w:rsidR="00534734" w:rsidRDefault="00534734">
                        <w:pPr>
                          <w:snapToGrid w:val="0"/>
                          <w:jc w:val="both"/>
                          <w:rPr>
                            <w:rFonts w:ascii="Arial" w:hAnsi="Arial" w:cs="Arial"/>
                            <w:b/>
                            <w:sz w:val="20"/>
                            <w:szCs w:val="20"/>
                            <w:lang/>
                          </w:rPr>
                        </w:pPr>
                        <w:r>
                          <w:rPr>
                            <w:rFonts w:ascii="Arial" w:hAnsi="Arial" w:cs="Arial"/>
                            <w:sz w:val="20"/>
                            <w:szCs w:val="20"/>
                            <w:lang/>
                          </w:rPr>
                          <w:t xml:space="preserve">=  </w:t>
                        </w:r>
                        <w:r>
                          <w:rPr>
                            <w:rFonts w:ascii="Arial" w:hAnsi="Arial" w:cs="Arial"/>
                            <w:b/>
                            <w:sz w:val="20"/>
                            <w:szCs w:val="20"/>
                            <w:lang/>
                          </w:rPr>
                          <w:t>Margen Neto Financiero</w:t>
                        </w:r>
                      </w:p>
                      <w:p w:rsidR="00534734" w:rsidRDefault="00534734">
                        <w:pPr>
                          <w:jc w:val="both"/>
                          <w:rPr>
                            <w:rFonts w:ascii="Arial" w:hAnsi="Arial" w:cs="Arial"/>
                            <w:sz w:val="20"/>
                            <w:szCs w:val="20"/>
                            <w:lang/>
                          </w:rPr>
                        </w:pPr>
                        <w:r>
                          <w:rPr>
                            <w:rFonts w:ascii="Arial" w:hAnsi="Arial" w:cs="Arial"/>
                            <w:b/>
                            <w:sz w:val="20"/>
                            <w:szCs w:val="20"/>
                            <w:lang/>
                          </w:rPr>
                          <w:t xml:space="preserve"> -  </w:t>
                        </w:r>
                        <w:r>
                          <w:rPr>
                            <w:rFonts w:ascii="Arial" w:hAnsi="Arial" w:cs="Arial"/>
                            <w:sz w:val="20"/>
                            <w:szCs w:val="20"/>
                            <w:lang/>
                          </w:rPr>
                          <w:t>Gastos de Operación</w:t>
                        </w:r>
                      </w:p>
                    </w:tc>
                  </w:tr>
                  <w:tr w:rsidR="00534734">
                    <w:trPr>
                      <w:trHeight w:val="1442"/>
                    </w:trPr>
                    <w:tc>
                      <w:tcPr>
                        <w:tcW w:w="3627" w:type="dxa"/>
                        <w:tcBorders>
                          <w:left w:val="single" w:sz="4" w:space="0" w:color="000000"/>
                          <w:bottom w:val="single" w:sz="4" w:space="0" w:color="000000"/>
                          <w:right w:val="single" w:sz="4" w:space="0" w:color="000000"/>
                        </w:tcBorders>
                      </w:tcPr>
                      <w:p w:rsidR="00534734" w:rsidRDefault="00534734">
                        <w:pPr>
                          <w:snapToGrid w:val="0"/>
                          <w:jc w:val="both"/>
                          <w:rPr>
                            <w:rFonts w:ascii="Arial" w:hAnsi="Arial" w:cs="Arial"/>
                            <w:b/>
                            <w:sz w:val="20"/>
                            <w:szCs w:val="20"/>
                            <w:lang/>
                          </w:rPr>
                        </w:pPr>
                        <w:r>
                          <w:rPr>
                            <w:rFonts w:ascii="Arial" w:hAnsi="Arial" w:cs="Arial"/>
                            <w:sz w:val="20"/>
                            <w:szCs w:val="20"/>
                            <w:lang/>
                          </w:rPr>
                          <w:t xml:space="preserve">=   </w:t>
                        </w:r>
                        <w:r>
                          <w:rPr>
                            <w:rFonts w:ascii="Arial" w:hAnsi="Arial" w:cs="Arial"/>
                            <w:b/>
                            <w:sz w:val="20"/>
                            <w:szCs w:val="20"/>
                            <w:lang/>
                          </w:rPr>
                          <w:t>Margen de Intermediación</w:t>
                        </w:r>
                      </w:p>
                      <w:p w:rsidR="00534734" w:rsidRDefault="00534734">
                        <w:pPr>
                          <w:jc w:val="both"/>
                          <w:rPr>
                            <w:rFonts w:ascii="Arial" w:hAnsi="Arial" w:cs="Arial"/>
                            <w:sz w:val="20"/>
                            <w:szCs w:val="20"/>
                            <w:lang/>
                          </w:rPr>
                        </w:pPr>
                        <w:r>
                          <w:rPr>
                            <w:rFonts w:ascii="Arial" w:hAnsi="Arial" w:cs="Arial"/>
                            <w:sz w:val="20"/>
                            <w:szCs w:val="20"/>
                            <w:lang/>
                          </w:rPr>
                          <w:t>+   Otros Ingresos Netos</w:t>
                        </w:r>
                      </w:p>
                    </w:tc>
                  </w:tr>
                  <w:tr w:rsidR="00534734">
                    <w:trPr>
                      <w:trHeight w:val="867"/>
                    </w:trPr>
                    <w:tc>
                      <w:tcPr>
                        <w:tcW w:w="3627" w:type="dxa"/>
                        <w:tcBorders>
                          <w:left w:val="single" w:sz="4" w:space="0" w:color="000000"/>
                          <w:bottom w:val="single" w:sz="8" w:space="0" w:color="000000"/>
                          <w:right w:val="single" w:sz="4" w:space="0" w:color="000000"/>
                        </w:tcBorders>
                      </w:tcPr>
                      <w:p w:rsidR="00534734" w:rsidRDefault="00534734">
                        <w:pPr>
                          <w:snapToGrid w:val="0"/>
                          <w:jc w:val="both"/>
                          <w:rPr>
                            <w:rFonts w:ascii="Arial" w:hAnsi="Arial" w:cs="Arial"/>
                            <w:b/>
                            <w:sz w:val="20"/>
                            <w:szCs w:val="20"/>
                            <w:lang/>
                          </w:rPr>
                        </w:pPr>
                        <w:r>
                          <w:rPr>
                            <w:rFonts w:ascii="Arial" w:hAnsi="Arial" w:cs="Arial"/>
                            <w:b/>
                            <w:sz w:val="20"/>
                            <w:szCs w:val="20"/>
                            <w:lang/>
                          </w:rPr>
                          <w:t>Ganancia o Perdida del Ejercicio</w:t>
                        </w:r>
                      </w:p>
                    </w:tc>
                  </w:tr>
                </w:tbl>
              </w:txbxContent>
            </v:textbox>
            <w10:wrap type="square" side="largest"/>
          </v:shape>
        </w:pict>
      </w:r>
    </w:p>
    <w:p w:rsidR="006774DB" w:rsidRDefault="006774DB" w:rsidP="006774DB">
      <w:pPr>
        <w:spacing w:line="360" w:lineRule="auto"/>
        <w:ind w:firstLine="454"/>
        <w:jc w:val="both"/>
        <w:rPr>
          <w:rFonts w:ascii="Arial" w:hAnsi="Arial" w:cs="Arial"/>
          <w:sz w:val="20"/>
          <w:szCs w:val="20"/>
          <w:lang/>
        </w:rPr>
      </w:pPr>
    </w:p>
    <w:p w:rsidR="006774DB" w:rsidRDefault="006774DB" w:rsidP="006774DB">
      <w:pPr>
        <w:spacing w:line="360" w:lineRule="auto"/>
        <w:ind w:firstLine="454"/>
        <w:jc w:val="both"/>
        <w:rPr>
          <w:rFonts w:ascii="Arial" w:hAnsi="Arial" w:cs="Arial"/>
          <w:sz w:val="20"/>
          <w:szCs w:val="20"/>
          <w:lang/>
        </w:rPr>
      </w:pPr>
    </w:p>
    <w:p w:rsidR="006774DB" w:rsidRDefault="006774DB" w:rsidP="006774DB">
      <w:pPr>
        <w:spacing w:line="360" w:lineRule="auto"/>
        <w:ind w:firstLine="454"/>
        <w:jc w:val="both"/>
        <w:rPr>
          <w:rFonts w:ascii="Arial" w:hAnsi="Arial" w:cs="Arial"/>
          <w:sz w:val="20"/>
          <w:szCs w:val="20"/>
          <w:lang/>
        </w:rPr>
      </w:pPr>
    </w:p>
    <w:p w:rsidR="006774DB" w:rsidRDefault="006774DB" w:rsidP="006774DB">
      <w:pPr>
        <w:spacing w:line="360" w:lineRule="auto"/>
        <w:ind w:firstLine="454"/>
        <w:jc w:val="both"/>
        <w:rPr>
          <w:rFonts w:ascii="Arial" w:hAnsi="Arial" w:cs="Arial"/>
          <w:i/>
          <w:sz w:val="20"/>
          <w:szCs w:val="20"/>
          <w:lang/>
        </w:rPr>
      </w:pPr>
    </w:p>
    <w:p w:rsidR="006774DB" w:rsidRDefault="006774DB" w:rsidP="006774DB">
      <w:pPr>
        <w:spacing w:line="360" w:lineRule="auto"/>
        <w:ind w:firstLine="454"/>
        <w:jc w:val="both"/>
        <w:rPr>
          <w:rFonts w:ascii="Arial" w:hAnsi="Arial" w:cs="Arial"/>
          <w:i/>
          <w:sz w:val="20"/>
          <w:szCs w:val="20"/>
          <w:lang/>
        </w:rPr>
      </w:pPr>
    </w:p>
    <w:p w:rsidR="006774DB" w:rsidRDefault="006774DB" w:rsidP="006774DB">
      <w:pPr>
        <w:spacing w:line="360" w:lineRule="auto"/>
        <w:ind w:firstLine="454"/>
        <w:jc w:val="both"/>
        <w:rPr>
          <w:rFonts w:ascii="Arial" w:hAnsi="Arial" w:cs="Arial"/>
          <w:i/>
          <w:sz w:val="20"/>
          <w:szCs w:val="20"/>
          <w:lang/>
        </w:rPr>
      </w:pPr>
    </w:p>
    <w:p w:rsidR="006774DB" w:rsidRDefault="006774DB" w:rsidP="00D0054E">
      <w:pPr>
        <w:spacing w:line="360" w:lineRule="auto"/>
        <w:rPr>
          <w:rFonts w:ascii="Arial" w:hAnsi="Arial" w:cs="Arial"/>
          <w:sz w:val="16"/>
          <w:szCs w:val="16"/>
          <w:lang/>
        </w:rPr>
      </w:pPr>
    </w:p>
    <w:p w:rsidR="00A84B71" w:rsidRDefault="00A84B71" w:rsidP="00D0054E">
      <w:pPr>
        <w:spacing w:line="360" w:lineRule="auto"/>
        <w:ind w:firstLine="454"/>
        <w:rPr>
          <w:rFonts w:ascii="Arial" w:hAnsi="Arial" w:cs="Arial"/>
          <w:sz w:val="16"/>
          <w:szCs w:val="16"/>
          <w:lang/>
        </w:rPr>
      </w:pPr>
    </w:p>
    <w:p w:rsidR="00A84B71" w:rsidRDefault="00A84B71" w:rsidP="00D0054E">
      <w:pPr>
        <w:spacing w:line="360" w:lineRule="auto"/>
        <w:ind w:firstLine="454"/>
        <w:rPr>
          <w:rFonts w:ascii="Arial" w:hAnsi="Arial" w:cs="Arial"/>
          <w:sz w:val="16"/>
          <w:szCs w:val="16"/>
          <w:lang/>
        </w:rPr>
      </w:pPr>
    </w:p>
    <w:p w:rsidR="00A84B71" w:rsidRDefault="00A84B71" w:rsidP="00D0054E">
      <w:pPr>
        <w:spacing w:line="360" w:lineRule="auto"/>
        <w:ind w:firstLine="454"/>
        <w:rPr>
          <w:rFonts w:ascii="Arial" w:hAnsi="Arial" w:cs="Arial"/>
          <w:sz w:val="16"/>
          <w:szCs w:val="16"/>
          <w:lang/>
        </w:rPr>
      </w:pPr>
    </w:p>
    <w:p w:rsidR="00A84B71" w:rsidRDefault="00A84B71" w:rsidP="00D0054E">
      <w:pPr>
        <w:spacing w:line="360" w:lineRule="auto"/>
        <w:ind w:firstLine="454"/>
        <w:rPr>
          <w:rFonts w:ascii="Arial" w:hAnsi="Arial" w:cs="Arial"/>
          <w:sz w:val="16"/>
          <w:szCs w:val="16"/>
          <w:lang/>
        </w:rPr>
      </w:pPr>
    </w:p>
    <w:p w:rsidR="00A84B71" w:rsidRDefault="00A84B71" w:rsidP="00D0054E">
      <w:pPr>
        <w:spacing w:line="360" w:lineRule="auto"/>
        <w:ind w:firstLine="454"/>
        <w:rPr>
          <w:rFonts w:ascii="Arial" w:hAnsi="Arial" w:cs="Arial"/>
          <w:sz w:val="16"/>
          <w:szCs w:val="16"/>
          <w:lang/>
        </w:rPr>
      </w:pPr>
    </w:p>
    <w:p w:rsidR="006774DB" w:rsidRDefault="006774DB" w:rsidP="00D0054E">
      <w:pPr>
        <w:spacing w:line="360" w:lineRule="auto"/>
        <w:ind w:firstLine="454"/>
        <w:rPr>
          <w:rFonts w:ascii="Arial" w:hAnsi="Arial" w:cs="Arial"/>
          <w:sz w:val="16"/>
          <w:szCs w:val="16"/>
          <w:lang/>
        </w:rPr>
      </w:pPr>
      <w:r>
        <w:rPr>
          <w:rFonts w:ascii="Arial" w:hAnsi="Arial" w:cs="Arial"/>
          <w:sz w:val="16"/>
          <w:szCs w:val="16"/>
          <w:lang/>
        </w:rPr>
        <w:t xml:space="preserve">Fuente: </w:t>
      </w:r>
      <w:r w:rsidR="003231C2">
        <w:rPr>
          <w:rFonts w:ascii="Arial" w:hAnsi="Arial" w:cs="Arial"/>
          <w:sz w:val="16"/>
          <w:szCs w:val="16"/>
          <w:lang/>
        </w:rPr>
        <w:t>Pág.</w:t>
      </w:r>
      <w:r>
        <w:rPr>
          <w:rFonts w:ascii="Arial" w:hAnsi="Arial" w:cs="Arial"/>
          <w:sz w:val="16"/>
          <w:szCs w:val="16"/>
          <w:lang/>
        </w:rPr>
        <w:t xml:space="preserve"> Web de </w:t>
      </w:r>
      <w:smartTag w:uri="urn:schemas-microsoft-com:office:smarttags" w:element="PersonName">
        <w:smartTagPr>
          <w:attr w:name="ProductID" w:val="la Superintendencia"/>
        </w:smartTagPr>
        <w:r>
          <w:rPr>
            <w:rFonts w:ascii="Arial" w:hAnsi="Arial" w:cs="Arial"/>
            <w:sz w:val="16"/>
            <w:szCs w:val="16"/>
            <w:lang/>
          </w:rPr>
          <w:t>la Superintendencia</w:t>
        </w:r>
      </w:smartTag>
      <w:r>
        <w:rPr>
          <w:rFonts w:ascii="Arial" w:hAnsi="Arial" w:cs="Arial"/>
          <w:sz w:val="16"/>
          <w:szCs w:val="16"/>
          <w:lang/>
        </w:rPr>
        <w:t xml:space="preserve"> de Bancos</w:t>
      </w:r>
    </w:p>
    <w:p w:rsidR="006774DB" w:rsidRDefault="003231C2" w:rsidP="00D0054E">
      <w:pPr>
        <w:spacing w:line="360" w:lineRule="auto"/>
        <w:ind w:firstLine="454"/>
        <w:rPr>
          <w:rFonts w:ascii="Arial" w:hAnsi="Arial" w:cs="Arial"/>
          <w:sz w:val="16"/>
          <w:szCs w:val="16"/>
          <w:lang/>
        </w:rPr>
      </w:pPr>
      <w:r>
        <w:rPr>
          <w:rFonts w:ascii="Arial" w:hAnsi="Arial" w:cs="Arial"/>
          <w:sz w:val="16"/>
          <w:szCs w:val="16"/>
          <w:lang/>
        </w:rPr>
        <w:t>Elaboración</w:t>
      </w:r>
      <w:r w:rsidR="006774DB">
        <w:rPr>
          <w:rFonts w:ascii="Arial" w:hAnsi="Arial" w:cs="Arial"/>
          <w:sz w:val="16"/>
          <w:szCs w:val="16"/>
          <w:lang/>
        </w:rPr>
        <w:t>: Autores</w:t>
      </w:r>
    </w:p>
    <w:p w:rsidR="00993776" w:rsidRDefault="00993776" w:rsidP="006774DB">
      <w:pPr>
        <w:spacing w:line="360" w:lineRule="auto"/>
        <w:ind w:firstLine="454"/>
        <w:jc w:val="both"/>
        <w:rPr>
          <w:rFonts w:ascii="Arial" w:hAnsi="Arial" w:cs="Arial"/>
          <w:i/>
          <w:lang/>
        </w:rPr>
      </w:pPr>
    </w:p>
    <w:p w:rsidR="006774DB" w:rsidRDefault="006774DB" w:rsidP="006774DB">
      <w:pPr>
        <w:spacing w:line="360" w:lineRule="auto"/>
        <w:ind w:firstLine="454"/>
        <w:jc w:val="both"/>
        <w:rPr>
          <w:rFonts w:ascii="Arial" w:hAnsi="Arial" w:cs="Arial"/>
          <w:i/>
          <w:lang/>
        </w:rPr>
      </w:pPr>
      <w:r>
        <w:rPr>
          <w:rFonts w:ascii="Arial" w:hAnsi="Arial" w:cs="Arial"/>
          <w:i/>
          <w:lang/>
        </w:rPr>
        <w:t>Donde:</w:t>
      </w:r>
    </w:p>
    <w:p w:rsidR="006774DB" w:rsidRPr="009315B5" w:rsidRDefault="006774DB" w:rsidP="006774DB">
      <w:pPr>
        <w:widowControl w:val="0"/>
        <w:numPr>
          <w:ilvl w:val="0"/>
          <w:numId w:val="13"/>
        </w:numPr>
        <w:tabs>
          <w:tab w:val="left" w:pos="1624"/>
        </w:tabs>
        <w:suppressAutoHyphens/>
        <w:spacing w:after="0" w:line="360" w:lineRule="auto"/>
        <w:ind w:left="0" w:firstLine="454"/>
        <w:jc w:val="both"/>
        <w:rPr>
          <w:rFonts w:ascii="Arial" w:hAnsi="Arial" w:cs="Arial"/>
          <w:sz w:val="24"/>
          <w:szCs w:val="24"/>
          <w:lang/>
        </w:rPr>
      </w:pPr>
      <w:r w:rsidRPr="009315B5">
        <w:rPr>
          <w:rFonts w:ascii="Arial" w:hAnsi="Arial" w:cs="Arial"/>
          <w:b/>
          <w:sz w:val="24"/>
          <w:szCs w:val="24"/>
          <w:lang/>
        </w:rPr>
        <w:t xml:space="preserve">Margen de Interés Neto </w:t>
      </w:r>
      <w:r w:rsidRPr="009315B5">
        <w:rPr>
          <w:rFonts w:ascii="Arial" w:hAnsi="Arial" w:cs="Arial"/>
          <w:sz w:val="24"/>
          <w:szCs w:val="24"/>
          <w:lang/>
        </w:rPr>
        <w:t>= Intereses Ganados – Intereses Causados</w:t>
      </w:r>
    </w:p>
    <w:p w:rsidR="006774DB" w:rsidRPr="009315B5" w:rsidRDefault="006774DB" w:rsidP="006774DB">
      <w:pPr>
        <w:widowControl w:val="0"/>
        <w:numPr>
          <w:ilvl w:val="0"/>
          <w:numId w:val="13"/>
        </w:numPr>
        <w:tabs>
          <w:tab w:val="left" w:pos="1624"/>
        </w:tabs>
        <w:suppressAutoHyphens/>
        <w:spacing w:after="0" w:line="360" w:lineRule="auto"/>
        <w:ind w:left="0" w:firstLine="454"/>
        <w:jc w:val="both"/>
        <w:rPr>
          <w:rFonts w:ascii="Arial" w:hAnsi="Arial" w:cs="Arial"/>
          <w:sz w:val="24"/>
          <w:szCs w:val="24"/>
          <w:lang/>
        </w:rPr>
      </w:pPr>
      <w:r w:rsidRPr="009315B5">
        <w:rPr>
          <w:rFonts w:ascii="Arial" w:hAnsi="Arial" w:cs="Arial"/>
          <w:b/>
          <w:sz w:val="24"/>
          <w:szCs w:val="24"/>
          <w:lang/>
        </w:rPr>
        <w:lastRenderedPageBreak/>
        <w:t xml:space="preserve">Comisiones Netas = </w:t>
      </w:r>
      <w:r w:rsidRPr="009315B5">
        <w:rPr>
          <w:rFonts w:ascii="Arial" w:hAnsi="Arial" w:cs="Arial"/>
          <w:sz w:val="24"/>
          <w:szCs w:val="24"/>
          <w:lang/>
        </w:rPr>
        <w:t xml:space="preserve">Comisiones Ganadas – Comisiones Causadas </w:t>
      </w:r>
    </w:p>
    <w:p w:rsidR="006774DB" w:rsidRPr="009315B5" w:rsidRDefault="006774DB" w:rsidP="006774DB">
      <w:pPr>
        <w:widowControl w:val="0"/>
        <w:numPr>
          <w:ilvl w:val="0"/>
          <w:numId w:val="13"/>
        </w:numPr>
        <w:tabs>
          <w:tab w:val="left" w:pos="1624"/>
        </w:tabs>
        <w:suppressAutoHyphens/>
        <w:spacing w:after="0" w:line="360" w:lineRule="auto"/>
        <w:ind w:left="0" w:firstLine="454"/>
        <w:jc w:val="both"/>
        <w:rPr>
          <w:rFonts w:ascii="Arial" w:hAnsi="Arial" w:cs="Arial"/>
          <w:sz w:val="24"/>
          <w:szCs w:val="24"/>
          <w:lang/>
        </w:rPr>
      </w:pPr>
      <w:r w:rsidRPr="009315B5">
        <w:rPr>
          <w:rFonts w:ascii="Arial" w:hAnsi="Arial" w:cs="Arial"/>
          <w:b/>
          <w:sz w:val="24"/>
          <w:szCs w:val="24"/>
          <w:lang/>
        </w:rPr>
        <w:t xml:space="preserve">Utilidades Netas Financieras = </w:t>
      </w:r>
      <w:r w:rsidRPr="009315B5">
        <w:rPr>
          <w:rFonts w:ascii="Arial" w:hAnsi="Arial" w:cs="Arial"/>
          <w:sz w:val="24"/>
          <w:szCs w:val="24"/>
          <w:lang/>
        </w:rPr>
        <w:t>Utilidades Financieras – Perdidas Financieras</w:t>
      </w:r>
    </w:p>
    <w:p w:rsidR="006774DB" w:rsidRDefault="006774DB" w:rsidP="006774DB">
      <w:pPr>
        <w:spacing w:line="360" w:lineRule="auto"/>
        <w:jc w:val="both"/>
        <w:rPr>
          <w:rFonts w:cs="Calibri"/>
          <w:b/>
          <w:lang/>
        </w:rPr>
      </w:pPr>
    </w:p>
    <w:p w:rsidR="009315B5" w:rsidRDefault="009315B5" w:rsidP="006774DB">
      <w:pPr>
        <w:spacing w:line="360" w:lineRule="auto"/>
        <w:ind w:left="454"/>
        <w:jc w:val="both"/>
        <w:rPr>
          <w:rFonts w:ascii="Arial" w:hAnsi="Arial" w:cs="Arial"/>
          <w:b/>
          <w:lang/>
        </w:rPr>
      </w:pPr>
    </w:p>
    <w:p w:rsidR="006774DB" w:rsidRPr="009315B5" w:rsidRDefault="006774DB" w:rsidP="006774DB">
      <w:pPr>
        <w:spacing w:line="360" w:lineRule="auto"/>
        <w:ind w:left="454"/>
        <w:jc w:val="both"/>
        <w:rPr>
          <w:rFonts w:ascii="Arial" w:hAnsi="Arial" w:cs="Arial"/>
          <w:b/>
          <w:sz w:val="28"/>
          <w:szCs w:val="28"/>
          <w:lang/>
        </w:rPr>
      </w:pPr>
      <w:r w:rsidRPr="009315B5">
        <w:rPr>
          <w:rFonts w:ascii="Arial" w:hAnsi="Arial" w:cs="Arial"/>
          <w:b/>
          <w:sz w:val="28"/>
          <w:szCs w:val="28"/>
          <w:lang/>
        </w:rPr>
        <w:t>CUENTAS CORRESPONDIENTES ESTADO DE PÉRDIDAS Y GANACIAS</w:t>
      </w:r>
    </w:p>
    <w:p w:rsidR="006774DB" w:rsidRDefault="006774DB" w:rsidP="006774DB">
      <w:pPr>
        <w:spacing w:line="360" w:lineRule="auto"/>
        <w:ind w:firstLine="454"/>
        <w:jc w:val="both"/>
        <w:rPr>
          <w:rFonts w:cs="Calibri"/>
          <w:b/>
          <w:lang/>
        </w:rPr>
      </w:pPr>
    </w:p>
    <w:p w:rsidR="006774DB" w:rsidRPr="009315B5" w:rsidRDefault="006774DB" w:rsidP="006774DB">
      <w:pPr>
        <w:widowControl w:val="0"/>
        <w:numPr>
          <w:ilvl w:val="0"/>
          <w:numId w:val="14"/>
        </w:numPr>
        <w:tabs>
          <w:tab w:val="left" w:pos="1262"/>
        </w:tabs>
        <w:suppressAutoHyphens/>
        <w:spacing w:after="0" w:line="360" w:lineRule="auto"/>
        <w:ind w:left="0" w:firstLine="454"/>
        <w:jc w:val="both"/>
        <w:rPr>
          <w:rFonts w:ascii="Arial" w:hAnsi="Arial" w:cs="Arial"/>
          <w:b/>
          <w:sz w:val="28"/>
          <w:szCs w:val="28"/>
          <w:lang/>
        </w:rPr>
      </w:pPr>
      <w:r w:rsidRPr="009315B5">
        <w:rPr>
          <w:rFonts w:ascii="Arial" w:hAnsi="Arial" w:cs="Arial"/>
          <w:b/>
          <w:sz w:val="28"/>
          <w:szCs w:val="28"/>
          <w:lang/>
        </w:rPr>
        <w:t>MARGEN DE INTERES NETO</w:t>
      </w:r>
    </w:p>
    <w:p w:rsidR="006774DB" w:rsidRDefault="006774DB" w:rsidP="006774DB">
      <w:pPr>
        <w:tabs>
          <w:tab w:val="left" w:pos="1262"/>
        </w:tabs>
        <w:spacing w:line="360" w:lineRule="auto"/>
        <w:jc w:val="both"/>
        <w:rPr>
          <w:rFonts w:ascii="Arial" w:hAnsi="Arial" w:cs="Arial"/>
          <w:b/>
          <w:lang/>
        </w:rPr>
      </w:pPr>
    </w:p>
    <w:p w:rsidR="006774DB" w:rsidRPr="009315B5" w:rsidRDefault="006774DB" w:rsidP="006774DB">
      <w:pPr>
        <w:spacing w:line="360" w:lineRule="auto"/>
        <w:ind w:firstLine="454"/>
        <w:jc w:val="both"/>
        <w:rPr>
          <w:rFonts w:ascii="Arial" w:hAnsi="Arial" w:cs="Arial"/>
          <w:sz w:val="24"/>
          <w:szCs w:val="24"/>
          <w:lang/>
        </w:rPr>
      </w:pPr>
      <w:r w:rsidRPr="009315B5">
        <w:rPr>
          <w:rFonts w:ascii="Arial" w:hAnsi="Arial" w:cs="Arial"/>
          <w:sz w:val="24"/>
          <w:szCs w:val="24"/>
          <w:lang/>
        </w:rPr>
        <w:t>El margen de interés neto es la diferencia que existe entre los intereses ganados y los intereses causados en la entidad en un período determinado.</w:t>
      </w:r>
    </w:p>
    <w:p w:rsidR="006774DB" w:rsidRDefault="006774DB" w:rsidP="006774DB">
      <w:pPr>
        <w:spacing w:line="360" w:lineRule="auto"/>
        <w:ind w:firstLine="454"/>
        <w:jc w:val="both"/>
        <w:rPr>
          <w:rFonts w:ascii="Arial" w:hAnsi="Arial" w:cs="Arial"/>
          <w:sz w:val="20"/>
          <w:szCs w:val="20"/>
          <w:lang/>
        </w:rPr>
      </w:pPr>
    </w:p>
    <w:p w:rsidR="006774DB" w:rsidRDefault="006774DB" w:rsidP="006774DB">
      <w:pPr>
        <w:widowControl w:val="0"/>
        <w:numPr>
          <w:ilvl w:val="0"/>
          <w:numId w:val="17"/>
        </w:numPr>
        <w:tabs>
          <w:tab w:val="left" w:pos="1262"/>
          <w:tab w:val="left" w:pos="1440"/>
        </w:tabs>
        <w:suppressAutoHyphens/>
        <w:spacing w:after="0" w:line="360" w:lineRule="auto"/>
        <w:ind w:left="0" w:firstLine="454"/>
        <w:jc w:val="both"/>
        <w:rPr>
          <w:rFonts w:ascii="Arial" w:hAnsi="Arial" w:cs="Arial"/>
          <w:u w:val="single"/>
          <w:lang/>
        </w:rPr>
      </w:pPr>
      <w:r>
        <w:rPr>
          <w:rFonts w:ascii="Arial" w:hAnsi="Arial" w:cs="Arial"/>
          <w:u w:val="single"/>
          <w:lang/>
        </w:rPr>
        <w:t>INTERESES Y DESCUENTOS GANADOS</w:t>
      </w:r>
    </w:p>
    <w:p w:rsidR="006774DB" w:rsidRDefault="006774DB" w:rsidP="006774DB">
      <w:pPr>
        <w:tabs>
          <w:tab w:val="left" w:pos="1262"/>
          <w:tab w:val="left" w:pos="1440"/>
        </w:tabs>
        <w:spacing w:line="360" w:lineRule="auto"/>
        <w:jc w:val="both"/>
        <w:rPr>
          <w:rFonts w:ascii="Arial" w:hAnsi="Arial" w:cs="Arial"/>
          <w:u w:val="single"/>
          <w:lang/>
        </w:rPr>
      </w:pPr>
    </w:p>
    <w:p w:rsidR="006774DB" w:rsidRPr="009315B5" w:rsidRDefault="006774DB" w:rsidP="006774DB">
      <w:pPr>
        <w:spacing w:line="360" w:lineRule="auto"/>
        <w:ind w:firstLine="454"/>
        <w:jc w:val="both"/>
        <w:rPr>
          <w:rFonts w:ascii="Arial" w:hAnsi="Arial" w:cs="Arial"/>
          <w:sz w:val="24"/>
          <w:szCs w:val="24"/>
          <w:lang/>
        </w:rPr>
      </w:pPr>
      <w:r w:rsidRPr="009315B5">
        <w:rPr>
          <w:rFonts w:ascii="Arial" w:hAnsi="Arial" w:cs="Arial"/>
          <w:sz w:val="24"/>
          <w:szCs w:val="24"/>
          <w:lang/>
        </w:rPr>
        <w:t>Se encuentran en el grupo 51 del Catálogo de Cuentas, en ellas se registran los ingresos  que las entidades bancarias generan por los recursos colocados como depósitos, fondos interbancarios vendidos, operaciones de reporto, inversiones, carteras de crédito, así como los descuentos ganados o la diferencia entre el valor nominal y el costo de la adquisición de los activos.</w:t>
      </w:r>
    </w:p>
    <w:p w:rsidR="006774DB" w:rsidRDefault="006774DB" w:rsidP="006774DB">
      <w:pPr>
        <w:spacing w:line="360" w:lineRule="auto"/>
        <w:ind w:firstLine="454"/>
        <w:jc w:val="both"/>
        <w:rPr>
          <w:rFonts w:ascii="Arial" w:hAnsi="Arial" w:cs="Arial"/>
          <w:b/>
          <w:sz w:val="20"/>
          <w:szCs w:val="20"/>
          <w:lang/>
        </w:rPr>
      </w:pPr>
    </w:p>
    <w:p w:rsidR="006774DB" w:rsidRDefault="006774DB" w:rsidP="006774DB">
      <w:pPr>
        <w:widowControl w:val="0"/>
        <w:numPr>
          <w:ilvl w:val="1"/>
          <w:numId w:val="14"/>
        </w:numPr>
        <w:tabs>
          <w:tab w:val="left" w:pos="1262"/>
          <w:tab w:val="left" w:pos="1440"/>
        </w:tabs>
        <w:suppressAutoHyphens/>
        <w:spacing w:after="0" w:line="360" w:lineRule="auto"/>
        <w:ind w:left="0" w:firstLine="454"/>
        <w:jc w:val="both"/>
        <w:rPr>
          <w:rFonts w:ascii="Arial" w:hAnsi="Arial" w:cs="Arial"/>
          <w:u w:val="single"/>
          <w:lang/>
        </w:rPr>
      </w:pPr>
      <w:r>
        <w:rPr>
          <w:rFonts w:ascii="Arial" w:hAnsi="Arial" w:cs="Arial"/>
          <w:u w:val="single"/>
          <w:lang/>
        </w:rPr>
        <w:t>INTERESES CAUSADOS</w:t>
      </w:r>
    </w:p>
    <w:p w:rsidR="006774DB" w:rsidRDefault="006774DB" w:rsidP="006774DB">
      <w:pPr>
        <w:tabs>
          <w:tab w:val="left" w:pos="1262"/>
          <w:tab w:val="left" w:pos="1440"/>
        </w:tabs>
        <w:spacing w:line="360" w:lineRule="auto"/>
        <w:jc w:val="both"/>
        <w:rPr>
          <w:rFonts w:ascii="Arial" w:hAnsi="Arial" w:cs="Arial"/>
          <w:u w:val="single"/>
          <w:lang/>
        </w:rPr>
      </w:pPr>
    </w:p>
    <w:p w:rsidR="006774DB" w:rsidRPr="009315B5" w:rsidRDefault="006774DB" w:rsidP="006774DB">
      <w:pPr>
        <w:spacing w:line="360" w:lineRule="auto"/>
        <w:ind w:firstLine="454"/>
        <w:jc w:val="both"/>
        <w:rPr>
          <w:rFonts w:ascii="Arial" w:hAnsi="Arial" w:cs="Arial"/>
          <w:sz w:val="24"/>
          <w:szCs w:val="24"/>
          <w:lang/>
        </w:rPr>
      </w:pPr>
      <w:r w:rsidRPr="009315B5">
        <w:rPr>
          <w:rFonts w:ascii="Arial" w:hAnsi="Arial" w:cs="Arial"/>
          <w:sz w:val="24"/>
          <w:szCs w:val="24"/>
          <w:lang/>
        </w:rPr>
        <w:t xml:space="preserve">Este rubro  de los Gastos Financieros del grupo 41, es donde se detallan los valores  que las entidades bancarias incurren por el uso de los recursos recibidos, sean estos por el público, o por otras instituciones financieras, </w:t>
      </w:r>
      <w:r w:rsidRPr="009315B5">
        <w:rPr>
          <w:rFonts w:ascii="Arial" w:hAnsi="Arial" w:cs="Arial"/>
          <w:sz w:val="24"/>
          <w:szCs w:val="24"/>
          <w:lang/>
        </w:rPr>
        <w:lastRenderedPageBreak/>
        <w:t xml:space="preserve">tales como interés causados en préstamos recibidos de instituciones financieras y otras entidades públicas o privadas, intereses causados por valores en circulación y obligaciones convertibles en acciones emitidas por </w:t>
      </w:r>
      <w:smartTag w:uri="urn:schemas-microsoft-com:office:smarttags" w:element="PersonName">
        <w:smartTagPr>
          <w:attr w:name="ProductID" w:val="la Institución"/>
        </w:smartTagPr>
        <w:r w:rsidRPr="009315B5">
          <w:rPr>
            <w:rFonts w:ascii="Arial" w:hAnsi="Arial" w:cs="Arial"/>
            <w:sz w:val="24"/>
            <w:szCs w:val="24"/>
            <w:lang/>
          </w:rPr>
          <w:t>la Institución</w:t>
        </w:r>
      </w:smartTag>
      <w:r w:rsidRPr="009315B5">
        <w:rPr>
          <w:rFonts w:ascii="Arial" w:hAnsi="Arial" w:cs="Arial"/>
          <w:sz w:val="24"/>
          <w:szCs w:val="24"/>
          <w:lang/>
        </w:rPr>
        <w:t xml:space="preserve"> y otros intereses.</w:t>
      </w:r>
    </w:p>
    <w:p w:rsidR="006774DB" w:rsidRDefault="006774DB" w:rsidP="006774DB">
      <w:pPr>
        <w:spacing w:line="360" w:lineRule="auto"/>
        <w:ind w:firstLine="454"/>
        <w:jc w:val="both"/>
        <w:rPr>
          <w:rFonts w:ascii="Arial" w:hAnsi="Arial" w:cs="Arial"/>
          <w:b/>
          <w:lang/>
        </w:rPr>
      </w:pPr>
    </w:p>
    <w:p w:rsidR="006774DB" w:rsidRPr="00A84B71" w:rsidRDefault="006774DB" w:rsidP="00A84B71">
      <w:pPr>
        <w:widowControl w:val="0"/>
        <w:numPr>
          <w:ilvl w:val="0"/>
          <w:numId w:val="14"/>
        </w:numPr>
        <w:tabs>
          <w:tab w:val="left" w:pos="1262"/>
        </w:tabs>
        <w:suppressAutoHyphens/>
        <w:spacing w:after="0" w:line="360" w:lineRule="auto"/>
        <w:ind w:left="0" w:firstLine="454"/>
        <w:jc w:val="both"/>
        <w:rPr>
          <w:rFonts w:ascii="Arial" w:hAnsi="Arial" w:cs="Arial"/>
          <w:b/>
          <w:sz w:val="28"/>
          <w:szCs w:val="28"/>
          <w:lang/>
        </w:rPr>
      </w:pPr>
      <w:r w:rsidRPr="009315B5">
        <w:rPr>
          <w:rFonts w:ascii="Arial" w:hAnsi="Arial" w:cs="Arial"/>
          <w:b/>
          <w:sz w:val="28"/>
          <w:szCs w:val="28"/>
          <w:lang/>
        </w:rPr>
        <w:t>COMISIONES NETAS</w:t>
      </w:r>
    </w:p>
    <w:p w:rsidR="006774DB" w:rsidRPr="009315B5" w:rsidRDefault="006774DB" w:rsidP="006774DB">
      <w:pPr>
        <w:spacing w:line="360" w:lineRule="auto"/>
        <w:ind w:firstLine="454"/>
        <w:jc w:val="both"/>
        <w:rPr>
          <w:rFonts w:ascii="Arial" w:hAnsi="Arial" w:cs="Arial"/>
          <w:sz w:val="24"/>
          <w:szCs w:val="24"/>
          <w:lang/>
        </w:rPr>
      </w:pPr>
      <w:r w:rsidRPr="009315B5">
        <w:rPr>
          <w:rFonts w:ascii="Arial" w:hAnsi="Arial" w:cs="Arial"/>
          <w:sz w:val="24"/>
          <w:szCs w:val="24"/>
          <w:lang/>
        </w:rPr>
        <w:t>Las comisiones netas es el resultado de la diferencia entre las comisiones ganadas  con las comisiones causadas por el Banco.</w:t>
      </w:r>
    </w:p>
    <w:p w:rsidR="006774DB" w:rsidRDefault="006774DB" w:rsidP="006774DB">
      <w:pPr>
        <w:spacing w:line="360" w:lineRule="auto"/>
        <w:ind w:firstLine="454"/>
        <w:jc w:val="both"/>
        <w:rPr>
          <w:rFonts w:ascii="Arial" w:hAnsi="Arial" w:cs="Arial"/>
          <w:b/>
          <w:lang/>
        </w:rPr>
      </w:pPr>
    </w:p>
    <w:p w:rsidR="006774DB" w:rsidRDefault="006774DB" w:rsidP="006774DB">
      <w:pPr>
        <w:widowControl w:val="0"/>
        <w:numPr>
          <w:ilvl w:val="1"/>
          <w:numId w:val="14"/>
        </w:numPr>
        <w:tabs>
          <w:tab w:val="left" w:pos="1262"/>
          <w:tab w:val="left" w:pos="1440"/>
        </w:tabs>
        <w:suppressAutoHyphens/>
        <w:spacing w:after="0" w:line="360" w:lineRule="auto"/>
        <w:ind w:left="0" w:firstLine="454"/>
        <w:jc w:val="both"/>
        <w:rPr>
          <w:rFonts w:ascii="Arial" w:hAnsi="Arial" w:cs="Arial"/>
          <w:u w:val="single"/>
          <w:lang/>
        </w:rPr>
      </w:pPr>
      <w:r>
        <w:rPr>
          <w:rFonts w:ascii="Arial" w:hAnsi="Arial" w:cs="Arial"/>
          <w:u w:val="single"/>
          <w:lang/>
        </w:rPr>
        <w:t>COMISONES GANADAS</w:t>
      </w:r>
    </w:p>
    <w:p w:rsidR="006774DB" w:rsidRDefault="006774DB" w:rsidP="006774DB">
      <w:pPr>
        <w:tabs>
          <w:tab w:val="left" w:pos="1262"/>
          <w:tab w:val="left" w:pos="1440"/>
        </w:tabs>
        <w:spacing w:line="360" w:lineRule="auto"/>
        <w:jc w:val="both"/>
        <w:rPr>
          <w:rFonts w:ascii="Arial" w:hAnsi="Arial" w:cs="Arial"/>
          <w:u w:val="single"/>
          <w:lang/>
        </w:rPr>
      </w:pPr>
    </w:p>
    <w:p w:rsidR="006774DB" w:rsidRDefault="006774DB" w:rsidP="006774DB">
      <w:pPr>
        <w:spacing w:line="360" w:lineRule="auto"/>
        <w:ind w:firstLine="454"/>
        <w:jc w:val="both"/>
        <w:rPr>
          <w:rFonts w:ascii="Arial" w:hAnsi="Arial" w:cs="Arial"/>
          <w:sz w:val="24"/>
          <w:szCs w:val="24"/>
          <w:lang/>
        </w:rPr>
      </w:pPr>
      <w:r w:rsidRPr="009315B5">
        <w:rPr>
          <w:rFonts w:ascii="Arial" w:hAnsi="Arial" w:cs="Arial"/>
          <w:sz w:val="24"/>
          <w:szCs w:val="24"/>
          <w:lang/>
        </w:rPr>
        <w:t xml:space="preserve">En la cuenta Comisiones Ganadas, se encuentran  los valores que las instituciones financieras cobran por concepto de comisiones con conformidad de </w:t>
      </w:r>
      <w:smartTag w:uri="urn:schemas-microsoft-com:office:smarttags" w:element="PersonName">
        <w:smartTagPr>
          <w:attr w:name="ProductID" w:val="la Ley"/>
        </w:smartTagPr>
        <w:r w:rsidRPr="009315B5">
          <w:rPr>
            <w:rFonts w:ascii="Arial" w:hAnsi="Arial" w:cs="Arial"/>
            <w:sz w:val="24"/>
            <w:szCs w:val="24"/>
            <w:lang/>
          </w:rPr>
          <w:t>la Ley</w:t>
        </w:r>
      </w:smartTag>
      <w:r w:rsidRPr="009315B5">
        <w:rPr>
          <w:rFonts w:ascii="Arial" w:hAnsi="Arial" w:cs="Arial"/>
          <w:sz w:val="24"/>
          <w:szCs w:val="24"/>
          <w:lang/>
        </w:rPr>
        <w:t>, tales como comisiones por consumo de los tarjetas habientes, en las compras con pago diferido, comisiones provenientes de créditos directos, aceptaciones bancarias, operaciones contingentes</w:t>
      </w:r>
      <w:r w:rsidRPr="009315B5">
        <w:rPr>
          <w:rStyle w:val="Refdenotaalpie1"/>
          <w:rFonts w:cs="Tahoma"/>
          <w:sz w:val="24"/>
          <w:szCs w:val="24"/>
          <w:lang/>
        </w:rPr>
        <w:t>7</w:t>
      </w:r>
      <w:r w:rsidRPr="009315B5">
        <w:rPr>
          <w:rFonts w:ascii="Arial" w:hAnsi="Arial" w:cs="Arial"/>
          <w:sz w:val="24"/>
          <w:szCs w:val="24"/>
          <w:lang/>
        </w:rPr>
        <w:t>, venta de divisas entre otras.</w:t>
      </w:r>
    </w:p>
    <w:p w:rsidR="009315B5" w:rsidRPr="009315B5" w:rsidRDefault="009315B5" w:rsidP="006774DB">
      <w:pPr>
        <w:spacing w:line="360" w:lineRule="auto"/>
        <w:ind w:firstLine="454"/>
        <w:jc w:val="both"/>
        <w:rPr>
          <w:rFonts w:ascii="Arial" w:hAnsi="Arial" w:cs="Arial"/>
          <w:sz w:val="24"/>
          <w:szCs w:val="24"/>
          <w:lang/>
        </w:rPr>
      </w:pPr>
    </w:p>
    <w:p w:rsidR="006774DB" w:rsidRPr="009315B5" w:rsidRDefault="006774DB" w:rsidP="006774DB">
      <w:pPr>
        <w:widowControl w:val="0"/>
        <w:numPr>
          <w:ilvl w:val="1"/>
          <w:numId w:val="14"/>
        </w:numPr>
        <w:tabs>
          <w:tab w:val="left" w:pos="1262"/>
          <w:tab w:val="left" w:pos="1440"/>
        </w:tabs>
        <w:suppressAutoHyphens/>
        <w:spacing w:after="0" w:line="360" w:lineRule="auto"/>
        <w:ind w:left="0" w:firstLine="454"/>
        <w:jc w:val="both"/>
        <w:rPr>
          <w:rFonts w:ascii="Arial" w:hAnsi="Arial" w:cs="Arial"/>
          <w:sz w:val="24"/>
          <w:szCs w:val="24"/>
          <w:u w:val="single"/>
          <w:lang/>
        </w:rPr>
      </w:pPr>
      <w:r w:rsidRPr="009315B5">
        <w:rPr>
          <w:rFonts w:ascii="Arial" w:hAnsi="Arial" w:cs="Arial"/>
          <w:sz w:val="24"/>
          <w:szCs w:val="24"/>
          <w:u w:val="single"/>
          <w:lang/>
        </w:rPr>
        <w:t>COMISIONES CAUSADAS</w:t>
      </w:r>
    </w:p>
    <w:p w:rsidR="006774DB" w:rsidRDefault="006774DB" w:rsidP="006774DB">
      <w:pPr>
        <w:spacing w:line="360" w:lineRule="auto"/>
        <w:ind w:firstLine="454"/>
        <w:jc w:val="both"/>
        <w:rPr>
          <w:rFonts w:ascii="Arial" w:hAnsi="Arial" w:cs="Arial"/>
          <w:lang/>
        </w:rPr>
      </w:pPr>
    </w:p>
    <w:p w:rsidR="000A2AAD" w:rsidRDefault="006774DB" w:rsidP="009315B5">
      <w:pPr>
        <w:spacing w:line="360" w:lineRule="auto"/>
        <w:ind w:firstLine="454"/>
        <w:jc w:val="both"/>
        <w:rPr>
          <w:rFonts w:ascii="Arial" w:hAnsi="Arial" w:cs="Arial"/>
          <w:sz w:val="24"/>
          <w:szCs w:val="24"/>
          <w:lang/>
        </w:rPr>
      </w:pPr>
      <w:r w:rsidRPr="009315B5">
        <w:rPr>
          <w:rFonts w:ascii="Arial" w:hAnsi="Arial" w:cs="Arial"/>
          <w:sz w:val="24"/>
          <w:szCs w:val="24"/>
          <w:lang/>
        </w:rPr>
        <w:t xml:space="preserve">Perteneciente al grupo de cuentas 42 de los Gastos Financieros. En Comisiones Causadas se registran los valores de las comisiones originadas en la obtención de los recursos, líneas de crédito, utilización de servicios, </w:t>
      </w:r>
    </w:p>
    <w:p w:rsidR="000A2AAD" w:rsidRDefault="000A2AAD" w:rsidP="000A2AAD">
      <w:pPr>
        <w:spacing w:line="360" w:lineRule="auto"/>
        <w:ind w:firstLine="454"/>
        <w:jc w:val="both"/>
        <w:rPr>
          <w:rFonts w:ascii="Arial" w:hAnsi="Arial" w:cs="Arial"/>
          <w:lang/>
        </w:rPr>
      </w:pPr>
      <w:r>
        <w:pict>
          <v:line id="_x0000_s1084" style="position:absolute;left:0;text-align:left;z-index:251671040" from="9.45pt,21.8pt" to="141.45pt,21.8pt" strokeweight=".26mm">
            <v:stroke joinstyle="miter"/>
          </v:line>
        </w:pict>
      </w:r>
    </w:p>
    <w:p w:rsidR="000A2AAD" w:rsidRPr="000A2AAD" w:rsidRDefault="000A2AAD" w:rsidP="009315B5">
      <w:pPr>
        <w:spacing w:line="360" w:lineRule="auto"/>
        <w:ind w:firstLine="454"/>
        <w:jc w:val="both"/>
        <w:rPr>
          <w:rFonts w:ascii="Arial" w:hAnsi="Arial" w:cs="Arial"/>
          <w:sz w:val="18"/>
          <w:szCs w:val="18"/>
          <w:lang/>
        </w:rPr>
      </w:pPr>
      <w:r>
        <w:rPr>
          <w:rStyle w:val="Refdenotaalpie1"/>
          <w:rFonts w:ascii="Arial" w:hAnsi="Arial" w:cs="Arial"/>
          <w:sz w:val="18"/>
          <w:szCs w:val="18"/>
          <w:lang/>
        </w:rPr>
        <w:t xml:space="preserve">7 </w:t>
      </w:r>
      <w:r>
        <w:rPr>
          <w:rFonts w:ascii="Arial" w:hAnsi="Arial" w:cs="Arial"/>
          <w:sz w:val="18"/>
          <w:szCs w:val="18"/>
          <w:lang/>
        </w:rPr>
        <w:tab/>
        <w:t>Comprende: Avales, Fianzas, Cartas de Credito, Lineas de Credito no utilizadas y opciones de compra</w:t>
      </w:r>
    </w:p>
    <w:p w:rsidR="009315B5" w:rsidRDefault="006774DB" w:rsidP="000A2AAD">
      <w:pPr>
        <w:spacing w:line="360" w:lineRule="auto"/>
        <w:jc w:val="both"/>
        <w:rPr>
          <w:rFonts w:ascii="Arial" w:hAnsi="Arial" w:cs="Arial"/>
          <w:sz w:val="24"/>
          <w:szCs w:val="24"/>
          <w:lang/>
        </w:rPr>
      </w:pPr>
      <w:r w:rsidRPr="009315B5">
        <w:rPr>
          <w:rFonts w:ascii="Arial" w:hAnsi="Arial" w:cs="Arial"/>
          <w:sz w:val="24"/>
          <w:szCs w:val="24"/>
          <w:lang/>
        </w:rPr>
        <w:lastRenderedPageBreak/>
        <w:t xml:space="preserve">operaciones contingentes u operaciones de permuta financiera que realicen las Instituciones con </w:t>
      </w:r>
      <w:smartTag w:uri="urn:schemas-microsoft-com:office:smarttags" w:element="PersonName">
        <w:smartTagPr>
          <w:attr w:name="ProductID" w:val="la Corporación Financiera"/>
        </w:smartTagPr>
        <w:r w:rsidRPr="009315B5">
          <w:rPr>
            <w:rFonts w:ascii="Arial" w:hAnsi="Arial" w:cs="Arial"/>
            <w:sz w:val="24"/>
            <w:szCs w:val="24"/>
            <w:lang/>
          </w:rPr>
          <w:t>la Corporación Financiera</w:t>
        </w:r>
      </w:smartTag>
      <w:r w:rsidRPr="009315B5">
        <w:rPr>
          <w:rFonts w:ascii="Arial" w:hAnsi="Arial" w:cs="Arial"/>
          <w:sz w:val="24"/>
          <w:szCs w:val="24"/>
          <w:lang/>
        </w:rPr>
        <w:t xml:space="preserve"> Nacional.</w:t>
      </w:r>
    </w:p>
    <w:p w:rsidR="00360630" w:rsidRPr="00360630" w:rsidRDefault="00360630" w:rsidP="009315B5">
      <w:pPr>
        <w:spacing w:line="360" w:lineRule="auto"/>
        <w:ind w:firstLine="454"/>
        <w:jc w:val="both"/>
        <w:rPr>
          <w:rFonts w:ascii="Arial" w:hAnsi="Arial" w:cs="Arial"/>
          <w:sz w:val="24"/>
          <w:szCs w:val="24"/>
          <w:lang/>
        </w:rPr>
      </w:pPr>
    </w:p>
    <w:p w:rsidR="006774DB" w:rsidRPr="009315B5" w:rsidRDefault="006774DB" w:rsidP="006774DB">
      <w:pPr>
        <w:widowControl w:val="0"/>
        <w:numPr>
          <w:ilvl w:val="0"/>
          <w:numId w:val="14"/>
        </w:numPr>
        <w:tabs>
          <w:tab w:val="left" w:pos="1262"/>
        </w:tabs>
        <w:suppressAutoHyphens/>
        <w:spacing w:after="0" w:line="360" w:lineRule="auto"/>
        <w:ind w:left="0" w:firstLine="454"/>
        <w:jc w:val="both"/>
        <w:rPr>
          <w:rFonts w:cs="Calibri"/>
          <w:b/>
          <w:sz w:val="24"/>
          <w:szCs w:val="24"/>
          <w:lang/>
        </w:rPr>
      </w:pPr>
      <w:r w:rsidRPr="009315B5">
        <w:rPr>
          <w:rFonts w:cs="Calibri"/>
          <w:b/>
          <w:sz w:val="24"/>
          <w:szCs w:val="24"/>
          <w:lang/>
        </w:rPr>
        <w:t>INGRESOS POR SERVICIOS</w:t>
      </w:r>
    </w:p>
    <w:p w:rsidR="006774DB" w:rsidRDefault="006774DB" w:rsidP="006774DB">
      <w:pPr>
        <w:tabs>
          <w:tab w:val="left" w:pos="1262"/>
        </w:tabs>
        <w:spacing w:line="360" w:lineRule="auto"/>
        <w:jc w:val="both"/>
        <w:rPr>
          <w:rFonts w:cs="Calibri"/>
          <w:b/>
          <w:lang/>
        </w:rPr>
      </w:pPr>
    </w:p>
    <w:p w:rsidR="00360630" w:rsidRPr="009315B5" w:rsidRDefault="006774DB" w:rsidP="00360630">
      <w:pPr>
        <w:spacing w:line="360" w:lineRule="auto"/>
        <w:ind w:firstLine="454"/>
        <w:jc w:val="both"/>
        <w:rPr>
          <w:rFonts w:ascii="Arial" w:hAnsi="Arial" w:cs="Arial"/>
          <w:sz w:val="24"/>
          <w:szCs w:val="24"/>
          <w:lang/>
        </w:rPr>
      </w:pPr>
      <w:r w:rsidRPr="009315B5">
        <w:rPr>
          <w:rFonts w:ascii="Arial" w:hAnsi="Arial" w:cs="Arial"/>
          <w:sz w:val="24"/>
          <w:szCs w:val="24"/>
          <w:lang/>
        </w:rPr>
        <w:t xml:space="preserve">Los Ingresos por Servicios son los que perciben las Entidades Financieras por conceptos de servicios prestados con sujeción a los contratos pertinentes tales como: Servicios Fiduciarios, Servicios Especiales, Afiliaciones y Renovaciones, </w:t>
      </w:r>
      <w:r w:rsidR="00360630" w:rsidRPr="009315B5">
        <w:rPr>
          <w:rFonts w:ascii="Arial" w:hAnsi="Arial" w:cs="Arial"/>
          <w:sz w:val="24"/>
          <w:szCs w:val="24"/>
          <w:lang/>
        </w:rPr>
        <w:t>Manejo y Cobranzas, Servicios Cooperativos, por Asesoramiento Financiero, entre otros.</w:t>
      </w:r>
    </w:p>
    <w:p w:rsidR="006774DB" w:rsidRDefault="006774DB" w:rsidP="006774DB">
      <w:pPr>
        <w:spacing w:line="360" w:lineRule="auto"/>
        <w:ind w:firstLine="454"/>
        <w:jc w:val="both"/>
        <w:rPr>
          <w:rFonts w:cs="Calibri"/>
          <w:b/>
          <w:lang/>
        </w:rPr>
      </w:pPr>
    </w:p>
    <w:p w:rsidR="006774DB" w:rsidRPr="009315B5" w:rsidRDefault="006774DB" w:rsidP="006774DB">
      <w:pPr>
        <w:widowControl w:val="0"/>
        <w:numPr>
          <w:ilvl w:val="0"/>
          <w:numId w:val="14"/>
        </w:numPr>
        <w:tabs>
          <w:tab w:val="left" w:pos="1262"/>
        </w:tabs>
        <w:suppressAutoHyphens/>
        <w:spacing w:after="0" w:line="360" w:lineRule="auto"/>
        <w:ind w:left="0" w:firstLine="454"/>
        <w:jc w:val="both"/>
        <w:rPr>
          <w:rFonts w:cs="Calibri"/>
          <w:b/>
          <w:sz w:val="24"/>
          <w:szCs w:val="24"/>
          <w:lang/>
        </w:rPr>
      </w:pPr>
      <w:r w:rsidRPr="009315B5">
        <w:rPr>
          <w:rFonts w:cs="Calibri"/>
          <w:b/>
          <w:sz w:val="24"/>
          <w:szCs w:val="24"/>
          <w:lang/>
        </w:rPr>
        <w:t>UTILIDADES NETAS FINANCIERAS</w:t>
      </w:r>
    </w:p>
    <w:p w:rsidR="006774DB" w:rsidRDefault="006774DB" w:rsidP="006774DB">
      <w:pPr>
        <w:tabs>
          <w:tab w:val="left" w:pos="1262"/>
        </w:tabs>
        <w:spacing w:line="360" w:lineRule="auto"/>
        <w:jc w:val="both"/>
        <w:rPr>
          <w:rFonts w:cs="Calibri"/>
          <w:b/>
          <w:lang/>
        </w:rPr>
      </w:pPr>
    </w:p>
    <w:p w:rsidR="006774DB" w:rsidRDefault="006774DB" w:rsidP="006774DB">
      <w:pPr>
        <w:spacing w:line="360" w:lineRule="auto"/>
        <w:ind w:firstLine="454"/>
        <w:jc w:val="both"/>
        <w:rPr>
          <w:rFonts w:ascii="Arial" w:hAnsi="Arial" w:cs="Arial"/>
          <w:lang/>
        </w:rPr>
      </w:pPr>
      <w:r w:rsidRPr="009315B5">
        <w:rPr>
          <w:rFonts w:ascii="Arial" w:hAnsi="Arial" w:cs="Arial"/>
          <w:sz w:val="24"/>
          <w:szCs w:val="24"/>
          <w:lang/>
        </w:rPr>
        <w:t>Las Utilidades Financieras Netas se obtiene entre la diferencia de las Utilidades Financieras con las Pérdidas Financieras de períodos anteriores</w:t>
      </w:r>
      <w:r>
        <w:rPr>
          <w:rFonts w:ascii="Arial" w:hAnsi="Arial" w:cs="Arial"/>
          <w:lang/>
        </w:rPr>
        <w:t>.</w:t>
      </w:r>
    </w:p>
    <w:p w:rsidR="006774DB" w:rsidRDefault="006774DB" w:rsidP="006774DB">
      <w:pPr>
        <w:spacing w:line="360" w:lineRule="auto"/>
        <w:ind w:firstLine="454"/>
        <w:jc w:val="both"/>
        <w:rPr>
          <w:rFonts w:ascii="Arial" w:hAnsi="Arial" w:cs="Arial"/>
          <w:lang/>
        </w:rPr>
      </w:pPr>
    </w:p>
    <w:p w:rsidR="006774DB" w:rsidRDefault="006774DB" w:rsidP="006774DB">
      <w:pPr>
        <w:widowControl w:val="0"/>
        <w:numPr>
          <w:ilvl w:val="1"/>
          <w:numId w:val="14"/>
        </w:numPr>
        <w:tabs>
          <w:tab w:val="left" w:pos="1262"/>
          <w:tab w:val="left" w:pos="1440"/>
        </w:tabs>
        <w:suppressAutoHyphens/>
        <w:spacing w:after="0" w:line="360" w:lineRule="auto"/>
        <w:ind w:left="0" w:firstLine="454"/>
        <w:jc w:val="both"/>
        <w:rPr>
          <w:rFonts w:ascii="Arial" w:hAnsi="Arial" w:cs="Arial"/>
          <w:u w:val="single"/>
          <w:lang/>
        </w:rPr>
      </w:pPr>
      <w:r>
        <w:rPr>
          <w:rFonts w:ascii="Arial" w:hAnsi="Arial" w:cs="Arial"/>
          <w:u w:val="single"/>
          <w:lang/>
        </w:rPr>
        <w:t>UTILIDADES FINANCIERAS</w:t>
      </w:r>
    </w:p>
    <w:p w:rsidR="006774DB" w:rsidRDefault="006774DB" w:rsidP="006774DB">
      <w:pPr>
        <w:tabs>
          <w:tab w:val="left" w:pos="1262"/>
          <w:tab w:val="left" w:pos="1440"/>
        </w:tabs>
        <w:spacing w:line="360" w:lineRule="auto"/>
        <w:jc w:val="both"/>
        <w:rPr>
          <w:rFonts w:ascii="Arial" w:hAnsi="Arial" w:cs="Arial"/>
          <w:u w:val="single"/>
          <w:lang/>
        </w:rPr>
      </w:pPr>
    </w:p>
    <w:p w:rsidR="006774DB" w:rsidRPr="00F606C4" w:rsidRDefault="006774DB" w:rsidP="006774DB">
      <w:pPr>
        <w:spacing w:line="360" w:lineRule="auto"/>
        <w:ind w:firstLine="454"/>
        <w:jc w:val="both"/>
        <w:rPr>
          <w:rFonts w:ascii="Arial" w:hAnsi="Arial" w:cs="Arial"/>
          <w:sz w:val="24"/>
          <w:szCs w:val="24"/>
          <w:lang/>
        </w:rPr>
      </w:pPr>
      <w:r w:rsidRPr="00F606C4">
        <w:rPr>
          <w:rFonts w:ascii="Arial" w:hAnsi="Arial" w:cs="Arial"/>
          <w:sz w:val="24"/>
          <w:szCs w:val="24"/>
          <w:lang/>
        </w:rPr>
        <w:t>Perteneciente al grupo 53 de los Ingresos Financieros. En este grupo se registran las utilidades originadas por ingresos financieros tales como Ganancia en cambio, Evaluación de Inversiones, Venta de Activos Productivos, Rendimientos por  Fideicomiso Mercantil y Arrendamiento Financiero.</w:t>
      </w:r>
    </w:p>
    <w:p w:rsidR="006774DB" w:rsidRDefault="006774DB" w:rsidP="006774DB">
      <w:pPr>
        <w:spacing w:line="360" w:lineRule="auto"/>
        <w:ind w:firstLine="454"/>
        <w:jc w:val="both"/>
        <w:rPr>
          <w:rFonts w:ascii="Arial" w:hAnsi="Arial" w:cs="Arial"/>
          <w:b/>
          <w:sz w:val="24"/>
          <w:szCs w:val="24"/>
          <w:lang/>
        </w:rPr>
      </w:pPr>
    </w:p>
    <w:p w:rsidR="003231C2" w:rsidRPr="00F606C4" w:rsidRDefault="003231C2" w:rsidP="006774DB">
      <w:pPr>
        <w:spacing w:line="360" w:lineRule="auto"/>
        <w:ind w:firstLine="454"/>
        <w:jc w:val="both"/>
        <w:rPr>
          <w:rFonts w:ascii="Arial" w:hAnsi="Arial" w:cs="Arial"/>
          <w:b/>
          <w:sz w:val="24"/>
          <w:szCs w:val="24"/>
          <w:lang/>
        </w:rPr>
      </w:pPr>
    </w:p>
    <w:p w:rsidR="006774DB" w:rsidRDefault="006774DB" w:rsidP="006774DB">
      <w:pPr>
        <w:widowControl w:val="0"/>
        <w:numPr>
          <w:ilvl w:val="1"/>
          <w:numId w:val="14"/>
        </w:numPr>
        <w:tabs>
          <w:tab w:val="left" w:pos="1619"/>
        </w:tabs>
        <w:suppressAutoHyphens/>
        <w:spacing w:after="0" w:line="360" w:lineRule="auto"/>
        <w:ind w:left="0" w:firstLine="454"/>
        <w:jc w:val="both"/>
        <w:rPr>
          <w:rFonts w:ascii="Arial" w:hAnsi="Arial" w:cs="Arial"/>
          <w:u w:val="single"/>
          <w:lang/>
        </w:rPr>
      </w:pPr>
      <w:r>
        <w:rPr>
          <w:rFonts w:ascii="Arial" w:hAnsi="Arial" w:cs="Arial"/>
          <w:u w:val="single"/>
          <w:lang/>
        </w:rPr>
        <w:lastRenderedPageBreak/>
        <w:t>PERDIDAS FINANCIERAS</w:t>
      </w:r>
    </w:p>
    <w:p w:rsidR="006774DB" w:rsidRDefault="006774DB" w:rsidP="006774DB">
      <w:pPr>
        <w:spacing w:line="360" w:lineRule="auto"/>
        <w:ind w:firstLine="454"/>
        <w:jc w:val="both"/>
        <w:rPr>
          <w:rFonts w:ascii="Arial" w:hAnsi="Arial" w:cs="Arial"/>
          <w:lang/>
        </w:rPr>
      </w:pPr>
    </w:p>
    <w:p w:rsidR="006774DB" w:rsidRPr="00F606C4" w:rsidRDefault="006774DB" w:rsidP="006774DB">
      <w:pPr>
        <w:spacing w:line="360" w:lineRule="auto"/>
        <w:ind w:firstLine="454"/>
        <w:jc w:val="both"/>
        <w:rPr>
          <w:rFonts w:ascii="Arial" w:hAnsi="Arial" w:cs="Arial"/>
          <w:sz w:val="24"/>
          <w:szCs w:val="24"/>
          <w:lang/>
        </w:rPr>
      </w:pPr>
      <w:r w:rsidRPr="00F606C4">
        <w:rPr>
          <w:rFonts w:ascii="Arial" w:hAnsi="Arial" w:cs="Arial"/>
          <w:sz w:val="24"/>
          <w:szCs w:val="24"/>
          <w:lang/>
        </w:rPr>
        <w:t>Se encuentra dentro de los Gastos Financieros, aquí se detallan las pérdidas originadas en la actualización diaria de los pasivos contratados en moneda extranjera, distinto del dólar EE.UU.; pérdidas en Valuaciones de Inversiones, Pérdidas en ventas de Activos Productivos y Pérdidas por Fideicomiso Mercantil.</w:t>
      </w:r>
    </w:p>
    <w:p w:rsidR="006774DB" w:rsidRDefault="006774DB" w:rsidP="006774DB">
      <w:pPr>
        <w:spacing w:line="360" w:lineRule="auto"/>
        <w:ind w:firstLine="454"/>
        <w:jc w:val="both"/>
        <w:rPr>
          <w:rFonts w:ascii="Arial" w:hAnsi="Arial" w:cs="Arial"/>
          <w:b/>
          <w:lang/>
        </w:rPr>
      </w:pPr>
    </w:p>
    <w:p w:rsidR="006774DB" w:rsidRDefault="00226DBE" w:rsidP="006774DB">
      <w:pPr>
        <w:widowControl w:val="0"/>
        <w:numPr>
          <w:ilvl w:val="0"/>
          <w:numId w:val="14"/>
        </w:numPr>
        <w:tabs>
          <w:tab w:val="left" w:pos="1262"/>
        </w:tabs>
        <w:suppressAutoHyphens/>
        <w:spacing w:after="0" w:line="360" w:lineRule="auto"/>
        <w:ind w:left="0" w:firstLine="454"/>
        <w:jc w:val="both"/>
        <w:rPr>
          <w:rFonts w:ascii="Arial" w:hAnsi="Arial" w:cs="Arial"/>
          <w:b/>
          <w:lang/>
        </w:rPr>
      </w:pPr>
      <w:r>
        <w:rPr>
          <w:rFonts w:ascii="Arial" w:hAnsi="Arial" w:cs="Arial"/>
          <w:b/>
          <w:lang/>
        </w:rPr>
        <w:t>GASTOS POR PROVISIÓ</w:t>
      </w:r>
      <w:r w:rsidR="006774DB">
        <w:rPr>
          <w:rFonts w:ascii="Arial" w:hAnsi="Arial" w:cs="Arial"/>
          <w:b/>
          <w:lang/>
        </w:rPr>
        <w:t>N</w:t>
      </w:r>
    </w:p>
    <w:p w:rsidR="006774DB" w:rsidRDefault="006774DB" w:rsidP="006774DB">
      <w:pPr>
        <w:tabs>
          <w:tab w:val="left" w:pos="1262"/>
        </w:tabs>
        <w:spacing w:line="360" w:lineRule="auto"/>
        <w:jc w:val="both"/>
        <w:rPr>
          <w:rFonts w:ascii="Arial" w:hAnsi="Arial" w:cs="Arial"/>
          <w:b/>
          <w:lang/>
        </w:rPr>
      </w:pPr>
    </w:p>
    <w:p w:rsidR="006774DB" w:rsidRPr="00226DBE" w:rsidRDefault="006774DB" w:rsidP="006774DB">
      <w:pPr>
        <w:spacing w:line="360" w:lineRule="auto"/>
        <w:ind w:firstLine="454"/>
        <w:jc w:val="both"/>
        <w:rPr>
          <w:rFonts w:ascii="Arial" w:hAnsi="Arial" w:cs="Arial"/>
          <w:sz w:val="24"/>
          <w:szCs w:val="24"/>
          <w:lang/>
        </w:rPr>
      </w:pPr>
      <w:r w:rsidRPr="00226DBE">
        <w:rPr>
          <w:rFonts w:ascii="Arial" w:hAnsi="Arial" w:cs="Arial"/>
          <w:sz w:val="24"/>
          <w:szCs w:val="24"/>
          <w:lang/>
        </w:rPr>
        <w:t>Cuenta correspondiente al grupo 44 de los gastos financieros, indica los valores que las entidades bancarias provisionan para la protección de sus activos de acuerdo  con las disposiciones legales emitidas por el Organismo Regulador.</w:t>
      </w:r>
    </w:p>
    <w:p w:rsidR="006774DB" w:rsidRDefault="006774DB" w:rsidP="006774DB">
      <w:pPr>
        <w:spacing w:line="360" w:lineRule="auto"/>
        <w:ind w:firstLine="454"/>
        <w:jc w:val="both"/>
        <w:rPr>
          <w:rFonts w:ascii="Arial" w:hAnsi="Arial" w:cs="Arial"/>
          <w:b/>
          <w:lang/>
        </w:rPr>
      </w:pPr>
    </w:p>
    <w:p w:rsidR="006774DB" w:rsidRDefault="006774DB" w:rsidP="006774DB">
      <w:pPr>
        <w:widowControl w:val="0"/>
        <w:numPr>
          <w:ilvl w:val="0"/>
          <w:numId w:val="14"/>
        </w:numPr>
        <w:tabs>
          <w:tab w:val="left" w:pos="1262"/>
        </w:tabs>
        <w:suppressAutoHyphens/>
        <w:spacing w:after="0" w:line="360" w:lineRule="auto"/>
        <w:ind w:left="0" w:firstLine="454"/>
        <w:jc w:val="both"/>
        <w:rPr>
          <w:rFonts w:ascii="Arial" w:hAnsi="Arial" w:cs="Arial"/>
          <w:b/>
          <w:lang/>
        </w:rPr>
      </w:pPr>
      <w:r>
        <w:rPr>
          <w:rFonts w:ascii="Arial" w:hAnsi="Arial" w:cs="Arial"/>
          <w:b/>
          <w:lang/>
        </w:rPr>
        <w:t>GASTOS DE OPERACIÓN</w:t>
      </w:r>
    </w:p>
    <w:p w:rsidR="006774DB" w:rsidRDefault="006774DB" w:rsidP="006774DB">
      <w:pPr>
        <w:spacing w:line="360" w:lineRule="auto"/>
        <w:ind w:firstLine="454"/>
        <w:jc w:val="both"/>
        <w:rPr>
          <w:rFonts w:ascii="Arial" w:hAnsi="Arial" w:cs="Arial"/>
          <w:lang/>
        </w:rPr>
      </w:pPr>
    </w:p>
    <w:p w:rsidR="006774DB" w:rsidRPr="00226DBE" w:rsidRDefault="006774DB" w:rsidP="006774DB">
      <w:pPr>
        <w:spacing w:line="360" w:lineRule="auto"/>
        <w:ind w:firstLine="454"/>
        <w:jc w:val="both"/>
        <w:rPr>
          <w:rFonts w:ascii="Arial" w:hAnsi="Arial" w:cs="Arial"/>
          <w:sz w:val="24"/>
          <w:szCs w:val="24"/>
          <w:lang/>
        </w:rPr>
      </w:pPr>
      <w:r w:rsidRPr="00226DBE">
        <w:rPr>
          <w:rFonts w:ascii="Arial" w:hAnsi="Arial" w:cs="Arial"/>
          <w:sz w:val="24"/>
          <w:szCs w:val="24"/>
          <w:lang/>
        </w:rPr>
        <w:t>En este rubro, que pertenece al grupo 45 de los Gastos de Operación, se contabilizan todos los gastos que hace la entidad por actividades que están vinculadas al giro del negocio tales como Remuneraciones, Aportes al IESS, Pensiones y Jubilaciones, entre otros.</w:t>
      </w:r>
    </w:p>
    <w:p w:rsidR="006774DB" w:rsidRDefault="006774DB" w:rsidP="006774DB">
      <w:pPr>
        <w:spacing w:line="360" w:lineRule="auto"/>
        <w:ind w:firstLine="454"/>
        <w:jc w:val="both"/>
        <w:rPr>
          <w:rFonts w:ascii="Arial" w:hAnsi="Arial" w:cs="Arial"/>
          <w:b/>
          <w:lang/>
        </w:rPr>
      </w:pPr>
    </w:p>
    <w:p w:rsidR="006774DB" w:rsidRDefault="006774DB" w:rsidP="006774DB">
      <w:pPr>
        <w:widowControl w:val="0"/>
        <w:numPr>
          <w:ilvl w:val="0"/>
          <w:numId w:val="14"/>
        </w:numPr>
        <w:tabs>
          <w:tab w:val="left" w:pos="1262"/>
        </w:tabs>
        <w:suppressAutoHyphens/>
        <w:spacing w:after="0" w:line="360" w:lineRule="auto"/>
        <w:ind w:left="0" w:firstLine="454"/>
        <w:jc w:val="both"/>
        <w:rPr>
          <w:rFonts w:ascii="Arial" w:hAnsi="Arial" w:cs="Arial"/>
          <w:b/>
          <w:lang/>
        </w:rPr>
      </w:pPr>
      <w:r>
        <w:rPr>
          <w:rFonts w:ascii="Arial" w:hAnsi="Arial" w:cs="Arial"/>
          <w:b/>
          <w:lang/>
        </w:rPr>
        <w:t>OTRAS UTILIDADES OPERACIONALES  NETAS</w:t>
      </w:r>
    </w:p>
    <w:p w:rsidR="006774DB" w:rsidRDefault="006774DB" w:rsidP="006774DB">
      <w:pPr>
        <w:spacing w:line="360" w:lineRule="auto"/>
        <w:ind w:firstLine="454"/>
        <w:jc w:val="both"/>
        <w:rPr>
          <w:rFonts w:ascii="Arial" w:hAnsi="Arial" w:cs="Arial"/>
          <w:lang/>
        </w:rPr>
      </w:pPr>
    </w:p>
    <w:p w:rsidR="006774DB" w:rsidRPr="00226DBE" w:rsidRDefault="006774DB" w:rsidP="006774DB">
      <w:pPr>
        <w:spacing w:line="360" w:lineRule="auto"/>
        <w:ind w:firstLine="454"/>
        <w:jc w:val="both"/>
        <w:rPr>
          <w:rFonts w:ascii="Arial" w:hAnsi="Arial" w:cs="Arial"/>
          <w:sz w:val="24"/>
          <w:szCs w:val="24"/>
          <w:lang/>
        </w:rPr>
      </w:pPr>
      <w:r w:rsidRPr="00226DBE">
        <w:rPr>
          <w:rFonts w:ascii="Arial" w:hAnsi="Arial" w:cs="Arial"/>
          <w:sz w:val="24"/>
          <w:szCs w:val="24"/>
          <w:lang/>
        </w:rPr>
        <w:t>Este rubro se obtiene de la diferencia entre los Otros Ingresos Operacionales con Otros Gastos Operacionales dentro de un período.</w:t>
      </w:r>
    </w:p>
    <w:p w:rsidR="006774DB" w:rsidRDefault="006774DB" w:rsidP="006774DB">
      <w:pPr>
        <w:spacing w:line="360" w:lineRule="auto"/>
        <w:ind w:firstLine="454"/>
        <w:jc w:val="both"/>
        <w:rPr>
          <w:rFonts w:ascii="Arial" w:hAnsi="Arial" w:cs="Arial"/>
          <w:b/>
          <w:lang/>
        </w:rPr>
      </w:pPr>
    </w:p>
    <w:p w:rsidR="006774DB" w:rsidRDefault="006774DB" w:rsidP="006774DB">
      <w:pPr>
        <w:widowControl w:val="0"/>
        <w:numPr>
          <w:ilvl w:val="1"/>
          <w:numId w:val="14"/>
        </w:numPr>
        <w:tabs>
          <w:tab w:val="left" w:pos="1262"/>
          <w:tab w:val="left" w:pos="1440"/>
        </w:tabs>
        <w:suppressAutoHyphens/>
        <w:spacing w:after="0" w:line="360" w:lineRule="auto"/>
        <w:ind w:left="0" w:firstLine="454"/>
        <w:jc w:val="both"/>
        <w:rPr>
          <w:rFonts w:ascii="Arial" w:hAnsi="Arial" w:cs="Arial"/>
          <w:u w:val="single"/>
          <w:lang/>
        </w:rPr>
      </w:pPr>
      <w:r>
        <w:rPr>
          <w:rFonts w:ascii="Arial" w:hAnsi="Arial" w:cs="Arial"/>
          <w:u w:val="single"/>
          <w:lang/>
        </w:rPr>
        <w:t>OTROS INGRESOS OPERACIONALES</w:t>
      </w:r>
    </w:p>
    <w:p w:rsidR="006774DB" w:rsidRDefault="006774DB" w:rsidP="006774DB">
      <w:pPr>
        <w:spacing w:line="360" w:lineRule="auto"/>
        <w:ind w:firstLine="454"/>
        <w:jc w:val="both"/>
        <w:rPr>
          <w:rFonts w:ascii="Arial" w:hAnsi="Arial" w:cs="Arial"/>
          <w:lang/>
        </w:rPr>
      </w:pPr>
    </w:p>
    <w:p w:rsidR="006774DB" w:rsidRPr="00226DBE" w:rsidRDefault="006774DB" w:rsidP="006774DB">
      <w:pPr>
        <w:spacing w:line="360" w:lineRule="auto"/>
        <w:ind w:firstLine="454"/>
        <w:jc w:val="both"/>
        <w:rPr>
          <w:rFonts w:ascii="Arial" w:hAnsi="Arial" w:cs="Arial"/>
          <w:b/>
          <w:sz w:val="24"/>
          <w:szCs w:val="24"/>
          <w:lang/>
        </w:rPr>
      </w:pPr>
      <w:r w:rsidRPr="00226DBE">
        <w:rPr>
          <w:rFonts w:ascii="Arial" w:hAnsi="Arial" w:cs="Arial"/>
          <w:sz w:val="24"/>
          <w:szCs w:val="24"/>
          <w:lang/>
        </w:rPr>
        <w:t>Pertenece al grupo 55 de los Ingresos, donde se contabilizan los ingresos provenientes de otras actividades de la entidad  que no pueden ser ubicados en otro grupo específico. Se registran  también las Utilidades en Acciones y Participaciones, Utilidades en Venta de Bienes Realizables  y Recuperados, Dividendos por Certificados de Aportación y Convenios.</w:t>
      </w:r>
      <w:r w:rsidRPr="00226DBE">
        <w:rPr>
          <w:rFonts w:ascii="Arial" w:hAnsi="Arial" w:cs="Arial"/>
          <w:b/>
          <w:sz w:val="24"/>
          <w:szCs w:val="24"/>
          <w:lang/>
        </w:rPr>
        <w:t xml:space="preserve"> </w:t>
      </w:r>
    </w:p>
    <w:p w:rsidR="006774DB" w:rsidRDefault="006774DB" w:rsidP="006774DB">
      <w:pPr>
        <w:spacing w:line="360" w:lineRule="auto"/>
        <w:ind w:firstLine="454"/>
        <w:jc w:val="both"/>
        <w:rPr>
          <w:rFonts w:ascii="Arial" w:hAnsi="Arial" w:cs="Arial"/>
          <w:b/>
          <w:lang/>
        </w:rPr>
      </w:pPr>
    </w:p>
    <w:p w:rsidR="006774DB" w:rsidRPr="00226DBE" w:rsidRDefault="006774DB" w:rsidP="006774DB">
      <w:pPr>
        <w:widowControl w:val="0"/>
        <w:numPr>
          <w:ilvl w:val="1"/>
          <w:numId w:val="14"/>
        </w:numPr>
        <w:tabs>
          <w:tab w:val="left" w:pos="1262"/>
          <w:tab w:val="left" w:pos="1440"/>
        </w:tabs>
        <w:suppressAutoHyphens/>
        <w:spacing w:after="0" w:line="360" w:lineRule="auto"/>
        <w:ind w:left="0" w:firstLine="454"/>
        <w:jc w:val="both"/>
        <w:rPr>
          <w:rFonts w:ascii="Arial" w:hAnsi="Arial" w:cs="Arial"/>
          <w:sz w:val="24"/>
          <w:szCs w:val="24"/>
          <w:u w:val="single"/>
          <w:lang/>
        </w:rPr>
      </w:pPr>
      <w:r w:rsidRPr="00226DBE">
        <w:rPr>
          <w:rFonts w:ascii="Arial" w:hAnsi="Arial" w:cs="Arial"/>
          <w:sz w:val="24"/>
          <w:szCs w:val="24"/>
          <w:u w:val="single"/>
          <w:lang/>
        </w:rPr>
        <w:t>OTROS GASTOS OPERACIONALES</w:t>
      </w:r>
    </w:p>
    <w:p w:rsidR="006774DB" w:rsidRPr="00226DBE" w:rsidRDefault="006774DB" w:rsidP="006774DB">
      <w:pPr>
        <w:spacing w:line="360" w:lineRule="auto"/>
        <w:ind w:firstLine="454"/>
        <w:jc w:val="both"/>
        <w:rPr>
          <w:rFonts w:ascii="Arial" w:hAnsi="Arial" w:cs="Arial"/>
          <w:sz w:val="24"/>
          <w:szCs w:val="24"/>
          <w:lang/>
        </w:rPr>
      </w:pPr>
    </w:p>
    <w:p w:rsidR="006774DB" w:rsidRPr="00226DBE" w:rsidRDefault="006774DB" w:rsidP="006774DB">
      <w:pPr>
        <w:spacing w:line="360" w:lineRule="auto"/>
        <w:ind w:firstLine="454"/>
        <w:jc w:val="both"/>
        <w:rPr>
          <w:rFonts w:ascii="Arial" w:hAnsi="Arial" w:cs="Arial"/>
          <w:sz w:val="24"/>
          <w:szCs w:val="24"/>
          <w:lang/>
        </w:rPr>
      </w:pPr>
      <w:r w:rsidRPr="00226DBE">
        <w:rPr>
          <w:rFonts w:ascii="Arial" w:hAnsi="Arial" w:cs="Arial"/>
          <w:sz w:val="24"/>
          <w:szCs w:val="24"/>
          <w:lang/>
        </w:rPr>
        <w:t xml:space="preserve">Pertenece al grupo 46 de los gastos, en este grupo se contabilizan las pérdidas provenientes de otras actividades operacionales de la entidad que no pueden ser ubicadas en un grupo específico, las pérdidas originales por la modificación del valor patrimonial de las acciones y participaciones que posee </w:t>
      </w:r>
      <w:smartTag w:uri="urn:schemas-microsoft-com:office:smarttags" w:element="PersonName">
        <w:smartTagPr>
          <w:attr w:name="ProductID" w:val="la Institución"/>
        </w:smartTagPr>
        <w:r w:rsidRPr="00226DBE">
          <w:rPr>
            <w:rFonts w:ascii="Arial" w:hAnsi="Arial" w:cs="Arial"/>
            <w:sz w:val="24"/>
            <w:szCs w:val="24"/>
            <w:lang/>
          </w:rPr>
          <w:t>la Institución</w:t>
        </w:r>
      </w:smartTag>
      <w:r w:rsidRPr="00226DBE">
        <w:rPr>
          <w:rFonts w:ascii="Arial" w:hAnsi="Arial" w:cs="Arial"/>
          <w:sz w:val="24"/>
          <w:szCs w:val="24"/>
          <w:lang/>
        </w:rPr>
        <w:t xml:space="preserve">, las </w:t>
      </w:r>
      <w:r w:rsidR="00226DBE" w:rsidRPr="00226DBE">
        <w:rPr>
          <w:rFonts w:ascii="Arial" w:hAnsi="Arial" w:cs="Arial"/>
          <w:sz w:val="24"/>
          <w:szCs w:val="24"/>
          <w:lang/>
        </w:rPr>
        <w:t>pérdidas</w:t>
      </w:r>
      <w:r w:rsidRPr="00226DBE">
        <w:rPr>
          <w:rFonts w:ascii="Arial" w:hAnsi="Arial" w:cs="Arial"/>
          <w:sz w:val="24"/>
          <w:szCs w:val="24"/>
          <w:lang/>
        </w:rPr>
        <w:t xml:space="preserve"> originadas por la actualización de las inversiones en acciones y participaciones en moneda extranjera que se produce por la variación de su cotización y la pérdida que se genere en la venta de bienes realizables y recuperables.</w:t>
      </w:r>
    </w:p>
    <w:p w:rsidR="006774DB" w:rsidRPr="00226DBE" w:rsidRDefault="006774DB" w:rsidP="006774DB">
      <w:pPr>
        <w:spacing w:line="360" w:lineRule="auto"/>
        <w:ind w:firstLine="454"/>
        <w:jc w:val="both"/>
        <w:rPr>
          <w:rFonts w:ascii="Arial" w:hAnsi="Arial" w:cs="Arial"/>
          <w:b/>
          <w:sz w:val="24"/>
          <w:szCs w:val="24"/>
          <w:lang/>
        </w:rPr>
      </w:pPr>
    </w:p>
    <w:p w:rsidR="006774DB" w:rsidRPr="00226DBE" w:rsidRDefault="006774DB" w:rsidP="006774DB">
      <w:pPr>
        <w:widowControl w:val="0"/>
        <w:numPr>
          <w:ilvl w:val="0"/>
          <w:numId w:val="14"/>
        </w:numPr>
        <w:tabs>
          <w:tab w:val="left" w:pos="1262"/>
        </w:tabs>
        <w:suppressAutoHyphens/>
        <w:spacing w:after="0" w:line="360" w:lineRule="auto"/>
        <w:ind w:left="0" w:firstLine="454"/>
        <w:jc w:val="both"/>
        <w:rPr>
          <w:rFonts w:ascii="Arial" w:hAnsi="Arial" w:cs="Arial"/>
          <w:b/>
          <w:sz w:val="24"/>
          <w:szCs w:val="24"/>
          <w:lang/>
        </w:rPr>
      </w:pPr>
      <w:r w:rsidRPr="00226DBE">
        <w:rPr>
          <w:rFonts w:ascii="Arial" w:hAnsi="Arial" w:cs="Arial"/>
          <w:b/>
          <w:sz w:val="24"/>
          <w:szCs w:val="24"/>
          <w:lang/>
        </w:rPr>
        <w:t>OTRAS UTILIDADES NO OPERACIONALES NETAS</w:t>
      </w:r>
    </w:p>
    <w:p w:rsidR="006774DB" w:rsidRPr="00226DBE" w:rsidRDefault="006774DB" w:rsidP="006774DB">
      <w:pPr>
        <w:spacing w:line="360" w:lineRule="auto"/>
        <w:ind w:firstLine="454"/>
        <w:jc w:val="both"/>
        <w:rPr>
          <w:rFonts w:ascii="Arial" w:hAnsi="Arial" w:cs="Arial"/>
          <w:sz w:val="24"/>
          <w:szCs w:val="24"/>
          <w:lang/>
        </w:rPr>
      </w:pPr>
    </w:p>
    <w:p w:rsidR="006774DB" w:rsidRPr="00226DBE" w:rsidRDefault="006774DB" w:rsidP="006774DB">
      <w:pPr>
        <w:spacing w:line="360" w:lineRule="auto"/>
        <w:ind w:firstLine="454"/>
        <w:jc w:val="both"/>
        <w:rPr>
          <w:rFonts w:ascii="Arial" w:hAnsi="Arial" w:cs="Arial"/>
          <w:sz w:val="24"/>
          <w:szCs w:val="24"/>
          <w:lang/>
        </w:rPr>
      </w:pPr>
      <w:r w:rsidRPr="00226DBE">
        <w:rPr>
          <w:rFonts w:ascii="Arial" w:hAnsi="Arial" w:cs="Arial"/>
          <w:sz w:val="24"/>
          <w:szCs w:val="24"/>
          <w:lang/>
        </w:rPr>
        <w:t>El valor de este rubro se obtiene de la diferencia entre los Otros Ingresos Operacionales con Otros Gastos Operacionales.</w:t>
      </w:r>
    </w:p>
    <w:p w:rsidR="006774DB" w:rsidRDefault="006774DB" w:rsidP="006774DB">
      <w:pPr>
        <w:spacing w:line="360" w:lineRule="auto"/>
        <w:ind w:firstLine="454"/>
        <w:jc w:val="both"/>
        <w:rPr>
          <w:rFonts w:ascii="Arial" w:hAnsi="Arial" w:cs="Arial"/>
          <w:b/>
          <w:sz w:val="24"/>
          <w:szCs w:val="24"/>
          <w:lang/>
        </w:rPr>
      </w:pPr>
    </w:p>
    <w:p w:rsidR="003231C2" w:rsidRPr="00226DBE" w:rsidRDefault="003231C2" w:rsidP="006774DB">
      <w:pPr>
        <w:spacing w:line="360" w:lineRule="auto"/>
        <w:ind w:firstLine="454"/>
        <w:jc w:val="both"/>
        <w:rPr>
          <w:rFonts w:ascii="Arial" w:hAnsi="Arial" w:cs="Arial"/>
          <w:b/>
          <w:sz w:val="24"/>
          <w:szCs w:val="24"/>
          <w:lang/>
        </w:rPr>
      </w:pPr>
    </w:p>
    <w:p w:rsidR="006774DB" w:rsidRPr="00226DBE" w:rsidRDefault="006774DB" w:rsidP="006774DB">
      <w:pPr>
        <w:widowControl w:val="0"/>
        <w:numPr>
          <w:ilvl w:val="1"/>
          <w:numId w:val="14"/>
        </w:numPr>
        <w:tabs>
          <w:tab w:val="left" w:pos="1262"/>
          <w:tab w:val="left" w:pos="1440"/>
        </w:tabs>
        <w:suppressAutoHyphens/>
        <w:spacing w:after="0" w:line="360" w:lineRule="auto"/>
        <w:ind w:left="0" w:firstLine="454"/>
        <w:jc w:val="both"/>
        <w:rPr>
          <w:rFonts w:ascii="Arial" w:hAnsi="Arial" w:cs="Arial"/>
          <w:sz w:val="24"/>
          <w:szCs w:val="24"/>
          <w:u w:val="single"/>
          <w:lang/>
        </w:rPr>
      </w:pPr>
      <w:r w:rsidRPr="00226DBE">
        <w:rPr>
          <w:rFonts w:ascii="Arial" w:hAnsi="Arial" w:cs="Arial"/>
          <w:sz w:val="24"/>
          <w:szCs w:val="24"/>
          <w:u w:val="single"/>
          <w:lang/>
        </w:rPr>
        <w:lastRenderedPageBreak/>
        <w:t>OTROS INGRESOS NO OPERACIONALES</w:t>
      </w:r>
    </w:p>
    <w:p w:rsidR="006774DB" w:rsidRPr="00226DBE" w:rsidRDefault="006774DB" w:rsidP="006774DB">
      <w:pPr>
        <w:spacing w:line="360" w:lineRule="auto"/>
        <w:ind w:firstLine="454"/>
        <w:jc w:val="both"/>
        <w:rPr>
          <w:rFonts w:ascii="Arial" w:hAnsi="Arial" w:cs="Arial"/>
          <w:sz w:val="24"/>
          <w:szCs w:val="24"/>
          <w:lang/>
        </w:rPr>
      </w:pPr>
    </w:p>
    <w:p w:rsidR="006774DB" w:rsidRPr="00226DBE" w:rsidRDefault="006774DB" w:rsidP="006774DB">
      <w:pPr>
        <w:spacing w:line="360" w:lineRule="auto"/>
        <w:ind w:firstLine="454"/>
        <w:jc w:val="both"/>
        <w:rPr>
          <w:rFonts w:ascii="Arial" w:hAnsi="Arial" w:cs="Arial"/>
          <w:sz w:val="24"/>
          <w:szCs w:val="24"/>
          <w:lang/>
        </w:rPr>
      </w:pPr>
      <w:r w:rsidRPr="00226DBE">
        <w:rPr>
          <w:rFonts w:ascii="Arial" w:hAnsi="Arial" w:cs="Arial"/>
          <w:sz w:val="24"/>
          <w:szCs w:val="24"/>
          <w:lang/>
        </w:rPr>
        <w:t>Grupo 56 de los Ingresos, constituyen los ingresos obtenidos por el giro normal del negocio o por circunstancias especiales que siendo propias de la actividad, han influido en los activos de la entidad. Se registran también las utilidades en venta de bienes a terceros, utilidades en venta de acciones y participaciones, Arrendamientos y Recuperaciones de Activos Financieros.</w:t>
      </w:r>
    </w:p>
    <w:p w:rsidR="006774DB" w:rsidRPr="00226DBE" w:rsidRDefault="006774DB" w:rsidP="006774DB">
      <w:pPr>
        <w:spacing w:line="360" w:lineRule="auto"/>
        <w:ind w:firstLine="454"/>
        <w:jc w:val="both"/>
        <w:rPr>
          <w:rFonts w:ascii="Arial" w:hAnsi="Arial" w:cs="Arial"/>
          <w:b/>
          <w:sz w:val="24"/>
          <w:szCs w:val="24"/>
          <w:lang/>
        </w:rPr>
      </w:pPr>
    </w:p>
    <w:p w:rsidR="006774DB" w:rsidRPr="00226DBE" w:rsidRDefault="006774DB" w:rsidP="006774DB">
      <w:pPr>
        <w:widowControl w:val="0"/>
        <w:numPr>
          <w:ilvl w:val="1"/>
          <w:numId w:val="14"/>
        </w:numPr>
        <w:tabs>
          <w:tab w:val="left" w:pos="1262"/>
          <w:tab w:val="left" w:pos="1440"/>
        </w:tabs>
        <w:suppressAutoHyphens/>
        <w:spacing w:after="0" w:line="360" w:lineRule="auto"/>
        <w:ind w:left="0" w:firstLine="454"/>
        <w:jc w:val="both"/>
        <w:rPr>
          <w:rFonts w:ascii="Arial" w:hAnsi="Arial" w:cs="Arial"/>
          <w:sz w:val="24"/>
          <w:szCs w:val="24"/>
          <w:u w:val="single"/>
          <w:lang/>
        </w:rPr>
      </w:pPr>
      <w:r w:rsidRPr="00226DBE">
        <w:rPr>
          <w:rFonts w:ascii="Arial" w:hAnsi="Arial" w:cs="Arial"/>
          <w:sz w:val="24"/>
          <w:szCs w:val="24"/>
          <w:u w:val="single"/>
          <w:lang/>
        </w:rPr>
        <w:t>OTROS GASTOS NO OPERACIONALES</w:t>
      </w:r>
    </w:p>
    <w:p w:rsidR="006774DB" w:rsidRPr="00226DBE" w:rsidRDefault="006774DB" w:rsidP="006774DB">
      <w:pPr>
        <w:spacing w:line="360" w:lineRule="auto"/>
        <w:ind w:firstLine="454"/>
        <w:jc w:val="both"/>
        <w:rPr>
          <w:rFonts w:ascii="Arial" w:hAnsi="Arial" w:cs="Arial"/>
          <w:sz w:val="24"/>
          <w:szCs w:val="24"/>
          <w:lang/>
        </w:rPr>
      </w:pPr>
    </w:p>
    <w:p w:rsidR="006774DB" w:rsidRPr="00226DBE" w:rsidRDefault="006774DB" w:rsidP="006774DB">
      <w:pPr>
        <w:spacing w:line="360" w:lineRule="auto"/>
        <w:ind w:firstLine="454"/>
        <w:jc w:val="both"/>
        <w:rPr>
          <w:rFonts w:ascii="Arial" w:hAnsi="Arial" w:cs="Arial"/>
          <w:sz w:val="24"/>
          <w:szCs w:val="24"/>
          <w:lang/>
        </w:rPr>
      </w:pPr>
      <w:r w:rsidRPr="00226DBE">
        <w:rPr>
          <w:rFonts w:ascii="Arial" w:hAnsi="Arial" w:cs="Arial"/>
          <w:sz w:val="24"/>
          <w:szCs w:val="24"/>
          <w:lang/>
        </w:rPr>
        <w:t>Cuenta con Código 47, pertenece al grupo de los gastos. Constituye las pérdidas obtenidas por circunstancias ajenas al giro normal del negocio o por circunstancias especiales que siendo propias de la actividad, han influido en sus activos. Se registran también las Pérdidas en ventas de bienes, Pérdidas en ventas de acciones y participaciones, Intereses y comisiones devengados en ejercicios anteriores.</w:t>
      </w:r>
    </w:p>
    <w:p w:rsidR="006774DB" w:rsidRPr="00226DBE" w:rsidRDefault="006774DB" w:rsidP="006774DB">
      <w:pPr>
        <w:spacing w:line="360" w:lineRule="auto"/>
        <w:ind w:firstLine="454"/>
        <w:jc w:val="both"/>
        <w:rPr>
          <w:rFonts w:ascii="Arial" w:hAnsi="Arial" w:cs="Arial"/>
          <w:b/>
          <w:sz w:val="24"/>
          <w:szCs w:val="24"/>
          <w:lang/>
        </w:rPr>
      </w:pPr>
    </w:p>
    <w:p w:rsidR="006774DB" w:rsidRPr="00226DBE" w:rsidRDefault="006774DB" w:rsidP="006774DB">
      <w:pPr>
        <w:widowControl w:val="0"/>
        <w:numPr>
          <w:ilvl w:val="0"/>
          <w:numId w:val="15"/>
        </w:numPr>
        <w:tabs>
          <w:tab w:val="left" w:pos="1262"/>
          <w:tab w:val="left" w:pos="1428"/>
        </w:tabs>
        <w:suppressAutoHyphens/>
        <w:spacing w:after="0" w:line="360" w:lineRule="auto"/>
        <w:ind w:left="0" w:firstLine="454"/>
        <w:jc w:val="both"/>
        <w:rPr>
          <w:rFonts w:ascii="Arial" w:hAnsi="Arial" w:cs="Arial"/>
          <w:b/>
          <w:sz w:val="24"/>
          <w:szCs w:val="24"/>
          <w:lang/>
        </w:rPr>
      </w:pPr>
      <w:r w:rsidRPr="00226DBE">
        <w:rPr>
          <w:rFonts w:ascii="Arial" w:hAnsi="Arial" w:cs="Arial"/>
          <w:b/>
          <w:sz w:val="24"/>
          <w:szCs w:val="24"/>
          <w:lang/>
        </w:rPr>
        <w:t xml:space="preserve">RATIOS PARA </w:t>
      </w:r>
      <w:smartTag w:uri="urn:schemas-microsoft-com:office:smarttags" w:element="PersonName">
        <w:smartTagPr>
          <w:attr w:name="ProductID" w:val="LA PROYECCIÓN DE"/>
        </w:smartTagPr>
        <w:r w:rsidRPr="00226DBE">
          <w:rPr>
            <w:rFonts w:ascii="Arial" w:hAnsi="Arial" w:cs="Arial"/>
            <w:b/>
            <w:sz w:val="24"/>
            <w:szCs w:val="24"/>
            <w:lang/>
          </w:rPr>
          <w:t>LA PROYECCIÓN DE</w:t>
        </w:r>
      </w:smartTag>
      <w:r w:rsidRPr="00226DBE">
        <w:rPr>
          <w:rFonts w:ascii="Arial" w:hAnsi="Arial" w:cs="Arial"/>
          <w:b/>
          <w:sz w:val="24"/>
          <w:szCs w:val="24"/>
          <w:lang/>
        </w:rPr>
        <w:t xml:space="preserve"> CUENTAS</w:t>
      </w:r>
    </w:p>
    <w:p w:rsidR="006774DB" w:rsidRPr="00226DBE" w:rsidRDefault="006774DB" w:rsidP="006774DB">
      <w:pPr>
        <w:spacing w:line="360" w:lineRule="auto"/>
        <w:ind w:firstLine="454"/>
        <w:jc w:val="both"/>
        <w:rPr>
          <w:rFonts w:ascii="Arial" w:hAnsi="Arial" w:cs="Arial"/>
          <w:b/>
          <w:sz w:val="24"/>
          <w:szCs w:val="24"/>
          <w:lang/>
        </w:rPr>
      </w:pPr>
    </w:p>
    <w:p w:rsidR="006774DB" w:rsidRPr="00226DBE" w:rsidRDefault="006774DB" w:rsidP="006774DB">
      <w:pPr>
        <w:spacing w:line="360" w:lineRule="auto"/>
        <w:ind w:firstLine="454"/>
        <w:jc w:val="both"/>
        <w:rPr>
          <w:rFonts w:ascii="Arial" w:hAnsi="Arial" w:cs="Arial"/>
          <w:sz w:val="24"/>
          <w:szCs w:val="24"/>
          <w:lang/>
        </w:rPr>
      </w:pPr>
      <w:r w:rsidRPr="00226DBE">
        <w:rPr>
          <w:rFonts w:ascii="Arial" w:hAnsi="Arial" w:cs="Arial"/>
          <w:sz w:val="24"/>
          <w:szCs w:val="24"/>
          <w:lang/>
        </w:rPr>
        <w:t>Para obtener los ratios necesarios para la proyección se utilizará la siguiente fórmula:</w:t>
      </w:r>
    </w:p>
    <w:p w:rsidR="006774DB" w:rsidRPr="00226DBE" w:rsidRDefault="006774DB" w:rsidP="006774DB">
      <w:pPr>
        <w:spacing w:line="360" w:lineRule="auto"/>
        <w:ind w:firstLine="454"/>
        <w:jc w:val="both"/>
        <w:rPr>
          <w:rFonts w:ascii="Arial" w:hAnsi="Arial" w:cs="Arial"/>
          <w:sz w:val="24"/>
          <w:szCs w:val="24"/>
          <w:lang/>
        </w:rPr>
      </w:pPr>
    </w:p>
    <w:p w:rsidR="006774DB" w:rsidRPr="00226DBE" w:rsidRDefault="006774DB" w:rsidP="006774DB">
      <w:pPr>
        <w:spacing w:line="360" w:lineRule="auto"/>
        <w:ind w:firstLine="454"/>
        <w:jc w:val="both"/>
        <w:rPr>
          <w:rFonts w:ascii="Arial" w:hAnsi="Arial" w:cs="Arial"/>
          <w:sz w:val="24"/>
          <w:szCs w:val="24"/>
          <w:lang/>
        </w:rPr>
      </w:pPr>
      <w:r w:rsidRPr="00226DBE">
        <w:rPr>
          <w:rFonts w:ascii="Arial" w:hAnsi="Arial" w:cs="Arial"/>
          <w:sz w:val="24"/>
          <w:szCs w:val="24"/>
          <w:lang/>
        </w:rPr>
        <w:t>Cuenta A</w:t>
      </w:r>
      <w:r w:rsidRPr="00226DBE">
        <w:rPr>
          <w:rFonts w:ascii="Arial" w:hAnsi="Arial" w:cs="Arial"/>
          <w:sz w:val="24"/>
          <w:szCs w:val="24"/>
          <w:vertAlign w:val="subscript"/>
          <w:lang/>
        </w:rPr>
        <w:t>T+n</w:t>
      </w:r>
      <w:r w:rsidRPr="00226DBE">
        <w:rPr>
          <w:rFonts w:ascii="Arial" w:hAnsi="Arial" w:cs="Arial"/>
          <w:sz w:val="24"/>
          <w:szCs w:val="24"/>
          <w:lang/>
        </w:rPr>
        <w:t xml:space="preserve"> = Ratio (Cuenta A</w:t>
      </w:r>
      <w:r w:rsidRPr="00226DBE">
        <w:rPr>
          <w:rFonts w:ascii="Arial" w:hAnsi="Arial" w:cs="Arial"/>
          <w:sz w:val="24"/>
          <w:szCs w:val="24"/>
          <w:vertAlign w:val="subscript"/>
          <w:lang/>
        </w:rPr>
        <w:t>t,</w:t>
      </w:r>
      <w:r w:rsidRPr="00226DBE">
        <w:rPr>
          <w:rFonts w:ascii="Arial" w:hAnsi="Arial" w:cs="Arial"/>
          <w:sz w:val="24"/>
          <w:szCs w:val="24"/>
          <w:lang/>
        </w:rPr>
        <w:t xml:space="preserve"> Cuenta B</w:t>
      </w:r>
      <w:r w:rsidRPr="00226DBE">
        <w:rPr>
          <w:rFonts w:ascii="Arial" w:hAnsi="Arial" w:cs="Arial"/>
          <w:sz w:val="24"/>
          <w:szCs w:val="24"/>
          <w:vertAlign w:val="subscript"/>
          <w:lang/>
        </w:rPr>
        <w:t>t</w:t>
      </w:r>
      <w:r w:rsidRPr="00226DBE">
        <w:rPr>
          <w:rFonts w:ascii="Arial" w:hAnsi="Arial" w:cs="Arial"/>
          <w:sz w:val="24"/>
          <w:szCs w:val="24"/>
          <w:lang/>
        </w:rPr>
        <w:t>)*(Cuenta B</w:t>
      </w:r>
      <w:r w:rsidRPr="00226DBE">
        <w:rPr>
          <w:rFonts w:ascii="Arial" w:hAnsi="Arial" w:cs="Arial"/>
          <w:sz w:val="24"/>
          <w:szCs w:val="24"/>
          <w:vertAlign w:val="subscript"/>
          <w:lang/>
        </w:rPr>
        <w:t>T+n</w:t>
      </w:r>
      <w:r w:rsidRPr="00226DBE">
        <w:rPr>
          <w:rFonts w:ascii="Arial" w:hAnsi="Arial" w:cs="Arial"/>
          <w:sz w:val="24"/>
          <w:szCs w:val="24"/>
          <w:lang/>
        </w:rPr>
        <w:t>)</w:t>
      </w:r>
    </w:p>
    <w:p w:rsidR="006774DB" w:rsidRDefault="006774DB" w:rsidP="006774DB">
      <w:pPr>
        <w:spacing w:line="360" w:lineRule="auto"/>
        <w:ind w:firstLine="454"/>
        <w:jc w:val="both"/>
        <w:rPr>
          <w:rFonts w:ascii="Arial" w:hAnsi="Arial" w:cs="Arial"/>
          <w:sz w:val="24"/>
          <w:szCs w:val="24"/>
          <w:lang/>
        </w:rPr>
      </w:pPr>
      <w:r w:rsidRPr="00226DBE">
        <w:rPr>
          <w:rFonts w:ascii="Arial" w:hAnsi="Arial" w:cs="Arial"/>
          <w:sz w:val="24"/>
          <w:szCs w:val="24"/>
          <w:lang/>
        </w:rPr>
        <w:tab/>
      </w:r>
    </w:p>
    <w:p w:rsidR="003231C2" w:rsidRPr="00226DBE" w:rsidRDefault="003231C2" w:rsidP="006774DB">
      <w:pPr>
        <w:spacing w:line="360" w:lineRule="auto"/>
        <w:ind w:firstLine="454"/>
        <w:jc w:val="both"/>
        <w:rPr>
          <w:rFonts w:ascii="Arial" w:hAnsi="Arial" w:cs="Arial"/>
          <w:sz w:val="24"/>
          <w:szCs w:val="24"/>
          <w:lang/>
        </w:rPr>
      </w:pPr>
    </w:p>
    <w:p w:rsidR="006774DB" w:rsidRPr="00226DBE" w:rsidRDefault="006774DB" w:rsidP="006774DB">
      <w:pPr>
        <w:spacing w:line="360" w:lineRule="auto"/>
        <w:ind w:firstLine="454"/>
        <w:jc w:val="both"/>
        <w:rPr>
          <w:rFonts w:ascii="Arial" w:hAnsi="Arial" w:cs="Arial"/>
          <w:b/>
          <w:i/>
          <w:sz w:val="24"/>
          <w:szCs w:val="24"/>
          <w:lang/>
        </w:rPr>
      </w:pPr>
      <w:r w:rsidRPr="00226DBE">
        <w:rPr>
          <w:rFonts w:ascii="Arial" w:hAnsi="Arial" w:cs="Arial"/>
          <w:b/>
          <w:i/>
          <w:sz w:val="24"/>
          <w:szCs w:val="24"/>
          <w:lang/>
        </w:rPr>
        <w:lastRenderedPageBreak/>
        <w:t>Donde:</w:t>
      </w:r>
    </w:p>
    <w:p w:rsidR="006774DB" w:rsidRPr="00226DBE" w:rsidRDefault="006774DB" w:rsidP="006774DB">
      <w:pPr>
        <w:widowControl w:val="0"/>
        <w:numPr>
          <w:ilvl w:val="0"/>
          <w:numId w:val="16"/>
        </w:numPr>
        <w:tabs>
          <w:tab w:val="left" w:pos="1624"/>
        </w:tabs>
        <w:suppressAutoHyphens/>
        <w:spacing w:after="0" w:line="360" w:lineRule="auto"/>
        <w:ind w:left="0" w:firstLine="454"/>
        <w:jc w:val="both"/>
        <w:rPr>
          <w:rFonts w:ascii="Arial" w:hAnsi="Arial" w:cs="Arial"/>
          <w:sz w:val="24"/>
          <w:szCs w:val="24"/>
          <w:lang/>
        </w:rPr>
      </w:pPr>
      <w:r w:rsidRPr="00226DBE">
        <w:rPr>
          <w:rFonts w:ascii="Arial" w:hAnsi="Arial" w:cs="Arial"/>
          <w:sz w:val="24"/>
          <w:szCs w:val="24"/>
          <w:u w:val="single"/>
          <w:lang/>
        </w:rPr>
        <w:t>Cuenta A</w:t>
      </w:r>
      <w:r w:rsidRPr="00226DBE">
        <w:rPr>
          <w:rFonts w:ascii="Arial" w:hAnsi="Arial" w:cs="Arial"/>
          <w:sz w:val="24"/>
          <w:szCs w:val="24"/>
          <w:u w:val="single"/>
          <w:vertAlign w:val="subscript"/>
          <w:lang/>
        </w:rPr>
        <w:t>T+n</w:t>
      </w:r>
      <w:r w:rsidRPr="00226DBE">
        <w:rPr>
          <w:rFonts w:ascii="Arial" w:hAnsi="Arial" w:cs="Arial"/>
          <w:sz w:val="24"/>
          <w:szCs w:val="24"/>
          <w:vertAlign w:val="subscript"/>
          <w:lang/>
        </w:rPr>
        <w:t xml:space="preserve">   </w:t>
      </w:r>
      <w:r w:rsidRPr="00226DBE">
        <w:rPr>
          <w:rFonts w:ascii="Arial" w:hAnsi="Arial" w:cs="Arial"/>
          <w:sz w:val="24"/>
          <w:szCs w:val="24"/>
          <w:lang/>
        </w:rPr>
        <w:t>:   Cuenta  a proyectar en n periodos posteriores.</w:t>
      </w:r>
    </w:p>
    <w:p w:rsidR="006774DB" w:rsidRPr="00226DBE" w:rsidRDefault="006774DB" w:rsidP="006774DB">
      <w:pPr>
        <w:widowControl w:val="0"/>
        <w:numPr>
          <w:ilvl w:val="0"/>
          <w:numId w:val="16"/>
        </w:numPr>
        <w:tabs>
          <w:tab w:val="left" w:pos="1624"/>
        </w:tabs>
        <w:suppressAutoHyphens/>
        <w:spacing w:after="0" w:line="360" w:lineRule="auto"/>
        <w:ind w:left="0" w:firstLine="454"/>
        <w:jc w:val="both"/>
        <w:rPr>
          <w:rFonts w:ascii="Arial" w:hAnsi="Arial" w:cs="Arial"/>
          <w:sz w:val="24"/>
          <w:szCs w:val="24"/>
          <w:lang/>
        </w:rPr>
      </w:pPr>
      <w:r w:rsidRPr="00226DBE">
        <w:rPr>
          <w:rFonts w:ascii="Arial" w:hAnsi="Arial" w:cs="Arial"/>
          <w:sz w:val="24"/>
          <w:szCs w:val="24"/>
          <w:u w:val="single"/>
          <w:lang/>
        </w:rPr>
        <w:t>Ratio (Cuenta A</w:t>
      </w:r>
      <w:r w:rsidRPr="00226DBE">
        <w:rPr>
          <w:rFonts w:ascii="Arial" w:hAnsi="Arial" w:cs="Arial"/>
          <w:sz w:val="24"/>
          <w:szCs w:val="24"/>
          <w:u w:val="single"/>
          <w:vertAlign w:val="subscript"/>
          <w:lang/>
        </w:rPr>
        <w:t>t,</w:t>
      </w:r>
      <w:r w:rsidRPr="00226DBE">
        <w:rPr>
          <w:rFonts w:ascii="Arial" w:hAnsi="Arial" w:cs="Arial"/>
          <w:sz w:val="24"/>
          <w:szCs w:val="24"/>
          <w:u w:val="single"/>
          <w:lang/>
        </w:rPr>
        <w:t xml:space="preserve"> Cuenta B</w:t>
      </w:r>
      <w:r w:rsidRPr="00226DBE">
        <w:rPr>
          <w:rFonts w:ascii="Arial" w:hAnsi="Arial" w:cs="Arial"/>
          <w:sz w:val="24"/>
          <w:szCs w:val="24"/>
          <w:u w:val="single"/>
          <w:vertAlign w:val="subscript"/>
          <w:lang/>
        </w:rPr>
        <w:t>t</w:t>
      </w:r>
      <w:r w:rsidRPr="00226DBE">
        <w:rPr>
          <w:rFonts w:ascii="Arial" w:hAnsi="Arial" w:cs="Arial"/>
          <w:sz w:val="24"/>
          <w:szCs w:val="24"/>
          <w:u w:val="single"/>
          <w:lang/>
        </w:rPr>
        <w:t>)   :</w:t>
      </w:r>
      <w:r w:rsidRPr="00226DBE">
        <w:rPr>
          <w:rFonts w:ascii="Arial" w:hAnsi="Arial" w:cs="Arial"/>
          <w:sz w:val="24"/>
          <w:szCs w:val="24"/>
          <w:lang/>
        </w:rPr>
        <w:t xml:space="preserve">    </w:t>
      </w:r>
      <w:r w:rsidRPr="00226DBE">
        <w:rPr>
          <w:position w:val="-20"/>
          <w:sz w:val="24"/>
          <w:szCs w:val="24"/>
        </w:rPr>
        <w:object w:dxaOrig="2172" w:dyaOrig="65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8.75pt;height:33pt" o:ole="" filled="t">
            <v:fill color2="black"/>
            <v:imagedata r:id="rId27" o:title=""/>
          </v:shape>
          <o:OLEObject Type="Embed" ProgID="opendocument.MathDocument.1" ShapeID="_x0000_i1025" DrawAspect="Content" ObjectID="_1319356822" r:id="rId28"/>
        </w:object>
      </w:r>
      <w:r w:rsidRPr="00226DBE">
        <w:rPr>
          <w:rFonts w:ascii="Arial" w:hAnsi="Arial" w:cs="Arial"/>
          <w:sz w:val="24"/>
          <w:szCs w:val="24"/>
          <w:lang/>
        </w:rPr>
        <w:t>Es el promedio de la relación histórica mensual entre la cuenta A y la cuenta B.</w:t>
      </w:r>
    </w:p>
    <w:p w:rsidR="006774DB" w:rsidRPr="00226DBE" w:rsidRDefault="006774DB" w:rsidP="006774DB">
      <w:pPr>
        <w:widowControl w:val="0"/>
        <w:numPr>
          <w:ilvl w:val="0"/>
          <w:numId w:val="16"/>
        </w:numPr>
        <w:tabs>
          <w:tab w:val="left" w:pos="1624"/>
        </w:tabs>
        <w:suppressAutoHyphens/>
        <w:spacing w:after="0" w:line="360" w:lineRule="auto"/>
        <w:ind w:left="0" w:firstLine="454"/>
        <w:jc w:val="both"/>
        <w:rPr>
          <w:rFonts w:ascii="Arial" w:hAnsi="Arial" w:cs="Arial"/>
          <w:sz w:val="24"/>
          <w:szCs w:val="24"/>
          <w:lang/>
        </w:rPr>
      </w:pPr>
      <w:r w:rsidRPr="00226DBE">
        <w:rPr>
          <w:rFonts w:ascii="Arial" w:hAnsi="Arial" w:cs="Arial"/>
          <w:sz w:val="24"/>
          <w:szCs w:val="24"/>
          <w:u w:val="single"/>
          <w:lang/>
        </w:rPr>
        <w:t>T:</w:t>
      </w:r>
      <w:r w:rsidRPr="00226DBE">
        <w:rPr>
          <w:rFonts w:ascii="Arial" w:hAnsi="Arial" w:cs="Arial"/>
          <w:sz w:val="24"/>
          <w:szCs w:val="24"/>
          <w:lang/>
        </w:rPr>
        <w:t xml:space="preserve"> Es el último período conocido.</w:t>
      </w:r>
    </w:p>
    <w:p w:rsidR="006774DB" w:rsidRPr="00226DBE" w:rsidRDefault="006774DB" w:rsidP="006774DB">
      <w:pPr>
        <w:widowControl w:val="0"/>
        <w:numPr>
          <w:ilvl w:val="0"/>
          <w:numId w:val="16"/>
        </w:numPr>
        <w:tabs>
          <w:tab w:val="left" w:pos="1624"/>
        </w:tabs>
        <w:suppressAutoHyphens/>
        <w:spacing w:after="0" w:line="360" w:lineRule="auto"/>
        <w:ind w:left="0" w:firstLine="454"/>
        <w:jc w:val="both"/>
        <w:rPr>
          <w:rFonts w:ascii="Arial" w:hAnsi="Arial" w:cs="Arial"/>
          <w:sz w:val="24"/>
          <w:szCs w:val="24"/>
          <w:lang/>
        </w:rPr>
      </w:pPr>
      <w:r w:rsidRPr="00226DBE">
        <w:rPr>
          <w:rFonts w:ascii="Arial" w:hAnsi="Arial" w:cs="Arial"/>
          <w:sz w:val="24"/>
          <w:szCs w:val="24"/>
          <w:u w:val="single"/>
          <w:lang/>
        </w:rPr>
        <w:t>Cuenta B</w:t>
      </w:r>
      <w:r w:rsidRPr="00226DBE">
        <w:rPr>
          <w:rFonts w:ascii="Arial" w:hAnsi="Arial" w:cs="Arial"/>
          <w:sz w:val="24"/>
          <w:szCs w:val="24"/>
          <w:u w:val="single"/>
          <w:vertAlign w:val="subscript"/>
          <w:lang/>
        </w:rPr>
        <w:t xml:space="preserve">T+n    </w:t>
      </w:r>
      <w:r w:rsidRPr="00226DBE">
        <w:rPr>
          <w:rFonts w:ascii="Arial" w:hAnsi="Arial" w:cs="Arial"/>
          <w:sz w:val="24"/>
          <w:szCs w:val="24"/>
          <w:u w:val="single"/>
          <w:lang/>
        </w:rPr>
        <w:t xml:space="preserve">: </w:t>
      </w:r>
      <w:r w:rsidRPr="00226DBE">
        <w:rPr>
          <w:rFonts w:ascii="Arial" w:hAnsi="Arial" w:cs="Arial"/>
          <w:sz w:val="24"/>
          <w:szCs w:val="24"/>
          <w:lang/>
        </w:rPr>
        <w:t>Es la proyección de la cuenta B en n períodos posteriores, mediante el uso de otro ratio.</w:t>
      </w:r>
    </w:p>
    <w:p w:rsidR="006774DB" w:rsidRPr="00226DBE" w:rsidRDefault="006774DB" w:rsidP="006774DB">
      <w:pPr>
        <w:spacing w:line="360" w:lineRule="auto"/>
        <w:ind w:firstLine="454"/>
        <w:jc w:val="both"/>
        <w:rPr>
          <w:rFonts w:ascii="Arial" w:hAnsi="Arial" w:cs="Arial"/>
          <w:b/>
          <w:sz w:val="24"/>
          <w:szCs w:val="24"/>
          <w:lang/>
        </w:rPr>
      </w:pPr>
    </w:p>
    <w:p w:rsidR="006774DB" w:rsidRPr="00226DBE" w:rsidRDefault="006774DB" w:rsidP="006774DB">
      <w:pPr>
        <w:widowControl w:val="0"/>
        <w:numPr>
          <w:ilvl w:val="0"/>
          <w:numId w:val="15"/>
        </w:numPr>
        <w:tabs>
          <w:tab w:val="left" w:pos="1262"/>
          <w:tab w:val="left" w:pos="1428"/>
        </w:tabs>
        <w:suppressAutoHyphens/>
        <w:spacing w:after="0" w:line="360" w:lineRule="auto"/>
        <w:ind w:left="0" w:firstLine="454"/>
        <w:jc w:val="both"/>
        <w:rPr>
          <w:rFonts w:ascii="Arial" w:hAnsi="Arial" w:cs="Arial"/>
          <w:b/>
          <w:sz w:val="24"/>
          <w:szCs w:val="24"/>
          <w:lang/>
        </w:rPr>
      </w:pPr>
      <w:r w:rsidRPr="00226DBE">
        <w:rPr>
          <w:rFonts w:ascii="Arial" w:hAnsi="Arial" w:cs="Arial"/>
          <w:b/>
          <w:sz w:val="24"/>
          <w:szCs w:val="24"/>
          <w:lang/>
        </w:rPr>
        <w:t>FONDOS DISPONIBLES</w:t>
      </w:r>
    </w:p>
    <w:p w:rsidR="006774DB" w:rsidRPr="00226DBE" w:rsidRDefault="006774DB" w:rsidP="006774DB">
      <w:pPr>
        <w:spacing w:line="360" w:lineRule="auto"/>
        <w:ind w:firstLine="454"/>
        <w:jc w:val="both"/>
        <w:rPr>
          <w:rFonts w:ascii="Arial" w:hAnsi="Arial" w:cs="Arial"/>
          <w:sz w:val="24"/>
          <w:szCs w:val="24"/>
          <w:lang w:val="en-US"/>
        </w:rPr>
      </w:pPr>
    </w:p>
    <w:p w:rsidR="006774DB" w:rsidRPr="00226DBE" w:rsidRDefault="006774DB" w:rsidP="006774DB">
      <w:pPr>
        <w:spacing w:line="360" w:lineRule="auto"/>
        <w:ind w:firstLine="709"/>
        <w:jc w:val="both"/>
        <w:rPr>
          <w:rFonts w:ascii="Arial" w:hAnsi="Arial" w:cs="Arial"/>
          <w:sz w:val="24"/>
          <w:szCs w:val="24"/>
          <w:vertAlign w:val="subscript"/>
          <w:lang w:val="en-US"/>
        </w:rPr>
      </w:pPr>
      <w:r w:rsidRPr="00226DBE">
        <w:rPr>
          <w:rFonts w:ascii="Arial" w:hAnsi="Arial" w:cs="Arial"/>
          <w:sz w:val="24"/>
          <w:szCs w:val="24"/>
          <w:lang w:val="en-US"/>
        </w:rPr>
        <w:t>FD</w:t>
      </w:r>
      <w:r w:rsidRPr="00226DBE">
        <w:rPr>
          <w:rFonts w:ascii="Arial" w:hAnsi="Arial" w:cs="Arial"/>
          <w:sz w:val="24"/>
          <w:szCs w:val="24"/>
          <w:vertAlign w:val="subscript"/>
          <w:lang w:val="en-US"/>
        </w:rPr>
        <w:t>T+1</w:t>
      </w:r>
      <w:r w:rsidRPr="00226DBE">
        <w:rPr>
          <w:rFonts w:ascii="Arial" w:hAnsi="Arial" w:cs="Arial"/>
          <w:sz w:val="24"/>
          <w:szCs w:val="24"/>
          <w:lang w:val="en-US"/>
        </w:rPr>
        <w:t xml:space="preserve"> = Ratio (FD</w:t>
      </w:r>
      <w:r w:rsidRPr="00226DBE">
        <w:rPr>
          <w:rFonts w:ascii="Arial" w:hAnsi="Arial" w:cs="Arial"/>
          <w:sz w:val="24"/>
          <w:szCs w:val="24"/>
          <w:vertAlign w:val="subscript"/>
          <w:lang w:val="en-US"/>
        </w:rPr>
        <w:t>t,</w:t>
      </w:r>
      <w:r w:rsidRPr="00226DBE">
        <w:rPr>
          <w:rFonts w:ascii="Arial" w:hAnsi="Arial" w:cs="Arial"/>
          <w:sz w:val="24"/>
          <w:szCs w:val="24"/>
          <w:lang w:val="en-US"/>
        </w:rPr>
        <w:t xml:space="preserve"> OP</w:t>
      </w:r>
      <w:r w:rsidRPr="00226DBE">
        <w:rPr>
          <w:rFonts w:ascii="Arial" w:hAnsi="Arial" w:cs="Arial"/>
          <w:sz w:val="24"/>
          <w:szCs w:val="24"/>
          <w:vertAlign w:val="subscript"/>
          <w:lang w:val="en-US"/>
        </w:rPr>
        <w:t>t</w:t>
      </w:r>
      <w:r w:rsidRPr="00226DBE">
        <w:rPr>
          <w:rFonts w:ascii="Arial" w:hAnsi="Arial" w:cs="Arial"/>
          <w:sz w:val="24"/>
          <w:szCs w:val="24"/>
          <w:lang w:val="en-US"/>
        </w:rPr>
        <w:t>)* OP</w:t>
      </w:r>
      <w:r w:rsidRPr="00226DBE">
        <w:rPr>
          <w:rFonts w:ascii="Arial" w:hAnsi="Arial" w:cs="Arial"/>
          <w:sz w:val="24"/>
          <w:szCs w:val="24"/>
          <w:vertAlign w:val="subscript"/>
          <w:lang w:val="en-US"/>
        </w:rPr>
        <w:t>T+1</w:t>
      </w:r>
    </w:p>
    <w:p w:rsidR="006774DB" w:rsidRPr="00226DBE" w:rsidRDefault="006774DB" w:rsidP="006774DB">
      <w:pPr>
        <w:spacing w:line="360" w:lineRule="auto"/>
        <w:ind w:firstLine="454"/>
        <w:jc w:val="both"/>
        <w:rPr>
          <w:rFonts w:ascii="Arial" w:hAnsi="Arial" w:cs="Arial"/>
          <w:i/>
          <w:sz w:val="24"/>
          <w:szCs w:val="24"/>
          <w:lang/>
        </w:rPr>
      </w:pPr>
      <w:r w:rsidRPr="00226DBE">
        <w:rPr>
          <w:rFonts w:ascii="Arial" w:hAnsi="Arial" w:cs="Arial"/>
          <w:i/>
          <w:sz w:val="24"/>
          <w:szCs w:val="24"/>
          <w:lang/>
        </w:rPr>
        <w:t>Donde:</w:t>
      </w:r>
    </w:p>
    <w:p w:rsidR="006774DB" w:rsidRPr="00226DBE" w:rsidRDefault="006774DB" w:rsidP="006774DB">
      <w:pPr>
        <w:spacing w:line="360" w:lineRule="auto"/>
        <w:ind w:firstLine="709"/>
        <w:jc w:val="both"/>
        <w:rPr>
          <w:rFonts w:ascii="Arial" w:hAnsi="Arial" w:cs="Arial"/>
          <w:sz w:val="24"/>
          <w:szCs w:val="24"/>
          <w:lang/>
        </w:rPr>
      </w:pPr>
      <w:r w:rsidRPr="00226DBE">
        <w:rPr>
          <w:rFonts w:ascii="Arial" w:hAnsi="Arial" w:cs="Arial"/>
          <w:sz w:val="24"/>
          <w:szCs w:val="24"/>
          <w:lang/>
        </w:rPr>
        <w:t>FD: Fondos Disponibles</w:t>
      </w:r>
    </w:p>
    <w:p w:rsidR="006774DB" w:rsidRPr="00226DBE" w:rsidRDefault="006774DB" w:rsidP="006774DB">
      <w:pPr>
        <w:spacing w:line="360" w:lineRule="auto"/>
        <w:ind w:firstLine="709"/>
        <w:jc w:val="both"/>
        <w:rPr>
          <w:rFonts w:ascii="Arial" w:hAnsi="Arial" w:cs="Arial"/>
          <w:sz w:val="24"/>
          <w:szCs w:val="24"/>
          <w:lang/>
        </w:rPr>
      </w:pPr>
      <w:r w:rsidRPr="00226DBE">
        <w:rPr>
          <w:rFonts w:ascii="Arial" w:hAnsi="Arial" w:cs="Arial"/>
          <w:sz w:val="24"/>
          <w:szCs w:val="24"/>
          <w:lang/>
        </w:rPr>
        <w:t>OP: Obligaciones con el Publico</w:t>
      </w:r>
    </w:p>
    <w:p w:rsidR="006774DB" w:rsidRPr="00226DBE" w:rsidRDefault="006774DB" w:rsidP="006774DB">
      <w:pPr>
        <w:spacing w:line="360" w:lineRule="auto"/>
        <w:ind w:firstLine="454"/>
        <w:jc w:val="both"/>
        <w:rPr>
          <w:rFonts w:ascii="Arial" w:hAnsi="Arial" w:cs="Arial"/>
          <w:sz w:val="24"/>
          <w:szCs w:val="24"/>
          <w:lang/>
        </w:rPr>
      </w:pPr>
    </w:p>
    <w:p w:rsidR="006774DB" w:rsidRPr="00226DBE" w:rsidRDefault="006774DB" w:rsidP="006774DB">
      <w:pPr>
        <w:spacing w:line="360" w:lineRule="auto"/>
        <w:ind w:firstLine="454"/>
        <w:jc w:val="both"/>
        <w:rPr>
          <w:rFonts w:ascii="Arial" w:hAnsi="Arial" w:cs="Arial"/>
          <w:sz w:val="24"/>
          <w:szCs w:val="24"/>
          <w:lang/>
        </w:rPr>
      </w:pPr>
      <w:r w:rsidRPr="00226DBE">
        <w:rPr>
          <w:rFonts w:ascii="Arial" w:hAnsi="Arial" w:cs="Arial"/>
          <w:sz w:val="24"/>
          <w:szCs w:val="24"/>
          <w:lang/>
        </w:rPr>
        <w:t>Este ratio representa la disponibilidad de efectivo que posee el Banco para enfrentar los retiros exigidos por los clientes en sus cuentas. Este ratio actúa bajo el supuesto de que el Banco aumenta sus reservas de efectivo cuando se evidencia un aumento en la cantidad de captaciones en períodos anteriores con la finalidad de mantener recursos disponibles. Este ratio es un indicador de liquidez.</w:t>
      </w:r>
    </w:p>
    <w:p w:rsidR="006774DB" w:rsidRPr="00226DBE" w:rsidRDefault="006774DB" w:rsidP="006774DB">
      <w:pPr>
        <w:spacing w:line="360" w:lineRule="auto"/>
        <w:ind w:firstLine="454"/>
        <w:jc w:val="both"/>
        <w:rPr>
          <w:rFonts w:ascii="Arial" w:hAnsi="Arial" w:cs="Arial"/>
          <w:b/>
          <w:sz w:val="24"/>
          <w:szCs w:val="24"/>
          <w:lang/>
        </w:rPr>
      </w:pPr>
    </w:p>
    <w:p w:rsidR="006774DB" w:rsidRPr="00226DBE" w:rsidRDefault="006774DB" w:rsidP="006774DB">
      <w:pPr>
        <w:widowControl w:val="0"/>
        <w:numPr>
          <w:ilvl w:val="0"/>
          <w:numId w:val="15"/>
        </w:numPr>
        <w:tabs>
          <w:tab w:val="left" w:pos="1262"/>
          <w:tab w:val="left" w:pos="1428"/>
        </w:tabs>
        <w:suppressAutoHyphens/>
        <w:spacing w:after="0" w:line="360" w:lineRule="auto"/>
        <w:ind w:left="0" w:firstLine="454"/>
        <w:jc w:val="both"/>
        <w:rPr>
          <w:rFonts w:ascii="Arial" w:hAnsi="Arial" w:cs="Arial"/>
          <w:b/>
          <w:sz w:val="24"/>
          <w:szCs w:val="24"/>
          <w:lang/>
        </w:rPr>
      </w:pPr>
      <w:r w:rsidRPr="00226DBE">
        <w:rPr>
          <w:rFonts w:ascii="Arial" w:hAnsi="Arial" w:cs="Arial"/>
          <w:b/>
          <w:sz w:val="24"/>
          <w:szCs w:val="24"/>
          <w:lang/>
        </w:rPr>
        <w:t>INVERSIONES</w:t>
      </w:r>
    </w:p>
    <w:p w:rsidR="006774DB" w:rsidRPr="00226DBE" w:rsidRDefault="006774DB" w:rsidP="006774DB">
      <w:pPr>
        <w:spacing w:line="360" w:lineRule="auto"/>
        <w:ind w:firstLine="454"/>
        <w:jc w:val="both"/>
        <w:rPr>
          <w:rFonts w:ascii="Arial" w:hAnsi="Arial" w:cs="Arial"/>
          <w:sz w:val="24"/>
          <w:szCs w:val="24"/>
          <w:lang w:val="en-US"/>
        </w:rPr>
      </w:pPr>
    </w:p>
    <w:p w:rsidR="006774DB" w:rsidRPr="00226DBE" w:rsidRDefault="006774DB" w:rsidP="006774DB">
      <w:pPr>
        <w:spacing w:line="360" w:lineRule="auto"/>
        <w:ind w:firstLine="709"/>
        <w:jc w:val="both"/>
        <w:rPr>
          <w:rFonts w:ascii="Arial" w:hAnsi="Arial" w:cs="Arial"/>
          <w:sz w:val="24"/>
          <w:szCs w:val="24"/>
          <w:vertAlign w:val="subscript"/>
          <w:lang w:val="en-US"/>
        </w:rPr>
      </w:pPr>
      <w:r w:rsidRPr="00226DBE">
        <w:rPr>
          <w:rFonts w:ascii="Arial" w:hAnsi="Arial" w:cs="Arial"/>
          <w:sz w:val="24"/>
          <w:szCs w:val="24"/>
          <w:lang w:val="en-US"/>
        </w:rPr>
        <w:t>IT</w:t>
      </w:r>
      <w:r w:rsidRPr="00226DBE">
        <w:rPr>
          <w:rFonts w:ascii="Arial" w:hAnsi="Arial" w:cs="Arial"/>
          <w:sz w:val="24"/>
          <w:szCs w:val="24"/>
          <w:vertAlign w:val="subscript"/>
          <w:lang w:val="en-US"/>
        </w:rPr>
        <w:t>T+1</w:t>
      </w:r>
      <w:r w:rsidRPr="00226DBE">
        <w:rPr>
          <w:rFonts w:ascii="Arial" w:hAnsi="Arial" w:cs="Arial"/>
          <w:sz w:val="24"/>
          <w:szCs w:val="24"/>
          <w:lang w:val="en-US"/>
        </w:rPr>
        <w:t xml:space="preserve"> = Ratio (I</w:t>
      </w:r>
      <w:r w:rsidRPr="00226DBE">
        <w:rPr>
          <w:rFonts w:ascii="Arial" w:hAnsi="Arial" w:cs="Arial"/>
          <w:sz w:val="24"/>
          <w:szCs w:val="24"/>
          <w:vertAlign w:val="subscript"/>
          <w:lang w:val="en-US"/>
        </w:rPr>
        <w:t>t,</w:t>
      </w:r>
      <w:r w:rsidRPr="00226DBE">
        <w:rPr>
          <w:rFonts w:ascii="Arial" w:hAnsi="Arial" w:cs="Arial"/>
          <w:sz w:val="24"/>
          <w:szCs w:val="24"/>
          <w:lang w:val="en-US"/>
        </w:rPr>
        <w:t xml:space="preserve"> FD</w:t>
      </w:r>
      <w:r w:rsidRPr="00226DBE">
        <w:rPr>
          <w:rFonts w:ascii="Arial" w:hAnsi="Arial" w:cs="Arial"/>
          <w:sz w:val="24"/>
          <w:szCs w:val="24"/>
          <w:vertAlign w:val="subscript"/>
          <w:lang w:val="en-US"/>
        </w:rPr>
        <w:t>t</w:t>
      </w:r>
      <w:r w:rsidRPr="00226DBE">
        <w:rPr>
          <w:rFonts w:ascii="Arial" w:hAnsi="Arial" w:cs="Arial"/>
          <w:sz w:val="24"/>
          <w:szCs w:val="24"/>
          <w:lang w:val="en-US"/>
        </w:rPr>
        <w:t>)* FD</w:t>
      </w:r>
      <w:r w:rsidRPr="00226DBE">
        <w:rPr>
          <w:rFonts w:ascii="Arial" w:hAnsi="Arial" w:cs="Arial"/>
          <w:sz w:val="24"/>
          <w:szCs w:val="24"/>
          <w:vertAlign w:val="subscript"/>
          <w:lang w:val="en-US"/>
        </w:rPr>
        <w:t>T+1</w:t>
      </w:r>
    </w:p>
    <w:p w:rsidR="006774DB" w:rsidRPr="00226DBE" w:rsidRDefault="006774DB" w:rsidP="006774DB">
      <w:pPr>
        <w:spacing w:line="360" w:lineRule="auto"/>
        <w:ind w:firstLine="454"/>
        <w:jc w:val="both"/>
        <w:rPr>
          <w:rFonts w:ascii="Arial" w:hAnsi="Arial" w:cs="Arial"/>
          <w:i/>
          <w:sz w:val="24"/>
          <w:szCs w:val="24"/>
          <w:lang/>
        </w:rPr>
      </w:pPr>
      <w:r w:rsidRPr="00226DBE">
        <w:rPr>
          <w:rFonts w:ascii="Arial" w:hAnsi="Arial" w:cs="Arial"/>
          <w:i/>
          <w:sz w:val="24"/>
          <w:szCs w:val="24"/>
          <w:lang/>
        </w:rPr>
        <w:lastRenderedPageBreak/>
        <w:t>Donde:</w:t>
      </w:r>
    </w:p>
    <w:p w:rsidR="006774DB" w:rsidRPr="00226DBE" w:rsidRDefault="006774DB" w:rsidP="006774DB">
      <w:pPr>
        <w:spacing w:line="360" w:lineRule="auto"/>
        <w:ind w:firstLine="709"/>
        <w:jc w:val="both"/>
        <w:rPr>
          <w:rFonts w:ascii="Arial" w:hAnsi="Arial" w:cs="Arial"/>
          <w:sz w:val="24"/>
          <w:szCs w:val="24"/>
          <w:lang/>
        </w:rPr>
      </w:pPr>
      <w:r w:rsidRPr="00226DBE">
        <w:rPr>
          <w:rFonts w:ascii="Arial" w:hAnsi="Arial" w:cs="Arial"/>
          <w:sz w:val="24"/>
          <w:szCs w:val="24"/>
          <w:lang/>
        </w:rPr>
        <w:t>I: Inversiones</w:t>
      </w:r>
    </w:p>
    <w:p w:rsidR="006774DB" w:rsidRPr="00226DBE" w:rsidRDefault="006774DB" w:rsidP="000A2AAD">
      <w:pPr>
        <w:spacing w:line="360" w:lineRule="auto"/>
        <w:ind w:firstLine="709"/>
        <w:jc w:val="both"/>
        <w:rPr>
          <w:rFonts w:ascii="Arial" w:hAnsi="Arial" w:cs="Arial"/>
          <w:sz w:val="24"/>
          <w:szCs w:val="24"/>
          <w:lang/>
        </w:rPr>
      </w:pPr>
      <w:r w:rsidRPr="00226DBE">
        <w:rPr>
          <w:rFonts w:ascii="Arial" w:hAnsi="Arial" w:cs="Arial"/>
          <w:sz w:val="24"/>
          <w:szCs w:val="24"/>
          <w:lang/>
        </w:rPr>
        <w:t>FD: Fondos Disponibles</w:t>
      </w:r>
    </w:p>
    <w:p w:rsidR="006774DB" w:rsidRPr="00226DBE" w:rsidRDefault="006774DB" w:rsidP="006774DB">
      <w:pPr>
        <w:spacing w:line="360" w:lineRule="auto"/>
        <w:ind w:firstLine="454"/>
        <w:jc w:val="both"/>
        <w:rPr>
          <w:rFonts w:ascii="Arial" w:hAnsi="Arial" w:cs="Arial"/>
          <w:sz w:val="24"/>
          <w:szCs w:val="24"/>
          <w:lang/>
        </w:rPr>
      </w:pPr>
      <w:r w:rsidRPr="00226DBE">
        <w:rPr>
          <w:rFonts w:ascii="Arial" w:hAnsi="Arial" w:cs="Arial"/>
          <w:sz w:val="24"/>
          <w:szCs w:val="24"/>
          <w:lang/>
        </w:rPr>
        <w:t>Muestra la relación entre los niveles  de dinero que el banco mantiene en papeles de inversión como reservas de liquidez con el dinero disponible para afrontar los retiros exigidos por los cuenta ahorristas.</w:t>
      </w:r>
    </w:p>
    <w:p w:rsidR="006774DB" w:rsidRPr="00226DBE" w:rsidRDefault="006774DB" w:rsidP="006774DB">
      <w:pPr>
        <w:spacing w:line="360" w:lineRule="auto"/>
        <w:ind w:firstLine="454"/>
        <w:jc w:val="both"/>
        <w:rPr>
          <w:rFonts w:ascii="Arial" w:hAnsi="Arial" w:cs="Arial"/>
          <w:b/>
          <w:sz w:val="24"/>
          <w:szCs w:val="24"/>
          <w:lang/>
        </w:rPr>
      </w:pPr>
    </w:p>
    <w:p w:rsidR="006774DB" w:rsidRPr="00226DBE" w:rsidRDefault="006774DB" w:rsidP="006774DB">
      <w:pPr>
        <w:widowControl w:val="0"/>
        <w:numPr>
          <w:ilvl w:val="0"/>
          <w:numId w:val="15"/>
        </w:numPr>
        <w:tabs>
          <w:tab w:val="left" w:pos="1262"/>
          <w:tab w:val="left" w:pos="1428"/>
        </w:tabs>
        <w:suppressAutoHyphens/>
        <w:spacing w:after="0" w:line="360" w:lineRule="auto"/>
        <w:ind w:left="0" w:firstLine="454"/>
        <w:jc w:val="both"/>
        <w:rPr>
          <w:rFonts w:ascii="Arial" w:hAnsi="Arial" w:cs="Arial"/>
          <w:b/>
          <w:sz w:val="24"/>
          <w:szCs w:val="24"/>
          <w:lang/>
        </w:rPr>
      </w:pPr>
      <w:r w:rsidRPr="00226DBE">
        <w:rPr>
          <w:rFonts w:ascii="Arial" w:hAnsi="Arial" w:cs="Arial"/>
          <w:b/>
          <w:sz w:val="24"/>
          <w:szCs w:val="24"/>
          <w:lang/>
        </w:rPr>
        <w:t>CARTERA VENCIDA</w:t>
      </w:r>
    </w:p>
    <w:p w:rsidR="006774DB" w:rsidRPr="00226DBE" w:rsidRDefault="006774DB" w:rsidP="006774DB">
      <w:pPr>
        <w:spacing w:line="360" w:lineRule="auto"/>
        <w:ind w:firstLine="454"/>
        <w:jc w:val="both"/>
        <w:rPr>
          <w:rFonts w:ascii="Arial" w:hAnsi="Arial" w:cs="Arial"/>
          <w:b/>
          <w:sz w:val="24"/>
          <w:szCs w:val="24"/>
          <w:lang/>
        </w:rPr>
      </w:pPr>
    </w:p>
    <w:p w:rsidR="006774DB" w:rsidRPr="00226DBE" w:rsidRDefault="006774DB" w:rsidP="006774DB">
      <w:pPr>
        <w:spacing w:line="360" w:lineRule="auto"/>
        <w:ind w:firstLine="709"/>
        <w:jc w:val="both"/>
        <w:rPr>
          <w:rFonts w:ascii="Arial" w:hAnsi="Arial" w:cs="Arial"/>
          <w:sz w:val="24"/>
          <w:szCs w:val="24"/>
          <w:vertAlign w:val="subscript"/>
          <w:lang w:val="en-US"/>
        </w:rPr>
      </w:pPr>
      <w:r w:rsidRPr="00226DBE">
        <w:rPr>
          <w:rFonts w:ascii="Arial" w:hAnsi="Arial" w:cs="Arial"/>
          <w:sz w:val="24"/>
          <w:szCs w:val="24"/>
          <w:lang w:val="en-US"/>
        </w:rPr>
        <w:t>CV</w:t>
      </w:r>
      <w:r w:rsidRPr="00226DBE">
        <w:rPr>
          <w:rFonts w:ascii="Arial" w:hAnsi="Arial" w:cs="Arial"/>
          <w:sz w:val="24"/>
          <w:szCs w:val="24"/>
          <w:vertAlign w:val="subscript"/>
          <w:lang w:val="en-US"/>
        </w:rPr>
        <w:t>T+1</w:t>
      </w:r>
      <w:r w:rsidRPr="00226DBE">
        <w:rPr>
          <w:rFonts w:ascii="Arial" w:hAnsi="Arial" w:cs="Arial"/>
          <w:sz w:val="24"/>
          <w:szCs w:val="24"/>
          <w:lang w:val="en-US"/>
        </w:rPr>
        <w:t xml:space="preserve"> = Ratio (CV</w:t>
      </w:r>
      <w:r w:rsidRPr="00226DBE">
        <w:rPr>
          <w:rFonts w:ascii="Arial" w:hAnsi="Arial" w:cs="Arial"/>
          <w:sz w:val="24"/>
          <w:szCs w:val="24"/>
          <w:vertAlign w:val="subscript"/>
          <w:lang w:val="en-US"/>
        </w:rPr>
        <w:t>t,</w:t>
      </w:r>
      <w:r w:rsidRPr="00226DBE">
        <w:rPr>
          <w:rFonts w:ascii="Arial" w:hAnsi="Arial" w:cs="Arial"/>
          <w:sz w:val="24"/>
          <w:szCs w:val="24"/>
          <w:lang w:val="en-US"/>
        </w:rPr>
        <w:t xml:space="preserve"> CB</w:t>
      </w:r>
      <w:r w:rsidRPr="00226DBE">
        <w:rPr>
          <w:rFonts w:ascii="Arial" w:hAnsi="Arial" w:cs="Arial"/>
          <w:sz w:val="24"/>
          <w:szCs w:val="24"/>
          <w:vertAlign w:val="subscript"/>
          <w:lang w:val="en-US"/>
        </w:rPr>
        <w:t>t</w:t>
      </w:r>
      <w:r w:rsidRPr="00226DBE">
        <w:rPr>
          <w:rFonts w:ascii="Arial" w:hAnsi="Arial" w:cs="Arial"/>
          <w:sz w:val="24"/>
          <w:szCs w:val="24"/>
          <w:lang w:val="en-US"/>
        </w:rPr>
        <w:t>)* CB</w:t>
      </w:r>
      <w:r w:rsidRPr="00226DBE">
        <w:rPr>
          <w:rFonts w:ascii="Arial" w:hAnsi="Arial" w:cs="Arial"/>
          <w:sz w:val="24"/>
          <w:szCs w:val="24"/>
          <w:vertAlign w:val="subscript"/>
          <w:lang w:val="en-US"/>
        </w:rPr>
        <w:t>T+1</w:t>
      </w:r>
    </w:p>
    <w:p w:rsidR="006774DB" w:rsidRPr="00226DBE" w:rsidRDefault="006774DB" w:rsidP="006774DB">
      <w:pPr>
        <w:spacing w:line="360" w:lineRule="auto"/>
        <w:ind w:firstLine="454"/>
        <w:jc w:val="both"/>
        <w:rPr>
          <w:rFonts w:ascii="Arial" w:hAnsi="Arial" w:cs="Arial"/>
          <w:i/>
          <w:sz w:val="24"/>
          <w:szCs w:val="24"/>
          <w:lang/>
        </w:rPr>
      </w:pPr>
      <w:r w:rsidRPr="00226DBE">
        <w:rPr>
          <w:rFonts w:ascii="Arial" w:hAnsi="Arial" w:cs="Arial"/>
          <w:i/>
          <w:sz w:val="24"/>
          <w:szCs w:val="24"/>
          <w:lang/>
        </w:rPr>
        <w:t>Donde:</w:t>
      </w:r>
    </w:p>
    <w:p w:rsidR="006774DB" w:rsidRPr="00226DBE" w:rsidRDefault="006774DB" w:rsidP="006774DB">
      <w:pPr>
        <w:spacing w:line="360" w:lineRule="auto"/>
        <w:ind w:firstLine="709"/>
        <w:jc w:val="both"/>
        <w:rPr>
          <w:rFonts w:ascii="Arial" w:hAnsi="Arial" w:cs="Arial"/>
          <w:sz w:val="24"/>
          <w:szCs w:val="24"/>
          <w:lang/>
        </w:rPr>
      </w:pPr>
      <w:r w:rsidRPr="00226DBE">
        <w:rPr>
          <w:rFonts w:ascii="Arial" w:hAnsi="Arial" w:cs="Arial"/>
          <w:sz w:val="24"/>
          <w:szCs w:val="24"/>
          <w:lang/>
        </w:rPr>
        <w:t>CV: Cartera Vencida</w:t>
      </w:r>
    </w:p>
    <w:p w:rsidR="006774DB" w:rsidRPr="00226DBE" w:rsidRDefault="006774DB" w:rsidP="006774DB">
      <w:pPr>
        <w:spacing w:line="360" w:lineRule="auto"/>
        <w:ind w:firstLine="709"/>
        <w:jc w:val="both"/>
        <w:rPr>
          <w:rFonts w:ascii="Arial" w:hAnsi="Arial" w:cs="Arial"/>
          <w:sz w:val="24"/>
          <w:szCs w:val="24"/>
          <w:lang/>
        </w:rPr>
      </w:pPr>
      <w:r w:rsidRPr="00226DBE">
        <w:rPr>
          <w:rFonts w:ascii="Arial" w:hAnsi="Arial" w:cs="Arial"/>
          <w:sz w:val="24"/>
          <w:szCs w:val="24"/>
          <w:lang/>
        </w:rPr>
        <w:t>CB: Colocaciones Brutos</w:t>
      </w:r>
    </w:p>
    <w:p w:rsidR="006774DB" w:rsidRPr="00226DBE" w:rsidRDefault="006774DB" w:rsidP="006774DB">
      <w:pPr>
        <w:spacing w:line="360" w:lineRule="auto"/>
        <w:ind w:firstLine="454"/>
        <w:jc w:val="both"/>
        <w:rPr>
          <w:rFonts w:ascii="Arial" w:hAnsi="Arial" w:cs="Arial"/>
          <w:sz w:val="24"/>
          <w:szCs w:val="24"/>
          <w:lang/>
        </w:rPr>
      </w:pPr>
      <w:r w:rsidRPr="00226DBE">
        <w:rPr>
          <w:rFonts w:ascii="Arial" w:hAnsi="Arial" w:cs="Arial"/>
          <w:sz w:val="24"/>
          <w:szCs w:val="24"/>
          <w:lang/>
        </w:rPr>
        <w:tab/>
      </w:r>
    </w:p>
    <w:p w:rsidR="006774DB" w:rsidRPr="00226DBE" w:rsidRDefault="006774DB" w:rsidP="006774DB">
      <w:pPr>
        <w:spacing w:line="360" w:lineRule="auto"/>
        <w:ind w:firstLine="454"/>
        <w:jc w:val="both"/>
        <w:rPr>
          <w:rFonts w:ascii="Arial" w:hAnsi="Arial" w:cs="Arial"/>
          <w:sz w:val="24"/>
          <w:szCs w:val="24"/>
          <w:lang/>
        </w:rPr>
      </w:pPr>
      <w:r w:rsidRPr="00226DBE">
        <w:rPr>
          <w:rFonts w:ascii="Arial" w:hAnsi="Arial" w:cs="Arial"/>
          <w:sz w:val="24"/>
          <w:szCs w:val="24"/>
          <w:lang/>
        </w:rPr>
        <w:t>Representa el nivel de Cartera Vencida que posee la entidad con respecto al Total de las Colocaciones Brutos, otorgadas en sus distintas categorías, es decir, que porcentajes de créditos otorgados se encuentran en mora.</w:t>
      </w:r>
    </w:p>
    <w:p w:rsidR="006774DB" w:rsidRPr="00226DBE" w:rsidRDefault="006774DB" w:rsidP="006774DB">
      <w:pPr>
        <w:spacing w:line="360" w:lineRule="auto"/>
        <w:ind w:firstLine="454"/>
        <w:jc w:val="both"/>
        <w:rPr>
          <w:rFonts w:ascii="Arial" w:hAnsi="Arial" w:cs="Arial"/>
          <w:b/>
          <w:sz w:val="24"/>
          <w:szCs w:val="24"/>
          <w:lang/>
        </w:rPr>
      </w:pPr>
    </w:p>
    <w:p w:rsidR="006774DB" w:rsidRPr="00226DBE" w:rsidRDefault="006774DB" w:rsidP="006774DB">
      <w:pPr>
        <w:widowControl w:val="0"/>
        <w:numPr>
          <w:ilvl w:val="0"/>
          <w:numId w:val="15"/>
        </w:numPr>
        <w:tabs>
          <w:tab w:val="left" w:pos="1262"/>
          <w:tab w:val="left" w:pos="1428"/>
        </w:tabs>
        <w:suppressAutoHyphens/>
        <w:spacing w:after="0" w:line="360" w:lineRule="auto"/>
        <w:ind w:left="0" w:firstLine="454"/>
        <w:jc w:val="both"/>
        <w:rPr>
          <w:rFonts w:ascii="Arial" w:hAnsi="Arial" w:cs="Arial"/>
          <w:b/>
          <w:sz w:val="24"/>
          <w:szCs w:val="24"/>
          <w:lang/>
        </w:rPr>
      </w:pPr>
      <w:r w:rsidRPr="00226DBE">
        <w:rPr>
          <w:rFonts w:ascii="Arial" w:hAnsi="Arial" w:cs="Arial"/>
          <w:b/>
          <w:sz w:val="24"/>
          <w:szCs w:val="24"/>
          <w:lang/>
        </w:rPr>
        <w:t>PROVISION PARA CRÉDITOS INCOBRABLES</w:t>
      </w:r>
    </w:p>
    <w:p w:rsidR="006774DB" w:rsidRPr="00226DBE" w:rsidRDefault="006774DB" w:rsidP="006774DB">
      <w:pPr>
        <w:spacing w:line="360" w:lineRule="auto"/>
        <w:ind w:firstLine="454"/>
        <w:jc w:val="both"/>
        <w:rPr>
          <w:rFonts w:ascii="Arial" w:hAnsi="Arial" w:cs="Arial"/>
          <w:b/>
          <w:sz w:val="24"/>
          <w:szCs w:val="24"/>
          <w:lang/>
        </w:rPr>
      </w:pPr>
    </w:p>
    <w:p w:rsidR="006774DB" w:rsidRPr="00226DBE" w:rsidRDefault="006774DB" w:rsidP="006774DB">
      <w:pPr>
        <w:spacing w:line="360" w:lineRule="auto"/>
        <w:ind w:firstLine="709"/>
        <w:jc w:val="both"/>
        <w:rPr>
          <w:rFonts w:ascii="Arial" w:hAnsi="Arial" w:cs="Arial"/>
          <w:sz w:val="24"/>
          <w:szCs w:val="24"/>
          <w:vertAlign w:val="subscript"/>
          <w:lang w:val="es-ES"/>
        </w:rPr>
      </w:pPr>
      <w:r w:rsidRPr="00226DBE">
        <w:rPr>
          <w:rFonts w:ascii="Arial" w:hAnsi="Arial" w:cs="Arial"/>
          <w:sz w:val="24"/>
          <w:szCs w:val="24"/>
          <w:lang w:val="es-ES"/>
        </w:rPr>
        <w:t>PCI</w:t>
      </w:r>
      <w:r w:rsidRPr="00226DBE">
        <w:rPr>
          <w:rFonts w:ascii="Arial" w:hAnsi="Arial" w:cs="Arial"/>
          <w:sz w:val="24"/>
          <w:szCs w:val="24"/>
          <w:vertAlign w:val="subscript"/>
          <w:lang w:val="es-ES"/>
        </w:rPr>
        <w:t>T+1</w:t>
      </w:r>
      <w:r w:rsidRPr="00226DBE">
        <w:rPr>
          <w:rFonts w:ascii="Arial" w:hAnsi="Arial" w:cs="Arial"/>
          <w:sz w:val="24"/>
          <w:szCs w:val="24"/>
          <w:lang w:val="es-ES"/>
        </w:rPr>
        <w:t xml:space="preserve"> = Ratio (PCI</w:t>
      </w:r>
      <w:r w:rsidRPr="00226DBE">
        <w:rPr>
          <w:rFonts w:ascii="Arial" w:hAnsi="Arial" w:cs="Arial"/>
          <w:sz w:val="24"/>
          <w:szCs w:val="24"/>
          <w:vertAlign w:val="subscript"/>
          <w:lang w:val="es-ES"/>
        </w:rPr>
        <w:t xml:space="preserve">t </w:t>
      </w:r>
      <w:r w:rsidRPr="00226DBE">
        <w:rPr>
          <w:rFonts w:ascii="Arial" w:hAnsi="Arial" w:cs="Arial"/>
          <w:sz w:val="24"/>
          <w:szCs w:val="24"/>
          <w:lang w:val="es-ES"/>
        </w:rPr>
        <w:t>, CV</w:t>
      </w:r>
      <w:r w:rsidRPr="00226DBE">
        <w:rPr>
          <w:rFonts w:ascii="Arial" w:hAnsi="Arial" w:cs="Arial"/>
          <w:sz w:val="24"/>
          <w:szCs w:val="24"/>
          <w:vertAlign w:val="subscript"/>
          <w:lang w:val="es-ES"/>
        </w:rPr>
        <w:t>t</w:t>
      </w:r>
      <w:r w:rsidRPr="00226DBE">
        <w:rPr>
          <w:rFonts w:ascii="Arial" w:hAnsi="Arial" w:cs="Arial"/>
          <w:sz w:val="24"/>
          <w:szCs w:val="24"/>
          <w:lang w:val="es-ES"/>
        </w:rPr>
        <w:t>)* CV</w:t>
      </w:r>
      <w:r w:rsidRPr="00226DBE">
        <w:rPr>
          <w:rFonts w:ascii="Arial" w:hAnsi="Arial" w:cs="Arial"/>
          <w:sz w:val="24"/>
          <w:szCs w:val="24"/>
          <w:vertAlign w:val="subscript"/>
          <w:lang w:val="es-ES"/>
        </w:rPr>
        <w:t>T+1</w:t>
      </w:r>
    </w:p>
    <w:p w:rsidR="006774DB" w:rsidRPr="00226DBE" w:rsidRDefault="006774DB" w:rsidP="006774DB">
      <w:pPr>
        <w:spacing w:line="360" w:lineRule="auto"/>
        <w:ind w:firstLine="454"/>
        <w:jc w:val="both"/>
        <w:rPr>
          <w:rFonts w:ascii="Arial" w:hAnsi="Arial" w:cs="Arial"/>
          <w:i/>
          <w:sz w:val="24"/>
          <w:szCs w:val="24"/>
          <w:lang/>
        </w:rPr>
      </w:pPr>
      <w:r w:rsidRPr="00226DBE">
        <w:rPr>
          <w:rFonts w:ascii="Arial" w:hAnsi="Arial" w:cs="Arial"/>
          <w:i/>
          <w:sz w:val="24"/>
          <w:szCs w:val="24"/>
          <w:lang/>
        </w:rPr>
        <w:t>Donde:</w:t>
      </w:r>
    </w:p>
    <w:p w:rsidR="006774DB" w:rsidRPr="00226DBE" w:rsidRDefault="006774DB" w:rsidP="006774DB">
      <w:pPr>
        <w:spacing w:line="360" w:lineRule="auto"/>
        <w:ind w:firstLine="709"/>
        <w:jc w:val="both"/>
        <w:rPr>
          <w:rFonts w:ascii="Arial" w:hAnsi="Arial" w:cs="Arial"/>
          <w:sz w:val="24"/>
          <w:szCs w:val="24"/>
          <w:lang/>
        </w:rPr>
      </w:pPr>
      <w:r w:rsidRPr="00226DBE">
        <w:rPr>
          <w:rFonts w:ascii="Arial" w:hAnsi="Arial" w:cs="Arial"/>
          <w:sz w:val="24"/>
          <w:szCs w:val="24"/>
          <w:lang/>
        </w:rPr>
        <w:lastRenderedPageBreak/>
        <w:t>PCI: Provisión para Créditos Incobrables</w:t>
      </w:r>
    </w:p>
    <w:p w:rsidR="006774DB" w:rsidRPr="00226DBE" w:rsidRDefault="006774DB" w:rsidP="006774DB">
      <w:pPr>
        <w:spacing w:line="360" w:lineRule="auto"/>
        <w:ind w:firstLine="709"/>
        <w:jc w:val="both"/>
        <w:rPr>
          <w:rFonts w:ascii="Arial" w:hAnsi="Arial" w:cs="Arial"/>
          <w:sz w:val="24"/>
          <w:szCs w:val="24"/>
          <w:lang/>
        </w:rPr>
      </w:pPr>
      <w:r w:rsidRPr="00226DBE">
        <w:rPr>
          <w:rFonts w:ascii="Arial" w:hAnsi="Arial" w:cs="Arial"/>
          <w:sz w:val="24"/>
          <w:szCs w:val="24"/>
          <w:lang/>
        </w:rPr>
        <w:t>CV: Cartera Vencida</w:t>
      </w:r>
    </w:p>
    <w:p w:rsidR="006774DB" w:rsidRPr="00226DBE" w:rsidRDefault="006774DB" w:rsidP="006774DB">
      <w:pPr>
        <w:spacing w:line="360" w:lineRule="auto"/>
        <w:ind w:firstLine="454"/>
        <w:jc w:val="both"/>
        <w:rPr>
          <w:rFonts w:ascii="Arial" w:hAnsi="Arial" w:cs="Arial"/>
          <w:sz w:val="24"/>
          <w:szCs w:val="24"/>
          <w:lang/>
        </w:rPr>
      </w:pPr>
      <w:r w:rsidRPr="00226DBE">
        <w:rPr>
          <w:rFonts w:ascii="Arial" w:hAnsi="Arial" w:cs="Arial"/>
          <w:sz w:val="24"/>
          <w:szCs w:val="24"/>
          <w:lang/>
        </w:rPr>
        <w:tab/>
      </w:r>
    </w:p>
    <w:p w:rsidR="006774DB" w:rsidRPr="00226DBE" w:rsidRDefault="006774DB" w:rsidP="006774DB">
      <w:pPr>
        <w:spacing w:line="360" w:lineRule="auto"/>
        <w:ind w:firstLine="454"/>
        <w:jc w:val="both"/>
        <w:rPr>
          <w:rFonts w:ascii="Arial" w:hAnsi="Arial" w:cs="Arial"/>
          <w:sz w:val="24"/>
          <w:szCs w:val="24"/>
          <w:lang/>
        </w:rPr>
      </w:pPr>
      <w:r w:rsidRPr="00226DBE">
        <w:rPr>
          <w:rFonts w:ascii="Arial" w:hAnsi="Arial" w:cs="Arial"/>
          <w:sz w:val="24"/>
          <w:szCs w:val="24"/>
          <w:lang/>
        </w:rPr>
        <w:t>Este ratio indica el nivel de provisión promedio que realiza la entidad en su cartera de crédito con respecto al total de la cartera vencida.</w:t>
      </w:r>
    </w:p>
    <w:p w:rsidR="006774DB" w:rsidRPr="00226DBE" w:rsidRDefault="006774DB" w:rsidP="006774DB">
      <w:pPr>
        <w:spacing w:line="360" w:lineRule="auto"/>
        <w:ind w:firstLine="454"/>
        <w:jc w:val="both"/>
        <w:rPr>
          <w:rFonts w:ascii="Arial" w:hAnsi="Arial" w:cs="Arial"/>
          <w:sz w:val="24"/>
          <w:szCs w:val="24"/>
          <w:lang/>
        </w:rPr>
      </w:pPr>
    </w:p>
    <w:p w:rsidR="006774DB" w:rsidRPr="00226DBE" w:rsidRDefault="006774DB" w:rsidP="006774DB">
      <w:pPr>
        <w:widowControl w:val="0"/>
        <w:numPr>
          <w:ilvl w:val="0"/>
          <w:numId w:val="15"/>
        </w:numPr>
        <w:tabs>
          <w:tab w:val="left" w:pos="1262"/>
        </w:tabs>
        <w:suppressAutoHyphens/>
        <w:spacing w:after="0" w:line="360" w:lineRule="auto"/>
        <w:ind w:left="0" w:firstLine="454"/>
        <w:jc w:val="both"/>
        <w:rPr>
          <w:rFonts w:ascii="Arial" w:hAnsi="Arial" w:cs="Arial"/>
          <w:b/>
          <w:sz w:val="24"/>
          <w:szCs w:val="24"/>
          <w:lang/>
        </w:rPr>
      </w:pPr>
      <w:r w:rsidRPr="00226DBE">
        <w:rPr>
          <w:rFonts w:ascii="Arial" w:hAnsi="Arial" w:cs="Arial"/>
          <w:b/>
          <w:sz w:val="24"/>
          <w:szCs w:val="24"/>
          <w:lang/>
        </w:rPr>
        <w:t>OBLIGACIONES CON EL PÚBLICO</w:t>
      </w:r>
    </w:p>
    <w:p w:rsidR="006774DB" w:rsidRPr="00226DBE" w:rsidRDefault="006774DB" w:rsidP="006774DB">
      <w:pPr>
        <w:spacing w:line="360" w:lineRule="auto"/>
        <w:ind w:firstLine="454"/>
        <w:jc w:val="both"/>
        <w:rPr>
          <w:rFonts w:ascii="Arial" w:hAnsi="Arial" w:cs="Arial"/>
          <w:sz w:val="24"/>
          <w:szCs w:val="24"/>
          <w:lang w:val="en-US"/>
        </w:rPr>
      </w:pPr>
    </w:p>
    <w:p w:rsidR="006774DB" w:rsidRPr="00226DBE" w:rsidRDefault="006774DB" w:rsidP="006774DB">
      <w:pPr>
        <w:spacing w:line="360" w:lineRule="auto"/>
        <w:ind w:firstLine="709"/>
        <w:jc w:val="both"/>
        <w:rPr>
          <w:rFonts w:ascii="Arial" w:hAnsi="Arial" w:cs="Arial"/>
          <w:sz w:val="24"/>
          <w:szCs w:val="24"/>
          <w:vertAlign w:val="subscript"/>
          <w:lang w:val="en-US"/>
        </w:rPr>
      </w:pPr>
      <w:r w:rsidRPr="00226DBE">
        <w:rPr>
          <w:rFonts w:ascii="Arial" w:hAnsi="Arial" w:cs="Arial"/>
          <w:sz w:val="24"/>
          <w:szCs w:val="24"/>
          <w:lang w:val="en-US"/>
        </w:rPr>
        <w:t>OP</w:t>
      </w:r>
      <w:r w:rsidRPr="00226DBE">
        <w:rPr>
          <w:rFonts w:ascii="Arial" w:hAnsi="Arial" w:cs="Arial"/>
          <w:sz w:val="24"/>
          <w:szCs w:val="24"/>
          <w:vertAlign w:val="subscript"/>
          <w:lang w:val="en-US"/>
        </w:rPr>
        <w:t>T+1</w:t>
      </w:r>
      <w:r w:rsidRPr="00226DBE">
        <w:rPr>
          <w:rFonts w:ascii="Arial" w:hAnsi="Arial" w:cs="Arial"/>
          <w:sz w:val="24"/>
          <w:szCs w:val="24"/>
          <w:lang w:val="en-US"/>
        </w:rPr>
        <w:t xml:space="preserve"> = Ratio (OP</w:t>
      </w:r>
      <w:r w:rsidRPr="00226DBE">
        <w:rPr>
          <w:rFonts w:ascii="Arial" w:hAnsi="Arial" w:cs="Arial"/>
          <w:sz w:val="24"/>
          <w:szCs w:val="24"/>
          <w:vertAlign w:val="subscript"/>
          <w:lang w:val="en-US"/>
        </w:rPr>
        <w:t>t,</w:t>
      </w:r>
      <w:r w:rsidRPr="00226DBE">
        <w:rPr>
          <w:rFonts w:ascii="Arial" w:hAnsi="Arial" w:cs="Arial"/>
          <w:sz w:val="24"/>
          <w:szCs w:val="24"/>
          <w:lang w:val="en-US"/>
        </w:rPr>
        <w:t xml:space="preserve"> CB</w:t>
      </w:r>
      <w:r w:rsidRPr="00226DBE">
        <w:rPr>
          <w:rFonts w:ascii="Arial" w:hAnsi="Arial" w:cs="Arial"/>
          <w:sz w:val="24"/>
          <w:szCs w:val="24"/>
          <w:vertAlign w:val="subscript"/>
          <w:lang w:val="en-US"/>
        </w:rPr>
        <w:t>t</w:t>
      </w:r>
      <w:r w:rsidRPr="00226DBE">
        <w:rPr>
          <w:rFonts w:ascii="Arial" w:hAnsi="Arial" w:cs="Arial"/>
          <w:sz w:val="24"/>
          <w:szCs w:val="24"/>
          <w:lang w:val="en-US"/>
        </w:rPr>
        <w:t>)* CB</w:t>
      </w:r>
      <w:r w:rsidRPr="00226DBE">
        <w:rPr>
          <w:rFonts w:ascii="Arial" w:hAnsi="Arial" w:cs="Arial"/>
          <w:sz w:val="24"/>
          <w:szCs w:val="24"/>
          <w:vertAlign w:val="subscript"/>
          <w:lang w:val="en-US"/>
        </w:rPr>
        <w:t>T+1</w:t>
      </w:r>
    </w:p>
    <w:p w:rsidR="006774DB" w:rsidRPr="00226DBE" w:rsidRDefault="006774DB" w:rsidP="006774DB">
      <w:pPr>
        <w:spacing w:line="360" w:lineRule="auto"/>
        <w:ind w:firstLine="454"/>
        <w:jc w:val="both"/>
        <w:rPr>
          <w:rFonts w:ascii="Arial" w:hAnsi="Arial" w:cs="Arial"/>
          <w:i/>
          <w:sz w:val="24"/>
          <w:szCs w:val="24"/>
          <w:lang/>
        </w:rPr>
      </w:pPr>
      <w:r w:rsidRPr="00226DBE">
        <w:rPr>
          <w:rFonts w:ascii="Arial" w:hAnsi="Arial" w:cs="Arial"/>
          <w:i/>
          <w:sz w:val="24"/>
          <w:szCs w:val="24"/>
          <w:lang/>
        </w:rPr>
        <w:t>Donde:</w:t>
      </w:r>
    </w:p>
    <w:p w:rsidR="006774DB" w:rsidRPr="00226DBE" w:rsidRDefault="006774DB" w:rsidP="006774DB">
      <w:pPr>
        <w:spacing w:line="360" w:lineRule="auto"/>
        <w:ind w:firstLine="709"/>
        <w:jc w:val="both"/>
        <w:rPr>
          <w:rFonts w:ascii="Arial" w:hAnsi="Arial" w:cs="Arial"/>
          <w:sz w:val="24"/>
          <w:szCs w:val="24"/>
          <w:lang/>
        </w:rPr>
      </w:pPr>
      <w:r w:rsidRPr="00226DBE">
        <w:rPr>
          <w:rFonts w:ascii="Arial" w:hAnsi="Arial" w:cs="Arial"/>
          <w:sz w:val="24"/>
          <w:szCs w:val="24"/>
          <w:lang/>
        </w:rPr>
        <w:t>OP: Obligaciones con el Publico</w:t>
      </w:r>
    </w:p>
    <w:p w:rsidR="006774DB" w:rsidRPr="00226DBE" w:rsidRDefault="006774DB" w:rsidP="006774DB">
      <w:pPr>
        <w:spacing w:line="360" w:lineRule="auto"/>
        <w:ind w:firstLine="709"/>
        <w:jc w:val="both"/>
        <w:rPr>
          <w:rFonts w:ascii="Arial" w:hAnsi="Arial" w:cs="Arial"/>
          <w:sz w:val="24"/>
          <w:szCs w:val="24"/>
          <w:lang/>
        </w:rPr>
      </w:pPr>
      <w:r w:rsidRPr="00226DBE">
        <w:rPr>
          <w:rFonts w:ascii="Arial" w:hAnsi="Arial" w:cs="Arial"/>
          <w:sz w:val="24"/>
          <w:szCs w:val="24"/>
          <w:lang/>
        </w:rPr>
        <w:t>CB: Colocaciones Brutos</w:t>
      </w:r>
    </w:p>
    <w:p w:rsidR="006774DB" w:rsidRPr="00226DBE" w:rsidRDefault="006774DB" w:rsidP="006774DB">
      <w:pPr>
        <w:spacing w:line="360" w:lineRule="auto"/>
        <w:ind w:firstLine="454"/>
        <w:jc w:val="both"/>
        <w:rPr>
          <w:rFonts w:ascii="Arial" w:hAnsi="Arial" w:cs="Arial"/>
          <w:sz w:val="24"/>
          <w:szCs w:val="24"/>
          <w:lang/>
        </w:rPr>
      </w:pPr>
    </w:p>
    <w:p w:rsidR="006774DB" w:rsidRPr="00226DBE" w:rsidRDefault="006774DB" w:rsidP="006774DB">
      <w:pPr>
        <w:spacing w:line="360" w:lineRule="auto"/>
        <w:ind w:firstLine="454"/>
        <w:jc w:val="both"/>
        <w:rPr>
          <w:rFonts w:ascii="Arial" w:hAnsi="Arial" w:cs="Arial"/>
          <w:sz w:val="24"/>
          <w:szCs w:val="24"/>
          <w:lang/>
        </w:rPr>
      </w:pPr>
      <w:r w:rsidRPr="00226DBE">
        <w:rPr>
          <w:rFonts w:ascii="Arial" w:hAnsi="Arial" w:cs="Arial"/>
          <w:sz w:val="24"/>
          <w:szCs w:val="24"/>
          <w:lang/>
        </w:rPr>
        <w:t>Muestra la relación que existe entre las obligaciones con el público y los créditos otorgados por la entidad financiera, que recibe de los depósitos del público.</w:t>
      </w:r>
    </w:p>
    <w:p w:rsidR="006774DB" w:rsidRPr="00226DBE" w:rsidRDefault="006774DB" w:rsidP="006774DB">
      <w:pPr>
        <w:spacing w:line="360" w:lineRule="auto"/>
        <w:ind w:firstLine="454"/>
        <w:jc w:val="both"/>
        <w:rPr>
          <w:rFonts w:ascii="Arial" w:hAnsi="Arial" w:cs="Arial"/>
          <w:sz w:val="24"/>
          <w:szCs w:val="24"/>
          <w:lang/>
        </w:rPr>
      </w:pPr>
    </w:p>
    <w:p w:rsidR="006774DB" w:rsidRPr="00226DBE" w:rsidRDefault="006774DB" w:rsidP="006774DB">
      <w:pPr>
        <w:widowControl w:val="0"/>
        <w:numPr>
          <w:ilvl w:val="0"/>
          <w:numId w:val="15"/>
        </w:numPr>
        <w:tabs>
          <w:tab w:val="left" w:pos="1262"/>
        </w:tabs>
        <w:suppressAutoHyphens/>
        <w:spacing w:after="0" w:line="360" w:lineRule="auto"/>
        <w:ind w:left="0" w:firstLine="454"/>
        <w:jc w:val="both"/>
        <w:rPr>
          <w:rFonts w:ascii="Arial" w:hAnsi="Arial" w:cs="Arial"/>
          <w:b/>
          <w:sz w:val="24"/>
          <w:szCs w:val="24"/>
          <w:lang/>
        </w:rPr>
      </w:pPr>
      <w:r w:rsidRPr="00226DBE">
        <w:rPr>
          <w:rFonts w:ascii="Arial" w:hAnsi="Arial" w:cs="Arial"/>
          <w:b/>
          <w:sz w:val="24"/>
          <w:szCs w:val="24"/>
          <w:lang/>
        </w:rPr>
        <w:t xml:space="preserve">OTRAS OBLIGACIONES </w:t>
      </w:r>
    </w:p>
    <w:p w:rsidR="006774DB" w:rsidRPr="00226DBE" w:rsidRDefault="006774DB" w:rsidP="006774DB">
      <w:pPr>
        <w:spacing w:line="360" w:lineRule="auto"/>
        <w:ind w:firstLine="454"/>
        <w:jc w:val="both"/>
        <w:rPr>
          <w:rFonts w:ascii="Arial" w:hAnsi="Arial" w:cs="Arial"/>
          <w:sz w:val="24"/>
          <w:szCs w:val="24"/>
          <w:lang w:val="en-US"/>
        </w:rPr>
      </w:pPr>
    </w:p>
    <w:p w:rsidR="006774DB" w:rsidRPr="00226DBE" w:rsidRDefault="006774DB" w:rsidP="006774DB">
      <w:pPr>
        <w:spacing w:line="360" w:lineRule="auto"/>
        <w:ind w:firstLine="709"/>
        <w:jc w:val="both"/>
        <w:rPr>
          <w:rFonts w:ascii="Arial" w:hAnsi="Arial" w:cs="Arial"/>
          <w:sz w:val="24"/>
          <w:szCs w:val="24"/>
          <w:vertAlign w:val="subscript"/>
          <w:lang w:val="en-US"/>
        </w:rPr>
      </w:pPr>
      <w:r w:rsidRPr="00226DBE">
        <w:rPr>
          <w:rFonts w:ascii="Arial" w:hAnsi="Arial" w:cs="Arial"/>
          <w:sz w:val="24"/>
          <w:szCs w:val="24"/>
          <w:lang w:val="en-US"/>
        </w:rPr>
        <w:t>OB</w:t>
      </w:r>
      <w:r w:rsidRPr="00226DBE">
        <w:rPr>
          <w:rFonts w:ascii="Arial" w:hAnsi="Arial" w:cs="Arial"/>
          <w:sz w:val="24"/>
          <w:szCs w:val="24"/>
          <w:vertAlign w:val="subscript"/>
          <w:lang w:val="en-US"/>
        </w:rPr>
        <w:t>T+1</w:t>
      </w:r>
      <w:r w:rsidRPr="00226DBE">
        <w:rPr>
          <w:rFonts w:ascii="Arial" w:hAnsi="Arial" w:cs="Arial"/>
          <w:sz w:val="24"/>
          <w:szCs w:val="24"/>
          <w:lang w:val="en-US"/>
        </w:rPr>
        <w:t xml:space="preserve"> = Ratio (OB</w:t>
      </w:r>
      <w:r w:rsidRPr="00226DBE">
        <w:rPr>
          <w:rFonts w:ascii="Arial" w:hAnsi="Arial" w:cs="Arial"/>
          <w:sz w:val="24"/>
          <w:szCs w:val="24"/>
          <w:vertAlign w:val="subscript"/>
          <w:lang w:val="en-US"/>
        </w:rPr>
        <w:t>t,</w:t>
      </w:r>
      <w:r w:rsidRPr="00226DBE">
        <w:rPr>
          <w:rFonts w:ascii="Arial" w:hAnsi="Arial" w:cs="Arial"/>
          <w:sz w:val="24"/>
          <w:szCs w:val="24"/>
          <w:lang w:val="en-US"/>
        </w:rPr>
        <w:t xml:space="preserve"> CB</w:t>
      </w:r>
      <w:r w:rsidRPr="00226DBE">
        <w:rPr>
          <w:rFonts w:ascii="Arial" w:hAnsi="Arial" w:cs="Arial"/>
          <w:sz w:val="24"/>
          <w:szCs w:val="24"/>
          <w:vertAlign w:val="subscript"/>
          <w:lang w:val="en-US"/>
        </w:rPr>
        <w:t>t</w:t>
      </w:r>
      <w:r w:rsidRPr="00226DBE">
        <w:rPr>
          <w:rFonts w:ascii="Arial" w:hAnsi="Arial" w:cs="Arial"/>
          <w:sz w:val="24"/>
          <w:szCs w:val="24"/>
          <w:lang w:val="en-US"/>
        </w:rPr>
        <w:t>)* CB</w:t>
      </w:r>
      <w:r w:rsidRPr="00226DBE">
        <w:rPr>
          <w:rFonts w:ascii="Arial" w:hAnsi="Arial" w:cs="Arial"/>
          <w:sz w:val="24"/>
          <w:szCs w:val="24"/>
          <w:vertAlign w:val="subscript"/>
          <w:lang w:val="en-US"/>
        </w:rPr>
        <w:t>T+1</w:t>
      </w:r>
    </w:p>
    <w:p w:rsidR="006774DB" w:rsidRPr="00226DBE" w:rsidRDefault="006774DB" w:rsidP="006774DB">
      <w:pPr>
        <w:spacing w:line="360" w:lineRule="auto"/>
        <w:ind w:firstLine="454"/>
        <w:jc w:val="both"/>
        <w:rPr>
          <w:rFonts w:ascii="Arial" w:hAnsi="Arial" w:cs="Arial"/>
          <w:i/>
          <w:sz w:val="24"/>
          <w:szCs w:val="24"/>
          <w:lang/>
        </w:rPr>
      </w:pPr>
      <w:r w:rsidRPr="00226DBE">
        <w:rPr>
          <w:rFonts w:ascii="Arial" w:hAnsi="Arial" w:cs="Arial"/>
          <w:i/>
          <w:sz w:val="24"/>
          <w:szCs w:val="24"/>
          <w:lang/>
        </w:rPr>
        <w:t>Donde:</w:t>
      </w:r>
    </w:p>
    <w:p w:rsidR="006774DB" w:rsidRPr="00226DBE" w:rsidRDefault="006774DB" w:rsidP="006774DB">
      <w:pPr>
        <w:spacing w:line="360" w:lineRule="auto"/>
        <w:ind w:firstLine="709"/>
        <w:jc w:val="both"/>
        <w:rPr>
          <w:rFonts w:ascii="Arial" w:hAnsi="Arial" w:cs="Arial"/>
          <w:sz w:val="24"/>
          <w:szCs w:val="24"/>
          <w:lang/>
        </w:rPr>
      </w:pPr>
      <w:r w:rsidRPr="00226DBE">
        <w:rPr>
          <w:rFonts w:ascii="Arial" w:hAnsi="Arial" w:cs="Arial"/>
          <w:sz w:val="24"/>
          <w:szCs w:val="24"/>
          <w:lang/>
        </w:rPr>
        <w:t xml:space="preserve">OB: Otras Obligaciones </w:t>
      </w:r>
    </w:p>
    <w:p w:rsidR="003231C2" w:rsidRPr="00226DBE" w:rsidRDefault="006774DB" w:rsidP="003231C2">
      <w:pPr>
        <w:spacing w:line="360" w:lineRule="auto"/>
        <w:ind w:firstLine="709"/>
        <w:jc w:val="both"/>
        <w:rPr>
          <w:rFonts w:ascii="Arial" w:hAnsi="Arial" w:cs="Arial"/>
          <w:sz w:val="24"/>
          <w:szCs w:val="24"/>
          <w:lang/>
        </w:rPr>
      </w:pPr>
      <w:r w:rsidRPr="00226DBE">
        <w:rPr>
          <w:rFonts w:ascii="Arial" w:hAnsi="Arial" w:cs="Arial"/>
          <w:sz w:val="24"/>
          <w:szCs w:val="24"/>
          <w:lang/>
        </w:rPr>
        <w:t>CB: Colocaciones Brutos</w:t>
      </w:r>
    </w:p>
    <w:p w:rsidR="006774DB" w:rsidRPr="00226DBE" w:rsidRDefault="006774DB" w:rsidP="006774DB">
      <w:pPr>
        <w:spacing w:line="360" w:lineRule="auto"/>
        <w:ind w:firstLine="454"/>
        <w:jc w:val="both"/>
        <w:rPr>
          <w:rFonts w:ascii="Arial" w:hAnsi="Arial" w:cs="Arial"/>
          <w:sz w:val="24"/>
          <w:szCs w:val="24"/>
          <w:lang/>
        </w:rPr>
      </w:pPr>
      <w:r w:rsidRPr="00226DBE">
        <w:rPr>
          <w:rFonts w:ascii="Arial" w:hAnsi="Arial" w:cs="Arial"/>
          <w:sz w:val="24"/>
          <w:szCs w:val="24"/>
          <w:lang/>
        </w:rPr>
        <w:lastRenderedPageBreak/>
        <w:tab/>
        <w:t>Indica la relación que existe entre las Otras Obligaciones y las Colocaciones Brutos, es decir, es el dinero que el Banco da en créditos a sus clientes y cuya fuente no son solamente los depósitos sino todos las obligaciones que el Banco posee. Representan todas las obligaciones que la entidad contrae con terceras personas y que por lo general, son concedidas a mayor plazo.</w:t>
      </w:r>
    </w:p>
    <w:p w:rsidR="006774DB" w:rsidRPr="00226DBE" w:rsidRDefault="006774DB" w:rsidP="006774DB">
      <w:pPr>
        <w:spacing w:line="360" w:lineRule="auto"/>
        <w:ind w:firstLine="454"/>
        <w:jc w:val="both"/>
        <w:rPr>
          <w:rFonts w:ascii="Arial" w:hAnsi="Arial" w:cs="Arial"/>
          <w:sz w:val="24"/>
          <w:szCs w:val="24"/>
          <w:lang/>
        </w:rPr>
      </w:pPr>
    </w:p>
    <w:p w:rsidR="006774DB" w:rsidRPr="00226DBE" w:rsidRDefault="006774DB" w:rsidP="006774DB">
      <w:pPr>
        <w:widowControl w:val="0"/>
        <w:numPr>
          <w:ilvl w:val="0"/>
          <w:numId w:val="15"/>
        </w:numPr>
        <w:tabs>
          <w:tab w:val="left" w:pos="1262"/>
        </w:tabs>
        <w:suppressAutoHyphens/>
        <w:spacing w:after="0" w:line="360" w:lineRule="auto"/>
        <w:ind w:left="0" w:firstLine="454"/>
        <w:jc w:val="both"/>
        <w:rPr>
          <w:rFonts w:ascii="Arial" w:hAnsi="Arial" w:cs="Arial"/>
          <w:b/>
          <w:sz w:val="24"/>
          <w:szCs w:val="24"/>
          <w:lang/>
        </w:rPr>
      </w:pPr>
      <w:r w:rsidRPr="00226DBE">
        <w:rPr>
          <w:rFonts w:ascii="Arial" w:hAnsi="Arial" w:cs="Arial"/>
          <w:b/>
          <w:sz w:val="24"/>
          <w:szCs w:val="24"/>
          <w:lang/>
        </w:rPr>
        <w:t>MARGEN NETO DE INTERES</w:t>
      </w:r>
    </w:p>
    <w:p w:rsidR="006774DB" w:rsidRPr="00226DBE" w:rsidRDefault="006774DB" w:rsidP="006774DB">
      <w:pPr>
        <w:spacing w:line="360" w:lineRule="auto"/>
        <w:ind w:firstLine="709"/>
        <w:jc w:val="both"/>
        <w:rPr>
          <w:rFonts w:ascii="Arial" w:hAnsi="Arial" w:cs="Arial"/>
          <w:sz w:val="24"/>
          <w:szCs w:val="24"/>
          <w:lang w:val="en-US"/>
        </w:rPr>
      </w:pPr>
      <w:r w:rsidRPr="00226DBE">
        <w:rPr>
          <w:rFonts w:ascii="Arial" w:hAnsi="Arial" w:cs="Arial"/>
          <w:sz w:val="24"/>
          <w:szCs w:val="24"/>
          <w:lang w:val="en-US"/>
        </w:rPr>
        <w:t>MNI</w:t>
      </w:r>
      <w:r w:rsidRPr="00226DBE">
        <w:rPr>
          <w:rFonts w:ascii="Arial" w:hAnsi="Arial" w:cs="Arial"/>
          <w:sz w:val="24"/>
          <w:szCs w:val="24"/>
          <w:vertAlign w:val="subscript"/>
          <w:lang w:val="en-US"/>
        </w:rPr>
        <w:t>T+1</w:t>
      </w:r>
      <w:r w:rsidRPr="00226DBE">
        <w:rPr>
          <w:rFonts w:ascii="Arial" w:hAnsi="Arial" w:cs="Arial"/>
          <w:sz w:val="24"/>
          <w:szCs w:val="24"/>
          <w:lang w:val="en-US"/>
        </w:rPr>
        <w:t xml:space="preserve"> = Ratio (MNI</w:t>
      </w:r>
      <w:r w:rsidRPr="00226DBE">
        <w:rPr>
          <w:rFonts w:ascii="Arial" w:hAnsi="Arial" w:cs="Arial"/>
          <w:sz w:val="24"/>
          <w:szCs w:val="24"/>
          <w:vertAlign w:val="subscript"/>
          <w:lang w:val="en-US"/>
        </w:rPr>
        <w:t>t,</w:t>
      </w:r>
      <w:r w:rsidRPr="00226DBE">
        <w:rPr>
          <w:rFonts w:ascii="Arial" w:hAnsi="Arial" w:cs="Arial"/>
          <w:sz w:val="24"/>
          <w:szCs w:val="24"/>
          <w:lang w:val="en-US"/>
        </w:rPr>
        <w:t xml:space="preserve"> CB</w:t>
      </w:r>
      <w:r w:rsidRPr="00226DBE">
        <w:rPr>
          <w:rFonts w:ascii="Arial" w:hAnsi="Arial" w:cs="Arial"/>
          <w:sz w:val="24"/>
          <w:szCs w:val="24"/>
          <w:vertAlign w:val="subscript"/>
          <w:lang w:val="en-US"/>
        </w:rPr>
        <w:t>t</w:t>
      </w:r>
      <w:r w:rsidRPr="00226DBE">
        <w:rPr>
          <w:rFonts w:ascii="Arial" w:hAnsi="Arial" w:cs="Arial"/>
          <w:sz w:val="24"/>
          <w:szCs w:val="24"/>
          <w:lang w:val="en-US"/>
        </w:rPr>
        <w:t>, I</w:t>
      </w:r>
      <w:r w:rsidRPr="00226DBE">
        <w:rPr>
          <w:rFonts w:ascii="Arial" w:hAnsi="Arial" w:cs="Arial"/>
          <w:sz w:val="24"/>
          <w:szCs w:val="24"/>
          <w:vertAlign w:val="subscript"/>
          <w:lang w:val="en-US"/>
        </w:rPr>
        <w:t>t</w:t>
      </w:r>
      <w:r w:rsidRPr="00226DBE">
        <w:rPr>
          <w:rFonts w:ascii="Arial" w:hAnsi="Arial" w:cs="Arial"/>
          <w:sz w:val="24"/>
          <w:szCs w:val="24"/>
          <w:lang w:val="en-US"/>
        </w:rPr>
        <w:t>)* (CB</w:t>
      </w:r>
      <w:r w:rsidRPr="00226DBE">
        <w:rPr>
          <w:rFonts w:ascii="Arial" w:hAnsi="Arial" w:cs="Arial"/>
          <w:sz w:val="24"/>
          <w:szCs w:val="24"/>
          <w:vertAlign w:val="subscript"/>
          <w:lang w:val="en-US"/>
        </w:rPr>
        <w:t>T+1</w:t>
      </w:r>
      <w:r w:rsidRPr="00226DBE">
        <w:rPr>
          <w:rFonts w:ascii="Arial" w:hAnsi="Arial" w:cs="Arial"/>
          <w:sz w:val="24"/>
          <w:szCs w:val="24"/>
          <w:lang w:val="en-US"/>
        </w:rPr>
        <w:t>+I</w:t>
      </w:r>
      <w:r w:rsidRPr="00226DBE">
        <w:rPr>
          <w:rFonts w:ascii="Arial" w:hAnsi="Arial" w:cs="Arial"/>
          <w:sz w:val="24"/>
          <w:szCs w:val="24"/>
          <w:vertAlign w:val="subscript"/>
          <w:lang w:val="en-US"/>
        </w:rPr>
        <w:t>T+1</w:t>
      </w:r>
      <w:r w:rsidRPr="00226DBE">
        <w:rPr>
          <w:rFonts w:ascii="Arial" w:hAnsi="Arial" w:cs="Arial"/>
          <w:sz w:val="24"/>
          <w:szCs w:val="24"/>
          <w:lang w:val="en-US"/>
        </w:rPr>
        <w:t>)</w:t>
      </w:r>
    </w:p>
    <w:p w:rsidR="006774DB" w:rsidRPr="00226DBE" w:rsidRDefault="006774DB" w:rsidP="006774DB">
      <w:pPr>
        <w:spacing w:line="360" w:lineRule="auto"/>
        <w:ind w:firstLine="454"/>
        <w:jc w:val="both"/>
        <w:rPr>
          <w:rFonts w:ascii="Arial" w:hAnsi="Arial" w:cs="Arial"/>
          <w:i/>
          <w:sz w:val="24"/>
          <w:szCs w:val="24"/>
          <w:lang/>
        </w:rPr>
      </w:pPr>
      <w:r w:rsidRPr="00226DBE">
        <w:rPr>
          <w:rFonts w:ascii="Arial" w:hAnsi="Arial" w:cs="Arial"/>
          <w:i/>
          <w:sz w:val="24"/>
          <w:szCs w:val="24"/>
          <w:lang/>
        </w:rPr>
        <w:t>Donde:</w:t>
      </w:r>
    </w:p>
    <w:p w:rsidR="006774DB" w:rsidRPr="00226DBE" w:rsidRDefault="006774DB" w:rsidP="006774DB">
      <w:pPr>
        <w:spacing w:line="360" w:lineRule="auto"/>
        <w:ind w:firstLine="709"/>
        <w:jc w:val="both"/>
        <w:rPr>
          <w:rFonts w:ascii="Arial" w:hAnsi="Arial" w:cs="Arial"/>
          <w:sz w:val="24"/>
          <w:szCs w:val="24"/>
          <w:lang/>
        </w:rPr>
      </w:pPr>
      <w:r w:rsidRPr="00226DBE">
        <w:rPr>
          <w:rFonts w:ascii="Arial" w:hAnsi="Arial" w:cs="Arial"/>
          <w:sz w:val="24"/>
          <w:szCs w:val="24"/>
          <w:lang/>
        </w:rPr>
        <w:t xml:space="preserve">MNI: Margen Neto de Interés </w:t>
      </w:r>
    </w:p>
    <w:p w:rsidR="006774DB" w:rsidRPr="00226DBE" w:rsidRDefault="006774DB" w:rsidP="006774DB">
      <w:pPr>
        <w:spacing w:line="360" w:lineRule="auto"/>
        <w:ind w:firstLine="709"/>
        <w:jc w:val="both"/>
        <w:rPr>
          <w:rFonts w:ascii="Arial" w:hAnsi="Arial" w:cs="Arial"/>
          <w:sz w:val="24"/>
          <w:szCs w:val="24"/>
          <w:lang/>
        </w:rPr>
      </w:pPr>
      <w:r w:rsidRPr="00226DBE">
        <w:rPr>
          <w:rFonts w:ascii="Arial" w:hAnsi="Arial" w:cs="Arial"/>
          <w:sz w:val="24"/>
          <w:szCs w:val="24"/>
          <w:lang/>
        </w:rPr>
        <w:t>CB: Colocaciones Brutos</w:t>
      </w:r>
    </w:p>
    <w:p w:rsidR="006774DB" w:rsidRPr="00226DBE" w:rsidRDefault="006774DB" w:rsidP="006774DB">
      <w:pPr>
        <w:spacing w:line="360" w:lineRule="auto"/>
        <w:ind w:firstLine="709"/>
        <w:jc w:val="both"/>
        <w:rPr>
          <w:rFonts w:ascii="Arial" w:hAnsi="Arial" w:cs="Arial"/>
          <w:sz w:val="24"/>
          <w:szCs w:val="24"/>
          <w:lang/>
        </w:rPr>
      </w:pPr>
      <w:r w:rsidRPr="00226DBE">
        <w:rPr>
          <w:rFonts w:ascii="Arial" w:hAnsi="Arial" w:cs="Arial"/>
          <w:sz w:val="24"/>
          <w:szCs w:val="24"/>
          <w:lang/>
        </w:rPr>
        <w:t>I: Inversiones</w:t>
      </w:r>
    </w:p>
    <w:p w:rsidR="006774DB" w:rsidRPr="00226DBE" w:rsidRDefault="006774DB" w:rsidP="006774DB">
      <w:pPr>
        <w:spacing w:line="360" w:lineRule="auto"/>
        <w:ind w:firstLine="454"/>
        <w:jc w:val="both"/>
        <w:rPr>
          <w:rFonts w:ascii="Arial" w:hAnsi="Arial" w:cs="Arial"/>
          <w:sz w:val="24"/>
          <w:szCs w:val="24"/>
          <w:lang/>
        </w:rPr>
      </w:pPr>
    </w:p>
    <w:p w:rsidR="006774DB" w:rsidRPr="00226DBE" w:rsidRDefault="006774DB" w:rsidP="006774DB">
      <w:pPr>
        <w:spacing w:line="360" w:lineRule="auto"/>
        <w:ind w:firstLine="454"/>
        <w:jc w:val="both"/>
        <w:rPr>
          <w:rFonts w:ascii="Arial" w:hAnsi="Arial" w:cs="Arial"/>
          <w:sz w:val="24"/>
          <w:szCs w:val="24"/>
          <w:lang/>
        </w:rPr>
      </w:pPr>
      <w:r w:rsidRPr="00226DBE">
        <w:rPr>
          <w:rFonts w:ascii="Arial" w:hAnsi="Arial" w:cs="Arial"/>
          <w:sz w:val="24"/>
          <w:szCs w:val="24"/>
          <w:lang/>
        </w:rPr>
        <w:tab/>
        <w:t xml:space="preserve">Dado que el Margen de Interés Neto representa la ganancia que se obtiene al realizar los créditos, este ratio indica la rentabilidad sobre los préstamos que se conceden al público, es de esperarse que al aumentar los créditos, aumente el margen de ganancia. </w:t>
      </w:r>
      <w:r w:rsidRPr="00226DBE">
        <w:rPr>
          <w:rFonts w:ascii="Arial" w:hAnsi="Arial" w:cs="Arial"/>
          <w:sz w:val="24"/>
          <w:szCs w:val="24"/>
          <w:lang/>
        </w:rPr>
        <w:tab/>
      </w:r>
    </w:p>
    <w:p w:rsidR="006774DB" w:rsidRPr="00226DBE" w:rsidRDefault="006774DB" w:rsidP="006774DB">
      <w:pPr>
        <w:spacing w:line="360" w:lineRule="auto"/>
        <w:ind w:firstLine="454"/>
        <w:jc w:val="both"/>
        <w:rPr>
          <w:rFonts w:ascii="Arial" w:hAnsi="Arial" w:cs="Arial"/>
          <w:sz w:val="24"/>
          <w:szCs w:val="24"/>
          <w:lang/>
        </w:rPr>
      </w:pPr>
    </w:p>
    <w:p w:rsidR="006774DB" w:rsidRPr="00226DBE" w:rsidRDefault="006774DB" w:rsidP="006774DB">
      <w:pPr>
        <w:widowControl w:val="0"/>
        <w:numPr>
          <w:ilvl w:val="0"/>
          <w:numId w:val="15"/>
        </w:numPr>
        <w:tabs>
          <w:tab w:val="left" w:pos="1262"/>
        </w:tabs>
        <w:suppressAutoHyphens/>
        <w:spacing w:after="0" w:line="360" w:lineRule="auto"/>
        <w:ind w:left="0" w:firstLine="454"/>
        <w:jc w:val="both"/>
        <w:rPr>
          <w:rFonts w:ascii="Arial" w:hAnsi="Arial" w:cs="Arial"/>
          <w:b/>
          <w:sz w:val="24"/>
          <w:szCs w:val="24"/>
          <w:lang/>
        </w:rPr>
      </w:pPr>
      <w:r w:rsidRPr="00226DBE">
        <w:rPr>
          <w:rFonts w:ascii="Arial" w:hAnsi="Arial" w:cs="Arial"/>
          <w:b/>
          <w:sz w:val="24"/>
          <w:szCs w:val="24"/>
          <w:lang/>
        </w:rPr>
        <w:t>COMISIONES NETAS</w:t>
      </w:r>
    </w:p>
    <w:p w:rsidR="006774DB" w:rsidRPr="00226DBE" w:rsidRDefault="006774DB" w:rsidP="006774DB">
      <w:pPr>
        <w:spacing w:line="360" w:lineRule="auto"/>
        <w:ind w:firstLine="454"/>
        <w:jc w:val="both"/>
        <w:rPr>
          <w:rFonts w:ascii="Arial" w:hAnsi="Arial" w:cs="Arial"/>
          <w:sz w:val="24"/>
          <w:szCs w:val="24"/>
          <w:lang w:val="en-US"/>
        </w:rPr>
      </w:pPr>
    </w:p>
    <w:p w:rsidR="006774DB" w:rsidRPr="00226DBE" w:rsidRDefault="006774DB" w:rsidP="006774DB">
      <w:pPr>
        <w:spacing w:line="360" w:lineRule="auto"/>
        <w:ind w:firstLine="709"/>
        <w:jc w:val="both"/>
        <w:rPr>
          <w:rFonts w:ascii="Arial" w:hAnsi="Arial" w:cs="Arial"/>
          <w:sz w:val="24"/>
          <w:szCs w:val="24"/>
          <w:lang w:val="en-US"/>
        </w:rPr>
      </w:pPr>
      <w:r w:rsidRPr="00226DBE">
        <w:rPr>
          <w:rFonts w:ascii="Arial" w:hAnsi="Arial" w:cs="Arial"/>
          <w:sz w:val="24"/>
          <w:szCs w:val="24"/>
          <w:lang w:val="en-US"/>
        </w:rPr>
        <w:t>CN</w:t>
      </w:r>
      <w:r w:rsidRPr="00226DBE">
        <w:rPr>
          <w:rFonts w:ascii="Arial" w:hAnsi="Arial" w:cs="Arial"/>
          <w:sz w:val="24"/>
          <w:szCs w:val="24"/>
          <w:vertAlign w:val="subscript"/>
          <w:lang w:val="en-US"/>
        </w:rPr>
        <w:t>T+1</w:t>
      </w:r>
      <w:r w:rsidRPr="00226DBE">
        <w:rPr>
          <w:rFonts w:ascii="Arial" w:hAnsi="Arial" w:cs="Arial"/>
          <w:sz w:val="24"/>
          <w:szCs w:val="24"/>
          <w:lang w:val="en-US"/>
        </w:rPr>
        <w:t xml:space="preserve"> = Ratio (CN</w:t>
      </w:r>
      <w:r w:rsidRPr="00226DBE">
        <w:rPr>
          <w:rFonts w:ascii="Arial" w:hAnsi="Arial" w:cs="Arial"/>
          <w:sz w:val="24"/>
          <w:szCs w:val="24"/>
          <w:vertAlign w:val="subscript"/>
          <w:lang w:val="en-US"/>
        </w:rPr>
        <w:t>t,</w:t>
      </w:r>
      <w:r w:rsidRPr="00226DBE">
        <w:rPr>
          <w:rFonts w:ascii="Arial" w:hAnsi="Arial" w:cs="Arial"/>
          <w:sz w:val="24"/>
          <w:szCs w:val="24"/>
          <w:lang w:val="en-US"/>
        </w:rPr>
        <w:t xml:space="preserve"> CB</w:t>
      </w:r>
      <w:r w:rsidRPr="00226DBE">
        <w:rPr>
          <w:rFonts w:ascii="Arial" w:hAnsi="Arial" w:cs="Arial"/>
          <w:sz w:val="24"/>
          <w:szCs w:val="24"/>
          <w:vertAlign w:val="subscript"/>
          <w:lang w:val="en-US"/>
        </w:rPr>
        <w:t>t</w:t>
      </w:r>
      <w:r w:rsidRPr="00226DBE">
        <w:rPr>
          <w:rFonts w:ascii="Arial" w:hAnsi="Arial" w:cs="Arial"/>
          <w:sz w:val="24"/>
          <w:szCs w:val="24"/>
          <w:lang w:val="en-US"/>
        </w:rPr>
        <w:t>,)* (CB</w:t>
      </w:r>
      <w:r w:rsidRPr="00226DBE">
        <w:rPr>
          <w:rFonts w:ascii="Arial" w:hAnsi="Arial" w:cs="Arial"/>
          <w:sz w:val="24"/>
          <w:szCs w:val="24"/>
          <w:vertAlign w:val="subscript"/>
          <w:lang w:val="en-US"/>
        </w:rPr>
        <w:t>T+1</w:t>
      </w:r>
      <w:r w:rsidRPr="00226DBE">
        <w:rPr>
          <w:rFonts w:ascii="Arial" w:hAnsi="Arial" w:cs="Arial"/>
          <w:sz w:val="24"/>
          <w:szCs w:val="24"/>
          <w:lang w:val="en-US"/>
        </w:rPr>
        <w:t>)</w:t>
      </w:r>
    </w:p>
    <w:p w:rsidR="006774DB" w:rsidRPr="00226DBE" w:rsidRDefault="006774DB" w:rsidP="006774DB">
      <w:pPr>
        <w:spacing w:line="360" w:lineRule="auto"/>
        <w:ind w:firstLine="454"/>
        <w:jc w:val="both"/>
        <w:rPr>
          <w:rFonts w:ascii="Arial" w:hAnsi="Arial" w:cs="Arial"/>
          <w:i/>
          <w:sz w:val="24"/>
          <w:szCs w:val="24"/>
          <w:lang/>
        </w:rPr>
      </w:pPr>
      <w:r w:rsidRPr="00226DBE">
        <w:rPr>
          <w:rFonts w:ascii="Arial" w:hAnsi="Arial" w:cs="Arial"/>
          <w:i/>
          <w:sz w:val="24"/>
          <w:szCs w:val="24"/>
          <w:lang/>
        </w:rPr>
        <w:t>Donde:</w:t>
      </w:r>
    </w:p>
    <w:p w:rsidR="006774DB" w:rsidRPr="00226DBE" w:rsidRDefault="006774DB" w:rsidP="006774DB">
      <w:pPr>
        <w:spacing w:line="360" w:lineRule="auto"/>
        <w:ind w:firstLine="709"/>
        <w:jc w:val="both"/>
        <w:rPr>
          <w:rFonts w:ascii="Arial" w:hAnsi="Arial" w:cs="Arial"/>
          <w:sz w:val="24"/>
          <w:szCs w:val="24"/>
          <w:lang/>
        </w:rPr>
      </w:pPr>
      <w:r w:rsidRPr="00226DBE">
        <w:rPr>
          <w:rFonts w:ascii="Arial" w:hAnsi="Arial" w:cs="Arial"/>
          <w:sz w:val="24"/>
          <w:szCs w:val="24"/>
          <w:lang/>
        </w:rPr>
        <w:t xml:space="preserve">CN: Comisiones Netas </w:t>
      </w:r>
    </w:p>
    <w:p w:rsidR="006774DB" w:rsidRPr="00226DBE" w:rsidRDefault="006774DB" w:rsidP="006774DB">
      <w:pPr>
        <w:spacing w:line="360" w:lineRule="auto"/>
        <w:ind w:firstLine="709"/>
        <w:jc w:val="both"/>
        <w:rPr>
          <w:rFonts w:ascii="Arial" w:hAnsi="Arial" w:cs="Arial"/>
          <w:sz w:val="24"/>
          <w:szCs w:val="24"/>
          <w:lang/>
        </w:rPr>
      </w:pPr>
      <w:r w:rsidRPr="00226DBE">
        <w:rPr>
          <w:rFonts w:ascii="Arial" w:hAnsi="Arial" w:cs="Arial"/>
          <w:sz w:val="24"/>
          <w:szCs w:val="24"/>
          <w:lang/>
        </w:rPr>
        <w:lastRenderedPageBreak/>
        <w:t>CB: Colocaciones Brutos</w:t>
      </w:r>
    </w:p>
    <w:p w:rsidR="006774DB" w:rsidRPr="00226DBE" w:rsidRDefault="006774DB" w:rsidP="006774DB">
      <w:pPr>
        <w:spacing w:line="360" w:lineRule="auto"/>
        <w:ind w:firstLine="454"/>
        <w:jc w:val="both"/>
        <w:rPr>
          <w:rFonts w:ascii="Arial" w:hAnsi="Arial" w:cs="Arial"/>
          <w:sz w:val="24"/>
          <w:szCs w:val="24"/>
          <w:lang/>
        </w:rPr>
      </w:pPr>
      <w:r w:rsidRPr="00226DBE">
        <w:rPr>
          <w:rFonts w:ascii="Arial" w:hAnsi="Arial" w:cs="Arial"/>
          <w:sz w:val="24"/>
          <w:szCs w:val="24"/>
          <w:lang/>
        </w:rPr>
        <w:tab/>
      </w:r>
    </w:p>
    <w:p w:rsidR="006774DB" w:rsidRPr="00226DBE" w:rsidRDefault="006774DB" w:rsidP="006774DB">
      <w:pPr>
        <w:spacing w:line="360" w:lineRule="auto"/>
        <w:ind w:firstLine="454"/>
        <w:jc w:val="both"/>
        <w:rPr>
          <w:rFonts w:ascii="Arial" w:hAnsi="Arial" w:cs="Arial"/>
          <w:sz w:val="24"/>
          <w:szCs w:val="24"/>
          <w:lang/>
        </w:rPr>
      </w:pPr>
      <w:r w:rsidRPr="00226DBE">
        <w:rPr>
          <w:rFonts w:ascii="Arial" w:hAnsi="Arial" w:cs="Arial"/>
          <w:sz w:val="24"/>
          <w:szCs w:val="24"/>
          <w:lang/>
        </w:rPr>
        <w:t>Este ratio representa el dinero neto que el Banco da o recibe por comisiones sobre préstamos y servicios prestados o recibidos en relación a nivel de cartera.</w:t>
      </w:r>
    </w:p>
    <w:p w:rsidR="006774DB" w:rsidRPr="00226DBE" w:rsidRDefault="006774DB" w:rsidP="006774DB">
      <w:pPr>
        <w:spacing w:line="360" w:lineRule="auto"/>
        <w:ind w:firstLine="454"/>
        <w:jc w:val="both"/>
        <w:rPr>
          <w:rFonts w:ascii="Arial" w:hAnsi="Arial" w:cs="Arial"/>
          <w:sz w:val="24"/>
          <w:szCs w:val="24"/>
          <w:lang/>
        </w:rPr>
      </w:pPr>
      <w:r w:rsidRPr="00226DBE">
        <w:rPr>
          <w:rFonts w:ascii="Arial" w:hAnsi="Arial" w:cs="Arial"/>
          <w:sz w:val="24"/>
          <w:szCs w:val="24"/>
          <w:lang/>
        </w:rPr>
        <w:tab/>
      </w:r>
    </w:p>
    <w:p w:rsidR="006774DB" w:rsidRPr="00226DBE" w:rsidRDefault="006774DB" w:rsidP="006774DB">
      <w:pPr>
        <w:widowControl w:val="0"/>
        <w:numPr>
          <w:ilvl w:val="0"/>
          <w:numId w:val="15"/>
        </w:numPr>
        <w:tabs>
          <w:tab w:val="left" w:pos="1262"/>
        </w:tabs>
        <w:suppressAutoHyphens/>
        <w:spacing w:after="0" w:line="360" w:lineRule="auto"/>
        <w:ind w:left="0" w:firstLine="454"/>
        <w:jc w:val="both"/>
        <w:rPr>
          <w:rFonts w:ascii="Arial" w:hAnsi="Arial" w:cs="Arial"/>
          <w:b/>
          <w:color w:val="000000"/>
          <w:sz w:val="24"/>
          <w:szCs w:val="24"/>
          <w:lang/>
        </w:rPr>
      </w:pPr>
      <w:r w:rsidRPr="00226DBE">
        <w:rPr>
          <w:rFonts w:ascii="Arial" w:hAnsi="Arial" w:cs="Arial"/>
          <w:b/>
          <w:color w:val="000000"/>
          <w:sz w:val="24"/>
          <w:szCs w:val="24"/>
          <w:lang/>
        </w:rPr>
        <w:t xml:space="preserve">UTILIDADES NETAS FINANCIERAS          </w:t>
      </w:r>
    </w:p>
    <w:p w:rsidR="006774DB" w:rsidRPr="00226DBE" w:rsidRDefault="006774DB" w:rsidP="006774DB">
      <w:pPr>
        <w:spacing w:line="360" w:lineRule="auto"/>
        <w:ind w:firstLine="454"/>
        <w:jc w:val="both"/>
        <w:rPr>
          <w:rFonts w:ascii="Arial" w:hAnsi="Arial" w:cs="Arial"/>
          <w:color w:val="000000"/>
          <w:sz w:val="24"/>
          <w:szCs w:val="24"/>
          <w:lang w:val="en-US"/>
        </w:rPr>
      </w:pPr>
    </w:p>
    <w:p w:rsidR="006774DB" w:rsidRPr="00226DBE" w:rsidRDefault="006774DB" w:rsidP="006774DB">
      <w:pPr>
        <w:spacing w:line="360" w:lineRule="auto"/>
        <w:ind w:firstLine="454"/>
        <w:jc w:val="both"/>
        <w:rPr>
          <w:rFonts w:ascii="Arial" w:hAnsi="Arial" w:cs="Arial"/>
          <w:color w:val="000000"/>
          <w:sz w:val="24"/>
          <w:szCs w:val="24"/>
          <w:lang w:val="es-ES"/>
        </w:rPr>
      </w:pPr>
      <w:r w:rsidRPr="00226DBE">
        <w:rPr>
          <w:rFonts w:ascii="Arial" w:hAnsi="Arial" w:cs="Arial"/>
          <w:color w:val="000000"/>
          <w:sz w:val="24"/>
          <w:szCs w:val="24"/>
          <w:lang w:val="es-ES"/>
        </w:rPr>
        <w:t>Para obtener un índice que nos indique el movimiento futuro de este rubro se ha utilizado una tasa de crecimiento  de acuerdo a los dos últimos años 2006 y 2007.</w:t>
      </w:r>
    </w:p>
    <w:p w:rsidR="006774DB" w:rsidRPr="00226DBE" w:rsidRDefault="006774DB" w:rsidP="006774DB">
      <w:pPr>
        <w:spacing w:line="360" w:lineRule="auto"/>
        <w:ind w:firstLine="454"/>
        <w:jc w:val="both"/>
        <w:rPr>
          <w:rFonts w:ascii="Arial" w:hAnsi="Arial" w:cs="Arial"/>
          <w:sz w:val="24"/>
          <w:szCs w:val="24"/>
          <w:lang/>
        </w:rPr>
      </w:pPr>
    </w:p>
    <w:p w:rsidR="006774DB" w:rsidRPr="00226DBE" w:rsidRDefault="006774DB" w:rsidP="006774DB">
      <w:pPr>
        <w:widowControl w:val="0"/>
        <w:numPr>
          <w:ilvl w:val="0"/>
          <w:numId w:val="15"/>
        </w:numPr>
        <w:tabs>
          <w:tab w:val="left" w:pos="1262"/>
        </w:tabs>
        <w:suppressAutoHyphens/>
        <w:spacing w:after="0" w:line="360" w:lineRule="auto"/>
        <w:ind w:left="0" w:firstLine="454"/>
        <w:jc w:val="both"/>
        <w:rPr>
          <w:rFonts w:ascii="Arial" w:hAnsi="Arial" w:cs="Arial"/>
          <w:b/>
          <w:sz w:val="24"/>
          <w:szCs w:val="24"/>
          <w:lang/>
        </w:rPr>
      </w:pPr>
      <w:r w:rsidRPr="00226DBE">
        <w:rPr>
          <w:rFonts w:ascii="Arial" w:hAnsi="Arial" w:cs="Arial"/>
          <w:b/>
          <w:sz w:val="24"/>
          <w:szCs w:val="24"/>
          <w:lang/>
        </w:rPr>
        <w:t>GASTOS POR PROVISION</w:t>
      </w:r>
    </w:p>
    <w:p w:rsidR="006774DB" w:rsidRPr="00226DBE" w:rsidRDefault="006774DB" w:rsidP="006774DB">
      <w:pPr>
        <w:spacing w:line="360" w:lineRule="auto"/>
        <w:ind w:firstLine="454"/>
        <w:jc w:val="both"/>
        <w:rPr>
          <w:rFonts w:ascii="Arial" w:hAnsi="Arial" w:cs="Arial"/>
          <w:sz w:val="24"/>
          <w:szCs w:val="24"/>
          <w:lang w:val="en-US"/>
        </w:rPr>
      </w:pPr>
    </w:p>
    <w:p w:rsidR="006774DB" w:rsidRPr="00226DBE" w:rsidRDefault="006774DB" w:rsidP="006774DB">
      <w:pPr>
        <w:spacing w:line="360" w:lineRule="auto"/>
        <w:ind w:firstLine="709"/>
        <w:jc w:val="both"/>
        <w:rPr>
          <w:rFonts w:ascii="Arial" w:hAnsi="Arial" w:cs="Arial"/>
          <w:sz w:val="24"/>
          <w:szCs w:val="24"/>
          <w:lang w:val="en-US"/>
        </w:rPr>
      </w:pPr>
      <w:r w:rsidRPr="00226DBE">
        <w:rPr>
          <w:rFonts w:ascii="Arial" w:hAnsi="Arial" w:cs="Arial"/>
          <w:sz w:val="24"/>
          <w:szCs w:val="24"/>
          <w:lang w:val="en-US"/>
        </w:rPr>
        <w:t>GTP</w:t>
      </w:r>
      <w:r w:rsidRPr="00226DBE">
        <w:rPr>
          <w:rFonts w:ascii="Arial" w:hAnsi="Arial" w:cs="Arial"/>
          <w:sz w:val="24"/>
          <w:szCs w:val="24"/>
          <w:vertAlign w:val="subscript"/>
          <w:lang w:val="en-US"/>
        </w:rPr>
        <w:t>T+1</w:t>
      </w:r>
      <w:r w:rsidRPr="00226DBE">
        <w:rPr>
          <w:rFonts w:ascii="Arial" w:hAnsi="Arial" w:cs="Arial"/>
          <w:sz w:val="24"/>
          <w:szCs w:val="24"/>
          <w:lang w:val="en-US"/>
        </w:rPr>
        <w:t xml:space="preserve"> = Ratio (GTP</w:t>
      </w:r>
      <w:r w:rsidRPr="00226DBE">
        <w:rPr>
          <w:rFonts w:ascii="Arial" w:hAnsi="Arial" w:cs="Arial"/>
          <w:sz w:val="24"/>
          <w:szCs w:val="24"/>
          <w:vertAlign w:val="subscript"/>
          <w:lang w:val="en-US"/>
        </w:rPr>
        <w:t>t,</w:t>
      </w:r>
      <w:r w:rsidRPr="00226DBE">
        <w:rPr>
          <w:rFonts w:ascii="Arial" w:hAnsi="Arial" w:cs="Arial"/>
          <w:sz w:val="24"/>
          <w:szCs w:val="24"/>
          <w:lang w:val="en-US"/>
        </w:rPr>
        <w:t xml:space="preserve"> CV</w:t>
      </w:r>
      <w:r w:rsidRPr="00226DBE">
        <w:rPr>
          <w:rFonts w:ascii="Arial" w:hAnsi="Arial" w:cs="Arial"/>
          <w:sz w:val="24"/>
          <w:szCs w:val="24"/>
          <w:vertAlign w:val="subscript"/>
          <w:lang w:val="en-US"/>
        </w:rPr>
        <w:t>t</w:t>
      </w:r>
      <w:r w:rsidRPr="00226DBE">
        <w:rPr>
          <w:rFonts w:ascii="Arial" w:hAnsi="Arial" w:cs="Arial"/>
          <w:sz w:val="24"/>
          <w:szCs w:val="24"/>
          <w:lang w:val="en-US"/>
        </w:rPr>
        <w:t>,)* (CV</w:t>
      </w:r>
      <w:r w:rsidRPr="00226DBE">
        <w:rPr>
          <w:rFonts w:ascii="Arial" w:hAnsi="Arial" w:cs="Arial"/>
          <w:sz w:val="24"/>
          <w:szCs w:val="24"/>
          <w:vertAlign w:val="subscript"/>
          <w:lang w:val="en-US"/>
        </w:rPr>
        <w:t>T+1</w:t>
      </w:r>
      <w:r w:rsidRPr="00226DBE">
        <w:rPr>
          <w:rFonts w:ascii="Arial" w:hAnsi="Arial" w:cs="Arial"/>
          <w:sz w:val="24"/>
          <w:szCs w:val="24"/>
          <w:lang w:val="en-US"/>
        </w:rPr>
        <w:t>)</w:t>
      </w:r>
    </w:p>
    <w:p w:rsidR="006774DB" w:rsidRPr="00226DBE" w:rsidRDefault="006774DB" w:rsidP="006774DB">
      <w:pPr>
        <w:spacing w:line="360" w:lineRule="auto"/>
        <w:ind w:firstLine="454"/>
        <w:jc w:val="both"/>
        <w:rPr>
          <w:rFonts w:ascii="Arial" w:hAnsi="Arial" w:cs="Arial"/>
          <w:i/>
          <w:sz w:val="24"/>
          <w:szCs w:val="24"/>
          <w:lang/>
        </w:rPr>
      </w:pPr>
      <w:r w:rsidRPr="00226DBE">
        <w:rPr>
          <w:rFonts w:ascii="Arial" w:hAnsi="Arial" w:cs="Arial"/>
          <w:i/>
          <w:sz w:val="24"/>
          <w:szCs w:val="24"/>
          <w:lang/>
        </w:rPr>
        <w:t>Donde:</w:t>
      </w:r>
    </w:p>
    <w:p w:rsidR="006774DB" w:rsidRPr="00226DBE" w:rsidRDefault="006774DB" w:rsidP="006774DB">
      <w:pPr>
        <w:spacing w:line="360" w:lineRule="auto"/>
        <w:ind w:firstLine="709"/>
        <w:jc w:val="both"/>
        <w:rPr>
          <w:rFonts w:ascii="Arial" w:hAnsi="Arial" w:cs="Arial"/>
          <w:sz w:val="24"/>
          <w:szCs w:val="24"/>
          <w:lang/>
        </w:rPr>
      </w:pPr>
      <w:r w:rsidRPr="00226DBE">
        <w:rPr>
          <w:rFonts w:ascii="Arial" w:hAnsi="Arial" w:cs="Arial"/>
          <w:sz w:val="24"/>
          <w:szCs w:val="24"/>
          <w:lang/>
        </w:rPr>
        <w:t xml:space="preserve">GTP: Gastos por Provisión </w:t>
      </w:r>
    </w:p>
    <w:p w:rsidR="006774DB" w:rsidRPr="00226DBE" w:rsidRDefault="006774DB" w:rsidP="006774DB">
      <w:pPr>
        <w:spacing w:line="360" w:lineRule="auto"/>
        <w:ind w:firstLine="709"/>
        <w:jc w:val="both"/>
        <w:rPr>
          <w:rFonts w:ascii="Arial" w:hAnsi="Arial" w:cs="Arial"/>
          <w:sz w:val="24"/>
          <w:szCs w:val="24"/>
          <w:lang/>
        </w:rPr>
      </w:pPr>
      <w:r w:rsidRPr="00226DBE">
        <w:rPr>
          <w:rFonts w:ascii="Arial" w:hAnsi="Arial" w:cs="Arial"/>
          <w:sz w:val="24"/>
          <w:szCs w:val="24"/>
          <w:lang/>
        </w:rPr>
        <w:t>CV: Cartera Vencida</w:t>
      </w:r>
    </w:p>
    <w:p w:rsidR="006774DB" w:rsidRPr="00226DBE" w:rsidRDefault="006774DB" w:rsidP="006774DB">
      <w:pPr>
        <w:spacing w:line="360" w:lineRule="auto"/>
        <w:ind w:firstLine="454"/>
        <w:jc w:val="both"/>
        <w:rPr>
          <w:rFonts w:ascii="Arial" w:hAnsi="Arial" w:cs="Arial"/>
          <w:sz w:val="24"/>
          <w:szCs w:val="24"/>
          <w:lang/>
        </w:rPr>
      </w:pPr>
    </w:p>
    <w:p w:rsidR="006774DB" w:rsidRPr="00226DBE" w:rsidRDefault="006774DB" w:rsidP="006774DB">
      <w:pPr>
        <w:spacing w:line="360" w:lineRule="auto"/>
        <w:ind w:firstLine="454"/>
        <w:jc w:val="both"/>
        <w:rPr>
          <w:rFonts w:ascii="Arial" w:hAnsi="Arial" w:cs="Arial"/>
          <w:sz w:val="24"/>
          <w:szCs w:val="24"/>
          <w:lang/>
        </w:rPr>
      </w:pPr>
      <w:r w:rsidRPr="00226DBE">
        <w:rPr>
          <w:rFonts w:ascii="Arial" w:hAnsi="Arial" w:cs="Arial"/>
          <w:sz w:val="24"/>
          <w:szCs w:val="24"/>
          <w:lang/>
        </w:rPr>
        <w:t>En este caso se ha calculado el porcentaje anual que tiene el Gasto de Provisión sobre la cartera vencida estableciendo un porcentaje anual.</w:t>
      </w:r>
    </w:p>
    <w:p w:rsidR="006774DB" w:rsidRDefault="006774DB" w:rsidP="006774DB">
      <w:pPr>
        <w:spacing w:line="360" w:lineRule="auto"/>
        <w:ind w:firstLine="454"/>
        <w:jc w:val="both"/>
        <w:rPr>
          <w:rFonts w:ascii="Arial" w:hAnsi="Arial" w:cs="Arial"/>
          <w:sz w:val="24"/>
          <w:szCs w:val="24"/>
          <w:lang/>
        </w:rPr>
      </w:pPr>
    </w:p>
    <w:p w:rsidR="003231C2" w:rsidRPr="00226DBE" w:rsidRDefault="003231C2" w:rsidP="006774DB">
      <w:pPr>
        <w:spacing w:line="360" w:lineRule="auto"/>
        <w:ind w:firstLine="454"/>
        <w:jc w:val="both"/>
        <w:rPr>
          <w:rFonts w:ascii="Arial" w:hAnsi="Arial" w:cs="Arial"/>
          <w:sz w:val="24"/>
          <w:szCs w:val="24"/>
          <w:lang/>
        </w:rPr>
      </w:pPr>
    </w:p>
    <w:p w:rsidR="006774DB" w:rsidRPr="00226DBE" w:rsidRDefault="006774DB" w:rsidP="006774DB">
      <w:pPr>
        <w:widowControl w:val="0"/>
        <w:numPr>
          <w:ilvl w:val="0"/>
          <w:numId w:val="15"/>
        </w:numPr>
        <w:tabs>
          <w:tab w:val="left" w:pos="1262"/>
        </w:tabs>
        <w:suppressAutoHyphens/>
        <w:spacing w:after="0" w:line="360" w:lineRule="auto"/>
        <w:ind w:left="0" w:firstLine="454"/>
        <w:jc w:val="both"/>
        <w:rPr>
          <w:rFonts w:ascii="Arial" w:hAnsi="Arial" w:cs="Arial"/>
          <w:b/>
          <w:sz w:val="24"/>
          <w:szCs w:val="24"/>
          <w:lang/>
        </w:rPr>
      </w:pPr>
      <w:r w:rsidRPr="00226DBE">
        <w:rPr>
          <w:rFonts w:ascii="Arial" w:hAnsi="Arial" w:cs="Arial"/>
          <w:b/>
          <w:sz w:val="24"/>
          <w:szCs w:val="24"/>
          <w:lang/>
        </w:rPr>
        <w:lastRenderedPageBreak/>
        <w:t>GASTOS DE OPERACION</w:t>
      </w:r>
    </w:p>
    <w:p w:rsidR="006774DB" w:rsidRPr="00226DBE" w:rsidRDefault="006774DB" w:rsidP="006774DB">
      <w:pPr>
        <w:spacing w:line="360" w:lineRule="auto"/>
        <w:ind w:firstLine="454"/>
        <w:jc w:val="both"/>
        <w:rPr>
          <w:rFonts w:ascii="Arial" w:hAnsi="Arial" w:cs="Arial"/>
          <w:sz w:val="24"/>
          <w:szCs w:val="24"/>
          <w:lang w:val="en-US"/>
        </w:rPr>
      </w:pPr>
    </w:p>
    <w:p w:rsidR="006774DB" w:rsidRPr="00226DBE" w:rsidRDefault="006774DB" w:rsidP="006774DB">
      <w:pPr>
        <w:spacing w:line="360" w:lineRule="auto"/>
        <w:ind w:firstLine="709"/>
        <w:jc w:val="both"/>
        <w:rPr>
          <w:rFonts w:ascii="Arial" w:hAnsi="Arial" w:cs="Arial"/>
          <w:sz w:val="24"/>
          <w:szCs w:val="24"/>
          <w:lang w:val="en-US"/>
        </w:rPr>
      </w:pPr>
      <w:r w:rsidRPr="00226DBE">
        <w:rPr>
          <w:rFonts w:ascii="Arial" w:hAnsi="Arial" w:cs="Arial"/>
          <w:sz w:val="24"/>
          <w:szCs w:val="24"/>
          <w:lang w:val="en-US"/>
        </w:rPr>
        <w:t>GTO</w:t>
      </w:r>
      <w:r w:rsidRPr="00226DBE">
        <w:rPr>
          <w:rFonts w:ascii="Arial" w:hAnsi="Arial" w:cs="Arial"/>
          <w:sz w:val="24"/>
          <w:szCs w:val="24"/>
          <w:vertAlign w:val="subscript"/>
          <w:lang w:val="en-US"/>
        </w:rPr>
        <w:t>T+1</w:t>
      </w:r>
      <w:r w:rsidRPr="00226DBE">
        <w:rPr>
          <w:rFonts w:ascii="Arial" w:hAnsi="Arial" w:cs="Arial"/>
          <w:sz w:val="24"/>
          <w:szCs w:val="24"/>
          <w:lang w:val="en-US"/>
        </w:rPr>
        <w:t xml:space="preserve"> = Ratio (GTO</w:t>
      </w:r>
      <w:r w:rsidRPr="00226DBE">
        <w:rPr>
          <w:rFonts w:ascii="Arial" w:hAnsi="Arial" w:cs="Arial"/>
          <w:sz w:val="24"/>
          <w:szCs w:val="24"/>
          <w:vertAlign w:val="subscript"/>
          <w:lang w:val="en-US"/>
        </w:rPr>
        <w:t>t,</w:t>
      </w:r>
      <w:r w:rsidRPr="00226DBE">
        <w:rPr>
          <w:rFonts w:ascii="Arial" w:hAnsi="Arial" w:cs="Arial"/>
          <w:sz w:val="24"/>
          <w:szCs w:val="24"/>
          <w:lang w:val="en-US"/>
        </w:rPr>
        <w:t xml:space="preserve"> CN</w:t>
      </w:r>
      <w:r w:rsidRPr="00226DBE">
        <w:rPr>
          <w:rFonts w:ascii="Arial" w:hAnsi="Arial" w:cs="Arial"/>
          <w:sz w:val="24"/>
          <w:szCs w:val="24"/>
          <w:vertAlign w:val="subscript"/>
          <w:lang w:val="en-US"/>
        </w:rPr>
        <w:t>t</w:t>
      </w:r>
      <w:r w:rsidRPr="00226DBE">
        <w:rPr>
          <w:rFonts w:ascii="Arial" w:hAnsi="Arial" w:cs="Arial"/>
          <w:sz w:val="24"/>
          <w:szCs w:val="24"/>
          <w:lang w:val="en-US"/>
        </w:rPr>
        <w:t>, MNI</w:t>
      </w:r>
      <w:r w:rsidRPr="00226DBE">
        <w:rPr>
          <w:rFonts w:ascii="Arial" w:hAnsi="Arial" w:cs="Arial"/>
          <w:sz w:val="24"/>
          <w:szCs w:val="24"/>
          <w:vertAlign w:val="subscript"/>
          <w:lang w:val="en-US"/>
        </w:rPr>
        <w:t>t</w:t>
      </w:r>
      <w:r w:rsidRPr="00226DBE">
        <w:rPr>
          <w:rFonts w:ascii="Arial" w:hAnsi="Arial" w:cs="Arial"/>
          <w:sz w:val="24"/>
          <w:szCs w:val="24"/>
          <w:lang w:val="en-US"/>
        </w:rPr>
        <w:t>)* (CN</w:t>
      </w:r>
      <w:r w:rsidRPr="00226DBE">
        <w:rPr>
          <w:rFonts w:ascii="Arial" w:hAnsi="Arial" w:cs="Arial"/>
          <w:sz w:val="24"/>
          <w:szCs w:val="24"/>
          <w:vertAlign w:val="subscript"/>
          <w:lang w:val="en-US"/>
        </w:rPr>
        <w:t>T+1</w:t>
      </w:r>
      <w:r w:rsidRPr="00226DBE">
        <w:rPr>
          <w:rFonts w:ascii="Arial" w:hAnsi="Arial" w:cs="Arial"/>
          <w:sz w:val="24"/>
          <w:szCs w:val="24"/>
          <w:lang w:val="en-US"/>
        </w:rPr>
        <w:t xml:space="preserve"> + MNI</w:t>
      </w:r>
      <w:r w:rsidRPr="00226DBE">
        <w:rPr>
          <w:rFonts w:ascii="Arial" w:hAnsi="Arial" w:cs="Arial"/>
          <w:sz w:val="24"/>
          <w:szCs w:val="24"/>
          <w:vertAlign w:val="subscript"/>
          <w:lang w:val="en-US"/>
        </w:rPr>
        <w:t>T+1</w:t>
      </w:r>
      <w:r w:rsidRPr="00226DBE">
        <w:rPr>
          <w:rFonts w:ascii="Arial" w:hAnsi="Arial" w:cs="Arial"/>
          <w:sz w:val="24"/>
          <w:szCs w:val="24"/>
          <w:lang w:val="en-US"/>
        </w:rPr>
        <w:t>)</w:t>
      </w:r>
    </w:p>
    <w:p w:rsidR="006774DB" w:rsidRPr="00226DBE" w:rsidRDefault="006774DB" w:rsidP="006774DB">
      <w:pPr>
        <w:spacing w:line="360" w:lineRule="auto"/>
        <w:ind w:firstLine="454"/>
        <w:jc w:val="both"/>
        <w:rPr>
          <w:rFonts w:ascii="Arial" w:hAnsi="Arial" w:cs="Arial"/>
          <w:i/>
          <w:sz w:val="24"/>
          <w:szCs w:val="24"/>
          <w:lang/>
        </w:rPr>
      </w:pPr>
      <w:r w:rsidRPr="00226DBE">
        <w:rPr>
          <w:rFonts w:ascii="Arial" w:hAnsi="Arial" w:cs="Arial"/>
          <w:i/>
          <w:sz w:val="24"/>
          <w:szCs w:val="24"/>
          <w:lang/>
        </w:rPr>
        <w:t>Donde:</w:t>
      </w:r>
    </w:p>
    <w:p w:rsidR="006774DB" w:rsidRPr="00226DBE" w:rsidRDefault="006774DB" w:rsidP="006774DB">
      <w:pPr>
        <w:spacing w:line="360" w:lineRule="auto"/>
        <w:ind w:firstLine="709"/>
        <w:jc w:val="both"/>
        <w:rPr>
          <w:rFonts w:ascii="Arial" w:hAnsi="Arial" w:cs="Arial"/>
          <w:sz w:val="24"/>
          <w:szCs w:val="24"/>
          <w:lang/>
        </w:rPr>
      </w:pPr>
      <w:r w:rsidRPr="00226DBE">
        <w:rPr>
          <w:rFonts w:ascii="Arial" w:hAnsi="Arial" w:cs="Arial"/>
          <w:sz w:val="24"/>
          <w:szCs w:val="24"/>
          <w:lang/>
        </w:rPr>
        <w:t xml:space="preserve">GTO: Gastos de Operación </w:t>
      </w:r>
    </w:p>
    <w:p w:rsidR="006774DB" w:rsidRPr="00226DBE" w:rsidRDefault="006774DB" w:rsidP="006774DB">
      <w:pPr>
        <w:spacing w:line="360" w:lineRule="auto"/>
        <w:ind w:firstLine="709"/>
        <w:jc w:val="both"/>
        <w:rPr>
          <w:rFonts w:ascii="Arial" w:hAnsi="Arial" w:cs="Arial"/>
          <w:sz w:val="24"/>
          <w:szCs w:val="24"/>
          <w:lang/>
        </w:rPr>
      </w:pPr>
      <w:r w:rsidRPr="00226DBE">
        <w:rPr>
          <w:rFonts w:ascii="Arial" w:hAnsi="Arial" w:cs="Arial"/>
          <w:sz w:val="24"/>
          <w:szCs w:val="24"/>
          <w:lang/>
        </w:rPr>
        <w:t>CN: Comisiones Netas</w:t>
      </w:r>
    </w:p>
    <w:p w:rsidR="006774DB" w:rsidRPr="00226DBE" w:rsidRDefault="006774DB" w:rsidP="006774DB">
      <w:pPr>
        <w:spacing w:line="360" w:lineRule="auto"/>
        <w:ind w:firstLine="709"/>
        <w:jc w:val="both"/>
        <w:rPr>
          <w:rFonts w:ascii="Arial" w:hAnsi="Arial" w:cs="Arial"/>
          <w:sz w:val="24"/>
          <w:szCs w:val="24"/>
          <w:lang/>
        </w:rPr>
      </w:pPr>
      <w:r w:rsidRPr="00226DBE">
        <w:rPr>
          <w:rFonts w:ascii="Arial" w:hAnsi="Arial" w:cs="Arial"/>
          <w:sz w:val="24"/>
          <w:szCs w:val="24"/>
          <w:lang/>
        </w:rPr>
        <w:t>MNI: Margen Neto de Interés</w:t>
      </w:r>
    </w:p>
    <w:p w:rsidR="006774DB" w:rsidRPr="00226DBE" w:rsidRDefault="006774DB" w:rsidP="006774DB">
      <w:pPr>
        <w:spacing w:line="360" w:lineRule="auto"/>
        <w:ind w:firstLine="454"/>
        <w:jc w:val="both"/>
        <w:rPr>
          <w:rFonts w:ascii="Arial" w:hAnsi="Arial" w:cs="Arial"/>
          <w:sz w:val="24"/>
          <w:szCs w:val="24"/>
          <w:lang/>
        </w:rPr>
      </w:pPr>
    </w:p>
    <w:p w:rsidR="006774DB" w:rsidRPr="00226DBE" w:rsidRDefault="006774DB" w:rsidP="006774DB">
      <w:pPr>
        <w:spacing w:line="360" w:lineRule="auto"/>
        <w:ind w:firstLine="454"/>
        <w:jc w:val="both"/>
        <w:rPr>
          <w:rFonts w:ascii="Arial" w:hAnsi="Arial" w:cs="Arial"/>
          <w:sz w:val="24"/>
          <w:szCs w:val="24"/>
          <w:lang/>
        </w:rPr>
      </w:pPr>
      <w:r w:rsidRPr="00226DBE">
        <w:rPr>
          <w:rFonts w:ascii="Arial" w:hAnsi="Arial" w:cs="Arial"/>
          <w:sz w:val="24"/>
          <w:szCs w:val="24"/>
          <w:lang/>
        </w:rPr>
        <w:t>Este ratio indica la relación histórica entre los Gastos que incurre la empresa por sus actividades de acuerdo al Margen Neto de interés y las Comisiones Netas que la entidad obtiene.</w:t>
      </w:r>
    </w:p>
    <w:p w:rsidR="006774DB" w:rsidRPr="00226DBE" w:rsidRDefault="006774DB" w:rsidP="006774DB">
      <w:pPr>
        <w:spacing w:line="360" w:lineRule="auto"/>
        <w:ind w:firstLine="454"/>
        <w:jc w:val="both"/>
        <w:rPr>
          <w:rFonts w:ascii="Arial" w:hAnsi="Arial" w:cs="Arial"/>
          <w:sz w:val="24"/>
          <w:szCs w:val="24"/>
          <w:lang/>
        </w:rPr>
      </w:pPr>
    </w:p>
    <w:p w:rsidR="006774DB" w:rsidRPr="00226DBE" w:rsidRDefault="006774DB" w:rsidP="006774DB">
      <w:pPr>
        <w:widowControl w:val="0"/>
        <w:numPr>
          <w:ilvl w:val="0"/>
          <w:numId w:val="15"/>
        </w:numPr>
        <w:tabs>
          <w:tab w:val="left" w:pos="1262"/>
        </w:tabs>
        <w:suppressAutoHyphens/>
        <w:spacing w:after="0" w:line="360" w:lineRule="auto"/>
        <w:ind w:left="0" w:firstLine="454"/>
        <w:jc w:val="both"/>
        <w:rPr>
          <w:rFonts w:ascii="Arial" w:hAnsi="Arial" w:cs="Arial"/>
          <w:b/>
          <w:sz w:val="24"/>
          <w:szCs w:val="24"/>
          <w:lang/>
        </w:rPr>
      </w:pPr>
      <w:r w:rsidRPr="00226DBE">
        <w:rPr>
          <w:rFonts w:ascii="Arial" w:hAnsi="Arial" w:cs="Arial"/>
          <w:b/>
          <w:sz w:val="24"/>
          <w:szCs w:val="24"/>
          <w:lang/>
        </w:rPr>
        <w:t>OTROS INGRESOS NETOS</w:t>
      </w:r>
    </w:p>
    <w:p w:rsidR="006774DB" w:rsidRPr="00226DBE" w:rsidRDefault="006774DB" w:rsidP="006774DB">
      <w:pPr>
        <w:spacing w:line="360" w:lineRule="auto"/>
        <w:ind w:firstLine="709"/>
        <w:jc w:val="both"/>
        <w:rPr>
          <w:rFonts w:ascii="Arial" w:hAnsi="Arial" w:cs="Arial"/>
          <w:sz w:val="24"/>
          <w:szCs w:val="24"/>
          <w:lang w:val="en-US"/>
        </w:rPr>
      </w:pPr>
    </w:p>
    <w:p w:rsidR="006774DB" w:rsidRPr="00226DBE" w:rsidRDefault="006774DB" w:rsidP="006774DB">
      <w:pPr>
        <w:spacing w:line="360" w:lineRule="auto"/>
        <w:ind w:firstLine="709"/>
        <w:jc w:val="both"/>
        <w:rPr>
          <w:rFonts w:ascii="Arial" w:hAnsi="Arial" w:cs="Arial"/>
          <w:sz w:val="24"/>
          <w:szCs w:val="24"/>
          <w:lang w:val="en-US"/>
        </w:rPr>
      </w:pPr>
      <w:r w:rsidRPr="00226DBE">
        <w:rPr>
          <w:rFonts w:ascii="Arial" w:hAnsi="Arial" w:cs="Arial"/>
          <w:sz w:val="24"/>
          <w:szCs w:val="24"/>
          <w:lang w:val="en-US"/>
        </w:rPr>
        <w:t>OIGN</w:t>
      </w:r>
      <w:r w:rsidRPr="00226DBE">
        <w:rPr>
          <w:rFonts w:ascii="Arial" w:hAnsi="Arial" w:cs="Arial"/>
          <w:sz w:val="24"/>
          <w:szCs w:val="24"/>
          <w:vertAlign w:val="subscript"/>
          <w:lang w:val="en-US"/>
        </w:rPr>
        <w:t>T+1</w:t>
      </w:r>
      <w:r w:rsidRPr="00226DBE">
        <w:rPr>
          <w:rFonts w:ascii="Arial" w:hAnsi="Arial" w:cs="Arial"/>
          <w:sz w:val="24"/>
          <w:szCs w:val="24"/>
          <w:lang w:val="en-US"/>
        </w:rPr>
        <w:t xml:space="preserve"> = Ratio (OIGN</w:t>
      </w:r>
      <w:r w:rsidRPr="00226DBE">
        <w:rPr>
          <w:rFonts w:ascii="Arial" w:hAnsi="Arial" w:cs="Arial"/>
          <w:sz w:val="24"/>
          <w:szCs w:val="24"/>
          <w:vertAlign w:val="subscript"/>
          <w:lang w:val="en-US"/>
        </w:rPr>
        <w:t>t,</w:t>
      </w:r>
      <w:r w:rsidRPr="00226DBE">
        <w:rPr>
          <w:rFonts w:ascii="Arial" w:hAnsi="Arial" w:cs="Arial"/>
          <w:sz w:val="24"/>
          <w:szCs w:val="24"/>
          <w:lang w:val="en-US"/>
        </w:rPr>
        <w:t xml:space="preserve"> CB</w:t>
      </w:r>
      <w:r w:rsidRPr="00226DBE">
        <w:rPr>
          <w:rFonts w:ascii="Arial" w:hAnsi="Arial" w:cs="Arial"/>
          <w:sz w:val="24"/>
          <w:szCs w:val="24"/>
          <w:vertAlign w:val="subscript"/>
          <w:lang w:val="en-US"/>
        </w:rPr>
        <w:t>t</w:t>
      </w:r>
      <w:r w:rsidRPr="00226DBE">
        <w:rPr>
          <w:rFonts w:ascii="Arial" w:hAnsi="Arial" w:cs="Arial"/>
          <w:sz w:val="24"/>
          <w:szCs w:val="24"/>
          <w:lang w:val="en-US"/>
        </w:rPr>
        <w:t>)* (CB</w:t>
      </w:r>
      <w:r w:rsidRPr="00226DBE">
        <w:rPr>
          <w:rFonts w:ascii="Arial" w:hAnsi="Arial" w:cs="Arial"/>
          <w:sz w:val="24"/>
          <w:szCs w:val="24"/>
          <w:vertAlign w:val="subscript"/>
          <w:lang w:val="en-US"/>
        </w:rPr>
        <w:t>T+1</w:t>
      </w:r>
      <w:r w:rsidRPr="00226DBE">
        <w:rPr>
          <w:rFonts w:ascii="Arial" w:hAnsi="Arial" w:cs="Arial"/>
          <w:sz w:val="24"/>
          <w:szCs w:val="24"/>
          <w:lang w:val="en-US"/>
        </w:rPr>
        <w:t>)</w:t>
      </w:r>
    </w:p>
    <w:p w:rsidR="006774DB" w:rsidRPr="00226DBE" w:rsidRDefault="006774DB" w:rsidP="006774DB">
      <w:pPr>
        <w:spacing w:line="360" w:lineRule="auto"/>
        <w:ind w:firstLine="454"/>
        <w:jc w:val="both"/>
        <w:rPr>
          <w:rFonts w:ascii="Arial" w:hAnsi="Arial" w:cs="Arial"/>
          <w:i/>
          <w:sz w:val="24"/>
          <w:szCs w:val="24"/>
          <w:lang/>
        </w:rPr>
      </w:pPr>
      <w:r w:rsidRPr="00226DBE">
        <w:rPr>
          <w:rFonts w:ascii="Arial" w:hAnsi="Arial" w:cs="Arial"/>
          <w:i/>
          <w:sz w:val="24"/>
          <w:szCs w:val="24"/>
          <w:lang/>
        </w:rPr>
        <w:t>Donde:</w:t>
      </w:r>
    </w:p>
    <w:p w:rsidR="006774DB" w:rsidRPr="00226DBE" w:rsidRDefault="006774DB" w:rsidP="006774DB">
      <w:pPr>
        <w:spacing w:line="360" w:lineRule="auto"/>
        <w:ind w:firstLine="709"/>
        <w:jc w:val="both"/>
        <w:rPr>
          <w:rFonts w:ascii="Arial" w:hAnsi="Arial" w:cs="Arial"/>
          <w:sz w:val="24"/>
          <w:szCs w:val="24"/>
          <w:lang/>
        </w:rPr>
      </w:pPr>
      <w:r w:rsidRPr="00226DBE">
        <w:rPr>
          <w:rFonts w:ascii="Arial" w:hAnsi="Arial" w:cs="Arial"/>
          <w:sz w:val="24"/>
          <w:szCs w:val="24"/>
          <w:lang/>
        </w:rPr>
        <w:t xml:space="preserve">OIGN: Otros Ingresos Netos </w:t>
      </w:r>
    </w:p>
    <w:p w:rsidR="006774DB" w:rsidRPr="00226DBE" w:rsidRDefault="006774DB" w:rsidP="006774DB">
      <w:pPr>
        <w:spacing w:line="360" w:lineRule="auto"/>
        <w:ind w:firstLine="709"/>
        <w:jc w:val="both"/>
        <w:rPr>
          <w:rFonts w:ascii="Arial" w:hAnsi="Arial" w:cs="Arial"/>
          <w:sz w:val="24"/>
          <w:szCs w:val="24"/>
          <w:lang/>
        </w:rPr>
      </w:pPr>
      <w:r w:rsidRPr="00226DBE">
        <w:rPr>
          <w:rFonts w:ascii="Arial" w:hAnsi="Arial" w:cs="Arial"/>
          <w:sz w:val="24"/>
          <w:szCs w:val="24"/>
          <w:lang/>
        </w:rPr>
        <w:t>CB: Colocaciones Brutos</w:t>
      </w:r>
    </w:p>
    <w:p w:rsidR="006774DB" w:rsidRPr="00226DBE" w:rsidRDefault="006774DB" w:rsidP="006774DB">
      <w:pPr>
        <w:spacing w:line="360" w:lineRule="auto"/>
        <w:ind w:firstLine="454"/>
        <w:jc w:val="both"/>
        <w:rPr>
          <w:rFonts w:ascii="Arial" w:hAnsi="Arial" w:cs="Arial"/>
          <w:sz w:val="24"/>
          <w:szCs w:val="24"/>
          <w:lang/>
        </w:rPr>
      </w:pPr>
    </w:p>
    <w:p w:rsidR="006774DB" w:rsidRPr="00226DBE" w:rsidRDefault="006774DB" w:rsidP="006774DB">
      <w:pPr>
        <w:spacing w:line="360" w:lineRule="auto"/>
        <w:ind w:firstLine="454"/>
        <w:jc w:val="both"/>
        <w:rPr>
          <w:rFonts w:ascii="Arial" w:hAnsi="Arial" w:cs="Arial"/>
          <w:sz w:val="24"/>
          <w:szCs w:val="24"/>
          <w:lang/>
        </w:rPr>
      </w:pPr>
      <w:r w:rsidRPr="00226DBE">
        <w:rPr>
          <w:rFonts w:ascii="Arial" w:hAnsi="Arial" w:cs="Arial"/>
          <w:sz w:val="24"/>
          <w:szCs w:val="24"/>
          <w:lang/>
        </w:rPr>
        <w:t xml:space="preserve">Este ratio nos indica el porcentaje de Otros Ingresos Netos anuales en relación de las colocaciones que </w:t>
      </w:r>
      <w:smartTag w:uri="urn:schemas-microsoft-com:office:smarttags" w:element="PersonName">
        <w:smartTagPr>
          <w:attr w:name="ProductID" w:val="la Institución Financiera"/>
        </w:smartTagPr>
        <w:r w:rsidRPr="00226DBE">
          <w:rPr>
            <w:rFonts w:ascii="Arial" w:hAnsi="Arial" w:cs="Arial"/>
            <w:sz w:val="24"/>
            <w:szCs w:val="24"/>
            <w:lang/>
          </w:rPr>
          <w:t>la Institución Financiera</w:t>
        </w:r>
      </w:smartTag>
      <w:r w:rsidRPr="00226DBE">
        <w:rPr>
          <w:rFonts w:ascii="Arial" w:hAnsi="Arial" w:cs="Arial"/>
          <w:sz w:val="24"/>
          <w:szCs w:val="24"/>
          <w:lang/>
        </w:rPr>
        <w:t xml:space="preserve"> realiza.</w:t>
      </w:r>
    </w:p>
    <w:p w:rsidR="006774DB" w:rsidRDefault="006774DB" w:rsidP="006774DB">
      <w:pPr>
        <w:spacing w:line="360" w:lineRule="auto"/>
        <w:ind w:firstLine="454"/>
        <w:jc w:val="both"/>
        <w:rPr>
          <w:rFonts w:ascii="Arial" w:hAnsi="Arial" w:cs="Arial"/>
          <w:sz w:val="28"/>
          <w:szCs w:val="28"/>
          <w:lang/>
        </w:rPr>
      </w:pPr>
    </w:p>
    <w:p w:rsidR="006774DB" w:rsidRDefault="006774DB" w:rsidP="006774DB">
      <w:pPr>
        <w:spacing w:line="360" w:lineRule="auto"/>
        <w:jc w:val="both"/>
        <w:rPr>
          <w:rFonts w:ascii="Arial" w:hAnsi="Arial" w:cs="Arial"/>
          <w:b/>
          <w:sz w:val="28"/>
          <w:szCs w:val="28"/>
          <w:lang/>
        </w:rPr>
      </w:pPr>
      <w:r>
        <w:rPr>
          <w:rFonts w:ascii="Arial" w:hAnsi="Arial" w:cs="Arial"/>
          <w:b/>
          <w:sz w:val="28"/>
          <w:szCs w:val="28"/>
          <w:lang/>
        </w:rPr>
        <w:lastRenderedPageBreak/>
        <w:t>2.2      DESCRIPCIÓN DEL MÉTODO DE VALORACIÓN</w:t>
      </w:r>
    </w:p>
    <w:p w:rsidR="006774DB" w:rsidRDefault="006774DB" w:rsidP="006774DB">
      <w:pPr>
        <w:spacing w:line="360" w:lineRule="auto"/>
        <w:jc w:val="both"/>
        <w:rPr>
          <w:rFonts w:ascii="Arial" w:hAnsi="Arial" w:cs="Arial"/>
          <w:b/>
          <w:sz w:val="28"/>
          <w:szCs w:val="28"/>
          <w:lang/>
        </w:rPr>
      </w:pPr>
      <w:r>
        <w:rPr>
          <w:rFonts w:ascii="Arial" w:hAnsi="Arial" w:cs="Arial"/>
          <w:b/>
          <w:sz w:val="28"/>
          <w:szCs w:val="28"/>
          <w:lang/>
        </w:rPr>
        <w:t>2.2.1</w:t>
      </w:r>
      <w:r>
        <w:rPr>
          <w:rFonts w:ascii="Arial" w:hAnsi="Arial" w:cs="Arial"/>
          <w:b/>
          <w:sz w:val="28"/>
          <w:szCs w:val="28"/>
          <w:lang/>
        </w:rPr>
        <w:tab/>
        <w:t xml:space="preserve">DESCRIPCIÓN DE LOS MÉTODOS DE VALORACIÓN </w:t>
      </w:r>
    </w:p>
    <w:p w:rsidR="006774DB" w:rsidRDefault="006774DB" w:rsidP="006774DB">
      <w:pPr>
        <w:spacing w:line="360" w:lineRule="auto"/>
        <w:ind w:firstLine="454"/>
        <w:jc w:val="both"/>
        <w:rPr>
          <w:rFonts w:ascii="Arial" w:hAnsi="Arial" w:cs="Arial"/>
          <w:b/>
          <w:u w:val="single"/>
          <w:lang/>
        </w:rPr>
      </w:pPr>
    </w:p>
    <w:p w:rsidR="006774DB" w:rsidRPr="00226DBE" w:rsidRDefault="006774DB" w:rsidP="006774DB">
      <w:pPr>
        <w:spacing w:line="360" w:lineRule="auto"/>
        <w:ind w:firstLine="454"/>
        <w:jc w:val="both"/>
        <w:rPr>
          <w:rFonts w:ascii="Arial" w:hAnsi="Arial" w:cs="Arial"/>
          <w:b/>
          <w:sz w:val="28"/>
          <w:szCs w:val="28"/>
          <w:u w:val="single"/>
          <w:lang/>
        </w:rPr>
      </w:pPr>
      <w:r w:rsidRPr="00226DBE">
        <w:rPr>
          <w:rFonts w:ascii="Arial" w:hAnsi="Arial" w:cs="Arial"/>
          <w:b/>
          <w:sz w:val="28"/>
          <w:szCs w:val="28"/>
          <w:u w:val="single"/>
          <w:lang/>
        </w:rPr>
        <w:t>MODELO DE DIVIDENDOS DESCONTADOS</w:t>
      </w:r>
    </w:p>
    <w:p w:rsidR="006774DB" w:rsidRDefault="006774DB" w:rsidP="006774DB">
      <w:pPr>
        <w:spacing w:line="360" w:lineRule="auto"/>
        <w:ind w:firstLine="454"/>
        <w:jc w:val="both"/>
        <w:rPr>
          <w:rFonts w:ascii="Arial" w:hAnsi="Arial" w:cs="Arial"/>
          <w:b/>
          <w:u w:val="single"/>
          <w:lang/>
        </w:rPr>
      </w:pPr>
    </w:p>
    <w:p w:rsidR="006774DB" w:rsidRPr="00360630" w:rsidRDefault="006774DB" w:rsidP="006774DB">
      <w:pPr>
        <w:spacing w:line="360" w:lineRule="auto"/>
        <w:ind w:firstLine="454"/>
        <w:jc w:val="both"/>
        <w:rPr>
          <w:rFonts w:ascii="Arial" w:hAnsi="Arial" w:cs="Arial"/>
          <w:sz w:val="24"/>
          <w:szCs w:val="24"/>
          <w:lang/>
        </w:rPr>
      </w:pPr>
      <w:r w:rsidRPr="00226DBE">
        <w:rPr>
          <w:rFonts w:ascii="Arial" w:hAnsi="Arial" w:cs="Arial"/>
          <w:sz w:val="24"/>
          <w:szCs w:val="24"/>
          <w:lang/>
        </w:rPr>
        <w:t xml:space="preserve">Este modelo valora el patrimonio de la empresa trayendo a valor presente el flujo de efectivo disponible para accionistas descontado a una tasa de costo patrimonial. Utilizando el argumento que el único dinero que reciben los accionistas son los dividendos que paga la compañía, se pude valorar el patrimonio como el valor presente de los dividendos esperados lo cal da como resultado el precio de una acción en el momento presente </w:t>
      </w:r>
      <w:r w:rsidRPr="00226DBE">
        <w:rPr>
          <w:rStyle w:val="Refdenotaalpie1"/>
          <w:rFonts w:ascii="Arial" w:hAnsi="Arial" w:cs="Arial"/>
          <w:sz w:val="24"/>
          <w:szCs w:val="24"/>
          <w:lang/>
        </w:rPr>
        <w:t>8</w:t>
      </w:r>
      <w:r w:rsidRPr="00226DBE">
        <w:rPr>
          <w:rFonts w:ascii="Arial" w:hAnsi="Arial" w:cs="Arial"/>
          <w:sz w:val="24"/>
          <w:szCs w:val="24"/>
          <w:lang/>
        </w:rPr>
        <w:t>.</w:t>
      </w:r>
    </w:p>
    <w:p w:rsidR="000A2AAD" w:rsidRDefault="003231C2" w:rsidP="003231C2">
      <w:pPr>
        <w:spacing w:line="360" w:lineRule="auto"/>
        <w:jc w:val="both"/>
        <w:rPr>
          <w:rFonts w:ascii="Arial" w:hAnsi="Arial" w:cs="Arial"/>
          <w:i/>
          <w:sz w:val="24"/>
          <w:szCs w:val="24"/>
          <w:lang w:val="es-MX"/>
        </w:rPr>
      </w:pPr>
      <w:r w:rsidRPr="00226DBE">
        <w:rPr>
          <w:sz w:val="28"/>
          <w:szCs w:val="28"/>
        </w:rPr>
        <w:pict>
          <v:shape id="_x0000_s1042" type="#_x0000_t75" style="position:absolute;left:0;text-align:left;margin-left:388.4pt;margin-top:414.25pt;width:87.5pt;height:32.15pt;z-index:251645440;mso-wrap-distance-left:5.7pt;mso-wrap-distance-right:5.7pt;mso-position-horizontal-relative:page;mso-position-vertical-relative:page" filled="t">
            <v:fill color2="black"/>
            <v:imagedata r:id="rId29" o:title=""/>
            <w10:wrap type="square" anchorx="margin" anchory="margin"/>
          </v:shape>
          <o:OLEObject Type="Embed" ProgID="opendocument.MathDocument.1" ShapeID="_x0000_s1042" DrawAspect="Content" ObjectID="_1319356829" r:id="rId30"/>
        </w:pict>
      </w:r>
    </w:p>
    <w:p w:rsidR="006774DB" w:rsidRPr="00226DBE" w:rsidRDefault="006774DB" w:rsidP="006774DB">
      <w:pPr>
        <w:spacing w:line="360" w:lineRule="auto"/>
        <w:ind w:firstLine="454"/>
        <w:jc w:val="both"/>
        <w:rPr>
          <w:rFonts w:ascii="Arial" w:hAnsi="Arial" w:cs="Arial"/>
          <w:i/>
          <w:sz w:val="24"/>
          <w:szCs w:val="24"/>
          <w:lang w:val="es-MX"/>
        </w:rPr>
      </w:pPr>
      <w:r w:rsidRPr="00226DBE">
        <w:rPr>
          <w:rFonts w:ascii="Arial" w:hAnsi="Arial" w:cs="Arial"/>
          <w:i/>
          <w:sz w:val="24"/>
          <w:szCs w:val="24"/>
          <w:lang w:val="es-MX"/>
        </w:rPr>
        <w:t>Donde:</w:t>
      </w:r>
    </w:p>
    <w:p w:rsidR="006774DB" w:rsidRPr="00226DBE" w:rsidRDefault="006774DB" w:rsidP="006774DB">
      <w:pPr>
        <w:spacing w:line="360" w:lineRule="auto"/>
        <w:ind w:firstLine="709"/>
        <w:jc w:val="both"/>
        <w:rPr>
          <w:rFonts w:ascii="Arial" w:hAnsi="Arial" w:cs="Arial"/>
          <w:sz w:val="24"/>
          <w:szCs w:val="24"/>
          <w:lang w:val="es-MX"/>
        </w:rPr>
      </w:pPr>
      <w:r w:rsidRPr="00226DBE">
        <w:rPr>
          <w:rFonts w:ascii="Arial" w:hAnsi="Arial" w:cs="Arial"/>
          <w:sz w:val="24"/>
          <w:szCs w:val="24"/>
          <w:lang w:val="es-MX"/>
        </w:rPr>
        <w:t>P</w:t>
      </w:r>
      <w:r w:rsidRPr="00226DBE">
        <w:rPr>
          <w:rFonts w:ascii="Arial" w:hAnsi="Arial" w:cs="Arial"/>
          <w:sz w:val="24"/>
          <w:szCs w:val="24"/>
          <w:vertAlign w:val="subscript"/>
          <w:lang w:val="es-MX"/>
        </w:rPr>
        <w:t>0</w:t>
      </w:r>
      <w:r w:rsidRPr="00226DBE">
        <w:rPr>
          <w:rFonts w:ascii="Arial" w:hAnsi="Arial" w:cs="Arial"/>
          <w:sz w:val="24"/>
          <w:szCs w:val="24"/>
          <w:lang w:val="es-MX"/>
        </w:rPr>
        <w:t>: Precio actual de la acción.</w:t>
      </w:r>
    </w:p>
    <w:p w:rsidR="00360630" w:rsidRPr="00360630" w:rsidRDefault="006774DB" w:rsidP="00360630">
      <w:pPr>
        <w:spacing w:line="360" w:lineRule="auto"/>
        <w:ind w:firstLine="709"/>
        <w:jc w:val="both"/>
        <w:rPr>
          <w:rFonts w:ascii="Arial" w:hAnsi="Arial" w:cs="Arial"/>
          <w:sz w:val="24"/>
          <w:szCs w:val="24"/>
          <w:lang w:val="es-MX"/>
        </w:rPr>
      </w:pPr>
      <w:r w:rsidRPr="00226DBE">
        <w:rPr>
          <w:rFonts w:ascii="Arial" w:hAnsi="Arial" w:cs="Arial"/>
          <w:sz w:val="24"/>
          <w:szCs w:val="24"/>
          <w:lang w:val="es-MX"/>
        </w:rPr>
        <w:t>D</w:t>
      </w:r>
      <w:r w:rsidRPr="00226DBE">
        <w:rPr>
          <w:rFonts w:ascii="Arial" w:hAnsi="Arial" w:cs="Arial"/>
          <w:sz w:val="24"/>
          <w:szCs w:val="24"/>
          <w:vertAlign w:val="subscript"/>
          <w:lang w:val="es-MX"/>
        </w:rPr>
        <w:t>t</w:t>
      </w:r>
      <w:r w:rsidRPr="00226DBE">
        <w:rPr>
          <w:rFonts w:ascii="Arial" w:hAnsi="Arial" w:cs="Arial"/>
          <w:sz w:val="24"/>
          <w:szCs w:val="24"/>
          <w:lang w:val="es-MX"/>
        </w:rPr>
        <w:t>: Dividendos esperados en el momento t</w:t>
      </w:r>
    </w:p>
    <w:p w:rsidR="006774DB" w:rsidRPr="003231C2" w:rsidRDefault="006774DB" w:rsidP="003231C2">
      <w:pPr>
        <w:spacing w:line="360" w:lineRule="auto"/>
        <w:ind w:left="709"/>
        <w:jc w:val="both"/>
        <w:rPr>
          <w:rFonts w:ascii="Arial" w:hAnsi="Arial" w:cs="Arial"/>
          <w:sz w:val="24"/>
          <w:szCs w:val="24"/>
          <w:lang w:val="es-MX"/>
        </w:rPr>
      </w:pPr>
      <w:r w:rsidRPr="00226DBE">
        <w:rPr>
          <w:rFonts w:ascii="Arial" w:hAnsi="Arial" w:cs="Arial"/>
          <w:sz w:val="24"/>
          <w:szCs w:val="24"/>
          <w:lang w:val="es-MX"/>
        </w:rPr>
        <w:t>r: Tasa de Descuento apropiada al riesgo de los dividendos   esperados.</w:t>
      </w:r>
    </w:p>
    <w:p w:rsidR="000A2AAD" w:rsidRPr="003231C2" w:rsidRDefault="006774DB" w:rsidP="003231C2">
      <w:pPr>
        <w:spacing w:line="360" w:lineRule="auto"/>
        <w:ind w:firstLine="454"/>
        <w:jc w:val="both"/>
        <w:rPr>
          <w:rFonts w:ascii="Arial" w:hAnsi="Arial" w:cs="Arial"/>
          <w:sz w:val="24"/>
          <w:szCs w:val="24"/>
          <w:lang w:val="es-MX"/>
        </w:rPr>
      </w:pPr>
      <w:r w:rsidRPr="00226DBE">
        <w:rPr>
          <w:rFonts w:ascii="Arial" w:hAnsi="Arial" w:cs="Arial"/>
          <w:sz w:val="24"/>
          <w:szCs w:val="24"/>
          <w:lang w:val="es-MX"/>
        </w:rPr>
        <w:t>Si se asume que los dividendos crecen a una tasa g constante se obtiene el siguiente resultado conocido como Modelo de Gordon.</w:t>
      </w:r>
    </w:p>
    <w:p w:rsidR="006774DB" w:rsidRDefault="006774DB" w:rsidP="000A2AAD">
      <w:pPr>
        <w:spacing w:line="360" w:lineRule="auto"/>
        <w:ind w:firstLine="454"/>
        <w:jc w:val="center"/>
        <w:rPr>
          <w:rFonts w:ascii="Arial" w:hAnsi="Arial" w:cs="Arial"/>
          <w:b/>
          <w:color w:val="FF0000"/>
          <w:sz w:val="24"/>
          <w:szCs w:val="24"/>
          <w:lang w:val="es-MX"/>
        </w:rPr>
      </w:pPr>
      <w:r w:rsidRPr="00226DBE">
        <w:rPr>
          <w:sz w:val="24"/>
          <w:szCs w:val="24"/>
        </w:rPr>
        <w:object w:dxaOrig="2362" w:dyaOrig="678">
          <v:shape id="_x0000_i1026" type="#_x0000_t75" style="width:117.75pt;height:33.75pt" o:ole="" filled="t">
            <v:fill color2="black"/>
            <v:imagedata r:id="rId31" o:title=""/>
          </v:shape>
          <o:OLEObject Type="Embed" ProgID="opendocument.MathDocument.1" ShapeID="_x0000_i1026" DrawAspect="Content" ObjectID="_1319356823" r:id="rId32"/>
        </w:object>
      </w:r>
    </w:p>
    <w:p w:rsidR="000A2AAD" w:rsidRDefault="003231C2" w:rsidP="000A2AAD">
      <w:pPr>
        <w:spacing w:line="360" w:lineRule="auto"/>
        <w:ind w:firstLine="454"/>
        <w:jc w:val="both"/>
        <w:rPr>
          <w:rFonts w:ascii="Arial" w:hAnsi="Arial" w:cs="Arial"/>
          <w:sz w:val="18"/>
          <w:szCs w:val="18"/>
          <w:lang w:val="es-ES"/>
        </w:rPr>
      </w:pPr>
      <w:r>
        <w:pict>
          <v:line id="_x0000_s1085" style="position:absolute;left:0;text-align:left;z-index:251672064" from="0,23.05pt" to="148.5pt,23.05pt" strokeweight=".26mm">
            <v:stroke joinstyle="miter"/>
          </v:line>
        </w:pict>
      </w:r>
    </w:p>
    <w:p w:rsidR="000A2AAD" w:rsidRPr="003231C2" w:rsidRDefault="000A2AAD" w:rsidP="003231C2">
      <w:pPr>
        <w:spacing w:line="360" w:lineRule="auto"/>
        <w:ind w:firstLine="454"/>
        <w:jc w:val="both"/>
        <w:rPr>
          <w:rFonts w:ascii="Arial" w:hAnsi="Arial" w:cs="Arial"/>
          <w:sz w:val="18"/>
          <w:szCs w:val="18"/>
          <w:lang w:val="en-US"/>
        </w:rPr>
      </w:pPr>
      <w:r>
        <w:rPr>
          <w:rStyle w:val="Refdenotaalpie1"/>
          <w:rFonts w:ascii="Arial" w:hAnsi="Arial" w:cs="Arial"/>
          <w:sz w:val="18"/>
          <w:szCs w:val="18"/>
          <w:lang w:val="en-GB"/>
        </w:rPr>
        <w:t xml:space="preserve">8 </w:t>
      </w:r>
      <w:r>
        <w:rPr>
          <w:rFonts w:ascii="Arial" w:hAnsi="Arial" w:cs="Arial"/>
          <w:sz w:val="18"/>
          <w:szCs w:val="18"/>
          <w:lang w:val="en-GB"/>
        </w:rPr>
        <w:t xml:space="preserve"> Investment valuation, Tools and Techniques for determining the value of any asset, Aswath Damodaran, Segunda Edicion, John Wiley &amp; Sons, 2002,cap 21.</w:t>
      </w:r>
    </w:p>
    <w:p w:rsidR="000A2AAD" w:rsidRPr="000A2AAD" w:rsidRDefault="000A2AAD" w:rsidP="006774DB">
      <w:pPr>
        <w:spacing w:line="360" w:lineRule="auto"/>
        <w:ind w:firstLine="454"/>
        <w:jc w:val="both"/>
        <w:rPr>
          <w:rFonts w:ascii="Arial" w:hAnsi="Arial" w:cs="Arial"/>
          <w:b/>
          <w:color w:val="FF0000"/>
          <w:sz w:val="24"/>
          <w:szCs w:val="24"/>
          <w:lang w:val="en-GB"/>
        </w:rPr>
      </w:pPr>
    </w:p>
    <w:p w:rsidR="006774DB" w:rsidRPr="00226DBE" w:rsidRDefault="006774DB" w:rsidP="00360630">
      <w:pPr>
        <w:spacing w:line="360" w:lineRule="auto"/>
        <w:ind w:firstLine="454"/>
        <w:jc w:val="both"/>
        <w:rPr>
          <w:rFonts w:ascii="Arial" w:hAnsi="Arial" w:cs="Arial"/>
          <w:sz w:val="24"/>
          <w:szCs w:val="24"/>
          <w:lang w:val="es-ES"/>
        </w:rPr>
      </w:pPr>
      <w:r w:rsidRPr="000A2AAD">
        <w:rPr>
          <w:rFonts w:ascii="Arial" w:hAnsi="Arial" w:cs="Arial"/>
          <w:b/>
          <w:color w:val="FF0000"/>
          <w:sz w:val="24"/>
          <w:szCs w:val="24"/>
          <w:lang w:val="en-GB"/>
        </w:rPr>
        <w:tab/>
      </w:r>
      <w:r w:rsidRPr="000A2AAD">
        <w:rPr>
          <w:rFonts w:ascii="Arial" w:hAnsi="Arial" w:cs="Arial"/>
          <w:b/>
          <w:color w:val="FF0000"/>
          <w:sz w:val="24"/>
          <w:szCs w:val="24"/>
          <w:lang w:val="en-GB"/>
        </w:rPr>
        <w:tab/>
      </w:r>
      <w:r w:rsidRPr="000A2AAD">
        <w:rPr>
          <w:rFonts w:ascii="Arial" w:hAnsi="Arial" w:cs="Arial"/>
          <w:b/>
          <w:color w:val="FF0000"/>
          <w:sz w:val="24"/>
          <w:szCs w:val="24"/>
          <w:lang w:val="en-GB"/>
        </w:rPr>
        <w:tab/>
      </w:r>
      <w:r w:rsidRPr="00226DBE">
        <w:rPr>
          <w:position w:val="-20"/>
          <w:sz w:val="24"/>
          <w:szCs w:val="24"/>
        </w:rPr>
        <w:object w:dxaOrig="2219" w:dyaOrig="651">
          <v:shape id="_x0000_i1027" type="#_x0000_t75" style="width:111pt;height:32.25pt" o:ole="" filled="t">
            <v:fill color2="black"/>
            <v:imagedata r:id="rId33" o:title=""/>
          </v:shape>
          <o:OLEObject Type="Embed" ProgID="opendocument.MathDocument.1" ShapeID="_x0000_i1027" DrawAspect="Content" ObjectID="_1319356824" r:id="rId34"/>
        </w:object>
      </w:r>
    </w:p>
    <w:p w:rsidR="006774DB" w:rsidRPr="00226DBE" w:rsidRDefault="006774DB" w:rsidP="006774DB">
      <w:pPr>
        <w:spacing w:line="360" w:lineRule="auto"/>
        <w:ind w:firstLine="454"/>
        <w:jc w:val="both"/>
        <w:rPr>
          <w:rFonts w:ascii="Arial" w:hAnsi="Arial" w:cs="Arial"/>
          <w:sz w:val="24"/>
          <w:szCs w:val="24"/>
          <w:lang w:val="es-ES"/>
        </w:rPr>
      </w:pPr>
      <w:r w:rsidRPr="00B45D1D">
        <w:rPr>
          <w:rFonts w:ascii="Arial" w:hAnsi="Arial" w:cs="Arial"/>
          <w:lang w:val="en-GB"/>
        </w:rPr>
        <w:tab/>
      </w:r>
      <w:r w:rsidRPr="00B45D1D">
        <w:rPr>
          <w:rFonts w:ascii="Arial" w:hAnsi="Arial" w:cs="Arial"/>
          <w:lang w:val="en-GB"/>
        </w:rPr>
        <w:tab/>
      </w:r>
      <w:r w:rsidR="00360630">
        <w:rPr>
          <w:rFonts w:ascii="Arial" w:hAnsi="Arial" w:cs="Arial"/>
          <w:lang w:val="en-GB"/>
        </w:rPr>
        <w:tab/>
      </w:r>
      <w:r w:rsidRPr="00226DBE">
        <w:rPr>
          <w:position w:val="-17"/>
          <w:sz w:val="24"/>
          <w:szCs w:val="24"/>
        </w:rPr>
        <w:object w:dxaOrig="1847" w:dyaOrig="583">
          <v:shape id="_x0000_i1028" type="#_x0000_t75" style="width:92.25pt;height:29.25pt" o:ole="" filled="t">
            <v:fill color2="black"/>
            <v:imagedata r:id="rId35" o:title=""/>
          </v:shape>
          <o:OLEObject Type="Embed" ProgID="opendocument.MathDocument.1" ShapeID="_x0000_i1028" DrawAspect="Content" ObjectID="_1319356825" r:id="rId36"/>
        </w:object>
      </w:r>
    </w:p>
    <w:p w:rsidR="006774DB" w:rsidRPr="00226DBE" w:rsidRDefault="006774DB" w:rsidP="006774DB">
      <w:pPr>
        <w:spacing w:line="360" w:lineRule="auto"/>
        <w:ind w:firstLine="454"/>
        <w:jc w:val="both"/>
        <w:rPr>
          <w:rFonts w:ascii="Arial" w:hAnsi="Arial" w:cs="Arial"/>
          <w:sz w:val="24"/>
          <w:szCs w:val="24"/>
          <w:lang w:val="es-ES"/>
        </w:rPr>
      </w:pPr>
      <w:r w:rsidRPr="00226DBE">
        <w:rPr>
          <w:rFonts w:ascii="Arial" w:hAnsi="Arial" w:cs="Arial"/>
          <w:sz w:val="24"/>
          <w:szCs w:val="24"/>
          <w:lang w:val="es-ES"/>
        </w:rPr>
        <w:tab/>
      </w:r>
      <w:r w:rsidRPr="00226DBE">
        <w:rPr>
          <w:rFonts w:ascii="Arial" w:hAnsi="Arial" w:cs="Arial"/>
          <w:sz w:val="24"/>
          <w:szCs w:val="24"/>
          <w:lang w:val="es-ES"/>
        </w:rPr>
        <w:tab/>
      </w:r>
      <w:r w:rsidRPr="00226DBE">
        <w:rPr>
          <w:rFonts w:ascii="Arial" w:hAnsi="Arial" w:cs="Arial"/>
          <w:sz w:val="24"/>
          <w:szCs w:val="24"/>
          <w:lang w:val="es-ES"/>
        </w:rPr>
        <w:tab/>
      </w:r>
      <w:r w:rsidRPr="00226DBE">
        <w:rPr>
          <w:position w:val="-18"/>
          <w:sz w:val="24"/>
          <w:szCs w:val="24"/>
        </w:rPr>
        <w:object w:dxaOrig="1250" w:dyaOrig="610">
          <v:shape id="_x0000_i1029" type="#_x0000_t75" style="width:62.25pt;height:30.75pt" o:ole="" filled="t">
            <v:fill color2="black"/>
            <v:imagedata r:id="rId37" o:title=""/>
          </v:shape>
          <o:OLEObject Type="Embed" ProgID="opendocument.MathDocument.1" ShapeID="_x0000_i1029" DrawAspect="Content" ObjectID="_1319356826" r:id="rId38"/>
        </w:object>
      </w:r>
    </w:p>
    <w:p w:rsidR="006774DB" w:rsidRPr="00226DBE" w:rsidRDefault="006774DB" w:rsidP="006774DB">
      <w:pPr>
        <w:spacing w:line="360" w:lineRule="auto"/>
        <w:ind w:firstLine="454"/>
        <w:jc w:val="both"/>
        <w:rPr>
          <w:rFonts w:ascii="Arial" w:hAnsi="Arial" w:cs="Arial"/>
          <w:sz w:val="24"/>
          <w:szCs w:val="24"/>
          <w:lang w:val="es-ES"/>
        </w:rPr>
      </w:pPr>
    </w:p>
    <w:p w:rsidR="006774DB" w:rsidRPr="00226DBE" w:rsidRDefault="006774DB" w:rsidP="006774DB">
      <w:pPr>
        <w:spacing w:line="360" w:lineRule="auto"/>
        <w:ind w:firstLine="454"/>
        <w:jc w:val="both"/>
        <w:rPr>
          <w:rStyle w:val="Refdenotaalpie1"/>
          <w:rFonts w:ascii="Arial" w:hAnsi="Arial" w:cs="Arial"/>
          <w:sz w:val="24"/>
          <w:szCs w:val="24"/>
          <w:lang/>
        </w:rPr>
      </w:pPr>
      <w:r w:rsidRPr="00226DBE">
        <w:rPr>
          <w:rFonts w:ascii="Arial" w:hAnsi="Arial" w:cs="Arial"/>
          <w:sz w:val="24"/>
          <w:szCs w:val="24"/>
          <w:lang w:val="es-ES"/>
        </w:rPr>
        <w:t xml:space="preserve">En un caso </w:t>
      </w:r>
      <w:r w:rsidR="00226DBE" w:rsidRPr="00226DBE">
        <w:rPr>
          <w:rFonts w:ascii="Arial" w:hAnsi="Arial" w:cs="Arial"/>
          <w:sz w:val="24"/>
          <w:szCs w:val="24"/>
          <w:lang w:val="es-ES"/>
        </w:rPr>
        <w:t>más</w:t>
      </w:r>
      <w:r w:rsidRPr="00226DBE">
        <w:rPr>
          <w:rFonts w:ascii="Arial" w:hAnsi="Arial" w:cs="Arial"/>
          <w:sz w:val="24"/>
          <w:szCs w:val="24"/>
          <w:lang w:val="es-ES"/>
        </w:rPr>
        <w:t xml:space="preserve"> general, donde los dividendos crecen a una tasa que no es sostenible o constante durante un período, se pude asumir que dicha tasa será constante desde algún punto futuro, hasta el infinito. Esto permite valorar una acción como la suma de dos componentes: el valor presente de una serie de dividendos estimados y un componente que recoge los períodos posteriores (hasta el infinito) estimados en base del Modelo de Gordon</w:t>
      </w:r>
      <w:r w:rsidRPr="00226DBE">
        <w:rPr>
          <w:rStyle w:val="Refdenotaalpie1"/>
          <w:rFonts w:ascii="Arial" w:hAnsi="Arial" w:cs="Arial"/>
          <w:sz w:val="24"/>
          <w:szCs w:val="24"/>
          <w:lang/>
        </w:rPr>
        <w:t>9.</w:t>
      </w:r>
    </w:p>
    <w:p w:rsidR="006774DB" w:rsidRDefault="006774DB" w:rsidP="006774DB">
      <w:pPr>
        <w:spacing w:line="360" w:lineRule="auto"/>
        <w:ind w:firstLine="454"/>
        <w:jc w:val="both"/>
        <w:rPr>
          <w:rFonts w:ascii="Arial" w:hAnsi="Arial" w:cs="Arial"/>
          <w:b/>
          <w:color w:val="FF0000"/>
          <w:lang w:val="es-ES"/>
        </w:rPr>
      </w:pPr>
    </w:p>
    <w:p w:rsidR="006774DB" w:rsidRDefault="006774DB" w:rsidP="006774DB">
      <w:pPr>
        <w:spacing w:line="360" w:lineRule="auto"/>
        <w:ind w:firstLine="454"/>
        <w:jc w:val="both"/>
        <w:rPr>
          <w:rFonts w:ascii="Arial" w:hAnsi="Arial" w:cs="Arial"/>
          <w:b/>
          <w:i/>
          <w:lang w:val="es-ES"/>
        </w:rPr>
      </w:pPr>
      <w:r>
        <w:rPr>
          <w:rFonts w:ascii="Arial" w:hAnsi="Arial" w:cs="Arial"/>
          <w:b/>
          <w:color w:val="FF0000"/>
          <w:lang w:val="es-ES"/>
        </w:rPr>
        <w:tab/>
      </w:r>
      <w:r>
        <w:rPr>
          <w:rFonts w:ascii="Arial" w:hAnsi="Arial" w:cs="Arial"/>
          <w:b/>
          <w:color w:val="FF0000"/>
          <w:lang w:val="es-ES"/>
        </w:rPr>
        <w:tab/>
      </w:r>
      <w:r>
        <w:rPr>
          <w:rFonts w:ascii="Arial" w:hAnsi="Arial" w:cs="Arial"/>
          <w:b/>
          <w:color w:val="FF0000"/>
          <w:lang w:val="es-ES"/>
        </w:rPr>
        <w:tab/>
      </w:r>
      <w:r>
        <w:rPr>
          <w:rFonts w:ascii="Arial" w:hAnsi="Arial" w:cs="Arial"/>
          <w:b/>
          <w:color w:val="FF0000"/>
          <w:lang w:val="es-ES"/>
        </w:rPr>
        <w:tab/>
      </w:r>
      <w:r>
        <w:rPr>
          <w:position w:val="-20"/>
        </w:rPr>
        <w:object w:dxaOrig="3814" w:dyaOrig="649">
          <v:shape id="_x0000_i1030" type="#_x0000_t75" style="width:190.5pt;height:32.25pt" o:ole="" filled="t">
            <v:fill color2="black"/>
            <v:imagedata r:id="rId39" o:title=""/>
          </v:shape>
          <o:OLEObject Type="Embed" ProgID="opendocument.MathDocument.1" ShapeID="_x0000_i1030" DrawAspect="Content" ObjectID="_1319356827" r:id="rId40"/>
        </w:object>
      </w:r>
    </w:p>
    <w:p w:rsidR="006774DB" w:rsidRDefault="006774DB" w:rsidP="006774DB">
      <w:pPr>
        <w:spacing w:line="360" w:lineRule="auto"/>
        <w:ind w:firstLine="454"/>
        <w:jc w:val="both"/>
        <w:rPr>
          <w:rFonts w:ascii="Arial" w:hAnsi="Arial" w:cs="Arial"/>
          <w:i/>
          <w:sz w:val="24"/>
          <w:szCs w:val="24"/>
          <w:lang w:val="es-ES"/>
        </w:rPr>
      </w:pPr>
      <w:r w:rsidRPr="00226DBE">
        <w:rPr>
          <w:rFonts w:ascii="Arial" w:hAnsi="Arial" w:cs="Arial"/>
          <w:i/>
          <w:sz w:val="24"/>
          <w:szCs w:val="24"/>
          <w:lang w:val="es-ES"/>
        </w:rPr>
        <w:t>Donde:</w:t>
      </w:r>
    </w:p>
    <w:p w:rsidR="00360630" w:rsidRPr="00226DBE" w:rsidRDefault="00360630" w:rsidP="00360630">
      <w:pPr>
        <w:spacing w:line="360" w:lineRule="auto"/>
        <w:ind w:firstLine="454"/>
        <w:jc w:val="both"/>
        <w:rPr>
          <w:rFonts w:ascii="Arial" w:hAnsi="Arial" w:cs="Arial"/>
          <w:i/>
          <w:sz w:val="24"/>
          <w:szCs w:val="24"/>
          <w:lang w:val="es-ES"/>
        </w:rPr>
      </w:pPr>
    </w:p>
    <w:p w:rsidR="006774DB" w:rsidRPr="00226DBE" w:rsidRDefault="006774DB" w:rsidP="006774DB">
      <w:pPr>
        <w:spacing w:line="360" w:lineRule="auto"/>
        <w:ind w:firstLine="709"/>
        <w:jc w:val="both"/>
        <w:rPr>
          <w:rFonts w:ascii="Arial" w:hAnsi="Arial" w:cs="Arial"/>
          <w:sz w:val="24"/>
          <w:szCs w:val="24"/>
          <w:lang/>
        </w:rPr>
      </w:pPr>
      <w:r w:rsidRPr="00226DBE">
        <w:rPr>
          <w:rFonts w:ascii="Arial" w:hAnsi="Arial" w:cs="Arial"/>
          <w:sz w:val="24"/>
          <w:szCs w:val="24"/>
          <w:lang/>
        </w:rPr>
        <w:t>D</w:t>
      </w:r>
      <w:r w:rsidRPr="00226DBE">
        <w:rPr>
          <w:rFonts w:ascii="Arial" w:hAnsi="Arial" w:cs="Arial"/>
          <w:sz w:val="24"/>
          <w:szCs w:val="24"/>
          <w:vertAlign w:val="subscript"/>
          <w:lang/>
        </w:rPr>
        <w:t>n+1</w:t>
      </w:r>
      <w:r w:rsidRPr="00226DBE">
        <w:rPr>
          <w:rFonts w:ascii="Arial" w:hAnsi="Arial" w:cs="Arial"/>
          <w:sz w:val="24"/>
          <w:szCs w:val="24"/>
          <w:lang/>
        </w:rPr>
        <w:t>: Primer Dividendo luego del último periodo estimado.</w:t>
      </w:r>
    </w:p>
    <w:p w:rsidR="006774DB" w:rsidRPr="00226DBE" w:rsidRDefault="006774DB" w:rsidP="006774DB">
      <w:pPr>
        <w:spacing w:line="360" w:lineRule="auto"/>
        <w:ind w:left="709"/>
        <w:jc w:val="both"/>
        <w:rPr>
          <w:rFonts w:ascii="Arial" w:hAnsi="Arial" w:cs="Arial"/>
          <w:sz w:val="24"/>
          <w:szCs w:val="24"/>
          <w:lang/>
        </w:rPr>
      </w:pPr>
      <w:r w:rsidRPr="00226DBE">
        <w:rPr>
          <w:position w:val="-18"/>
          <w:sz w:val="24"/>
          <w:szCs w:val="24"/>
        </w:rPr>
        <w:object w:dxaOrig="1015" w:dyaOrig="619">
          <v:shape id="_x0000_i1031" type="#_x0000_t75" style="width:51pt;height:30.75pt" o:ole="" filled="t">
            <v:fill color2="black"/>
            <v:imagedata r:id="rId41" o:title=""/>
          </v:shape>
          <o:OLEObject Type="Embed" ProgID="opendocument.MathDocument.1" ShapeID="_x0000_i1031" DrawAspect="Content" ObjectID="_1319356828" r:id="rId42"/>
        </w:object>
      </w:r>
      <w:r w:rsidRPr="00226DBE">
        <w:rPr>
          <w:rFonts w:ascii="Arial" w:hAnsi="Arial" w:cs="Arial"/>
          <w:sz w:val="24"/>
          <w:szCs w:val="24"/>
          <w:lang/>
        </w:rPr>
        <w:t>: Es el factor del Descuento que trae a valor presente el  segundo componente.</w:t>
      </w:r>
    </w:p>
    <w:p w:rsidR="000A2AAD" w:rsidRDefault="000A2AAD" w:rsidP="000A2AAD">
      <w:pPr>
        <w:spacing w:line="360" w:lineRule="auto"/>
        <w:ind w:firstLine="454"/>
        <w:jc w:val="both"/>
        <w:rPr>
          <w:rFonts w:ascii="Arial" w:hAnsi="Arial" w:cs="Arial"/>
          <w:lang/>
        </w:rPr>
      </w:pPr>
      <w:r>
        <w:pict>
          <v:line id="_x0000_s1086" style="position:absolute;left:0;text-align:left;z-index:251673088" from="22.95pt,10pt" to="140.7pt,10pt" strokeweight=".26mm">
            <v:stroke joinstyle="miter"/>
          </v:line>
        </w:pict>
      </w:r>
    </w:p>
    <w:p w:rsidR="000A2AAD" w:rsidRPr="00226DBE" w:rsidRDefault="000A2AAD" w:rsidP="000A2AAD">
      <w:pPr>
        <w:spacing w:line="360" w:lineRule="auto"/>
        <w:ind w:firstLine="454"/>
        <w:jc w:val="both"/>
        <w:rPr>
          <w:rFonts w:ascii="Arial" w:hAnsi="Arial" w:cs="Arial"/>
          <w:sz w:val="18"/>
          <w:szCs w:val="18"/>
          <w:lang w:val="es-MX"/>
        </w:rPr>
      </w:pPr>
      <w:r>
        <w:rPr>
          <w:rStyle w:val="Refdenotaalpie1"/>
          <w:rFonts w:ascii="Arial" w:hAnsi="Arial" w:cs="Arial"/>
          <w:sz w:val="18"/>
          <w:szCs w:val="18"/>
          <w:lang/>
        </w:rPr>
        <w:t xml:space="preserve">9 </w:t>
      </w:r>
      <w:r>
        <w:rPr>
          <w:rFonts w:ascii="Arial" w:hAnsi="Arial" w:cs="Arial"/>
          <w:sz w:val="18"/>
          <w:szCs w:val="18"/>
          <w:lang/>
        </w:rPr>
        <w:t xml:space="preserve">  </w:t>
      </w:r>
      <w:r>
        <w:rPr>
          <w:rFonts w:ascii="Arial" w:hAnsi="Arial" w:cs="Arial"/>
          <w:sz w:val="18"/>
          <w:szCs w:val="18"/>
          <w:lang w:val="es-MX"/>
        </w:rPr>
        <w:t>Para garantizar la convergencia de la serie infinita es necesario que r mayor g.</w:t>
      </w:r>
    </w:p>
    <w:p w:rsidR="006774DB" w:rsidRPr="00360630" w:rsidRDefault="006774DB" w:rsidP="00360630">
      <w:pPr>
        <w:tabs>
          <w:tab w:val="left" w:pos="3525"/>
        </w:tabs>
        <w:spacing w:line="360" w:lineRule="auto"/>
        <w:ind w:firstLine="454"/>
        <w:jc w:val="both"/>
        <w:rPr>
          <w:rFonts w:ascii="Arial" w:hAnsi="Arial" w:cs="Arial"/>
          <w:sz w:val="24"/>
          <w:szCs w:val="24"/>
          <w:lang/>
        </w:rPr>
      </w:pPr>
      <w:r w:rsidRPr="00226DBE">
        <w:rPr>
          <w:rFonts w:ascii="Arial" w:hAnsi="Arial" w:cs="Arial"/>
          <w:sz w:val="24"/>
          <w:szCs w:val="24"/>
          <w:lang/>
        </w:rPr>
        <w:lastRenderedPageBreak/>
        <w:tab/>
      </w:r>
    </w:p>
    <w:p w:rsidR="006774DB" w:rsidRPr="00226DBE" w:rsidRDefault="006774DB" w:rsidP="006774DB">
      <w:pPr>
        <w:spacing w:line="360" w:lineRule="auto"/>
        <w:jc w:val="both"/>
        <w:rPr>
          <w:rFonts w:ascii="Arial" w:hAnsi="Arial" w:cs="Arial"/>
          <w:b/>
          <w:sz w:val="28"/>
          <w:szCs w:val="28"/>
          <w:u w:val="single"/>
          <w:lang/>
        </w:rPr>
      </w:pPr>
      <w:r w:rsidRPr="00226DBE">
        <w:rPr>
          <w:rFonts w:ascii="Arial" w:hAnsi="Arial" w:cs="Arial"/>
          <w:b/>
          <w:sz w:val="28"/>
          <w:szCs w:val="28"/>
          <w:u w:val="single"/>
          <w:lang/>
        </w:rPr>
        <w:t>FLUJO DE CAJA BASADO EN EL ACCIONISTA</w:t>
      </w:r>
    </w:p>
    <w:p w:rsidR="006774DB" w:rsidRDefault="006774DB" w:rsidP="006774DB">
      <w:pPr>
        <w:ind w:firstLine="454"/>
        <w:jc w:val="both"/>
        <w:rPr>
          <w:rFonts w:ascii="Arial" w:hAnsi="Arial" w:cs="Arial"/>
          <w:b/>
          <w:u w:val="single"/>
          <w:lang/>
        </w:rPr>
      </w:pPr>
    </w:p>
    <w:p w:rsidR="006774DB" w:rsidRPr="00226DBE" w:rsidRDefault="006774DB" w:rsidP="006774DB">
      <w:pPr>
        <w:spacing w:line="360" w:lineRule="auto"/>
        <w:ind w:firstLine="454"/>
        <w:jc w:val="both"/>
        <w:rPr>
          <w:rFonts w:ascii="Arial" w:hAnsi="Arial" w:cs="Arial"/>
          <w:sz w:val="24"/>
          <w:szCs w:val="24"/>
          <w:lang w:val="es-MX"/>
        </w:rPr>
      </w:pPr>
      <w:r w:rsidRPr="00226DBE">
        <w:rPr>
          <w:rFonts w:ascii="Arial" w:hAnsi="Arial" w:cs="Arial"/>
          <w:sz w:val="24"/>
          <w:szCs w:val="24"/>
          <w:lang w:val="es-MX"/>
        </w:rPr>
        <w:t>Este modelo corresponde al Flujo de Caja que queda disponible para los accionistas una vez que se ha cumplido con el pago de la deuda y los requerimientos de capital para reinversión que la entidad destine.</w:t>
      </w:r>
    </w:p>
    <w:p w:rsidR="006774DB" w:rsidRPr="00226DBE" w:rsidRDefault="006774DB" w:rsidP="006774DB">
      <w:pPr>
        <w:ind w:firstLine="454"/>
        <w:jc w:val="both"/>
        <w:rPr>
          <w:rFonts w:ascii="Arial" w:hAnsi="Arial" w:cs="Arial"/>
          <w:sz w:val="24"/>
          <w:szCs w:val="24"/>
          <w:lang w:val="es-MX"/>
        </w:rPr>
      </w:pPr>
    </w:p>
    <w:p w:rsidR="006774DB" w:rsidRPr="00226DBE" w:rsidRDefault="006774DB" w:rsidP="006774DB">
      <w:pPr>
        <w:spacing w:line="360" w:lineRule="auto"/>
        <w:ind w:firstLine="454"/>
        <w:jc w:val="both"/>
        <w:rPr>
          <w:rFonts w:ascii="Arial" w:hAnsi="Arial" w:cs="Arial"/>
          <w:sz w:val="24"/>
          <w:szCs w:val="24"/>
          <w:lang w:val="es-MX"/>
        </w:rPr>
      </w:pPr>
      <w:r w:rsidRPr="00226DBE">
        <w:rPr>
          <w:rFonts w:ascii="Arial" w:hAnsi="Arial" w:cs="Arial"/>
          <w:sz w:val="24"/>
          <w:szCs w:val="24"/>
          <w:lang w:val="es-MX"/>
        </w:rPr>
        <w:t>FCFE: Utilidad Neta + Cargos o Gastos que no son efectivo</w:t>
      </w:r>
    </w:p>
    <w:p w:rsidR="006774DB" w:rsidRPr="00226DBE" w:rsidRDefault="006774DB" w:rsidP="006774DB">
      <w:pPr>
        <w:spacing w:line="360" w:lineRule="auto"/>
        <w:ind w:firstLine="454"/>
        <w:jc w:val="both"/>
        <w:rPr>
          <w:rFonts w:ascii="Arial" w:hAnsi="Arial" w:cs="Arial"/>
          <w:sz w:val="24"/>
          <w:szCs w:val="24"/>
          <w:lang w:val="es-MX"/>
        </w:rPr>
      </w:pPr>
      <w:r w:rsidRPr="00226DBE">
        <w:rPr>
          <w:rFonts w:ascii="Arial" w:hAnsi="Arial" w:cs="Arial"/>
          <w:sz w:val="24"/>
          <w:szCs w:val="24"/>
          <w:lang w:val="es-MX"/>
        </w:rPr>
        <w:t xml:space="preserve">            –  Inversión en Capital de Trabajo Neto </w:t>
      </w:r>
    </w:p>
    <w:p w:rsidR="006774DB" w:rsidRPr="00226DBE" w:rsidRDefault="006774DB" w:rsidP="006774DB">
      <w:pPr>
        <w:spacing w:line="360" w:lineRule="auto"/>
        <w:ind w:firstLine="454"/>
        <w:jc w:val="both"/>
        <w:rPr>
          <w:rFonts w:ascii="Arial" w:hAnsi="Arial" w:cs="Arial"/>
          <w:sz w:val="24"/>
          <w:szCs w:val="24"/>
          <w:lang w:val="es-MX"/>
        </w:rPr>
      </w:pPr>
      <w:r w:rsidRPr="00226DBE">
        <w:rPr>
          <w:rFonts w:ascii="Arial" w:hAnsi="Arial" w:cs="Arial"/>
          <w:sz w:val="24"/>
          <w:szCs w:val="24"/>
          <w:lang w:val="es-MX"/>
        </w:rPr>
        <w:t xml:space="preserve">            -   Gastos de Capital (Capital Expenditures)</w:t>
      </w:r>
    </w:p>
    <w:p w:rsidR="006774DB" w:rsidRPr="00226DBE" w:rsidRDefault="006774DB" w:rsidP="006774DB">
      <w:pPr>
        <w:spacing w:line="360" w:lineRule="auto"/>
        <w:ind w:firstLine="454"/>
        <w:jc w:val="both"/>
        <w:rPr>
          <w:rFonts w:ascii="Arial" w:hAnsi="Arial" w:cs="Arial"/>
          <w:sz w:val="24"/>
          <w:szCs w:val="24"/>
          <w:lang w:val="es-MX"/>
        </w:rPr>
      </w:pPr>
      <w:r w:rsidRPr="00226DBE">
        <w:rPr>
          <w:rFonts w:ascii="Arial" w:hAnsi="Arial" w:cs="Arial"/>
          <w:sz w:val="24"/>
          <w:szCs w:val="24"/>
          <w:lang w:val="es-MX"/>
        </w:rPr>
        <w:t xml:space="preserve">            + (Deuda pagada – Deuda Nueva)</w:t>
      </w:r>
    </w:p>
    <w:p w:rsidR="006774DB" w:rsidRPr="00226DBE" w:rsidRDefault="006774DB" w:rsidP="006774DB">
      <w:pPr>
        <w:ind w:firstLine="454"/>
        <w:jc w:val="both"/>
        <w:rPr>
          <w:rFonts w:ascii="Arial" w:hAnsi="Arial" w:cs="Arial"/>
          <w:sz w:val="24"/>
          <w:szCs w:val="24"/>
          <w:lang w:val="es-MX"/>
        </w:rPr>
      </w:pPr>
    </w:p>
    <w:p w:rsidR="006774DB" w:rsidRPr="00226DBE" w:rsidRDefault="006774DB" w:rsidP="006774DB">
      <w:pPr>
        <w:spacing w:line="360" w:lineRule="auto"/>
        <w:ind w:firstLine="454"/>
        <w:jc w:val="both"/>
        <w:rPr>
          <w:rFonts w:ascii="Arial" w:hAnsi="Arial" w:cs="Arial"/>
          <w:sz w:val="24"/>
          <w:szCs w:val="24"/>
          <w:lang w:val="es-MX"/>
        </w:rPr>
      </w:pPr>
      <w:r w:rsidRPr="00226DBE">
        <w:rPr>
          <w:rFonts w:ascii="Arial" w:hAnsi="Arial" w:cs="Arial"/>
          <w:sz w:val="24"/>
          <w:szCs w:val="24"/>
          <w:lang w:val="es-MX"/>
        </w:rPr>
        <w:t>El FCFE (Free Cash Flow to Equity) para el caso de entidades financieras tiene la dificultad de identificar los rubros correspondientes a Capital de Trabajo, Gastos de Capital y Endeudamiento dada su naturaleza de intermediación.</w:t>
      </w:r>
    </w:p>
    <w:p w:rsidR="006774DB" w:rsidRPr="00226DBE" w:rsidRDefault="006774DB" w:rsidP="006774DB">
      <w:pPr>
        <w:spacing w:line="360" w:lineRule="auto"/>
        <w:ind w:firstLine="454"/>
        <w:jc w:val="both"/>
        <w:rPr>
          <w:rFonts w:ascii="Arial" w:hAnsi="Arial" w:cs="Arial"/>
          <w:sz w:val="24"/>
          <w:szCs w:val="24"/>
          <w:lang w:val="es-MX"/>
        </w:rPr>
      </w:pPr>
    </w:p>
    <w:p w:rsidR="00226DBE" w:rsidRDefault="006774DB" w:rsidP="006774DB">
      <w:pPr>
        <w:spacing w:line="360" w:lineRule="auto"/>
        <w:ind w:firstLine="454"/>
        <w:jc w:val="both"/>
        <w:rPr>
          <w:rFonts w:ascii="Arial" w:hAnsi="Arial" w:cs="Arial"/>
          <w:sz w:val="24"/>
          <w:szCs w:val="24"/>
          <w:lang w:val="es-MX"/>
        </w:rPr>
      </w:pPr>
      <w:r w:rsidRPr="00226DBE">
        <w:rPr>
          <w:rFonts w:ascii="Arial" w:hAnsi="Arial" w:cs="Arial"/>
          <w:sz w:val="24"/>
          <w:szCs w:val="24"/>
          <w:lang w:val="es-MX"/>
        </w:rPr>
        <w:t>En el caso de Gastos de Capital se debe asociar a los requerimientos de capital para cumplir regulaciones como Índice de Patrimonio Técnico en el caso de los Bancos.</w:t>
      </w:r>
    </w:p>
    <w:p w:rsidR="000A2AAD" w:rsidRDefault="000A2AAD" w:rsidP="006774DB">
      <w:pPr>
        <w:spacing w:line="360" w:lineRule="auto"/>
        <w:ind w:firstLine="454"/>
        <w:jc w:val="both"/>
        <w:rPr>
          <w:rFonts w:ascii="Arial" w:hAnsi="Arial" w:cs="Arial"/>
          <w:sz w:val="24"/>
          <w:szCs w:val="24"/>
          <w:lang w:val="es-MX"/>
        </w:rPr>
      </w:pPr>
    </w:p>
    <w:p w:rsidR="003231C2" w:rsidRDefault="003231C2" w:rsidP="006774DB">
      <w:pPr>
        <w:spacing w:line="360" w:lineRule="auto"/>
        <w:ind w:firstLine="454"/>
        <w:jc w:val="both"/>
        <w:rPr>
          <w:rFonts w:ascii="Arial" w:hAnsi="Arial" w:cs="Arial"/>
          <w:sz w:val="24"/>
          <w:szCs w:val="24"/>
          <w:lang w:val="es-MX"/>
        </w:rPr>
      </w:pPr>
    </w:p>
    <w:p w:rsidR="003231C2" w:rsidRDefault="003231C2" w:rsidP="006774DB">
      <w:pPr>
        <w:spacing w:line="360" w:lineRule="auto"/>
        <w:ind w:firstLine="454"/>
        <w:jc w:val="both"/>
        <w:rPr>
          <w:rFonts w:ascii="Arial" w:hAnsi="Arial" w:cs="Arial"/>
          <w:sz w:val="24"/>
          <w:szCs w:val="24"/>
          <w:lang w:val="es-MX"/>
        </w:rPr>
      </w:pPr>
    </w:p>
    <w:p w:rsidR="003231C2" w:rsidRPr="00226DBE" w:rsidRDefault="003231C2" w:rsidP="006774DB">
      <w:pPr>
        <w:spacing w:line="360" w:lineRule="auto"/>
        <w:ind w:firstLine="454"/>
        <w:jc w:val="both"/>
        <w:rPr>
          <w:rFonts w:ascii="Arial" w:hAnsi="Arial" w:cs="Arial"/>
          <w:sz w:val="24"/>
          <w:szCs w:val="24"/>
          <w:lang w:val="es-MX"/>
        </w:rPr>
      </w:pPr>
    </w:p>
    <w:p w:rsidR="006774DB" w:rsidRPr="00226DBE" w:rsidRDefault="006774DB" w:rsidP="006774DB">
      <w:pPr>
        <w:spacing w:line="360" w:lineRule="auto"/>
        <w:rPr>
          <w:rFonts w:ascii="Arial" w:hAnsi="Arial" w:cs="Arial"/>
          <w:b/>
          <w:bCs/>
          <w:sz w:val="28"/>
          <w:szCs w:val="28"/>
          <w:u w:val="single"/>
          <w:lang w:val="es-MX"/>
        </w:rPr>
      </w:pPr>
      <w:r w:rsidRPr="00226DBE">
        <w:rPr>
          <w:rFonts w:ascii="Arial" w:hAnsi="Arial" w:cs="Arial"/>
          <w:b/>
          <w:bCs/>
          <w:sz w:val="28"/>
          <w:szCs w:val="28"/>
          <w:u w:val="single"/>
          <w:lang w:val="es-MX"/>
        </w:rPr>
        <w:lastRenderedPageBreak/>
        <w:t>MODELO DE VALORACIÓN  PARA PRODUBANCO</w:t>
      </w:r>
    </w:p>
    <w:p w:rsidR="006774DB" w:rsidRDefault="006774DB" w:rsidP="006774DB">
      <w:pPr>
        <w:spacing w:line="360" w:lineRule="auto"/>
        <w:ind w:firstLine="454"/>
        <w:jc w:val="both"/>
        <w:rPr>
          <w:rFonts w:ascii="Arial" w:hAnsi="Arial" w:cs="Arial"/>
          <w:sz w:val="20"/>
          <w:szCs w:val="20"/>
          <w:lang w:val="es-MX"/>
        </w:rPr>
      </w:pPr>
    </w:p>
    <w:p w:rsidR="006774DB" w:rsidRPr="00226DBE" w:rsidRDefault="006774DB" w:rsidP="006774DB">
      <w:pPr>
        <w:spacing w:line="360" w:lineRule="auto"/>
        <w:ind w:firstLine="454"/>
        <w:jc w:val="both"/>
        <w:rPr>
          <w:rFonts w:ascii="Arial" w:hAnsi="Arial" w:cs="Arial"/>
          <w:sz w:val="24"/>
          <w:szCs w:val="24"/>
          <w:lang w:val="es-MX"/>
        </w:rPr>
      </w:pPr>
      <w:r w:rsidRPr="00226DBE">
        <w:rPr>
          <w:rFonts w:ascii="Arial" w:hAnsi="Arial" w:cs="Arial"/>
          <w:sz w:val="24"/>
          <w:szCs w:val="24"/>
          <w:lang w:val="es-MX"/>
        </w:rPr>
        <w:t xml:space="preserve">Los Bancos, y en general todas las instituciones financieras poseen características especiales que el analista debe tomar sobre todo en dos aspectos. El primero  es la naturaleza del negocio, lo cual hace difícil determinar con exactitud como se van a comportar las diferentes cuentas que se emplean tanto en el Balance General como en el Estado de Resultados, haciendo que la estimación de los Excesos de Retornos </w:t>
      </w:r>
      <w:r w:rsidRPr="00B575E0">
        <w:rPr>
          <w:rFonts w:ascii="Arial" w:hAnsi="Arial" w:cs="Arial"/>
          <w:sz w:val="24"/>
          <w:szCs w:val="24"/>
          <w:lang w:val="es-MX"/>
        </w:rPr>
        <w:t xml:space="preserve">sea </w:t>
      </w:r>
      <w:r w:rsidR="00B575E0" w:rsidRPr="00B575E0">
        <w:rPr>
          <w:rFonts w:ascii="Arial" w:hAnsi="Arial" w:cs="Arial"/>
          <w:sz w:val="24"/>
          <w:szCs w:val="24"/>
          <w:lang w:val="es-MX"/>
        </w:rPr>
        <w:t>mas</w:t>
      </w:r>
      <w:r w:rsidRPr="00B575E0">
        <w:rPr>
          <w:rFonts w:ascii="Arial" w:hAnsi="Arial" w:cs="Arial"/>
          <w:sz w:val="24"/>
          <w:szCs w:val="24"/>
          <w:lang w:val="es-MX"/>
        </w:rPr>
        <w:t xml:space="preserve"> compleja. En segundo lugar</w:t>
      </w:r>
      <w:r w:rsidR="00B575E0" w:rsidRPr="00B575E0">
        <w:rPr>
          <w:rFonts w:ascii="Arial" w:hAnsi="Arial" w:cs="Arial"/>
          <w:sz w:val="24"/>
          <w:szCs w:val="24"/>
          <w:lang w:val="es-MX"/>
        </w:rPr>
        <w:t>, los Bancos,</w:t>
      </w:r>
      <w:r w:rsidRPr="00B575E0">
        <w:rPr>
          <w:rFonts w:ascii="Arial" w:hAnsi="Arial" w:cs="Arial"/>
          <w:sz w:val="24"/>
          <w:szCs w:val="24"/>
          <w:lang w:val="es-MX"/>
        </w:rPr>
        <w:t xml:space="preserve"> tiende</w:t>
      </w:r>
      <w:r w:rsidR="00B575E0" w:rsidRPr="00B575E0">
        <w:rPr>
          <w:rFonts w:ascii="Arial" w:hAnsi="Arial" w:cs="Arial"/>
          <w:sz w:val="24"/>
          <w:szCs w:val="24"/>
          <w:lang w:val="es-MX"/>
        </w:rPr>
        <w:t>n</w:t>
      </w:r>
      <w:r w:rsidRPr="00B575E0">
        <w:rPr>
          <w:rFonts w:ascii="Arial" w:hAnsi="Arial" w:cs="Arial"/>
          <w:sz w:val="24"/>
          <w:szCs w:val="24"/>
          <w:lang w:val="es-MX"/>
        </w:rPr>
        <w:t xml:space="preserve"> a ser fuertemente regulados y los efectos de estos requerimientos regulatorios pueden afectar los resultados</w:t>
      </w:r>
      <w:r w:rsidRPr="00B575E0">
        <w:rPr>
          <w:rStyle w:val="Refdenotaalpie1"/>
          <w:rFonts w:ascii="Arial" w:hAnsi="Arial" w:cs="Arial"/>
          <w:sz w:val="24"/>
          <w:szCs w:val="24"/>
          <w:lang/>
        </w:rPr>
        <w:t>10</w:t>
      </w:r>
      <w:r w:rsidRPr="00B575E0">
        <w:rPr>
          <w:rFonts w:ascii="Arial" w:hAnsi="Arial" w:cs="Arial"/>
          <w:sz w:val="24"/>
          <w:szCs w:val="24"/>
          <w:lang w:val="es-MX"/>
        </w:rPr>
        <w:t>.</w:t>
      </w:r>
      <w:r w:rsidRPr="00226DBE">
        <w:rPr>
          <w:rFonts w:ascii="Arial" w:hAnsi="Arial" w:cs="Arial"/>
          <w:sz w:val="24"/>
          <w:szCs w:val="24"/>
          <w:lang w:val="es-MX"/>
        </w:rPr>
        <w:t xml:space="preserve"> </w:t>
      </w:r>
    </w:p>
    <w:p w:rsidR="006774DB" w:rsidRPr="00B575E0" w:rsidRDefault="006774DB" w:rsidP="00226DBE">
      <w:pPr>
        <w:spacing w:line="360" w:lineRule="auto"/>
        <w:jc w:val="both"/>
        <w:rPr>
          <w:rFonts w:ascii="Arial" w:hAnsi="Arial" w:cs="Arial"/>
          <w:sz w:val="18"/>
          <w:szCs w:val="18"/>
          <w:lang w:val="es-ES"/>
        </w:rPr>
      </w:pPr>
    </w:p>
    <w:p w:rsidR="006774DB" w:rsidRPr="00226DBE" w:rsidRDefault="006774DB" w:rsidP="006774DB">
      <w:pPr>
        <w:spacing w:line="360" w:lineRule="auto"/>
        <w:ind w:firstLine="454"/>
        <w:jc w:val="both"/>
        <w:rPr>
          <w:rFonts w:ascii="Arial" w:hAnsi="Arial" w:cs="Arial"/>
          <w:sz w:val="24"/>
          <w:szCs w:val="24"/>
          <w:lang w:val="es-MX"/>
        </w:rPr>
      </w:pPr>
      <w:r w:rsidRPr="00226DBE">
        <w:rPr>
          <w:rFonts w:ascii="Arial" w:hAnsi="Arial" w:cs="Arial"/>
          <w:sz w:val="24"/>
          <w:szCs w:val="24"/>
          <w:lang w:val="es-MX"/>
        </w:rPr>
        <w:t>En general las compañías utilizan la emisión de las obligaciones como fuente de financiamiento para hacer sus inversiones, mientras que una Institución Financiera  toma  recursos del público para convertirlos en productos financieros que son vendidos a un precio mayor, generando de estas transacciones una utilidad. De esta manera el Banco crea ganancias mediante el manejo de sus pasivos, lo cual se convierte en un beneficio.</w:t>
      </w:r>
    </w:p>
    <w:p w:rsidR="006774DB" w:rsidRPr="00226DBE" w:rsidRDefault="006774DB" w:rsidP="006774DB">
      <w:pPr>
        <w:spacing w:line="360" w:lineRule="auto"/>
        <w:ind w:firstLine="454"/>
        <w:jc w:val="both"/>
        <w:rPr>
          <w:rFonts w:ascii="Arial" w:hAnsi="Arial" w:cs="Arial"/>
          <w:sz w:val="24"/>
          <w:szCs w:val="24"/>
          <w:lang w:val="es-MX"/>
        </w:rPr>
      </w:pPr>
    </w:p>
    <w:p w:rsidR="006774DB" w:rsidRPr="00226DBE" w:rsidRDefault="006774DB" w:rsidP="006774DB">
      <w:pPr>
        <w:spacing w:line="360" w:lineRule="auto"/>
        <w:ind w:firstLine="454"/>
        <w:jc w:val="both"/>
        <w:rPr>
          <w:rFonts w:ascii="Arial" w:hAnsi="Arial" w:cs="Arial"/>
          <w:sz w:val="24"/>
          <w:szCs w:val="24"/>
          <w:lang w:val="es-MX"/>
        </w:rPr>
      </w:pPr>
      <w:r w:rsidRPr="00226DBE">
        <w:rPr>
          <w:rFonts w:ascii="Arial" w:hAnsi="Arial" w:cs="Arial"/>
          <w:sz w:val="24"/>
          <w:szCs w:val="24"/>
          <w:lang w:val="es-MX"/>
        </w:rPr>
        <w:t xml:space="preserve">Estimar el Costo del Patrimonio es difícil cuando las variaciones de las cuentas y por ende </w:t>
      </w:r>
      <w:smartTag w:uri="urn:schemas-microsoft-com:office:smarttags" w:element="PersonName">
        <w:smartTagPr>
          <w:attr w:name="ProductID" w:val="la Utilidad"/>
        </w:smartTagPr>
        <w:r w:rsidRPr="00226DBE">
          <w:rPr>
            <w:rFonts w:ascii="Arial" w:hAnsi="Arial" w:cs="Arial"/>
            <w:sz w:val="24"/>
            <w:szCs w:val="24"/>
            <w:lang w:val="es-MX"/>
          </w:rPr>
          <w:t>la Utilidad</w:t>
        </w:r>
      </w:smartTag>
      <w:r w:rsidRPr="00226DBE">
        <w:rPr>
          <w:rFonts w:ascii="Arial" w:hAnsi="Arial" w:cs="Arial"/>
          <w:sz w:val="24"/>
          <w:szCs w:val="24"/>
          <w:lang w:val="es-MX"/>
        </w:rPr>
        <w:t xml:space="preserve"> no se encuentran claramente definidas, el cual es el caso de las Instituciones Financieras, sin embargo, el patrimonio puede ser valorado directamente utilizando el Método de Excesos de Retornos, el cual es el más apropiado y fácil de usar.</w:t>
      </w:r>
    </w:p>
    <w:p w:rsidR="00FC5E55" w:rsidRDefault="003231C2" w:rsidP="006774DB">
      <w:pPr>
        <w:spacing w:line="360" w:lineRule="auto"/>
        <w:ind w:firstLine="454"/>
        <w:jc w:val="both"/>
        <w:rPr>
          <w:rFonts w:ascii="Arial" w:hAnsi="Arial" w:cs="Arial"/>
          <w:sz w:val="28"/>
          <w:szCs w:val="28"/>
          <w:lang w:val="en-GB"/>
        </w:rPr>
      </w:pPr>
      <w:r>
        <w:rPr>
          <w:rFonts w:ascii="Arial" w:eastAsia="Arial" w:hAnsi="Arial" w:cs="Arial"/>
          <w:noProof/>
          <w:color w:val="000000"/>
          <w:sz w:val="20"/>
          <w:szCs w:val="20"/>
          <w:lang w:eastAsia="es-EC"/>
        </w:rPr>
        <w:pict>
          <v:line id="_x0000_s1087" style="position:absolute;left:0;text-align:left;z-index:251674112" from="0,32.4pt" to="117.75pt,32.4pt" strokeweight=".26mm">
            <v:stroke joinstyle="miter"/>
          </v:line>
        </w:pict>
      </w:r>
    </w:p>
    <w:p w:rsidR="003231C2" w:rsidRPr="003231C2" w:rsidRDefault="003231C2" w:rsidP="003231C2">
      <w:pPr>
        <w:spacing w:line="360" w:lineRule="auto"/>
        <w:ind w:firstLine="454"/>
        <w:jc w:val="both"/>
        <w:rPr>
          <w:rFonts w:ascii="Arial" w:hAnsi="Arial" w:cs="Arial"/>
          <w:sz w:val="18"/>
          <w:szCs w:val="18"/>
          <w:lang w:val="en-GB"/>
        </w:rPr>
      </w:pPr>
      <w:r>
        <w:rPr>
          <w:rStyle w:val="Refdenotaalpie1"/>
          <w:rFonts w:ascii="Arial" w:hAnsi="Arial" w:cs="Arial"/>
          <w:sz w:val="18"/>
          <w:szCs w:val="18"/>
          <w:lang w:val="en-GB"/>
        </w:rPr>
        <w:t>10</w:t>
      </w:r>
      <w:r>
        <w:rPr>
          <w:rFonts w:ascii="Arial" w:hAnsi="Arial" w:cs="Arial"/>
          <w:sz w:val="18"/>
          <w:szCs w:val="18"/>
          <w:lang w:val="en-GB"/>
        </w:rPr>
        <w:t xml:space="preserve">  Investment valuation, Tools and Techniques for determining the value of any asset, Aswath Damodaran, Segunda Edición, John Wiley &amp; Sons, 2002,cap 21.</w:t>
      </w:r>
    </w:p>
    <w:p w:rsidR="006774DB" w:rsidRPr="00226DBE" w:rsidRDefault="006774DB" w:rsidP="006774DB">
      <w:pPr>
        <w:spacing w:line="360" w:lineRule="auto"/>
        <w:jc w:val="both"/>
        <w:rPr>
          <w:rFonts w:ascii="Arial" w:hAnsi="Arial" w:cs="Arial"/>
          <w:b/>
          <w:sz w:val="28"/>
          <w:szCs w:val="28"/>
          <w:lang/>
        </w:rPr>
      </w:pPr>
      <w:r w:rsidRPr="00226DBE">
        <w:rPr>
          <w:rFonts w:ascii="Arial" w:hAnsi="Arial" w:cs="Arial"/>
          <w:b/>
          <w:sz w:val="28"/>
          <w:szCs w:val="28"/>
          <w:lang/>
        </w:rPr>
        <w:lastRenderedPageBreak/>
        <w:t>2.2.2</w:t>
      </w:r>
      <w:r w:rsidRPr="00226DBE">
        <w:rPr>
          <w:rFonts w:ascii="Arial" w:hAnsi="Arial" w:cs="Arial"/>
          <w:b/>
          <w:sz w:val="28"/>
          <w:szCs w:val="28"/>
          <w:lang/>
        </w:rPr>
        <w:tab/>
        <w:t>MODELO DE EXCESOS DE RETORNOS DE CAPITAL</w:t>
      </w:r>
    </w:p>
    <w:p w:rsidR="006774DB" w:rsidRPr="003231C2" w:rsidRDefault="006774DB" w:rsidP="003231C2">
      <w:pPr>
        <w:spacing w:line="360" w:lineRule="auto"/>
        <w:jc w:val="both"/>
        <w:rPr>
          <w:rFonts w:ascii="Arial" w:hAnsi="Arial" w:cs="Calibri"/>
          <w:sz w:val="24"/>
          <w:szCs w:val="24"/>
          <w:lang w:val="es-ES"/>
        </w:rPr>
      </w:pPr>
    </w:p>
    <w:p w:rsidR="00226DBE" w:rsidRDefault="006774DB" w:rsidP="006774DB">
      <w:pPr>
        <w:spacing w:line="360" w:lineRule="auto"/>
        <w:ind w:firstLine="454"/>
        <w:jc w:val="both"/>
        <w:rPr>
          <w:rFonts w:ascii="Arial" w:eastAsia="Arial" w:hAnsi="Arial" w:cs="Arial"/>
          <w:color w:val="000000"/>
          <w:sz w:val="24"/>
          <w:szCs w:val="24"/>
          <w:lang/>
        </w:rPr>
      </w:pPr>
      <w:r w:rsidRPr="00226DBE">
        <w:rPr>
          <w:rFonts w:ascii="Arial" w:hAnsi="Arial" w:cs="Calibri"/>
          <w:sz w:val="24"/>
          <w:szCs w:val="24"/>
          <w:lang/>
        </w:rPr>
        <w:t>En el método de Excesos de Retornos  se</w:t>
      </w:r>
      <w:r w:rsidRPr="00226DBE">
        <w:rPr>
          <w:rFonts w:ascii="Arial" w:hAnsi="Arial" w:cs="Calibri"/>
          <w:b/>
          <w:sz w:val="24"/>
          <w:szCs w:val="24"/>
          <w:lang/>
        </w:rPr>
        <w:t xml:space="preserve"> </w:t>
      </w:r>
      <w:r w:rsidRPr="00226DBE">
        <w:rPr>
          <w:rFonts w:ascii="Arial" w:eastAsia="Arial" w:hAnsi="Arial" w:cs="Arial"/>
          <w:color w:val="000000"/>
          <w:sz w:val="24"/>
          <w:szCs w:val="24"/>
          <w:lang/>
        </w:rPr>
        <w:t xml:space="preserve"> valora el Patrimonio de la entidad, partiendo del valor inicial del mismo, al cual se le adiciona el exceso de retorno que se espera recibir a futuro en </w:t>
      </w:r>
      <w:r w:rsidRPr="00226DBE">
        <w:rPr>
          <w:rFonts w:ascii="Arial" w:hAnsi="Arial" w:cs="Lucida Sans Unicode"/>
          <w:color w:val="000000"/>
          <w:sz w:val="24"/>
          <w:szCs w:val="24"/>
          <w:lang/>
        </w:rPr>
        <w:t>relación al Rendimiento exigido.</w:t>
      </w:r>
    </w:p>
    <w:p w:rsidR="00FC5E55" w:rsidRPr="00FC5E55" w:rsidRDefault="00FC5E55" w:rsidP="006774DB">
      <w:pPr>
        <w:spacing w:line="360" w:lineRule="auto"/>
        <w:ind w:firstLine="454"/>
        <w:jc w:val="both"/>
        <w:rPr>
          <w:rFonts w:ascii="Arial" w:eastAsia="Arial" w:hAnsi="Arial" w:cs="Arial"/>
          <w:color w:val="000000"/>
          <w:sz w:val="24"/>
          <w:szCs w:val="24"/>
          <w:lang/>
        </w:rPr>
      </w:pPr>
    </w:p>
    <w:p w:rsidR="006774DB" w:rsidRPr="003231C2" w:rsidRDefault="006774DB" w:rsidP="003231C2">
      <w:pPr>
        <w:spacing w:line="360" w:lineRule="auto"/>
        <w:ind w:firstLine="454"/>
        <w:jc w:val="both"/>
        <w:rPr>
          <w:rFonts w:ascii="Arial" w:hAnsi="Arial" w:cs="Lucida Sans Unicode"/>
          <w:color w:val="000000"/>
          <w:sz w:val="24"/>
          <w:szCs w:val="24"/>
          <w:lang/>
        </w:rPr>
      </w:pPr>
      <w:r w:rsidRPr="00226DBE">
        <w:rPr>
          <w:rFonts w:ascii="Arial" w:hAnsi="Arial" w:cs="Lucida Sans Unicode"/>
          <w:color w:val="000000"/>
          <w:sz w:val="24"/>
          <w:szCs w:val="24"/>
          <w:lang/>
        </w:rPr>
        <w:t>El valor del Patrimonio se determina  con las variables del Capital Actual, este rubro se obtiene del Balance General, y el  Valor Presente de los futuros retornos en Exceso que es el resultado de la división entre el Costo Patrimonial y el Patrimonio Invertido, a este resultado se le adiciona el ROE. Dentro del este cálculo se utiliza el supuesto implícito de que el exceso de Retorno depende del ROE como una medida económica del Retorno Patrimonial.</w:t>
      </w:r>
    </w:p>
    <w:p w:rsidR="006774DB" w:rsidRDefault="006774DB" w:rsidP="006774DB">
      <w:pPr>
        <w:spacing w:line="360" w:lineRule="auto"/>
        <w:ind w:left="2836" w:firstLine="709"/>
        <w:rPr>
          <w:rFonts w:ascii="Arial" w:hAnsi="Arial" w:cs="Lucida Sans Unicode"/>
          <w:b/>
          <w:color w:val="000000"/>
          <w:lang/>
        </w:rPr>
      </w:pPr>
      <w:r>
        <w:rPr>
          <w:rFonts w:ascii="Arial" w:hAnsi="Arial" w:cs="Lucida Sans Unicode"/>
          <w:b/>
          <w:color w:val="000000"/>
          <w:lang/>
        </w:rPr>
        <w:t>Cuadro 2.4</w:t>
      </w:r>
    </w:p>
    <w:tbl>
      <w:tblPr>
        <w:tblW w:w="0" w:type="auto"/>
        <w:tblInd w:w="1615" w:type="dxa"/>
        <w:tblLayout w:type="fixed"/>
        <w:tblCellMar>
          <w:top w:w="55" w:type="dxa"/>
          <w:left w:w="55" w:type="dxa"/>
          <w:bottom w:w="55" w:type="dxa"/>
          <w:right w:w="55" w:type="dxa"/>
        </w:tblCellMar>
        <w:tblLook w:val="0000"/>
      </w:tblPr>
      <w:tblGrid>
        <w:gridCol w:w="5006"/>
      </w:tblGrid>
      <w:tr w:rsidR="004D3B27">
        <w:trPr>
          <w:trHeight w:val="439"/>
        </w:trPr>
        <w:tc>
          <w:tcPr>
            <w:tcW w:w="5006" w:type="dxa"/>
            <w:vAlign w:val="center"/>
          </w:tcPr>
          <w:p w:rsidR="006774DB" w:rsidRDefault="006774DB" w:rsidP="00CD270D">
            <w:pPr>
              <w:pStyle w:val="Contenidodelatabla"/>
              <w:snapToGrid w:val="0"/>
              <w:spacing w:after="200" w:line="360" w:lineRule="auto"/>
              <w:ind w:firstLine="454"/>
              <w:jc w:val="center"/>
              <w:rPr>
                <w:rFonts w:eastAsia="Calibri" w:cs="Calibri"/>
                <w:b/>
                <w:bCs/>
                <w:sz w:val="22"/>
                <w:szCs w:val="22"/>
                <w:lang w:val="es-EC"/>
              </w:rPr>
            </w:pPr>
            <w:r>
              <w:rPr>
                <w:rFonts w:eastAsia="Calibri" w:cs="Calibri"/>
                <w:b/>
                <w:bCs/>
                <w:sz w:val="22"/>
                <w:szCs w:val="22"/>
                <w:lang w:val="es-EC"/>
              </w:rPr>
              <w:t>VALOR DEL PATRIMONIO</w:t>
            </w:r>
          </w:p>
        </w:tc>
      </w:tr>
      <w:tr w:rsidR="004D3B27">
        <w:trPr>
          <w:trHeight w:val="2133"/>
        </w:trPr>
        <w:tc>
          <w:tcPr>
            <w:tcW w:w="5006" w:type="dxa"/>
          </w:tcPr>
          <w:p w:rsidR="006774DB" w:rsidRDefault="006774DB" w:rsidP="00CD270D">
            <w:pPr>
              <w:pStyle w:val="Contenidodelatabla"/>
              <w:snapToGrid w:val="0"/>
              <w:spacing w:line="360" w:lineRule="auto"/>
              <w:ind w:firstLine="454"/>
              <w:rPr>
                <w:rFonts w:cs="Tahoma"/>
                <w:lang/>
              </w:rPr>
            </w:pPr>
            <w:r>
              <w:rPr>
                <w:rFonts w:cs="Tahoma"/>
                <w:lang/>
              </w:rPr>
              <w:t xml:space="preserve">  +   Capital Actual</w:t>
            </w:r>
          </w:p>
          <w:p w:rsidR="006774DB" w:rsidRDefault="006774DB" w:rsidP="00CD270D">
            <w:pPr>
              <w:pStyle w:val="Contenidodelatabla"/>
              <w:spacing w:line="360" w:lineRule="auto"/>
              <w:ind w:firstLine="454"/>
              <w:rPr>
                <w:rFonts w:cs="Tahoma"/>
                <w:b/>
                <w:bCs/>
                <w:lang/>
              </w:rPr>
            </w:pPr>
            <w:r>
              <w:rPr>
                <w:rFonts w:cs="Tahoma"/>
                <w:lang/>
              </w:rPr>
              <w:t xml:space="preserve">  +   </w:t>
            </w:r>
            <w:r>
              <w:rPr>
                <w:rFonts w:cs="Tahoma"/>
                <w:b/>
                <w:bCs/>
                <w:lang/>
              </w:rPr>
              <w:t>VP Futuros Retornos en Excesos</w:t>
            </w:r>
          </w:p>
          <w:p w:rsidR="006774DB" w:rsidRDefault="006774DB" w:rsidP="00CD270D">
            <w:pPr>
              <w:pStyle w:val="Contenidodelatabla"/>
              <w:spacing w:line="360" w:lineRule="auto"/>
              <w:ind w:firstLine="454"/>
              <w:rPr>
                <w:rFonts w:cs="Tahoma"/>
                <w:lang/>
              </w:rPr>
            </w:pPr>
            <w:r>
              <w:rPr>
                <w:rFonts w:cs="Tahoma"/>
                <w:lang/>
              </w:rPr>
              <w:t xml:space="preserve">       +   ROE</w:t>
            </w:r>
          </w:p>
          <w:p w:rsidR="006774DB" w:rsidRDefault="006774DB" w:rsidP="00CD270D">
            <w:pPr>
              <w:pStyle w:val="Contenidodelatabla"/>
              <w:spacing w:line="360" w:lineRule="auto"/>
              <w:ind w:firstLine="454"/>
              <w:rPr>
                <w:rFonts w:cs="Tahoma"/>
                <w:lang/>
              </w:rPr>
            </w:pPr>
            <w:r>
              <w:rPr>
                <w:rFonts w:cs="Tahoma"/>
                <w:lang/>
              </w:rPr>
              <w:t xml:space="preserve">        -   Costo Patrimonial /Patrimonio           </w:t>
            </w:r>
          </w:p>
          <w:p w:rsidR="006774DB" w:rsidRDefault="006774DB" w:rsidP="00CD270D">
            <w:pPr>
              <w:pStyle w:val="Contenidodelatabla"/>
              <w:spacing w:after="200" w:line="360" w:lineRule="auto"/>
              <w:ind w:firstLine="454"/>
              <w:rPr>
                <w:rFonts w:cs="Tahoma"/>
                <w:lang/>
              </w:rPr>
            </w:pPr>
            <w:r>
              <w:rPr>
                <w:rFonts w:cs="Tahoma"/>
                <w:lang/>
              </w:rPr>
              <w:t xml:space="preserve">             Invertido</w:t>
            </w:r>
          </w:p>
        </w:tc>
      </w:tr>
    </w:tbl>
    <w:p w:rsidR="00FC5E55" w:rsidRDefault="00FC5E55" w:rsidP="006774DB">
      <w:pPr>
        <w:spacing w:line="360" w:lineRule="auto"/>
        <w:ind w:firstLine="454"/>
        <w:rPr>
          <w:rFonts w:ascii="Arial" w:hAnsi="Arial" w:cs="Arial"/>
          <w:sz w:val="16"/>
          <w:szCs w:val="16"/>
          <w:lang/>
        </w:rPr>
      </w:pPr>
    </w:p>
    <w:p w:rsidR="006774DB" w:rsidRDefault="00226DBE" w:rsidP="006774DB">
      <w:pPr>
        <w:spacing w:line="360" w:lineRule="auto"/>
        <w:ind w:firstLine="454"/>
        <w:rPr>
          <w:rFonts w:ascii="Arial" w:hAnsi="Arial" w:cs="Arial"/>
          <w:sz w:val="16"/>
          <w:szCs w:val="16"/>
          <w:lang/>
        </w:rPr>
      </w:pPr>
      <w:r>
        <w:rPr>
          <w:rFonts w:ascii="Arial" w:hAnsi="Arial" w:cs="Arial"/>
          <w:sz w:val="16"/>
          <w:szCs w:val="16"/>
          <w:lang/>
        </w:rPr>
        <w:t>Elaboración</w:t>
      </w:r>
      <w:r w:rsidR="006774DB">
        <w:rPr>
          <w:rFonts w:ascii="Arial" w:hAnsi="Arial" w:cs="Arial"/>
          <w:sz w:val="16"/>
          <w:szCs w:val="16"/>
          <w:lang/>
        </w:rPr>
        <w:t>: Autores</w:t>
      </w:r>
    </w:p>
    <w:p w:rsidR="006774DB" w:rsidRDefault="006774DB" w:rsidP="006774DB">
      <w:pPr>
        <w:pStyle w:val="PredeterminadoLTGliederung1"/>
        <w:tabs>
          <w:tab w:val="clear" w:pos="707"/>
          <w:tab w:val="clear" w:pos="1414"/>
          <w:tab w:val="clear" w:pos="2122"/>
          <w:tab w:val="clear" w:pos="2829"/>
          <w:tab w:val="clear" w:pos="3537"/>
          <w:tab w:val="clear" w:pos="4244"/>
          <w:tab w:val="clear" w:pos="4952"/>
          <w:tab w:val="clear" w:pos="5659"/>
          <w:tab w:val="clear" w:pos="6367"/>
          <w:tab w:val="clear" w:pos="7074"/>
          <w:tab w:val="clear" w:pos="7782"/>
          <w:tab w:val="clear" w:pos="8489"/>
          <w:tab w:val="clear" w:pos="9197"/>
          <w:tab w:val="clear" w:pos="9904"/>
          <w:tab w:val="clear" w:pos="10612"/>
          <w:tab w:val="clear" w:pos="11319"/>
          <w:tab w:val="clear" w:pos="12027"/>
          <w:tab w:val="clear" w:pos="12734"/>
          <w:tab w:val="clear" w:pos="13441"/>
          <w:tab w:val="clear" w:pos="14149"/>
          <w:tab w:val="left" w:pos="0"/>
          <w:tab w:val="left" w:pos="537"/>
          <w:tab w:val="left" w:pos="897"/>
          <w:tab w:val="left" w:pos="2337"/>
          <w:tab w:val="left" w:pos="3777"/>
          <w:tab w:val="left" w:pos="5217"/>
          <w:tab w:val="left" w:pos="6657"/>
          <w:tab w:val="left" w:pos="8097"/>
          <w:tab w:val="left" w:pos="9537"/>
          <w:tab w:val="left" w:pos="10977"/>
          <w:tab w:val="left" w:pos="12417"/>
          <w:tab w:val="left" w:pos="13857"/>
          <w:tab w:val="left" w:pos="15297"/>
          <w:tab w:val="left" w:pos="15735"/>
          <w:tab w:val="left" w:pos="16442"/>
        </w:tabs>
        <w:spacing w:before="120" w:line="360" w:lineRule="auto"/>
        <w:ind w:left="0"/>
        <w:jc w:val="both"/>
        <w:rPr>
          <w:rFonts w:ascii="Arial" w:hAnsi="Arial" w:cs="Lucida Sans Unicode"/>
          <w:sz w:val="24"/>
          <w:szCs w:val="24"/>
          <w:lang/>
        </w:rPr>
      </w:pPr>
    </w:p>
    <w:p w:rsidR="00226DBE" w:rsidRPr="00226DBE" w:rsidRDefault="006774DB" w:rsidP="003231C2">
      <w:pPr>
        <w:pStyle w:val="PredeterminadoLTGliederung1"/>
        <w:tabs>
          <w:tab w:val="clear" w:pos="707"/>
          <w:tab w:val="clear" w:pos="1414"/>
          <w:tab w:val="clear" w:pos="2122"/>
          <w:tab w:val="clear" w:pos="2829"/>
          <w:tab w:val="clear" w:pos="3537"/>
          <w:tab w:val="clear" w:pos="4244"/>
          <w:tab w:val="clear" w:pos="4952"/>
          <w:tab w:val="clear" w:pos="5659"/>
          <w:tab w:val="clear" w:pos="6367"/>
          <w:tab w:val="clear" w:pos="7074"/>
          <w:tab w:val="clear" w:pos="7782"/>
          <w:tab w:val="clear" w:pos="8489"/>
          <w:tab w:val="clear" w:pos="9197"/>
          <w:tab w:val="clear" w:pos="9904"/>
          <w:tab w:val="clear" w:pos="10612"/>
          <w:tab w:val="clear" w:pos="11319"/>
          <w:tab w:val="clear" w:pos="12027"/>
          <w:tab w:val="clear" w:pos="12734"/>
          <w:tab w:val="clear" w:pos="13441"/>
          <w:tab w:val="clear" w:pos="14149"/>
          <w:tab w:val="left" w:pos="0"/>
          <w:tab w:val="left" w:pos="537"/>
          <w:tab w:val="left" w:pos="897"/>
          <w:tab w:val="left" w:pos="2337"/>
          <w:tab w:val="left" w:pos="3777"/>
          <w:tab w:val="left" w:pos="5217"/>
          <w:tab w:val="left" w:pos="6657"/>
          <w:tab w:val="left" w:pos="8097"/>
          <w:tab w:val="left" w:pos="9537"/>
          <w:tab w:val="left" w:pos="10977"/>
          <w:tab w:val="left" w:pos="12417"/>
          <w:tab w:val="left" w:pos="13857"/>
          <w:tab w:val="left" w:pos="15297"/>
          <w:tab w:val="left" w:pos="15735"/>
          <w:tab w:val="left" w:pos="16442"/>
        </w:tabs>
        <w:spacing w:before="120" w:line="360" w:lineRule="auto"/>
        <w:ind w:left="0" w:firstLine="454"/>
        <w:jc w:val="both"/>
        <w:rPr>
          <w:rFonts w:ascii="Arial" w:hAnsi="Arial" w:cs="Lucida Sans Unicode"/>
          <w:sz w:val="24"/>
          <w:szCs w:val="24"/>
          <w:lang/>
        </w:rPr>
      </w:pPr>
      <w:r w:rsidRPr="00226DBE">
        <w:rPr>
          <w:rFonts w:ascii="Arial" w:hAnsi="Arial" w:cs="Lucida Sans Unicode"/>
          <w:sz w:val="24"/>
          <w:szCs w:val="24"/>
          <w:lang/>
        </w:rPr>
        <w:t>Por esta razón, s</w:t>
      </w:r>
      <w:r w:rsidRPr="00226DBE">
        <w:rPr>
          <w:rFonts w:ascii="Arial" w:eastAsia="Arial" w:hAnsi="Arial" w:cs="Arial"/>
          <w:sz w:val="24"/>
          <w:szCs w:val="24"/>
          <w:lang/>
        </w:rPr>
        <w:t xml:space="preserve">i el retorno a recibir es similar al exigido, el Valor de Mercado converge al Valor Contable Actual, sin embargo  si el retorno es inferior al exigido el </w:t>
      </w:r>
      <w:r w:rsidRPr="00226DBE">
        <w:rPr>
          <w:rFonts w:ascii="Arial" w:hAnsi="Arial" w:cs="Lucida Sans Unicode"/>
          <w:sz w:val="24"/>
          <w:szCs w:val="24"/>
          <w:lang/>
        </w:rPr>
        <w:t>Valor de Mercado será inferior al Valor contable actual.</w:t>
      </w:r>
    </w:p>
    <w:p w:rsidR="006774DB" w:rsidRPr="00226DBE" w:rsidRDefault="006774DB" w:rsidP="003231C2">
      <w:pPr>
        <w:pStyle w:val="PredeterminadoLTGliederung1"/>
        <w:tabs>
          <w:tab w:val="clear" w:pos="707"/>
          <w:tab w:val="clear" w:pos="1414"/>
          <w:tab w:val="clear" w:pos="2122"/>
          <w:tab w:val="clear" w:pos="2829"/>
          <w:tab w:val="clear" w:pos="3537"/>
          <w:tab w:val="clear" w:pos="4244"/>
          <w:tab w:val="clear" w:pos="4952"/>
          <w:tab w:val="clear" w:pos="5659"/>
          <w:tab w:val="clear" w:pos="6367"/>
          <w:tab w:val="clear" w:pos="7074"/>
          <w:tab w:val="clear" w:pos="7782"/>
          <w:tab w:val="clear" w:pos="8489"/>
          <w:tab w:val="clear" w:pos="9197"/>
          <w:tab w:val="clear" w:pos="9904"/>
          <w:tab w:val="clear" w:pos="10612"/>
          <w:tab w:val="clear" w:pos="11319"/>
          <w:tab w:val="clear" w:pos="12027"/>
          <w:tab w:val="clear" w:pos="12734"/>
          <w:tab w:val="clear" w:pos="13441"/>
          <w:tab w:val="clear" w:pos="14149"/>
          <w:tab w:val="left" w:pos="-537"/>
          <w:tab w:val="left" w:pos="0"/>
          <w:tab w:val="left" w:pos="360"/>
          <w:tab w:val="left" w:pos="1800"/>
          <w:tab w:val="left" w:pos="3240"/>
          <w:tab w:val="left" w:pos="4680"/>
          <w:tab w:val="left" w:pos="6120"/>
          <w:tab w:val="left" w:pos="7560"/>
          <w:tab w:val="left" w:pos="9000"/>
          <w:tab w:val="left" w:pos="10440"/>
          <w:tab w:val="left" w:pos="11880"/>
          <w:tab w:val="left" w:pos="13320"/>
          <w:tab w:val="left" w:pos="14760"/>
          <w:tab w:val="left" w:pos="15198"/>
          <w:tab w:val="left" w:pos="15905"/>
        </w:tabs>
        <w:spacing w:before="80" w:line="360" w:lineRule="auto"/>
        <w:ind w:left="0" w:firstLine="454"/>
        <w:jc w:val="both"/>
        <w:rPr>
          <w:rFonts w:ascii="Arial" w:hAnsi="Arial" w:cs="Lucida Sans Unicode"/>
          <w:sz w:val="24"/>
          <w:szCs w:val="24"/>
          <w:lang/>
        </w:rPr>
      </w:pPr>
      <w:r w:rsidRPr="00226DBE">
        <w:rPr>
          <w:rFonts w:cs="Lucida Sans Unicode"/>
          <w:sz w:val="24"/>
          <w:szCs w:val="24"/>
          <w:lang/>
        </w:rPr>
        <w:lastRenderedPageBreak/>
        <w:t xml:space="preserve"> </w:t>
      </w:r>
      <w:r w:rsidRPr="00226DBE">
        <w:rPr>
          <w:rFonts w:ascii="Arial" w:hAnsi="Arial" w:cs="Arial"/>
          <w:sz w:val="24"/>
          <w:szCs w:val="24"/>
          <w:lang/>
        </w:rPr>
        <w:t>Así mismo, s</w:t>
      </w:r>
      <w:r w:rsidRPr="00226DBE">
        <w:rPr>
          <w:rFonts w:ascii="Arial" w:eastAsia="Arial" w:hAnsi="Arial" w:cs="Arial"/>
          <w:sz w:val="24"/>
          <w:szCs w:val="24"/>
          <w:lang/>
        </w:rPr>
        <w:t xml:space="preserve">e requiere calcular el exceso de Retorno futuro, por tanto se debe realizar un análisis tanto del contexto económico como de la misma </w:t>
      </w:r>
      <w:r w:rsidRPr="00226DBE">
        <w:rPr>
          <w:rFonts w:ascii="Arial" w:hAnsi="Arial" w:cs="Lucida Sans Unicode"/>
          <w:sz w:val="24"/>
          <w:szCs w:val="24"/>
          <w:lang/>
        </w:rPr>
        <w:t xml:space="preserve">firma para determinar si el ROE actual se mantendrá por cuanto tiempo y cual será su valor a perpetuidad. </w:t>
      </w:r>
      <w:r w:rsidRPr="00226DBE">
        <w:rPr>
          <w:rFonts w:ascii="Arial" w:eastAsia="Arial" w:hAnsi="Arial" w:cs="Arial"/>
          <w:sz w:val="24"/>
          <w:szCs w:val="24"/>
          <w:lang/>
        </w:rPr>
        <w:t xml:space="preserve">Si actualmente los retornos de </w:t>
      </w:r>
      <w:smartTag w:uri="urn:schemas-microsoft-com:office:smarttags" w:element="PersonName">
        <w:smartTagPr>
          <w:attr w:name="ProductID" w:val="la Industria"/>
        </w:smartTagPr>
        <w:r w:rsidRPr="00226DBE">
          <w:rPr>
            <w:rFonts w:ascii="Arial" w:eastAsia="Arial" w:hAnsi="Arial" w:cs="Arial"/>
            <w:sz w:val="24"/>
            <w:szCs w:val="24"/>
            <w:lang/>
          </w:rPr>
          <w:t>la Industria</w:t>
        </w:r>
      </w:smartTag>
      <w:r w:rsidRPr="00226DBE">
        <w:rPr>
          <w:rFonts w:ascii="Arial" w:eastAsia="Arial" w:hAnsi="Arial" w:cs="Arial"/>
          <w:sz w:val="24"/>
          <w:szCs w:val="24"/>
          <w:lang/>
        </w:rPr>
        <w:t xml:space="preserve"> son altos, ingresarán más competidores lo que finalmente disminuirá los retornos a futuro.</w:t>
      </w:r>
      <w:r w:rsidRPr="00226DBE">
        <w:rPr>
          <w:rFonts w:ascii="Arial" w:hAnsi="Arial" w:cs="Lucida Sans Unicode"/>
          <w:sz w:val="24"/>
          <w:szCs w:val="24"/>
          <w:lang/>
        </w:rPr>
        <w:t xml:space="preserve">  </w:t>
      </w:r>
    </w:p>
    <w:p w:rsidR="00384BAC" w:rsidRDefault="00384BAC" w:rsidP="006774DB">
      <w:pPr>
        <w:pStyle w:val="PredeterminadoLTGliederung1"/>
        <w:tabs>
          <w:tab w:val="clear" w:pos="707"/>
          <w:tab w:val="clear" w:pos="1414"/>
          <w:tab w:val="clear" w:pos="2122"/>
          <w:tab w:val="clear" w:pos="2829"/>
          <w:tab w:val="clear" w:pos="3537"/>
          <w:tab w:val="clear" w:pos="4244"/>
          <w:tab w:val="clear" w:pos="4952"/>
          <w:tab w:val="clear" w:pos="5659"/>
          <w:tab w:val="clear" w:pos="6367"/>
          <w:tab w:val="clear" w:pos="7074"/>
          <w:tab w:val="clear" w:pos="7782"/>
          <w:tab w:val="clear" w:pos="8489"/>
          <w:tab w:val="clear" w:pos="9197"/>
          <w:tab w:val="clear" w:pos="9904"/>
          <w:tab w:val="clear" w:pos="10612"/>
          <w:tab w:val="clear" w:pos="11319"/>
          <w:tab w:val="clear" w:pos="12027"/>
          <w:tab w:val="clear" w:pos="12734"/>
          <w:tab w:val="clear" w:pos="13441"/>
          <w:tab w:val="clear" w:pos="14149"/>
          <w:tab w:val="left" w:pos="0"/>
          <w:tab w:val="left" w:pos="537"/>
          <w:tab w:val="left" w:pos="897"/>
          <w:tab w:val="left" w:pos="2337"/>
          <w:tab w:val="left" w:pos="3777"/>
          <w:tab w:val="left" w:pos="5217"/>
          <w:tab w:val="left" w:pos="6657"/>
          <w:tab w:val="left" w:pos="8097"/>
          <w:tab w:val="left" w:pos="9537"/>
          <w:tab w:val="left" w:pos="10977"/>
          <w:tab w:val="left" w:pos="12417"/>
          <w:tab w:val="left" w:pos="13857"/>
          <w:tab w:val="left" w:pos="15297"/>
          <w:tab w:val="left" w:pos="15735"/>
          <w:tab w:val="left" w:pos="16442"/>
        </w:tabs>
        <w:spacing w:before="80" w:line="360" w:lineRule="auto"/>
        <w:ind w:left="0" w:firstLine="454"/>
        <w:jc w:val="both"/>
        <w:rPr>
          <w:rFonts w:ascii="Arial" w:hAnsi="Arial" w:cs="Lucida Sans Unicode"/>
          <w:bCs/>
          <w:sz w:val="24"/>
          <w:szCs w:val="24"/>
          <w:u w:val="single"/>
          <w:lang/>
        </w:rPr>
      </w:pPr>
    </w:p>
    <w:p w:rsidR="006774DB" w:rsidRPr="00226DBE" w:rsidRDefault="006774DB" w:rsidP="006774DB">
      <w:pPr>
        <w:pStyle w:val="PredeterminadoLTGliederung1"/>
        <w:tabs>
          <w:tab w:val="clear" w:pos="707"/>
          <w:tab w:val="clear" w:pos="1414"/>
          <w:tab w:val="clear" w:pos="2122"/>
          <w:tab w:val="clear" w:pos="2829"/>
          <w:tab w:val="clear" w:pos="3537"/>
          <w:tab w:val="clear" w:pos="4244"/>
          <w:tab w:val="clear" w:pos="4952"/>
          <w:tab w:val="clear" w:pos="5659"/>
          <w:tab w:val="clear" w:pos="6367"/>
          <w:tab w:val="clear" w:pos="7074"/>
          <w:tab w:val="clear" w:pos="7782"/>
          <w:tab w:val="clear" w:pos="8489"/>
          <w:tab w:val="clear" w:pos="9197"/>
          <w:tab w:val="clear" w:pos="9904"/>
          <w:tab w:val="clear" w:pos="10612"/>
          <w:tab w:val="clear" w:pos="11319"/>
          <w:tab w:val="clear" w:pos="12027"/>
          <w:tab w:val="clear" w:pos="12734"/>
          <w:tab w:val="clear" w:pos="13441"/>
          <w:tab w:val="clear" w:pos="14149"/>
          <w:tab w:val="left" w:pos="0"/>
          <w:tab w:val="left" w:pos="537"/>
          <w:tab w:val="left" w:pos="897"/>
          <w:tab w:val="left" w:pos="2337"/>
          <w:tab w:val="left" w:pos="3777"/>
          <w:tab w:val="left" w:pos="5217"/>
          <w:tab w:val="left" w:pos="6657"/>
          <w:tab w:val="left" w:pos="8097"/>
          <w:tab w:val="left" w:pos="9537"/>
          <w:tab w:val="left" w:pos="10977"/>
          <w:tab w:val="left" w:pos="12417"/>
          <w:tab w:val="left" w:pos="13857"/>
          <w:tab w:val="left" w:pos="15297"/>
          <w:tab w:val="left" w:pos="15735"/>
          <w:tab w:val="left" w:pos="16442"/>
        </w:tabs>
        <w:spacing w:before="80" w:line="360" w:lineRule="auto"/>
        <w:ind w:left="0" w:firstLine="454"/>
        <w:jc w:val="both"/>
        <w:rPr>
          <w:rFonts w:ascii="Arial" w:hAnsi="Arial" w:cs="Lucida Sans Unicode"/>
          <w:bCs/>
          <w:sz w:val="24"/>
          <w:szCs w:val="24"/>
          <w:u w:val="single"/>
          <w:lang/>
        </w:rPr>
      </w:pPr>
      <w:r w:rsidRPr="00226DBE">
        <w:rPr>
          <w:rFonts w:ascii="Arial" w:hAnsi="Arial" w:cs="Lucida Sans Unicode"/>
          <w:bCs/>
          <w:sz w:val="24"/>
          <w:szCs w:val="24"/>
          <w:u w:val="single"/>
          <w:lang/>
        </w:rPr>
        <w:t xml:space="preserve">Descripción de Variables </w:t>
      </w:r>
    </w:p>
    <w:p w:rsidR="006774DB" w:rsidRPr="00226DBE" w:rsidRDefault="006774DB" w:rsidP="006774DB">
      <w:pPr>
        <w:tabs>
          <w:tab w:val="left" w:pos="-1478"/>
          <w:tab w:val="left" w:pos="-771"/>
          <w:tab w:val="left" w:pos="-64"/>
          <w:tab w:val="left" w:pos="322"/>
          <w:tab w:val="left" w:pos="644"/>
          <w:tab w:val="left" w:pos="1352"/>
          <w:tab w:val="left" w:pos="2059"/>
          <w:tab w:val="left" w:pos="2767"/>
          <w:tab w:val="left" w:pos="3474"/>
          <w:tab w:val="left" w:pos="4182"/>
          <w:tab w:val="left" w:pos="4889"/>
          <w:tab w:val="left" w:pos="5597"/>
          <w:tab w:val="left" w:pos="6304"/>
          <w:tab w:val="left" w:pos="7012"/>
          <w:tab w:val="left" w:pos="7719"/>
          <w:tab w:val="left" w:pos="8427"/>
          <w:tab w:val="left" w:pos="9134"/>
          <w:tab w:val="left" w:pos="9842"/>
          <w:tab w:val="left" w:pos="10549"/>
          <w:tab w:val="left" w:pos="11257"/>
          <w:tab w:val="left" w:pos="11964"/>
          <w:tab w:val="left" w:pos="12672"/>
        </w:tabs>
        <w:autoSpaceDE w:val="0"/>
        <w:spacing w:before="90" w:line="360" w:lineRule="auto"/>
        <w:ind w:firstLine="454"/>
        <w:rPr>
          <w:rFonts w:ascii="Arial" w:eastAsia="Arial" w:hAnsi="Arial" w:cs="Arial"/>
          <w:b/>
          <w:bCs/>
          <w:color w:val="000000"/>
          <w:sz w:val="24"/>
          <w:szCs w:val="24"/>
          <w:lang/>
        </w:rPr>
      </w:pPr>
    </w:p>
    <w:p w:rsidR="006774DB" w:rsidRPr="00226DBE" w:rsidRDefault="006774DB" w:rsidP="006774DB">
      <w:pPr>
        <w:tabs>
          <w:tab w:val="left" w:pos="-1478"/>
          <w:tab w:val="left" w:pos="-771"/>
          <w:tab w:val="left" w:pos="-64"/>
          <w:tab w:val="left" w:pos="322"/>
          <w:tab w:val="left" w:pos="644"/>
          <w:tab w:val="left" w:pos="1352"/>
          <w:tab w:val="left" w:pos="2059"/>
          <w:tab w:val="left" w:pos="2767"/>
          <w:tab w:val="left" w:pos="3474"/>
          <w:tab w:val="left" w:pos="4182"/>
          <w:tab w:val="left" w:pos="4889"/>
          <w:tab w:val="left" w:pos="5597"/>
          <w:tab w:val="left" w:pos="6304"/>
          <w:tab w:val="left" w:pos="7012"/>
          <w:tab w:val="left" w:pos="7719"/>
          <w:tab w:val="left" w:pos="8427"/>
          <w:tab w:val="left" w:pos="9134"/>
          <w:tab w:val="left" w:pos="9842"/>
          <w:tab w:val="left" w:pos="10549"/>
          <w:tab w:val="left" w:pos="11257"/>
          <w:tab w:val="left" w:pos="11964"/>
          <w:tab w:val="left" w:pos="12672"/>
        </w:tabs>
        <w:autoSpaceDE w:val="0"/>
        <w:spacing w:before="90" w:line="360" w:lineRule="auto"/>
        <w:ind w:firstLine="454"/>
        <w:rPr>
          <w:rFonts w:ascii="Lucida Sans Unicode" w:hAnsi="Lucida Sans Unicode" w:cs="Lucida Sans Unicode"/>
          <w:color w:val="000000"/>
          <w:sz w:val="24"/>
          <w:szCs w:val="24"/>
          <w:lang/>
        </w:rPr>
      </w:pPr>
      <w:r w:rsidRPr="00226DBE">
        <w:rPr>
          <w:rFonts w:ascii="Arial" w:eastAsia="Arial" w:hAnsi="Arial" w:cs="Arial"/>
          <w:b/>
          <w:bCs/>
          <w:color w:val="000000"/>
          <w:sz w:val="24"/>
          <w:szCs w:val="24"/>
          <w:lang/>
        </w:rPr>
        <w:t>UTILIDAD NETA</w:t>
      </w:r>
      <w:r w:rsidRPr="00226DBE">
        <w:rPr>
          <w:rFonts w:ascii="Lucida Sans Unicode" w:hAnsi="Lucida Sans Unicode" w:cs="Lucida Sans Unicode"/>
          <w:color w:val="000000"/>
          <w:sz w:val="24"/>
          <w:szCs w:val="24"/>
          <w:lang/>
        </w:rPr>
        <w:tab/>
      </w:r>
    </w:p>
    <w:p w:rsidR="006774DB" w:rsidRPr="00226DBE" w:rsidRDefault="006774DB" w:rsidP="006774DB">
      <w:pPr>
        <w:tabs>
          <w:tab w:val="left" w:pos="-1478"/>
          <w:tab w:val="left" w:pos="-771"/>
          <w:tab w:val="left" w:pos="-64"/>
          <w:tab w:val="left" w:pos="322"/>
          <w:tab w:val="left" w:pos="644"/>
          <w:tab w:val="left" w:pos="1352"/>
          <w:tab w:val="left" w:pos="2059"/>
          <w:tab w:val="left" w:pos="2767"/>
          <w:tab w:val="left" w:pos="3474"/>
          <w:tab w:val="left" w:pos="4182"/>
          <w:tab w:val="left" w:pos="4889"/>
          <w:tab w:val="left" w:pos="5597"/>
          <w:tab w:val="left" w:pos="6304"/>
          <w:tab w:val="left" w:pos="7012"/>
          <w:tab w:val="left" w:pos="7719"/>
          <w:tab w:val="left" w:pos="8427"/>
          <w:tab w:val="left" w:pos="9134"/>
          <w:tab w:val="left" w:pos="9842"/>
          <w:tab w:val="left" w:pos="10549"/>
          <w:tab w:val="left" w:pos="11257"/>
          <w:tab w:val="left" w:pos="11964"/>
          <w:tab w:val="left" w:pos="12672"/>
        </w:tabs>
        <w:autoSpaceDE w:val="0"/>
        <w:spacing w:before="90" w:line="360" w:lineRule="auto"/>
        <w:ind w:firstLine="454"/>
        <w:rPr>
          <w:rFonts w:ascii="Arial" w:eastAsia="Arial" w:hAnsi="Arial" w:cs="Arial"/>
          <w:color w:val="000000"/>
          <w:sz w:val="24"/>
          <w:szCs w:val="24"/>
          <w:lang/>
        </w:rPr>
      </w:pPr>
    </w:p>
    <w:p w:rsidR="006774DB" w:rsidRPr="00226DBE" w:rsidRDefault="006774DB" w:rsidP="003231C2">
      <w:pPr>
        <w:tabs>
          <w:tab w:val="left" w:pos="-1800"/>
          <w:tab w:val="left" w:pos="-1093"/>
          <w:tab w:val="left" w:pos="-386"/>
          <w:tab w:val="left" w:pos="0"/>
          <w:tab w:val="left" w:pos="322"/>
          <w:tab w:val="left" w:pos="1030"/>
          <w:tab w:val="left" w:pos="1737"/>
          <w:tab w:val="left" w:pos="2445"/>
          <w:tab w:val="left" w:pos="3152"/>
          <w:tab w:val="left" w:pos="3860"/>
          <w:tab w:val="left" w:pos="4567"/>
          <w:tab w:val="left" w:pos="5275"/>
          <w:tab w:val="left" w:pos="5982"/>
          <w:tab w:val="left" w:pos="6690"/>
          <w:tab w:val="left" w:pos="7397"/>
          <w:tab w:val="left" w:pos="8105"/>
          <w:tab w:val="left" w:pos="8812"/>
          <w:tab w:val="left" w:pos="9520"/>
          <w:tab w:val="left" w:pos="10227"/>
          <w:tab w:val="left" w:pos="10935"/>
          <w:tab w:val="left" w:pos="11642"/>
          <w:tab w:val="left" w:pos="12350"/>
        </w:tabs>
        <w:autoSpaceDE w:val="0"/>
        <w:spacing w:before="90" w:line="360" w:lineRule="auto"/>
        <w:ind w:firstLine="454"/>
        <w:rPr>
          <w:rFonts w:ascii="Arial" w:eastAsia="Arial" w:hAnsi="Arial" w:cs="Arial"/>
          <w:color w:val="000000"/>
          <w:sz w:val="24"/>
          <w:szCs w:val="24"/>
          <w:lang/>
        </w:rPr>
      </w:pPr>
      <w:r w:rsidRPr="00226DBE">
        <w:rPr>
          <w:rFonts w:ascii="Arial" w:eastAsia="Arial" w:hAnsi="Arial" w:cs="Arial"/>
          <w:color w:val="000000"/>
          <w:sz w:val="24"/>
          <w:szCs w:val="24"/>
          <w:lang/>
        </w:rPr>
        <w:t xml:space="preserve">El modelo requiere la proyección de </w:t>
      </w:r>
      <w:smartTag w:uri="urn:schemas-microsoft-com:office:smarttags" w:element="PersonName">
        <w:smartTagPr>
          <w:attr w:name="ProductID" w:val="la Utilidad Neta"/>
        </w:smartTagPr>
        <w:r w:rsidRPr="00226DBE">
          <w:rPr>
            <w:rFonts w:ascii="Arial" w:eastAsia="Arial" w:hAnsi="Arial" w:cs="Arial"/>
            <w:color w:val="000000"/>
            <w:sz w:val="24"/>
            <w:szCs w:val="24"/>
            <w:lang/>
          </w:rPr>
          <w:t>la Utilidad Neta</w:t>
        </w:r>
      </w:smartTag>
      <w:r w:rsidRPr="00226DBE">
        <w:rPr>
          <w:rFonts w:ascii="Arial" w:eastAsia="Arial" w:hAnsi="Arial" w:cs="Arial"/>
          <w:color w:val="000000"/>
          <w:sz w:val="24"/>
          <w:szCs w:val="24"/>
          <w:lang/>
        </w:rPr>
        <w:t xml:space="preserve"> la cual se puede realizar en base a:         </w:t>
      </w:r>
    </w:p>
    <w:p w:rsidR="006774DB" w:rsidRPr="00226DBE" w:rsidRDefault="006774DB" w:rsidP="006774DB">
      <w:pPr>
        <w:widowControl w:val="0"/>
        <w:numPr>
          <w:ilvl w:val="0"/>
          <w:numId w:val="9"/>
        </w:numPr>
        <w:tabs>
          <w:tab w:val="left" w:pos="1624"/>
        </w:tabs>
        <w:suppressAutoHyphens/>
        <w:spacing w:after="0" w:line="360" w:lineRule="auto"/>
        <w:jc w:val="both"/>
        <w:rPr>
          <w:rFonts w:ascii="Arial" w:eastAsia="Times New Roman" w:hAnsi="Arial" w:cs="Arial"/>
          <w:sz w:val="24"/>
          <w:szCs w:val="24"/>
          <w:lang w:val="es-ES"/>
        </w:rPr>
      </w:pPr>
      <w:r w:rsidRPr="00226DBE">
        <w:rPr>
          <w:rFonts w:ascii="Arial" w:eastAsia="Times New Roman" w:hAnsi="Arial" w:cs="Arial"/>
          <w:sz w:val="24"/>
          <w:szCs w:val="24"/>
          <w:lang w:val="es-ES"/>
        </w:rPr>
        <w:t>Análisis del desempeño histórico de la entidad para estimar su tendencia a   futuro.</w:t>
      </w:r>
    </w:p>
    <w:p w:rsidR="006774DB" w:rsidRPr="00226DBE" w:rsidRDefault="006774DB" w:rsidP="006774DB">
      <w:pPr>
        <w:widowControl w:val="0"/>
        <w:numPr>
          <w:ilvl w:val="0"/>
          <w:numId w:val="9"/>
        </w:numPr>
        <w:tabs>
          <w:tab w:val="left" w:pos="1624"/>
        </w:tabs>
        <w:suppressAutoHyphens/>
        <w:spacing w:after="0" w:line="360" w:lineRule="auto"/>
        <w:jc w:val="both"/>
        <w:rPr>
          <w:rFonts w:ascii="Arial" w:eastAsia="Times New Roman" w:hAnsi="Arial" w:cs="Arial"/>
          <w:sz w:val="24"/>
          <w:szCs w:val="24"/>
          <w:lang w:val="es-ES"/>
        </w:rPr>
      </w:pPr>
      <w:r w:rsidRPr="00226DBE">
        <w:rPr>
          <w:rFonts w:ascii="Arial" w:eastAsia="Times New Roman" w:hAnsi="Arial" w:cs="Arial"/>
          <w:sz w:val="24"/>
          <w:szCs w:val="24"/>
          <w:lang w:val="es-ES"/>
        </w:rPr>
        <w:t>Análisis del entorno económico del mercado y relación con el plan estratégico de la entidad.</w:t>
      </w:r>
    </w:p>
    <w:p w:rsidR="006774DB" w:rsidRPr="00226DBE" w:rsidRDefault="006774DB" w:rsidP="006774DB">
      <w:pPr>
        <w:tabs>
          <w:tab w:val="left" w:pos="-31"/>
          <w:tab w:val="left" w:pos="393"/>
          <w:tab w:val="left" w:pos="676"/>
          <w:tab w:val="left" w:pos="1383"/>
          <w:tab w:val="left" w:pos="2091"/>
          <w:tab w:val="left" w:pos="2799"/>
          <w:tab w:val="left" w:pos="3506"/>
          <w:tab w:val="left" w:pos="4214"/>
          <w:tab w:val="left" w:pos="4921"/>
          <w:tab w:val="left" w:pos="5629"/>
          <w:tab w:val="left" w:pos="6336"/>
          <w:tab w:val="left" w:pos="7044"/>
          <w:tab w:val="left" w:pos="7751"/>
          <w:tab w:val="left" w:pos="8459"/>
          <w:tab w:val="left" w:pos="9166"/>
          <w:tab w:val="left" w:pos="9874"/>
          <w:tab w:val="left" w:pos="10581"/>
          <w:tab w:val="left" w:pos="11289"/>
          <w:tab w:val="left" w:pos="11996"/>
          <w:tab w:val="left" w:pos="12704"/>
          <w:tab w:val="left" w:pos="13411"/>
          <w:tab w:val="left" w:pos="14119"/>
        </w:tabs>
        <w:autoSpaceDE w:val="0"/>
        <w:spacing w:before="120" w:line="360" w:lineRule="auto"/>
        <w:ind w:left="720"/>
        <w:rPr>
          <w:rFonts w:ascii="Arial" w:eastAsia="Arial" w:hAnsi="Arial" w:cs="Arial"/>
          <w:b/>
          <w:bCs/>
          <w:color w:val="000000"/>
          <w:sz w:val="24"/>
          <w:szCs w:val="24"/>
          <w:lang/>
        </w:rPr>
      </w:pPr>
    </w:p>
    <w:p w:rsidR="006774DB" w:rsidRPr="00226DBE" w:rsidRDefault="006774DB" w:rsidP="006774DB">
      <w:pPr>
        <w:tabs>
          <w:tab w:val="left" w:pos="-31"/>
          <w:tab w:val="left" w:pos="393"/>
          <w:tab w:val="left" w:pos="676"/>
          <w:tab w:val="left" w:pos="1383"/>
          <w:tab w:val="left" w:pos="2091"/>
          <w:tab w:val="left" w:pos="2799"/>
          <w:tab w:val="left" w:pos="3506"/>
          <w:tab w:val="left" w:pos="4214"/>
          <w:tab w:val="left" w:pos="4921"/>
          <w:tab w:val="left" w:pos="5629"/>
          <w:tab w:val="left" w:pos="6336"/>
          <w:tab w:val="left" w:pos="7044"/>
          <w:tab w:val="left" w:pos="7751"/>
          <w:tab w:val="left" w:pos="8459"/>
          <w:tab w:val="left" w:pos="9166"/>
          <w:tab w:val="left" w:pos="9874"/>
          <w:tab w:val="left" w:pos="10581"/>
          <w:tab w:val="left" w:pos="11289"/>
          <w:tab w:val="left" w:pos="11996"/>
          <w:tab w:val="left" w:pos="12704"/>
          <w:tab w:val="left" w:pos="13411"/>
          <w:tab w:val="left" w:pos="14119"/>
        </w:tabs>
        <w:autoSpaceDE w:val="0"/>
        <w:spacing w:before="120" w:line="360" w:lineRule="auto"/>
        <w:ind w:firstLine="454"/>
        <w:rPr>
          <w:rFonts w:ascii="Arial" w:eastAsia="Arial" w:hAnsi="Arial" w:cs="Arial"/>
          <w:b/>
          <w:bCs/>
          <w:color w:val="000000"/>
          <w:sz w:val="24"/>
          <w:szCs w:val="24"/>
          <w:lang/>
        </w:rPr>
      </w:pPr>
      <w:r w:rsidRPr="00226DBE">
        <w:rPr>
          <w:rFonts w:ascii="Arial" w:eastAsia="Arial" w:hAnsi="Arial" w:cs="Arial"/>
          <w:b/>
          <w:bCs/>
          <w:color w:val="000000"/>
          <w:sz w:val="24"/>
          <w:szCs w:val="24"/>
          <w:lang/>
        </w:rPr>
        <w:t>ROE</w:t>
      </w:r>
    </w:p>
    <w:p w:rsidR="006774DB" w:rsidRPr="00226DBE" w:rsidRDefault="006774DB" w:rsidP="006774DB">
      <w:pPr>
        <w:tabs>
          <w:tab w:val="left" w:pos="0"/>
          <w:tab w:val="left" w:pos="537"/>
          <w:tab w:val="left" w:pos="897"/>
          <w:tab w:val="left" w:pos="2337"/>
          <w:tab w:val="left" w:pos="3777"/>
          <w:tab w:val="left" w:pos="5217"/>
          <w:tab w:val="left" w:pos="6657"/>
          <w:tab w:val="left" w:pos="8097"/>
          <w:tab w:val="left" w:pos="9537"/>
          <w:tab w:val="left" w:pos="10977"/>
          <w:tab w:val="left" w:pos="12417"/>
          <w:tab w:val="left" w:pos="13857"/>
          <w:tab w:val="left" w:pos="15297"/>
          <w:tab w:val="left" w:pos="15735"/>
          <w:tab w:val="left" w:pos="16442"/>
        </w:tabs>
        <w:autoSpaceDE w:val="0"/>
        <w:spacing w:before="100" w:line="360" w:lineRule="auto"/>
        <w:ind w:firstLine="454"/>
        <w:rPr>
          <w:rFonts w:ascii="Arial" w:eastAsia="Arial" w:hAnsi="Arial" w:cs="Arial"/>
          <w:color w:val="000000"/>
          <w:sz w:val="24"/>
          <w:szCs w:val="24"/>
          <w:lang/>
        </w:rPr>
      </w:pPr>
      <w:r w:rsidRPr="00226DBE">
        <w:rPr>
          <w:rFonts w:ascii="Arial" w:eastAsia="Arial" w:hAnsi="Arial" w:cs="Arial"/>
          <w:color w:val="000000"/>
          <w:sz w:val="24"/>
          <w:szCs w:val="24"/>
          <w:lang/>
        </w:rPr>
        <w:t xml:space="preserve">Se puede proyectar </w:t>
      </w:r>
      <w:smartTag w:uri="urn:schemas-microsoft-com:office:smarttags" w:element="PersonName">
        <w:smartTagPr>
          <w:attr w:name="ProductID" w:val="la Utilidad Neta"/>
        </w:smartTagPr>
        <w:r w:rsidRPr="00226DBE">
          <w:rPr>
            <w:rFonts w:ascii="Arial" w:eastAsia="Arial" w:hAnsi="Arial" w:cs="Arial"/>
            <w:color w:val="000000"/>
            <w:sz w:val="24"/>
            <w:szCs w:val="24"/>
            <w:lang/>
          </w:rPr>
          <w:t>la Utilidad Neta</w:t>
        </w:r>
      </w:smartTag>
      <w:r w:rsidRPr="00226DBE">
        <w:rPr>
          <w:rFonts w:ascii="Arial" w:eastAsia="Arial" w:hAnsi="Arial" w:cs="Arial"/>
          <w:color w:val="000000"/>
          <w:sz w:val="24"/>
          <w:szCs w:val="24"/>
          <w:lang/>
        </w:rPr>
        <w:t xml:space="preserve"> o el ROE ya que ambas están directamente relacionadas.</w:t>
      </w:r>
    </w:p>
    <w:p w:rsidR="006774DB" w:rsidRPr="00226DBE" w:rsidRDefault="006774DB" w:rsidP="006774DB">
      <w:pPr>
        <w:tabs>
          <w:tab w:val="left" w:pos="0"/>
          <w:tab w:val="left" w:pos="537"/>
          <w:tab w:val="left" w:pos="707"/>
          <w:tab w:val="left" w:pos="1414"/>
          <w:tab w:val="left" w:pos="2122"/>
          <w:tab w:val="left" w:pos="2830"/>
          <w:tab w:val="left" w:pos="3537"/>
          <w:tab w:val="left" w:pos="4245"/>
          <w:tab w:val="left" w:pos="4952"/>
          <w:tab w:val="left" w:pos="5660"/>
          <w:tab w:val="left" w:pos="6367"/>
          <w:tab w:val="left" w:pos="7075"/>
          <w:tab w:val="left" w:pos="7782"/>
          <w:tab w:val="left" w:pos="8490"/>
          <w:tab w:val="left" w:pos="9197"/>
          <w:tab w:val="left" w:pos="9905"/>
          <w:tab w:val="left" w:pos="10612"/>
          <w:tab w:val="left" w:pos="11320"/>
          <w:tab w:val="left" w:pos="12027"/>
          <w:tab w:val="left" w:pos="12735"/>
          <w:tab w:val="left" w:pos="13442"/>
          <w:tab w:val="left" w:pos="14150"/>
        </w:tabs>
        <w:autoSpaceDE w:val="0"/>
        <w:spacing w:before="120" w:line="360" w:lineRule="auto"/>
        <w:ind w:firstLine="454"/>
        <w:rPr>
          <w:rFonts w:ascii="Arial" w:eastAsia="Arial" w:hAnsi="Arial" w:cs="Arial"/>
          <w:b/>
          <w:bCs/>
          <w:color w:val="000000"/>
          <w:sz w:val="24"/>
          <w:szCs w:val="24"/>
          <w:lang/>
        </w:rPr>
      </w:pPr>
      <w:r w:rsidRPr="00226DBE">
        <w:rPr>
          <w:rFonts w:ascii="Arial" w:eastAsia="Arial" w:hAnsi="Arial" w:cs="Arial"/>
          <w:b/>
          <w:bCs/>
          <w:color w:val="000000"/>
          <w:sz w:val="24"/>
          <w:szCs w:val="24"/>
          <w:lang/>
        </w:rPr>
        <w:t xml:space="preserve">    </w:t>
      </w:r>
    </w:p>
    <w:p w:rsidR="006774DB" w:rsidRPr="00226DBE" w:rsidRDefault="006774DB" w:rsidP="006774DB">
      <w:pPr>
        <w:tabs>
          <w:tab w:val="left" w:pos="0"/>
          <w:tab w:val="left" w:pos="537"/>
          <w:tab w:val="left" w:pos="707"/>
          <w:tab w:val="left" w:pos="1414"/>
          <w:tab w:val="left" w:pos="2122"/>
          <w:tab w:val="left" w:pos="2830"/>
          <w:tab w:val="left" w:pos="3537"/>
          <w:tab w:val="left" w:pos="4245"/>
          <w:tab w:val="left" w:pos="4952"/>
          <w:tab w:val="left" w:pos="5660"/>
          <w:tab w:val="left" w:pos="6367"/>
          <w:tab w:val="left" w:pos="7075"/>
          <w:tab w:val="left" w:pos="7782"/>
          <w:tab w:val="left" w:pos="8490"/>
          <w:tab w:val="left" w:pos="9197"/>
          <w:tab w:val="left" w:pos="9905"/>
          <w:tab w:val="left" w:pos="10612"/>
          <w:tab w:val="left" w:pos="11320"/>
          <w:tab w:val="left" w:pos="12027"/>
          <w:tab w:val="left" w:pos="12735"/>
          <w:tab w:val="left" w:pos="13442"/>
          <w:tab w:val="left" w:pos="14150"/>
        </w:tabs>
        <w:autoSpaceDE w:val="0"/>
        <w:spacing w:before="120" w:line="360" w:lineRule="auto"/>
        <w:ind w:firstLine="454"/>
        <w:rPr>
          <w:rFonts w:ascii="Arial" w:eastAsia="Arial" w:hAnsi="Arial" w:cs="Arial"/>
          <w:b/>
          <w:bCs/>
          <w:color w:val="000000"/>
          <w:sz w:val="24"/>
          <w:szCs w:val="24"/>
          <w:lang/>
        </w:rPr>
      </w:pPr>
      <w:r w:rsidRPr="00226DBE">
        <w:rPr>
          <w:rFonts w:ascii="Arial" w:eastAsia="Arial" w:hAnsi="Arial" w:cs="Arial"/>
          <w:b/>
          <w:bCs/>
          <w:color w:val="000000"/>
          <w:sz w:val="24"/>
          <w:szCs w:val="24"/>
          <w:lang/>
        </w:rPr>
        <w:t>TASA DE PAGO DE DIVIDENDOS</w:t>
      </w:r>
    </w:p>
    <w:p w:rsidR="00384BAC" w:rsidRPr="003231C2" w:rsidRDefault="006774DB" w:rsidP="003231C2">
      <w:pPr>
        <w:tabs>
          <w:tab w:val="left" w:pos="0"/>
          <w:tab w:val="left" w:pos="537"/>
          <w:tab w:val="left" w:pos="897"/>
          <w:tab w:val="left" w:pos="2337"/>
          <w:tab w:val="left" w:pos="3777"/>
          <w:tab w:val="left" w:pos="5217"/>
          <w:tab w:val="left" w:pos="6657"/>
          <w:tab w:val="left" w:pos="8097"/>
          <w:tab w:val="left" w:pos="9537"/>
          <w:tab w:val="left" w:pos="10977"/>
          <w:tab w:val="left" w:pos="12417"/>
          <w:tab w:val="left" w:pos="13857"/>
          <w:tab w:val="left" w:pos="15297"/>
          <w:tab w:val="left" w:pos="15735"/>
          <w:tab w:val="left" w:pos="16442"/>
        </w:tabs>
        <w:autoSpaceDE w:val="0"/>
        <w:spacing w:before="100" w:line="360" w:lineRule="auto"/>
        <w:ind w:firstLine="454"/>
        <w:rPr>
          <w:rFonts w:ascii="Arial" w:hAnsi="Arial" w:cs="Arial"/>
          <w:color w:val="000000"/>
          <w:sz w:val="24"/>
          <w:szCs w:val="24"/>
          <w:lang/>
        </w:rPr>
      </w:pPr>
      <w:r w:rsidRPr="00226DBE">
        <w:rPr>
          <w:rFonts w:ascii="Arial" w:eastAsia="Arial" w:hAnsi="Arial" w:cs="Arial"/>
          <w:color w:val="000000"/>
          <w:sz w:val="24"/>
          <w:szCs w:val="24"/>
          <w:lang/>
        </w:rPr>
        <w:t xml:space="preserve">La tasa de pago de dividendos (si es el caso de que los cancelan) sirve para determinar el Patrimonio inicio y de cierre de año lo que permite calcular el </w:t>
      </w:r>
      <w:r w:rsidRPr="00226DBE">
        <w:rPr>
          <w:rFonts w:ascii="Arial" w:hAnsi="Arial" w:cs="Arial"/>
          <w:color w:val="000000"/>
          <w:sz w:val="24"/>
          <w:szCs w:val="24"/>
          <w:lang/>
        </w:rPr>
        <w:t>ROE anual.</w:t>
      </w:r>
    </w:p>
    <w:p w:rsidR="006774DB" w:rsidRPr="00226DBE" w:rsidRDefault="005A24AF" w:rsidP="006774DB">
      <w:pPr>
        <w:tabs>
          <w:tab w:val="left" w:pos="0"/>
          <w:tab w:val="left" w:pos="537"/>
          <w:tab w:val="left" w:pos="707"/>
          <w:tab w:val="left" w:pos="1414"/>
          <w:tab w:val="left" w:pos="2122"/>
          <w:tab w:val="left" w:pos="2830"/>
          <w:tab w:val="left" w:pos="3537"/>
          <w:tab w:val="left" w:pos="4245"/>
          <w:tab w:val="left" w:pos="4952"/>
          <w:tab w:val="left" w:pos="5660"/>
          <w:tab w:val="left" w:pos="6367"/>
          <w:tab w:val="left" w:pos="7075"/>
          <w:tab w:val="left" w:pos="7782"/>
          <w:tab w:val="left" w:pos="8490"/>
          <w:tab w:val="left" w:pos="9197"/>
          <w:tab w:val="left" w:pos="9905"/>
          <w:tab w:val="left" w:pos="10612"/>
          <w:tab w:val="left" w:pos="11320"/>
          <w:tab w:val="left" w:pos="12027"/>
          <w:tab w:val="left" w:pos="12735"/>
          <w:tab w:val="left" w:pos="13442"/>
          <w:tab w:val="left" w:pos="14150"/>
        </w:tabs>
        <w:autoSpaceDE w:val="0"/>
        <w:spacing w:before="100" w:line="360" w:lineRule="auto"/>
        <w:rPr>
          <w:rFonts w:ascii="Arial" w:eastAsia="Arial" w:hAnsi="Arial" w:cs="Arial"/>
          <w:b/>
          <w:color w:val="000000"/>
          <w:sz w:val="24"/>
          <w:szCs w:val="24"/>
          <w:lang/>
        </w:rPr>
      </w:pPr>
      <w:r>
        <w:rPr>
          <w:rFonts w:ascii="Arial" w:eastAsia="Arial" w:hAnsi="Arial" w:cs="Arial"/>
          <w:b/>
          <w:color w:val="000000"/>
          <w:sz w:val="24"/>
          <w:szCs w:val="24"/>
          <w:lang/>
        </w:rPr>
        <w:lastRenderedPageBreak/>
        <w:t>VALOR CONTABLE O</w:t>
      </w:r>
      <w:r w:rsidR="006774DB" w:rsidRPr="00226DBE">
        <w:rPr>
          <w:rFonts w:ascii="Arial" w:eastAsia="Arial" w:hAnsi="Arial" w:cs="Arial"/>
          <w:b/>
          <w:color w:val="000000"/>
          <w:sz w:val="24"/>
          <w:szCs w:val="24"/>
          <w:lang/>
        </w:rPr>
        <w:t xml:space="preserve"> LIBRO DEL PATRIMONIO PARA PERPETUIDAD</w:t>
      </w:r>
    </w:p>
    <w:p w:rsidR="006774DB" w:rsidRPr="00226DBE" w:rsidRDefault="006774DB" w:rsidP="006774DB">
      <w:pPr>
        <w:tabs>
          <w:tab w:val="left" w:pos="364"/>
          <w:tab w:val="left" w:pos="901"/>
          <w:tab w:val="left" w:pos="1261"/>
          <w:tab w:val="left" w:pos="2701"/>
          <w:tab w:val="left" w:pos="4141"/>
          <w:tab w:val="left" w:pos="5581"/>
          <w:tab w:val="left" w:pos="7021"/>
          <w:tab w:val="left" w:pos="8461"/>
          <w:tab w:val="left" w:pos="9901"/>
          <w:tab w:val="left" w:pos="11341"/>
          <w:tab w:val="left" w:pos="12781"/>
          <w:tab w:val="left" w:pos="14221"/>
          <w:tab w:val="left" w:pos="15661"/>
          <w:tab w:val="left" w:pos="16099"/>
          <w:tab w:val="left" w:pos="16806"/>
        </w:tabs>
        <w:autoSpaceDE w:val="0"/>
        <w:spacing w:before="100" w:line="360" w:lineRule="auto"/>
        <w:ind w:firstLine="454"/>
        <w:rPr>
          <w:rFonts w:ascii="Arial" w:hAnsi="Arial" w:cs="Arial"/>
          <w:color w:val="000000"/>
          <w:sz w:val="24"/>
          <w:szCs w:val="24"/>
          <w:lang/>
        </w:rPr>
      </w:pPr>
      <w:r w:rsidRPr="00226DBE">
        <w:rPr>
          <w:rFonts w:ascii="Arial" w:hAnsi="Arial" w:cs="Arial"/>
          <w:color w:val="000000"/>
          <w:sz w:val="24"/>
          <w:szCs w:val="24"/>
          <w:lang/>
        </w:rPr>
        <w:tab/>
      </w:r>
    </w:p>
    <w:p w:rsidR="006774DB" w:rsidRPr="00226DBE" w:rsidRDefault="006774DB" w:rsidP="006774DB">
      <w:pPr>
        <w:tabs>
          <w:tab w:val="left" w:pos="364"/>
          <w:tab w:val="left" w:pos="901"/>
          <w:tab w:val="left" w:pos="1261"/>
          <w:tab w:val="left" w:pos="2701"/>
          <w:tab w:val="left" w:pos="4141"/>
          <w:tab w:val="left" w:pos="5581"/>
          <w:tab w:val="left" w:pos="7021"/>
          <w:tab w:val="left" w:pos="8461"/>
          <w:tab w:val="left" w:pos="9901"/>
          <w:tab w:val="left" w:pos="11341"/>
          <w:tab w:val="left" w:pos="12781"/>
          <w:tab w:val="left" w:pos="14221"/>
          <w:tab w:val="left" w:pos="15661"/>
          <w:tab w:val="left" w:pos="16099"/>
          <w:tab w:val="left" w:pos="16806"/>
        </w:tabs>
        <w:autoSpaceDE w:val="0"/>
        <w:spacing w:before="100" w:line="360" w:lineRule="auto"/>
        <w:ind w:firstLine="454"/>
        <w:rPr>
          <w:rFonts w:ascii="Arial" w:hAnsi="Arial" w:cs="Arial"/>
          <w:color w:val="000000"/>
          <w:sz w:val="24"/>
          <w:szCs w:val="24"/>
          <w:lang/>
        </w:rPr>
      </w:pPr>
      <w:r w:rsidRPr="00226DBE">
        <w:rPr>
          <w:rFonts w:ascii="Arial" w:eastAsia="Arial" w:hAnsi="Arial" w:cs="Arial"/>
          <w:color w:val="000000"/>
          <w:sz w:val="24"/>
          <w:szCs w:val="24"/>
          <w:lang/>
        </w:rPr>
        <w:t xml:space="preserve">Basado en los supuestos del crecimiento de </w:t>
      </w:r>
      <w:smartTag w:uri="urn:schemas-microsoft-com:office:smarttags" w:element="PersonName">
        <w:smartTagPr>
          <w:attr w:name="ProductID" w:val="la Utilidad Neta"/>
        </w:smartTagPr>
        <w:r w:rsidRPr="00226DBE">
          <w:rPr>
            <w:rFonts w:ascii="Arial" w:eastAsia="Arial" w:hAnsi="Arial" w:cs="Arial"/>
            <w:color w:val="000000"/>
            <w:sz w:val="24"/>
            <w:szCs w:val="24"/>
            <w:lang/>
          </w:rPr>
          <w:t>la Utilidad Neta</w:t>
        </w:r>
      </w:smartTag>
      <w:r w:rsidRPr="00226DBE">
        <w:rPr>
          <w:rFonts w:ascii="Arial" w:eastAsia="Arial" w:hAnsi="Arial" w:cs="Arial"/>
          <w:color w:val="000000"/>
          <w:sz w:val="24"/>
          <w:szCs w:val="24"/>
          <w:lang/>
        </w:rPr>
        <w:t xml:space="preserve"> y el ROE promedio  para la perpetuidad, se determina el Valor contable del </w:t>
      </w:r>
      <w:r w:rsidRPr="00226DBE">
        <w:rPr>
          <w:rFonts w:ascii="Arial" w:hAnsi="Arial" w:cs="Arial"/>
          <w:color w:val="000000"/>
          <w:sz w:val="24"/>
          <w:szCs w:val="24"/>
          <w:lang/>
        </w:rPr>
        <w:t>Patrimonio.</w:t>
      </w:r>
    </w:p>
    <w:p w:rsidR="006774DB" w:rsidRPr="00226DBE" w:rsidRDefault="006774DB" w:rsidP="006774DB">
      <w:pPr>
        <w:tabs>
          <w:tab w:val="left" w:pos="0"/>
          <w:tab w:val="left" w:pos="707"/>
          <w:tab w:val="left" w:pos="1414"/>
          <w:tab w:val="left" w:pos="2122"/>
          <w:tab w:val="left" w:pos="2830"/>
          <w:tab w:val="left" w:pos="3537"/>
          <w:tab w:val="left" w:pos="4245"/>
          <w:tab w:val="left" w:pos="4952"/>
          <w:tab w:val="left" w:pos="5660"/>
          <w:tab w:val="left" w:pos="6367"/>
          <w:tab w:val="left" w:pos="7075"/>
          <w:tab w:val="left" w:pos="7782"/>
          <w:tab w:val="left" w:pos="8490"/>
          <w:tab w:val="left" w:pos="9197"/>
          <w:tab w:val="left" w:pos="9905"/>
          <w:tab w:val="left" w:pos="10612"/>
          <w:tab w:val="left" w:pos="11320"/>
          <w:tab w:val="left" w:pos="12027"/>
          <w:tab w:val="left" w:pos="12735"/>
          <w:tab w:val="left" w:pos="13442"/>
          <w:tab w:val="left" w:pos="14150"/>
        </w:tabs>
        <w:autoSpaceDE w:val="0"/>
        <w:spacing w:before="70" w:line="360" w:lineRule="auto"/>
        <w:jc w:val="both"/>
        <w:rPr>
          <w:rFonts w:ascii="Arial" w:hAnsi="Arial" w:cs="Arial"/>
          <w:color w:val="000000"/>
          <w:sz w:val="24"/>
          <w:szCs w:val="24"/>
          <w:lang/>
        </w:rPr>
      </w:pPr>
      <w:r w:rsidRPr="00226DBE">
        <w:rPr>
          <w:rFonts w:ascii="Arial" w:eastAsia="Arial" w:hAnsi="Arial" w:cs="Arial"/>
          <w:color w:val="000000"/>
          <w:sz w:val="24"/>
          <w:szCs w:val="24"/>
          <w:lang/>
        </w:rPr>
        <w:t xml:space="preserve"> </w:t>
      </w:r>
      <w:r w:rsidRPr="00226DBE">
        <w:rPr>
          <w:rFonts w:ascii="Arial" w:eastAsia="Arial" w:hAnsi="Arial" w:cs="Arial"/>
          <w:color w:val="000000"/>
          <w:sz w:val="24"/>
          <w:szCs w:val="24"/>
          <w:lang/>
        </w:rPr>
        <w:tab/>
      </w:r>
      <w:r w:rsidRPr="00226DBE">
        <w:rPr>
          <w:rFonts w:ascii="Arial" w:eastAsia="Arial" w:hAnsi="Arial" w:cs="Arial"/>
          <w:b/>
          <w:bCs/>
          <w:color w:val="000000"/>
          <w:sz w:val="24"/>
          <w:szCs w:val="24"/>
          <w:lang/>
        </w:rPr>
        <w:t xml:space="preserve">VL Patrimonio </w:t>
      </w:r>
      <w:r w:rsidRPr="00226DBE">
        <w:rPr>
          <w:rFonts w:ascii="Arial" w:hAnsi="Arial" w:cs="Arial"/>
          <w:b/>
          <w:bCs/>
          <w:color w:val="000000"/>
          <w:sz w:val="24"/>
          <w:szCs w:val="24"/>
          <w:lang/>
        </w:rPr>
        <w:t>perpetuidad</w:t>
      </w:r>
      <w:r w:rsidRPr="00226DBE">
        <w:rPr>
          <w:rFonts w:ascii="Arial" w:hAnsi="Arial" w:cs="Arial"/>
          <w:color w:val="000000"/>
          <w:sz w:val="24"/>
          <w:szCs w:val="24"/>
          <w:lang/>
        </w:rPr>
        <w:t xml:space="preserve">  = Utilidad Neta perpetuidad / ROE perpetuidad</w:t>
      </w:r>
    </w:p>
    <w:p w:rsidR="006774DB" w:rsidRPr="00226DBE" w:rsidRDefault="006774DB" w:rsidP="006774DB">
      <w:pPr>
        <w:tabs>
          <w:tab w:val="left" w:pos="0"/>
          <w:tab w:val="left" w:pos="707"/>
          <w:tab w:val="left" w:pos="1414"/>
          <w:tab w:val="left" w:pos="2122"/>
          <w:tab w:val="left" w:pos="2830"/>
          <w:tab w:val="left" w:pos="3537"/>
          <w:tab w:val="left" w:pos="4245"/>
          <w:tab w:val="left" w:pos="4952"/>
          <w:tab w:val="left" w:pos="5660"/>
          <w:tab w:val="left" w:pos="6367"/>
          <w:tab w:val="left" w:pos="7075"/>
          <w:tab w:val="left" w:pos="7782"/>
          <w:tab w:val="left" w:pos="8490"/>
          <w:tab w:val="left" w:pos="9197"/>
          <w:tab w:val="left" w:pos="9905"/>
          <w:tab w:val="left" w:pos="10612"/>
          <w:tab w:val="left" w:pos="11320"/>
          <w:tab w:val="left" w:pos="12027"/>
          <w:tab w:val="left" w:pos="12735"/>
          <w:tab w:val="left" w:pos="13442"/>
          <w:tab w:val="left" w:pos="14150"/>
        </w:tabs>
        <w:autoSpaceDE w:val="0"/>
        <w:spacing w:before="70" w:line="360" w:lineRule="auto"/>
        <w:ind w:firstLine="454"/>
        <w:jc w:val="both"/>
        <w:rPr>
          <w:rFonts w:ascii="Arial" w:hAnsi="Arial" w:cs="Arial"/>
          <w:color w:val="000000"/>
          <w:sz w:val="24"/>
          <w:szCs w:val="24"/>
          <w:lang/>
        </w:rPr>
      </w:pPr>
    </w:p>
    <w:p w:rsidR="006774DB" w:rsidRPr="00226DBE" w:rsidRDefault="006774DB" w:rsidP="006774DB">
      <w:pPr>
        <w:tabs>
          <w:tab w:val="left" w:pos="0"/>
          <w:tab w:val="left" w:pos="707"/>
          <w:tab w:val="left" w:pos="1414"/>
          <w:tab w:val="left" w:pos="2122"/>
          <w:tab w:val="left" w:pos="2830"/>
          <w:tab w:val="left" w:pos="3537"/>
          <w:tab w:val="left" w:pos="4245"/>
          <w:tab w:val="left" w:pos="4952"/>
          <w:tab w:val="left" w:pos="5660"/>
          <w:tab w:val="left" w:pos="6367"/>
          <w:tab w:val="left" w:pos="7075"/>
          <w:tab w:val="left" w:pos="7782"/>
          <w:tab w:val="left" w:pos="8490"/>
          <w:tab w:val="left" w:pos="9197"/>
          <w:tab w:val="left" w:pos="9905"/>
          <w:tab w:val="left" w:pos="10612"/>
          <w:tab w:val="left" w:pos="11320"/>
          <w:tab w:val="left" w:pos="12027"/>
          <w:tab w:val="left" w:pos="12735"/>
          <w:tab w:val="left" w:pos="13442"/>
          <w:tab w:val="left" w:pos="14150"/>
        </w:tabs>
        <w:autoSpaceDE w:val="0"/>
        <w:spacing w:before="100" w:line="360" w:lineRule="auto"/>
        <w:ind w:firstLine="454"/>
        <w:jc w:val="both"/>
        <w:rPr>
          <w:rFonts w:ascii="Arial" w:eastAsia="Arial" w:hAnsi="Arial" w:cs="Arial"/>
          <w:color w:val="000000"/>
          <w:sz w:val="24"/>
          <w:szCs w:val="24"/>
          <w:lang/>
        </w:rPr>
      </w:pPr>
      <w:r w:rsidRPr="00226DBE">
        <w:rPr>
          <w:rFonts w:ascii="Arial" w:eastAsia="Arial" w:hAnsi="Arial" w:cs="Arial"/>
          <w:color w:val="000000"/>
          <w:sz w:val="24"/>
          <w:szCs w:val="24"/>
          <w:lang/>
        </w:rPr>
        <w:t xml:space="preserve"> EXCESO DE RETORNO A PERPETUIDAD</w:t>
      </w:r>
    </w:p>
    <w:p w:rsidR="006774DB" w:rsidRPr="00226DBE" w:rsidRDefault="006774DB" w:rsidP="006774DB">
      <w:pPr>
        <w:tabs>
          <w:tab w:val="left" w:pos="0"/>
          <w:tab w:val="left" w:pos="707"/>
          <w:tab w:val="left" w:pos="1414"/>
          <w:tab w:val="left" w:pos="2122"/>
          <w:tab w:val="left" w:pos="2830"/>
          <w:tab w:val="left" w:pos="3537"/>
          <w:tab w:val="left" w:pos="4245"/>
          <w:tab w:val="left" w:pos="4952"/>
          <w:tab w:val="left" w:pos="5660"/>
          <w:tab w:val="left" w:pos="6367"/>
          <w:tab w:val="left" w:pos="7075"/>
          <w:tab w:val="left" w:pos="7782"/>
          <w:tab w:val="left" w:pos="8490"/>
          <w:tab w:val="left" w:pos="9197"/>
          <w:tab w:val="left" w:pos="9905"/>
          <w:tab w:val="left" w:pos="10612"/>
          <w:tab w:val="left" w:pos="11320"/>
          <w:tab w:val="left" w:pos="12027"/>
          <w:tab w:val="left" w:pos="12735"/>
          <w:tab w:val="left" w:pos="13442"/>
          <w:tab w:val="left" w:pos="14150"/>
        </w:tabs>
        <w:autoSpaceDE w:val="0"/>
        <w:spacing w:before="90" w:line="360" w:lineRule="auto"/>
        <w:ind w:firstLine="454"/>
        <w:jc w:val="both"/>
        <w:rPr>
          <w:rFonts w:ascii="Arial" w:eastAsia="Arial" w:hAnsi="Arial" w:cs="Arial"/>
          <w:color w:val="000000"/>
          <w:sz w:val="24"/>
          <w:szCs w:val="24"/>
          <w:lang/>
        </w:rPr>
      </w:pPr>
      <w:r w:rsidRPr="00226DBE">
        <w:rPr>
          <w:rFonts w:ascii="Arial" w:eastAsia="Arial" w:hAnsi="Arial" w:cs="Arial"/>
          <w:color w:val="000000"/>
          <w:sz w:val="24"/>
          <w:szCs w:val="24"/>
          <w:lang/>
        </w:rPr>
        <w:t xml:space="preserve">   </w:t>
      </w:r>
      <w:r w:rsidRPr="00226DBE">
        <w:rPr>
          <w:rFonts w:ascii="Arial" w:eastAsia="Arial" w:hAnsi="Arial" w:cs="Arial"/>
          <w:color w:val="000000"/>
          <w:sz w:val="24"/>
          <w:szCs w:val="24"/>
          <w:lang/>
        </w:rPr>
        <w:tab/>
      </w:r>
      <w:r w:rsidRPr="00226DBE">
        <w:rPr>
          <w:rFonts w:ascii="Arial" w:eastAsia="Arial" w:hAnsi="Arial" w:cs="Arial"/>
          <w:color w:val="000000"/>
          <w:sz w:val="24"/>
          <w:szCs w:val="24"/>
          <w:lang/>
        </w:rPr>
        <w:tab/>
        <w:t xml:space="preserve"> </w:t>
      </w:r>
    </w:p>
    <w:p w:rsidR="006774DB" w:rsidRPr="00226DBE" w:rsidRDefault="006774DB" w:rsidP="006774DB">
      <w:pPr>
        <w:tabs>
          <w:tab w:val="left" w:pos="0"/>
          <w:tab w:val="left" w:pos="1440"/>
          <w:tab w:val="left" w:pos="2880"/>
          <w:tab w:val="left" w:pos="4320"/>
          <w:tab w:val="left" w:pos="5760"/>
          <w:tab w:val="left" w:pos="7200"/>
          <w:tab w:val="left" w:pos="8640"/>
          <w:tab w:val="left" w:pos="10080"/>
          <w:tab w:val="left" w:pos="11520"/>
          <w:tab w:val="left" w:pos="12960"/>
          <w:tab w:val="left" w:pos="14400"/>
          <w:tab w:val="left" w:pos="15840"/>
          <w:tab w:val="left" w:pos="16272"/>
          <w:tab w:val="left" w:pos="16980"/>
        </w:tabs>
        <w:autoSpaceDE w:val="0"/>
        <w:spacing w:before="90" w:line="360" w:lineRule="auto"/>
        <w:jc w:val="both"/>
        <w:rPr>
          <w:rFonts w:ascii="Arial" w:hAnsi="Arial" w:cs="Arial"/>
          <w:color w:val="000000"/>
          <w:sz w:val="24"/>
          <w:szCs w:val="24"/>
          <w:lang/>
        </w:rPr>
      </w:pPr>
      <w:r w:rsidRPr="00226DBE">
        <w:rPr>
          <w:rFonts w:ascii="Arial" w:eastAsia="Arial" w:hAnsi="Arial" w:cs="Arial"/>
          <w:color w:val="000000"/>
          <w:sz w:val="24"/>
          <w:szCs w:val="24"/>
          <w:lang/>
        </w:rPr>
        <w:t xml:space="preserve">        </w:t>
      </w:r>
      <w:r w:rsidRPr="00226DBE">
        <w:rPr>
          <w:rFonts w:ascii="Arial" w:eastAsia="Arial" w:hAnsi="Arial" w:cs="Arial"/>
          <w:b/>
          <w:bCs/>
          <w:color w:val="000000"/>
          <w:sz w:val="24"/>
          <w:szCs w:val="24"/>
          <w:lang/>
        </w:rPr>
        <w:t>Exceso de retorno</w:t>
      </w:r>
      <w:r w:rsidRPr="00226DBE">
        <w:rPr>
          <w:rFonts w:ascii="Arial" w:hAnsi="Arial" w:cs="Arial"/>
          <w:b/>
          <w:bCs/>
          <w:color w:val="000000"/>
          <w:sz w:val="24"/>
          <w:szCs w:val="24"/>
          <w:lang/>
        </w:rPr>
        <w:t xml:space="preserve">  perpetuidad  =  </w:t>
      </w:r>
      <w:r w:rsidRPr="00226DBE">
        <w:rPr>
          <w:rFonts w:ascii="Arial" w:eastAsia="Arial" w:hAnsi="Arial" w:cs="Arial"/>
          <w:color w:val="000000"/>
          <w:sz w:val="24"/>
          <w:szCs w:val="24"/>
          <w:lang/>
        </w:rPr>
        <w:t>Utilidad Neta</w:t>
      </w:r>
      <w:r w:rsidRPr="00226DBE">
        <w:rPr>
          <w:rFonts w:ascii="Arial" w:hAnsi="Arial" w:cs="Arial"/>
          <w:color w:val="000000"/>
          <w:sz w:val="24"/>
          <w:szCs w:val="24"/>
          <w:lang/>
        </w:rPr>
        <w:t xml:space="preserve"> * (1+g) – (Ke * VL Patrimonio)</w:t>
      </w:r>
    </w:p>
    <w:p w:rsidR="006774DB" w:rsidRPr="00226DBE" w:rsidRDefault="006774DB" w:rsidP="006774DB">
      <w:pPr>
        <w:tabs>
          <w:tab w:val="left" w:pos="0"/>
          <w:tab w:val="left" w:pos="1440"/>
          <w:tab w:val="left" w:pos="2880"/>
          <w:tab w:val="left" w:pos="4320"/>
          <w:tab w:val="left" w:pos="5760"/>
          <w:tab w:val="left" w:pos="7200"/>
          <w:tab w:val="left" w:pos="8640"/>
          <w:tab w:val="left" w:pos="10080"/>
          <w:tab w:val="left" w:pos="11520"/>
          <w:tab w:val="left" w:pos="12960"/>
          <w:tab w:val="left" w:pos="14400"/>
          <w:tab w:val="left" w:pos="15840"/>
          <w:tab w:val="left" w:pos="16272"/>
          <w:tab w:val="left" w:pos="16980"/>
        </w:tabs>
        <w:autoSpaceDE w:val="0"/>
        <w:spacing w:before="90" w:line="360" w:lineRule="auto"/>
        <w:ind w:firstLine="454"/>
        <w:jc w:val="both"/>
        <w:rPr>
          <w:rFonts w:ascii="Arial" w:eastAsia="Arial" w:hAnsi="Arial" w:cs="Arial"/>
          <w:color w:val="000000"/>
          <w:sz w:val="24"/>
          <w:szCs w:val="24"/>
          <w:lang/>
        </w:rPr>
      </w:pPr>
    </w:p>
    <w:p w:rsidR="006774DB" w:rsidRPr="00226DBE" w:rsidRDefault="006774DB" w:rsidP="006774DB">
      <w:pPr>
        <w:tabs>
          <w:tab w:val="left" w:pos="0"/>
          <w:tab w:val="left" w:pos="707"/>
          <w:tab w:val="left" w:pos="1414"/>
          <w:tab w:val="left" w:pos="2122"/>
          <w:tab w:val="left" w:pos="2830"/>
          <w:tab w:val="left" w:pos="3537"/>
          <w:tab w:val="left" w:pos="4245"/>
          <w:tab w:val="left" w:pos="4952"/>
          <w:tab w:val="left" w:pos="5660"/>
          <w:tab w:val="left" w:pos="6367"/>
          <w:tab w:val="left" w:pos="7075"/>
          <w:tab w:val="left" w:pos="7782"/>
          <w:tab w:val="left" w:pos="8490"/>
          <w:tab w:val="left" w:pos="9197"/>
          <w:tab w:val="left" w:pos="9905"/>
          <w:tab w:val="left" w:pos="10612"/>
          <w:tab w:val="left" w:pos="11320"/>
          <w:tab w:val="left" w:pos="12027"/>
          <w:tab w:val="left" w:pos="12735"/>
          <w:tab w:val="left" w:pos="13442"/>
          <w:tab w:val="left" w:pos="14150"/>
        </w:tabs>
        <w:autoSpaceDE w:val="0"/>
        <w:spacing w:before="100" w:line="360" w:lineRule="auto"/>
        <w:jc w:val="both"/>
        <w:rPr>
          <w:rFonts w:ascii="Arial" w:eastAsia="Arial" w:hAnsi="Arial" w:cs="Arial"/>
          <w:color w:val="000000"/>
          <w:sz w:val="24"/>
          <w:szCs w:val="24"/>
          <w:lang/>
        </w:rPr>
      </w:pPr>
      <w:r w:rsidRPr="00226DBE">
        <w:rPr>
          <w:rFonts w:ascii="Arial" w:eastAsia="Arial" w:hAnsi="Arial" w:cs="Arial"/>
          <w:color w:val="000000"/>
          <w:sz w:val="24"/>
          <w:szCs w:val="24"/>
          <w:lang/>
        </w:rPr>
        <w:t xml:space="preserve">        VALOR A PERPETUIDAD DEL EXCESO DE RETORNO</w:t>
      </w:r>
    </w:p>
    <w:p w:rsidR="006774DB" w:rsidRPr="00226DBE" w:rsidRDefault="006774DB" w:rsidP="006774DB">
      <w:pPr>
        <w:tabs>
          <w:tab w:val="left" w:pos="0"/>
          <w:tab w:val="left" w:pos="707"/>
          <w:tab w:val="left" w:pos="1414"/>
          <w:tab w:val="left" w:pos="2122"/>
          <w:tab w:val="left" w:pos="2830"/>
          <w:tab w:val="left" w:pos="3537"/>
          <w:tab w:val="left" w:pos="4245"/>
          <w:tab w:val="left" w:pos="4952"/>
          <w:tab w:val="left" w:pos="5660"/>
          <w:tab w:val="left" w:pos="6367"/>
          <w:tab w:val="left" w:pos="7075"/>
          <w:tab w:val="left" w:pos="7782"/>
          <w:tab w:val="left" w:pos="8490"/>
          <w:tab w:val="left" w:pos="9197"/>
          <w:tab w:val="left" w:pos="9905"/>
          <w:tab w:val="left" w:pos="10612"/>
          <w:tab w:val="left" w:pos="11320"/>
          <w:tab w:val="left" w:pos="12027"/>
          <w:tab w:val="left" w:pos="12735"/>
          <w:tab w:val="left" w:pos="13442"/>
          <w:tab w:val="left" w:pos="14150"/>
        </w:tabs>
        <w:autoSpaceDE w:val="0"/>
        <w:spacing w:before="90" w:line="360" w:lineRule="auto"/>
        <w:ind w:firstLine="454"/>
        <w:jc w:val="both"/>
        <w:rPr>
          <w:rFonts w:ascii="Arial" w:eastAsia="Arial" w:hAnsi="Arial" w:cs="Arial"/>
          <w:color w:val="000000"/>
          <w:sz w:val="24"/>
          <w:szCs w:val="24"/>
          <w:lang/>
        </w:rPr>
      </w:pPr>
      <w:r w:rsidRPr="00226DBE">
        <w:rPr>
          <w:rFonts w:ascii="Arial" w:eastAsia="Arial" w:hAnsi="Arial" w:cs="Arial"/>
          <w:color w:val="000000"/>
          <w:sz w:val="24"/>
          <w:szCs w:val="24"/>
          <w:lang/>
        </w:rPr>
        <w:t xml:space="preserve">   </w:t>
      </w:r>
    </w:p>
    <w:p w:rsidR="006774DB" w:rsidRPr="00226DBE" w:rsidRDefault="006774DB" w:rsidP="006774DB">
      <w:pPr>
        <w:tabs>
          <w:tab w:val="left" w:pos="0"/>
          <w:tab w:val="left" w:pos="1440"/>
          <w:tab w:val="left" w:pos="2880"/>
          <w:tab w:val="left" w:pos="4320"/>
          <w:tab w:val="left" w:pos="5760"/>
          <w:tab w:val="left" w:pos="7200"/>
          <w:tab w:val="left" w:pos="8640"/>
          <w:tab w:val="left" w:pos="10080"/>
          <w:tab w:val="left" w:pos="11520"/>
          <w:tab w:val="left" w:pos="12960"/>
          <w:tab w:val="left" w:pos="14400"/>
          <w:tab w:val="left" w:pos="15840"/>
          <w:tab w:val="left" w:pos="16272"/>
          <w:tab w:val="left" w:pos="16980"/>
        </w:tabs>
        <w:autoSpaceDE w:val="0"/>
        <w:spacing w:before="90" w:line="360" w:lineRule="auto"/>
        <w:ind w:firstLine="454"/>
        <w:jc w:val="both"/>
        <w:rPr>
          <w:rFonts w:ascii="Arial" w:hAnsi="Arial" w:cs="Arial"/>
          <w:color w:val="000000"/>
          <w:sz w:val="24"/>
          <w:szCs w:val="24"/>
          <w:lang/>
        </w:rPr>
      </w:pPr>
      <w:r w:rsidRPr="00226DBE">
        <w:rPr>
          <w:rFonts w:ascii="Arial" w:eastAsia="Arial" w:hAnsi="Arial" w:cs="Arial"/>
          <w:b/>
          <w:bCs/>
          <w:color w:val="000000"/>
          <w:sz w:val="24"/>
          <w:szCs w:val="24"/>
          <w:lang/>
        </w:rPr>
        <w:t xml:space="preserve">Valor a perpetuidad del exceso de retorno </w:t>
      </w:r>
      <w:r w:rsidRPr="00226DBE">
        <w:rPr>
          <w:rFonts w:ascii="Arial" w:eastAsia="Arial" w:hAnsi="Arial" w:cs="Arial"/>
          <w:color w:val="000000"/>
          <w:sz w:val="24"/>
          <w:szCs w:val="24"/>
          <w:lang/>
        </w:rPr>
        <w:t>=</w:t>
      </w:r>
      <w:r w:rsidRPr="00226DBE">
        <w:rPr>
          <w:rFonts w:ascii="Arial" w:hAnsi="Arial" w:cs="Arial"/>
          <w:color w:val="000000"/>
          <w:sz w:val="24"/>
          <w:szCs w:val="24"/>
          <w:lang/>
        </w:rPr>
        <w:t xml:space="preserve"> </w:t>
      </w:r>
      <w:r w:rsidRPr="00226DBE">
        <w:rPr>
          <w:rFonts w:ascii="Arial" w:eastAsia="Arial" w:hAnsi="Arial" w:cs="Arial"/>
          <w:color w:val="000000"/>
          <w:sz w:val="24"/>
          <w:szCs w:val="24"/>
          <w:lang/>
        </w:rPr>
        <w:t xml:space="preserve">Exceso de Retorno </w:t>
      </w:r>
      <w:r w:rsidRPr="00226DBE">
        <w:rPr>
          <w:rFonts w:ascii="Arial" w:hAnsi="Arial" w:cs="Arial"/>
          <w:color w:val="000000"/>
          <w:sz w:val="24"/>
          <w:szCs w:val="24"/>
          <w:lang/>
        </w:rPr>
        <w:t>perpetuidad/ (Ke – g)</w:t>
      </w:r>
    </w:p>
    <w:p w:rsidR="006774DB" w:rsidRPr="00226DBE" w:rsidRDefault="006774DB" w:rsidP="006774DB">
      <w:pPr>
        <w:tabs>
          <w:tab w:val="left" w:pos="0"/>
          <w:tab w:val="left" w:pos="707"/>
          <w:tab w:val="left" w:pos="1414"/>
          <w:tab w:val="left" w:pos="2122"/>
          <w:tab w:val="left" w:pos="2830"/>
          <w:tab w:val="left" w:pos="3537"/>
          <w:tab w:val="left" w:pos="4245"/>
          <w:tab w:val="left" w:pos="4952"/>
          <w:tab w:val="left" w:pos="5660"/>
          <w:tab w:val="left" w:pos="6367"/>
          <w:tab w:val="left" w:pos="7075"/>
          <w:tab w:val="left" w:pos="7782"/>
          <w:tab w:val="left" w:pos="8490"/>
          <w:tab w:val="left" w:pos="9197"/>
          <w:tab w:val="left" w:pos="9905"/>
          <w:tab w:val="left" w:pos="10612"/>
          <w:tab w:val="left" w:pos="11320"/>
          <w:tab w:val="left" w:pos="12027"/>
          <w:tab w:val="left" w:pos="12735"/>
          <w:tab w:val="left" w:pos="13442"/>
          <w:tab w:val="left" w:pos="14150"/>
        </w:tabs>
        <w:autoSpaceDE w:val="0"/>
        <w:spacing w:before="90" w:line="360" w:lineRule="auto"/>
        <w:ind w:firstLine="454"/>
        <w:jc w:val="both"/>
        <w:rPr>
          <w:rFonts w:ascii="Arial" w:hAnsi="Arial" w:cs="Arial"/>
          <w:color w:val="000000"/>
          <w:sz w:val="24"/>
          <w:szCs w:val="24"/>
          <w:lang/>
        </w:rPr>
      </w:pPr>
    </w:p>
    <w:p w:rsidR="006774DB" w:rsidRPr="00226DBE" w:rsidRDefault="006774DB" w:rsidP="006774DB">
      <w:pPr>
        <w:tabs>
          <w:tab w:val="left" w:pos="0"/>
          <w:tab w:val="left" w:pos="707"/>
          <w:tab w:val="left" w:pos="1414"/>
          <w:tab w:val="left" w:pos="2122"/>
          <w:tab w:val="left" w:pos="2830"/>
          <w:tab w:val="left" w:pos="3537"/>
          <w:tab w:val="left" w:pos="4245"/>
          <w:tab w:val="left" w:pos="4952"/>
          <w:tab w:val="left" w:pos="5660"/>
          <w:tab w:val="left" w:pos="6367"/>
          <w:tab w:val="left" w:pos="7075"/>
          <w:tab w:val="left" w:pos="7782"/>
          <w:tab w:val="left" w:pos="8490"/>
          <w:tab w:val="left" w:pos="9197"/>
          <w:tab w:val="left" w:pos="9905"/>
          <w:tab w:val="left" w:pos="10612"/>
          <w:tab w:val="left" w:pos="11320"/>
          <w:tab w:val="left" w:pos="12027"/>
          <w:tab w:val="left" w:pos="12735"/>
          <w:tab w:val="left" w:pos="13442"/>
          <w:tab w:val="left" w:pos="14150"/>
        </w:tabs>
        <w:autoSpaceDE w:val="0"/>
        <w:spacing w:before="90" w:line="360" w:lineRule="auto"/>
        <w:ind w:firstLine="454"/>
        <w:jc w:val="both"/>
        <w:rPr>
          <w:rFonts w:ascii="Arial" w:hAnsi="Arial" w:cs="Arial"/>
          <w:color w:val="000000"/>
          <w:sz w:val="24"/>
          <w:szCs w:val="24"/>
          <w:lang/>
        </w:rPr>
      </w:pPr>
      <w:r w:rsidRPr="00226DBE">
        <w:rPr>
          <w:rFonts w:ascii="Arial" w:eastAsia="Arial" w:hAnsi="Arial" w:cs="Arial"/>
          <w:color w:val="000000"/>
          <w:sz w:val="24"/>
          <w:szCs w:val="24"/>
          <w:lang/>
        </w:rPr>
        <w:t xml:space="preserve">Al igual que en modelos anteriores, se calcula el Valor presente de todos los </w:t>
      </w:r>
      <w:r w:rsidRPr="00226DBE">
        <w:rPr>
          <w:rFonts w:ascii="Arial" w:hAnsi="Arial" w:cs="Arial"/>
          <w:color w:val="000000"/>
          <w:sz w:val="24"/>
          <w:szCs w:val="24"/>
          <w:lang/>
        </w:rPr>
        <w:t>retornos en exceso tanto de los años proyectados como de la perpetuidad.</w:t>
      </w:r>
    </w:p>
    <w:p w:rsidR="00384BAC" w:rsidRDefault="00384BAC" w:rsidP="006774DB">
      <w:pPr>
        <w:tabs>
          <w:tab w:val="left" w:pos="0"/>
          <w:tab w:val="left" w:pos="707"/>
          <w:tab w:val="left" w:pos="1414"/>
          <w:tab w:val="left" w:pos="2122"/>
          <w:tab w:val="left" w:pos="2830"/>
          <w:tab w:val="left" w:pos="3537"/>
          <w:tab w:val="left" w:pos="4245"/>
          <w:tab w:val="left" w:pos="4952"/>
          <w:tab w:val="left" w:pos="5660"/>
          <w:tab w:val="left" w:pos="6367"/>
          <w:tab w:val="left" w:pos="7075"/>
          <w:tab w:val="left" w:pos="7782"/>
          <w:tab w:val="left" w:pos="8490"/>
          <w:tab w:val="left" w:pos="9197"/>
          <w:tab w:val="left" w:pos="9905"/>
          <w:tab w:val="left" w:pos="10612"/>
          <w:tab w:val="left" w:pos="11320"/>
          <w:tab w:val="left" w:pos="12027"/>
          <w:tab w:val="left" w:pos="12735"/>
          <w:tab w:val="left" w:pos="13442"/>
          <w:tab w:val="left" w:pos="14150"/>
        </w:tabs>
        <w:autoSpaceDE w:val="0"/>
        <w:spacing w:before="100" w:line="360" w:lineRule="auto"/>
        <w:ind w:firstLine="454"/>
        <w:jc w:val="both"/>
        <w:rPr>
          <w:rFonts w:ascii="Arial" w:eastAsia="Arial" w:hAnsi="Arial" w:cs="Arial"/>
          <w:color w:val="000000"/>
          <w:sz w:val="24"/>
          <w:szCs w:val="24"/>
          <w:lang/>
        </w:rPr>
      </w:pPr>
    </w:p>
    <w:p w:rsidR="003231C2" w:rsidRDefault="003231C2" w:rsidP="006774DB">
      <w:pPr>
        <w:tabs>
          <w:tab w:val="left" w:pos="0"/>
          <w:tab w:val="left" w:pos="707"/>
          <w:tab w:val="left" w:pos="1414"/>
          <w:tab w:val="left" w:pos="2122"/>
          <w:tab w:val="left" w:pos="2830"/>
          <w:tab w:val="left" w:pos="3537"/>
          <w:tab w:val="left" w:pos="4245"/>
          <w:tab w:val="left" w:pos="4952"/>
          <w:tab w:val="left" w:pos="5660"/>
          <w:tab w:val="left" w:pos="6367"/>
          <w:tab w:val="left" w:pos="7075"/>
          <w:tab w:val="left" w:pos="7782"/>
          <w:tab w:val="left" w:pos="8490"/>
          <w:tab w:val="left" w:pos="9197"/>
          <w:tab w:val="left" w:pos="9905"/>
          <w:tab w:val="left" w:pos="10612"/>
          <w:tab w:val="left" w:pos="11320"/>
          <w:tab w:val="left" w:pos="12027"/>
          <w:tab w:val="left" w:pos="12735"/>
          <w:tab w:val="left" w:pos="13442"/>
          <w:tab w:val="left" w:pos="14150"/>
        </w:tabs>
        <w:autoSpaceDE w:val="0"/>
        <w:spacing w:before="100" w:line="360" w:lineRule="auto"/>
        <w:ind w:firstLine="454"/>
        <w:jc w:val="both"/>
        <w:rPr>
          <w:rFonts w:ascii="Arial" w:eastAsia="Arial" w:hAnsi="Arial" w:cs="Arial"/>
          <w:color w:val="000000"/>
          <w:sz w:val="24"/>
          <w:szCs w:val="24"/>
          <w:lang/>
        </w:rPr>
      </w:pPr>
    </w:p>
    <w:p w:rsidR="006774DB" w:rsidRPr="00226DBE" w:rsidRDefault="006774DB" w:rsidP="006774DB">
      <w:pPr>
        <w:tabs>
          <w:tab w:val="left" w:pos="0"/>
          <w:tab w:val="left" w:pos="707"/>
          <w:tab w:val="left" w:pos="1414"/>
          <w:tab w:val="left" w:pos="2122"/>
          <w:tab w:val="left" w:pos="2830"/>
          <w:tab w:val="left" w:pos="3537"/>
          <w:tab w:val="left" w:pos="4245"/>
          <w:tab w:val="left" w:pos="4952"/>
          <w:tab w:val="left" w:pos="5660"/>
          <w:tab w:val="left" w:pos="6367"/>
          <w:tab w:val="left" w:pos="7075"/>
          <w:tab w:val="left" w:pos="7782"/>
          <w:tab w:val="left" w:pos="8490"/>
          <w:tab w:val="left" w:pos="9197"/>
          <w:tab w:val="left" w:pos="9905"/>
          <w:tab w:val="left" w:pos="10612"/>
          <w:tab w:val="left" w:pos="11320"/>
          <w:tab w:val="left" w:pos="12027"/>
          <w:tab w:val="left" w:pos="12735"/>
          <w:tab w:val="left" w:pos="13442"/>
          <w:tab w:val="left" w:pos="14150"/>
        </w:tabs>
        <w:autoSpaceDE w:val="0"/>
        <w:spacing w:before="100" w:line="360" w:lineRule="auto"/>
        <w:ind w:firstLine="454"/>
        <w:jc w:val="both"/>
        <w:rPr>
          <w:rFonts w:ascii="Arial" w:eastAsia="Arial" w:hAnsi="Arial" w:cs="Arial"/>
          <w:color w:val="000000"/>
          <w:sz w:val="24"/>
          <w:szCs w:val="24"/>
          <w:lang/>
        </w:rPr>
      </w:pPr>
      <w:r w:rsidRPr="00226DBE">
        <w:rPr>
          <w:rFonts w:ascii="Arial" w:eastAsia="Arial" w:hAnsi="Arial" w:cs="Arial"/>
          <w:color w:val="000000"/>
          <w:sz w:val="24"/>
          <w:szCs w:val="24"/>
          <w:lang/>
        </w:rPr>
        <w:lastRenderedPageBreak/>
        <w:t>VALOR DE MERCADO DEL PATRIMONIO</w:t>
      </w:r>
    </w:p>
    <w:p w:rsidR="006774DB" w:rsidRPr="00226DBE" w:rsidRDefault="006774DB" w:rsidP="006774DB">
      <w:pPr>
        <w:tabs>
          <w:tab w:val="left" w:pos="0"/>
          <w:tab w:val="left" w:pos="707"/>
          <w:tab w:val="left" w:pos="1414"/>
          <w:tab w:val="left" w:pos="2122"/>
          <w:tab w:val="left" w:pos="2830"/>
          <w:tab w:val="left" w:pos="3537"/>
          <w:tab w:val="left" w:pos="4245"/>
          <w:tab w:val="left" w:pos="4952"/>
          <w:tab w:val="left" w:pos="5660"/>
          <w:tab w:val="left" w:pos="6367"/>
          <w:tab w:val="left" w:pos="7075"/>
          <w:tab w:val="left" w:pos="7782"/>
          <w:tab w:val="left" w:pos="8490"/>
          <w:tab w:val="left" w:pos="9197"/>
          <w:tab w:val="left" w:pos="9905"/>
          <w:tab w:val="left" w:pos="10612"/>
          <w:tab w:val="left" w:pos="11320"/>
          <w:tab w:val="left" w:pos="12027"/>
          <w:tab w:val="left" w:pos="12735"/>
          <w:tab w:val="left" w:pos="13442"/>
          <w:tab w:val="left" w:pos="14150"/>
        </w:tabs>
        <w:autoSpaceDE w:val="0"/>
        <w:spacing w:before="100" w:line="360" w:lineRule="auto"/>
        <w:ind w:firstLine="454"/>
        <w:jc w:val="both"/>
        <w:rPr>
          <w:rFonts w:ascii="Arial" w:eastAsia="Arial" w:hAnsi="Arial" w:cs="Arial"/>
          <w:color w:val="000000"/>
          <w:sz w:val="24"/>
          <w:szCs w:val="24"/>
          <w:lang/>
        </w:rPr>
      </w:pPr>
    </w:p>
    <w:p w:rsidR="006774DB" w:rsidRDefault="006774DB" w:rsidP="006774DB">
      <w:pPr>
        <w:tabs>
          <w:tab w:val="left" w:pos="638"/>
          <w:tab w:val="left" w:pos="2078"/>
          <w:tab w:val="left" w:pos="3518"/>
          <w:tab w:val="left" w:pos="4958"/>
          <w:tab w:val="left" w:pos="6398"/>
          <w:tab w:val="left" w:pos="7838"/>
          <w:tab w:val="left" w:pos="9278"/>
          <w:tab w:val="left" w:pos="10718"/>
          <w:tab w:val="left" w:pos="12158"/>
          <w:tab w:val="left" w:pos="13598"/>
          <w:tab w:val="left" w:pos="15038"/>
          <w:tab w:val="left" w:pos="16478"/>
          <w:tab w:val="left" w:pos="16910"/>
          <w:tab w:val="left" w:pos="17618"/>
        </w:tabs>
        <w:autoSpaceDE w:val="0"/>
        <w:spacing w:before="70" w:line="360" w:lineRule="auto"/>
        <w:ind w:firstLine="454"/>
        <w:jc w:val="both"/>
        <w:rPr>
          <w:rFonts w:ascii="Arial" w:hAnsi="Arial" w:cs="Arial"/>
          <w:lang/>
        </w:rPr>
      </w:pPr>
      <w:r w:rsidRPr="00226DBE">
        <w:rPr>
          <w:rFonts w:ascii="Arial" w:hAnsi="Arial" w:cs="Arial"/>
          <w:sz w:val="24"/>
          <w:szCs w:val="24"/>
          <w:lang/>
        </w:rPr>
        <w:t>El valor de Mercado del patrimonio es la suma del Valor presente de los retornos en exceso y del Valor contable del patrimonio HOY.</w:t>
      </w:r>
      <w:r w:rsidRPr="00226DBE">
        <w:rPr>
          <w:rFonts w:ascii="Arial" w:hAnsi="Arial" w:cs="Arial"/>
          <w:sz w:val="24"/>
          <w:szCs w:val="24"/>
          <w:lang/>
        </w:rPr>
        <w:tab/>
      </w:r>
    </w:p>
    <w:p w:rsidR="006774DB" w:rsidRDefault="006774DB" w:rsidP="006774DB">
      <w:pPr>
        <w:tabs>
          <w:tab w:val="left" w:pos="638"/>
          <w:tab w:val="left" w:pos="2078"/>
          <w:tab w:val="left" w:pos="3518"/>
          <w:tab w:val="left" w:pos="4958"/>
          <w:tab w:val="left" w:pos="6398"/>
          <w:tab w:val="left" w:pos="7838"/>
          <w:tab w:val="left" w:pos="9278"/>
          <w:tab w:val="left" w:pos="10718"/>
          <w:tab w:val="left" w:pos="12158"/>
          <w:tab w:val="left" w:pos="13598"/>
          <w:tab w:val="left" w:pos="15038"/>
          <w:tab w:val="left" w:pos="16478"/>
          <w:tab w:val="left" w:pos="16910"/>
          <w:tab w:val="left" w:pos="17618"/>
        </w:tabs>
        <w:autoSpaceDE w:val="0"/>
        <w:spacing w:before="70" w:line="360" w:lineRule="auto"/>
        <w:ind w:firstLine="454"/>
        <w:jc w:val="both"/>
        <w:rPr>
          <w:rFonts w:ascii="Arial" w:hAnsi="Arial" w:cs="Arial"/>
          <w:color w:val="000000"/>
          <w:lang/>
        </w:rPr>
      </w:pPr>
    </w:p>
    <w:p w:rsidR="006774DB" w:rsidRPr="00226DBE" w:rsidRDefault="006774DB" w:rsidP="006774DB">
      <w:pPr>
        <w:spacing w:line="360" w:lineRule="auto"/>
        <w:ind w:left="705" w:hanging="705"/>
        <w:jc w:val="both"/>
        <w:rPr>
          <w:rFonts w:ascii="Arial" w:hAnsi="Arial" w:cs="Arial"/>
          <w:b/>
          <w:bCs/>
          <w:sz w:val="28"/>
          <w:szCs w:val="28"/>
          <w:lang/>
        </w:rPr>
      </w:pPr>
      <w:r>
        <w:rPr>
          <w:rFonts w:ascii="Arial" w:hAnsi="Arial" w:cs="Arial"/>
          <w:b/>
          <w:bCs/>
          <w:lang/>
        </w:rPr>
        <w:t>2.2.3</w:t>
      </w:r>
      <w:r>
        <w:rPr>
          <w:rFonts w:ascii="Arial" w:hAnsi="Arial" w:cs="Arial"/>
          <w:b/>
          <w:bCs/>
          <w:lang/>
        </w:rPr>
        <w:tab/>
      </w:r>
      <w:r w:rsidRPr="00226DBE">
        <w:rPr>
          <w:rFonts w:ascii="Arial" w:hAnsi="Arial" w:cs="Arial"/>
          <w:b/>
          <w:bCs/>
          <w:sz w:val="28"/>
          <w:szCs w:val="28"/>
          <w:lang/>
        </w:rPr>
        <w:t xml:space="preserve">METODOLOGÍA DE </w:t>
      </w:r>
      <w:smartTag w:uri="urn:schemas-microsoft-com:office:smarttags" w:element="PersonName">
        <w:smartTagPr>
          <w:attr w:name="ProductID" w:val="LA TASA DE"/>
        </w:smartTagPr>
        <w:r w:rsidRPr="00226DBE">
          <w:rPr>
            <w:rFonts w:ascii="Arial" w:hAnsi="Arial" w:cs="Arial"/>
            <w:b/>
            <w:bCs/>
            <w:sz w:val="28"/>
            <w:szCs w:val="28"/>
            <w:lang/>
          </w:rPr>
          <w:t>LA TASA DE</w:t>
        </w:r>
      </w:smartTag>
      <w:r w:rsidRPr="00226DBE">
        <w:rPr>
          <w:rFonts w:ascii="Arial" w:hAnsi="Arial" w:cs="Arial"/>
          <w:b/>
          <w:bCs/>
          <w:sz w:val="28"/>
          <w:szCs w:val="28"/>
          <w:lang/>
        </w:rPr>
        <w:t xml:space="preserve"> DESCUENTO A UTILIZAR O TASA DE COSTO PATRIMONIAL</w:t>
      </w:r>
    </w:p>
    <w:p w:rsidR="006774DB" w:rsidRPr="00226DBE" w:rsidRDefault="006774DB" w:rsidP="006774DB">
      <w:pPr>
        <w:spacing w:line="360" w:lineRule="auto"/>
        <w:ind w:firstLine="454"/>
        <w:jc w:val="both"/>
        <w:rPr>
          <w:rFonts w:cs="Calibri"/>
          <w:sz w:val="28"/>
          <w:szCs w:val="28"/>
          <w:lang/>
        </w:rPr>
      </w:pPr>
    </w:p>
    <w:p w:rsidR="006774DB" w:rsidRPr="00226DBE" w:rsidRDefault="006774DB" w:rsidP="006774DB">
      <w:pPr>
        <w:spacing w:line="360" w:lineRule="auto"/>
        <w:ind w:firstLine="454"/>
        <w:jc w:val="both"/>
        <w:rPr>
          <w:rFonts w:ascii="Arial" w:hAnsi="Arial" w:cs="Arial"/>
          <w:sz w:val="24"/>
          <w:szCs w:val="24"/>
          <w:lang/>
        </w:rPr>
      </w:pPr>
      <w:r w:rsidRPr="00226DBE">
        <w:rPr>
          <w:rFonts w:ascii="Arial" w:hAnsi="Arial" w:cs="Arial"/>
          <w:sz w:val="24"/>
          <w:szCs w:val="24"/>
          <w:lang/>
        </w:rPr>
        <w:t xml:space="preserve">Para estimar  </w:t>
      </w:r>
      <w:smartTag w:uri="urn:schemas-microsoft-com:office:smarttags" w:element="PersonName">
        <w:smartTagPr>
          <w:attr w:name="ProductID" w:val="la Tasa"/>
        </w:smartTagPr>
        <w:r w:rsidRPr="00226DBE">
          <w:rPr>
            <w:rFonts w:ascii="Arial" w:hAnsi="Arial" w:cs="Arial"/>
            <w:sz w:val="24"/>
            <w:szCs w:val="24"/>
            <w:lang/>
          </w:rPr>
          <w:t>la Tasa</w:t>
        </w:r>
      </w:smartTag>
      <w:r w:rsidRPr="00226DBE">
        <w:rPr>
          <w:rFonts w:ascii="Arial" w:hAnsi="Arial" w:cs="Arial"/>
          <w:sz w:val="24"/>
          <w:szCs w:val="24"/>
          <w:lang/>
        </w:rPr>
        <w:t xml:space="preserve"> de Costo Patrimonial se recomienda usar el modelo de valoración de activos de capital (CAPM). Según este modelo el costo de oportunidad del patrimonio es igual al retorno sobre la tasa de riesgo, más el riesgo sistemático de la compañía (Beta) multiplicado por el premio sobre el riesgo de mercado.</w:t>
      </w:r>
    </w:p>
    <w:p w:rsidR="006774DB" w:rsidRPr="00226DBE" w:rsidRDefault="006774DB" w:rsidP="006774DB">
      <w:pPr>
        <w:spacing w:line="360" w:lineRule="auto"/>
        <w:ind w:firstLine="454"/>
        <w:jc w:val="both"/>
        <w:rPr>
          <w:rFonts w:ascii="Arial" w:hAnsi="Arial" w:cs="Arial"/>
          <w:sz w:val="24"/>
          <w:szCs w:val="24"/>
          <w:lang/>
        </w:rPr>
      </w:pPr>
    </w:p>
    <w:p w:rsidR="006774DB" w:rsidRPr="00226DBE" w:rsidRDefault="006774DB" w:rsidP="006774DB">
      <w:pPr>
        <w:spacing w:line="360" w:lineRule="auto"/>
        <w:ind w:firstLine="454"/>
        <w:jc w:val="both"/>
        <w:rPr>
          <w:rFonts w:ascii="Arial" w:hAnsi="Arial" w:cs="Arial"/>
          <w:i/>
          <w:sz w:val="24"/>
          <w:szCs w:val="24"/>
          <w:lang/>
        </w:rPr>
      </w:pPr>
      <w:r w:rsidRPr="00226DBE">
        <w:rPr>
          <w:rFonts w:ascii="Arial" w:hAnsi="Arial" w:cs="Arial"/>
          <w:i/>
          <w:sz w:val="24"/>
          <w:szCs w:val="24"/>
          <w:lang/>
        </w:rPr>
        <w:t>Donde:</w:t>
      </w:r>
    </w:p>
    <w:p w:rsidR="006774DB" w:rsidRPr="00226DBE" w:rsidRDefault="006774DB" w:rsidP="006774DB">
      <w:pPr>
        <w:spacing w:line="360" w:lineRule="auto"/>
        <w:ind w:firstLine="709"/>
        <w:jc w:val="both"/>
        <w:rPr>
          <w:rFonts w:ascii="Arial" w:hAnsi="Arial" w:cs="Arial"/>
          <w:sz w:val="24"/>
          <w:szCs w:val="24"/>
          <w:lang/>
        </w:rPr>
      </w:pPr>
      <w:r w:rsidRPr="00226DBE">
        <w:rPr>
          <w:rFonts w:ascii="Arial" w:hAnsi="Arial" w:cs="Arial"/>
          <w:sz w:val="24"/>
          <w:szCs w:val="24"/>
          <w:lang/>
        </w:rPr>
        <w:t>r: tasa de costo patrimonial</w:t>
      </w:r>
    </w:p>
    <w:p w:rsidR="006774DB" w:rsidRPr="00226DBE" w:rsidRDefault="006774DB" w:rsidP="006774DB">
      <w:pPr>
        <w:spacing w:line="360" w:lineRule="auto"/>
        <w:ind w:firstLine="709"/>
        <w:jc w:val="both"/>
        <w:rPr>
          <w:rFonts w:ascii="Arial" w:hAnsi="Arial" w:cs="Arial"/>
          <w:sz w:val="24"/>
          <w:szCs w:val="24"/>
          <w:lang/>
        </w:rPr>
      </w:pPr>
      <w:r w:rsidRPr="00226DBE">
        <w:rPr>
          <w:rFonts w:ascii="Arial" w:hAnsi="Arial" w:cs="Arial"/>
          <w:sz w:val="24"/>
          <w:szCs w:val="24"/>
          <w:lang/>
        </w:rPr>
        <w:t>r</w:t>
      </w:r>
      <w:r w:rsidRPr="00226DBE">
        <w:rPr>
          <w:rFonts w:ascii="Arial" w:hAnsi="Arial" w:cs="Arial"/>
          <w:sz w:val="24"/>
          <w:szCs w:val="24"/>
          <w:vertAlign w:val="subscript"/>
          <w:lang/>
        </w:rPr>
        <w:t>f:</w:t>
      </w:r>
      <w:r w:rsidRPr="00226DBE">
        <w:rPr>
          <w:rFonts w:ascii="Arial" w:hAnsi="Arial" w:cs="Arial"/>
          <w:sz w:val="24"/>
          <w:szCs w:val="24"/>
          <w:lang/>
        </w:rPr>
        <w:t xml:space="preserve"> Tasa libre de riesgo.</w:t>
      </w:r>
    </w:p>
    <w:p w:rsidR="006774DB" w:rsidRPr="00226DBE" w:rsidRDefault="006774DB" w:rsidP="006774DB">
      <w:pPr>
        <w:spacing w:line="360" w:lineRule="auto"/>
        <w:ind w:firstLine="709"/>
        <w:jc w:val="both"/>
        <w:rPr>
          <w:rFonts w:ascii="Arial" w:hAnsi="Arial" w:cs="Arial"/>
          <w:sz w:val="24"/>
          <w:szCs w:val="24"/>
          <w:lang/>
        </w:rPr>
      </w:pPr>
      <w:r w:rsidRPr="00226DBE">
        <w:rPr>
          <w:rFonts w:ascii="Arial" w:hAnsi="Arial" w:cs="Arial"/>
          <w:sz w:val="24"/>
          <w:szCs w:val="24"/>
          <w:lang/>
        </w:rPr>
        <w:t>Β: Riesgo Sistemático.</w:t>
      </w:r>
    </w:p>
    <w:p w:rsidR="00FC5E55" w:rsidRPr="00384BAC" w:rsidRDefault="006774DB" w:rsidP="00384BAC">
      <w:pPr>
        <w:spacing w:line="360" w:lineRule="auto"/>
        <w:ind w:firstLine="709"/>
        <w:jc w:val="both"/>
        <w:rPr>
          <w:rFonts w:ascii="Arial" w:hAnsi="Arial" w:cs="Arial"/>
          <w:sz w:val="24"/>
          <w:szCs w:val="24"/>
          <w:lang/>
        </w:rPr>
      </w:pPr>
      <w:r w:rsidRPr="00226DBE">
        <w:rPr>
          <w:rFonts w:ascii="Arial" w:hAnsi="Arial" w:cs="Arial"/>
          <w:sz w:val="24"/>
          <w:szCs w:val="24"/>
          <w:lang/>
        </w:rPr>
        <w:t>E ((r</w:t>
      </w:r>
      <w:r w:rsidRPr="00226DBE">
        <w:rPr>
          <w:rFonts w:ascii="Arial" w:hAnsi="Arial" w:cs="Arial"/>
          <w:sz w:val="24"/>
          <w:szCs w:val="24"/>
          <w:vertAlign w:val="subscript"/>
          <w:lang/>
        </w:rPr>
        <w:t>m</w:t>
      </w:r>
      <w:r w:rsidRPr="00226DBE">
        <w:rPr>
          <w:rFonts w:ascii="Arial" w:hAnsi="Arial" w:cs="Arial"/>
          <w:sz w:val="24"/>
          <w:szCs w:val="24"/>
          <w:lang/>
        </w:rPr>
        <w:t>) – r</w:t>
      </w:r>
      <w:r w:rsidRPr="00226DBE">
        <w:rPr>
          <w:rFonts w:ascii="Arial" w:hAnsi="Arial" w:cs="Arial"/>
          <w:sz w:val="24"/>
          <w:szCs w:val="24"/>
          <w:vertAlign w:val="subscript"/>
          <w:lang/>
        </w:rPr>
        <w:t>f</w:t>
      </w:r>
      <w:r w:rsidRPr="00226DBE">
        <w:rPr>
          <w:rFonts w:ascii="Arial" w:hAnsi="Arial" w:cs="Arial"/>
          <w:sz w:val="24"/>
          <w:szCs w:val="24"/>
          <w:lang/>
        </w:rPr>
        <w:t>): Premio sobre el riesgo de mercado.</w:t>
      </w:r>
    </w:p>
    <w:p w:rsidR="006774DB" w:rsidRPr="00226DBE" w:rsidRDefault="006774DB" w:rsidP="006774DB">
      <w:pPr>
        <w:widowControl w:val="0"/>
        <w:numPr>
          <w:ilvl w:val="0"/>
          <w:numId w:val="15"/>
        </w:numPr>
        <w:tabs>
          <w:tab w:val="left" w:pos="1262"/>
          <w:tab w:val="left" w:pos="1428"/>
        </w:tabs>
        <w:suppressAutoHyphens/>
        <w:spacing w:after="0" w:line="360" w:lineRule="auto"/>
        <w:ind w:left="0" w:firstLine="454"/>
        <w:jc w:val="both"/>
        <w:rPr>
          <w:rFonts w:ascii="Arial" w:hAnsi="Arial" w:cs="Arial"/>
          <w:b/>
          <w:sz w:val="24"/>
          <w:szCs w:val="24"/>
          <w:lang/>
        </w:rPr>
      </w:pPr>
      <w:r w:rsidRPr="00226DBE">
        <w:rPr>
          <w:rFonts w:ascii="Arial" w:hAnsi="Arial" w:cs="Arial"/>
          <w:b/>
          <w:sz w:val="24"/>
          <w:szCs w:val="24"/>
          <w:lang/>
        </w:rPr>
        <w:t>TASA LIBRE DE RIESGO</w:t>
      </w:r>
    </w:p>
    <w:p w:rsidR="006774DB" w:rsidRPr="00226DBE" w:rsidRDefault="006774DB" w:rsidP="006774DB">
      <w:pPr>
        <w:spacing w:line="360" w:lineRule="auto"/>
        <w:ind w:firstLine="454"/>
        <w:jc w:val="both"/>
        <w:rPr>
          <w:rFonts w:ascii="Arial" w:hAnsi="Arial" w:cs="Arial"/>
          <w:sz w:val="24"/>
          <w:szCs w:val="24"/>
          <w:lang/>
        </w:rPr>
      </w:pPr>
    </w:p>
    <w:p w:rsidR="006774DB" w:rsidRPr="00226DBE" w:rsidRDefault="006774DB" w:rsidP="006774DB">
      <w:pPr>
        <w:spacing w:line="360" w:lineRule="auto"/>
        <w:ind w:firstLine="454"/>
        <w:jc w:val="both"/>
        <w:rPr>
          <w:rFonts w:ascii="Arial" w:hAnsi="Arial" w:cs="Arial"/>
          <w:sz w:val="24"/>
          <w:szCs w:val="24"/>
          <w:lang/>
        </w:rPr>
      </w:pPr>
      <w:r w:rsidRPr="00226DBE">
        <w:rPr>
          <w:rFonts w:ascii="Arial" w:hAnsi="Arial" w:cs="Arial"/>
          <w:sz w:val="24"/>
          <w:szCs w:val="24"/>
          <w:lang/>
        </w:rPr>
        <w:t xml:space="preserve">Teóricamente, la tasa libre de riesgo es el rendimiento  sobre una inversión que no posee riesgo y que por lo tanto no tiene relación con el </w:t>
      </w:r>
      <w:r w:rsidRPr="00226DBE">
        <w:rPr>
          <w:rFonts w:ascii="Arial" w:hAnsi="Arial" w:cs="Arial"/>
          <w:sz w:val="24"/>
          <w:szCs w:val="24"/>
          <w:lang/>
        </w:rPr>
        <w:lastRenderedPageBreak/>
        <w:t>entorno de ninguna otra inversión en la economía. Por lo general se utilizan papeles emitidos por el Gobierno central.</w:t>
      </w:r>
    </w:p>
    <w:p w:rsidR="006774DB" w:rsidRPr="00226DBE" w:rsidRDefault="006774DB" w:rsidP="006774DB">
      <w:pPr>
        <w:ind w:left="454"/>
        <w:jc w:val="both"/>
        <w:rPr>
          <w:rFonts w:ascii="Arial" w:hAnsi="Arial" w:cs="Arial"/>
          <w:sz w:val="24"/>
          <w:szCs w:val="24"/>
          <w:lang/>
        </w:rPr>
      </w:pPr>
    </w:p>
    <w:p w:rsidR="006774DB" w:rsidRPr="00226DBE" w:rsidRDefault="006774DB" w:rsidP="006774DB">
      <w:pPr>
        <w:widowControl w:val="0"/>
        <w:numPr>
          <w:ilvl w:val="0"/>
          <w:numId w:val="18"/>
        </w:numPr>
        <w:tabs>
          <w:tab w:val="left" w:pos="1262"/>
        </w:tabs>
        <w:suppressAutoHyphens/>
        <w:spacing w:after="0" w:line="360" w:lineRule="auto"/>
        <w:jc w:val="both"/>
        <w:rPr>
          <w:rFonts w:ascii="Arial" w:hAnsi="Arial" w:cs="Arial"/>
          <w:b/>
          <w:sz w:val="24"/>
          <w:szCs w:val="24"/>
          <w:lang/>
        </w:rPr>
      </w:pPr>
      <w:r w:rsidRPr="00226DBE">
        <w:rPr>
          <w:rFonts w:ascii="Arial" w:hAnsi="Arial" w:cs="Arial"/>
          <w:b/>
          <w:sz w:val="24"/>
          <w:szCs w:val="24"/>
          <w:lang/>
        </w:rPr>
        <w:t>BETA β</w:t>
      </w:r>
    </w:p>
    <w:p w:rsidR="006774DB" w:rsidRPr="00226DBE" w:rsidRDefault="006774DB" w:rsidP="006774DB">
      <w:pPr>
        <w:ind w:left="454"/>
        <w:jc w:val="both"/>
        <w:rPr>
          <w:rFonts w:ascii="Arial" w:hAnsi="Arial" w:cs="Arial"/>
          <w:sz w:val="24"/>
          <w:szCs w:val="24"/>
          <w:lang/>
        </w:rPr>
      </w:pPr>
    </w:p>
    <w:p w:rsidR="006774DB" w:rsidRPr="00226DBE" w:rsidRDefault="006774DB" w:rsidP="006774DB">
      <w:pPr>
        <w:spacing w:line="360" w:lineRule="auto"/>
        <w:ind w:firstLine="454"/>
        <w:jc w:val="both"/>
        <w:rPr>
          <w:rFonts w:ascii="Arial" w:hAnsi="Arial" w:cs="Arial"/>
          <w:sz w:val="24"/>
          <w:szCs w:val="24"/>
          <w:lang/>
        </w:rPr>
      </w:pPr>
      <w:r w:rsidRPr="00226DBE">
        <w:rPr>
          <w:rFonts w:ascii="Arial" w:hAnsi="Arial" w:cs="Arial"/>
          <w:sz w:val="24"/>
          <w:szCs w:val="24"/>
          <w:lang/>
        </w:rPr>
        <w:t>Mide la sensibilidad del valor de una acción respecto a los movimientos del mercado. Las acciones con betas mayores a 1 tienden amplificar los movimientos conjuntos del mercado. Acciones con betas entre 1 y 0  tienden a moverse en la misma dirección del mercado</w:t>
      </w:r>
      <w:r w:rsidRPr="00226DBE">
        <w:rPr>
          <w:rStyle w:val="Refdenotaalpie1"/>
          <w:rFonts w:ascii="Arial" w:hAnsi="Arial" w:cs="Arial"/>
          <w:sz w:val="24"/>
          <w:szCs w:val="24"/>
          <w:lang w:val="es-ES"/>
        </w:rPr>
        <w:t>11</w:t>
      </w:r>
      <w:r w:rsidRPr="00226DBE">
        <w:rPr>
          <w:rFonts w:ascii="Arial" w:hAnsi="Arial" w:cs="Arial"/>
          <w:sz w:val="24"/>
          <w:szCs w:val="24"/>
          <w:lang/>
        </w:rPr>
        <w:t>.</w:t>
      </w:r>
    </w:p>
    <w:p w:rsidR="006774DB" w:rsidRPr="00226DBE" w:rsidRDefault="006774DB" w:rsidP="006774DB">
      <w:pPr>
        <w:spacing w:line="360" w:lineRule="auto"/>
        <w:ind w:firstLine="454"/>
        <w:jc w:val="both"/>
        <w:rPr>
          <w:rFonts w:ascii="Arial" w:hAnsi="Arial" w:cs="Arial"/>
          <w:sz w:val="24"/>
          <w:szCs w:val="24"/>
          <w:lang/>
        </w:rPr>
      </w:pPr>
    </w:p>
    <w:p w:rsidR="006774DB" w:rsidRPr="00226DBE" w:rsidRDefault="006774DB" w:rsidP="006774DB">
      <w:pPr>
        <w:spacing w:line="360" w:lineRule="auto"/>
        <w:ind w:firstLine="454"/>
        <w:jc w:val="both"/>
        <w:rPr>
          <w:rFonts w:ascii="Arial" w:hAnsi="Arial" w:cs="Arial"/>
          <w:sz w:val="24"/>
          <w:szCs w:val="24"/>
          <w:lang/>
        </w:rPr>
      </w:pPr>
      <w:r w:rsidRPr="00226DBE">
        <w:rPr>
          <w:rFonts w:ascii="Arial" w:hAnsi="Arial" w:cs="Arial"/>
          <w:sz w:val="24"/>
          <w:szCs w:val="24"/>
          <w:lang/>
        </w:rPr>
        <w:t>Para el caso de las Instituciones Financieras, el factor beta es por lo general  superior a 1, lo que indica que el nivel de riesgo de estas instituciones es en promedio superior al del mercado tal como se observa en el cuadro 2.5</w:t>
      </w:r>
    </w:p>
    <w:p w:rsidR="006774DB" w:rsidRPr="00226DBE" w:rsidRDefault="006774DB" w:rsidP="006774DB">
      <w:pPr>
        <w:spacing w:line="360" w:lineRule="auto"/>
        <w:ind w:firstLine="454"/>
        <w:jc w:val="both"/>
        <w:rPr>
          <w:rFonts w:ascii="Arial" w:hAnsi="Arial" w:cs="Arial"/>
          <w:sz w:val="24"/>
          <w:szCs w:val="24"/>
          <w:lang/>
        </w:rPr>
      </w:pPr>
      <w:bookmarkStart w:id="0" w:name="b"/>
    </w:p>
    <w:p w:rsidR="00384BAC" w:rsidRPr="00A7470F" w:rsidRDefault="006774DB" w:rsidP="00F27DFF">
      <w:pPr>
        <w:spacing w:line="360" w:lineRule="auto"/>
        <w:ind w:firstLine="454"/>
        <w:jc w:val="both"/>
        <w:rPr>
          <w:rFonts w:ascii="Arial" w:hAnsi="Arial" w:cs="Arial"/>
          <w:sz w:val="24"/>
          <w:szCs w:val="24"/>
          <w:lang/>
        </w:rPr>
      </w:pPr>
      <w:r w:rsidRPr="00226DBE">
        <w:rPr>
          <w:rFonts w:ascii="Arial" w:hAnsi="Arial" w:cs="Arial"/>
          <w:sz w:val="24"/>
          <w:szCs w:val="24"/>
          <w:lang/>
        </w:rPr>
        <w:t xml:space="preserve">Es una medida cuantitativa sobre el comportamiento de un valor, cartera de valores, o fondos con relación al comportamiento del mercado o benchmark. Esta relación representa típicamente el movimiento histórico del precio de un determinado valor con relación al movimiento de un determinado índice accionario. Un beta de 1.85 podría indicar que el valor se </w:t>
      </w:r>
      <w:r w:rsidR="00D44B39" w:rsidRPr="00226DBE">
        <w:rPr>
          <w:rFonts w:ascii="Arial" w:hAnsi="Arial" w:cs="Arial"/>
          <w:sz w:val="24"/>
          <w:szCs w:val="24"/>
          <w:lang/>
        </w:rPr>
        <w:t xml:space="preserve">movió 1.85 veces el movimiento del índice o con una variabilidad 85% mayor. Los betas menores de 1.00 indican que los valores son menos </w:t>
      </w:r>
      <w:r w:rsidRPr="00226DBE">
        <w:rPr>
          <w:rFonts w:ascii="Arial" w:hAnsi="Arial" w:cs="Arial"/>
          <w:sz w:val="24"/>
          <w:szCs w:val="24"/>
          <w:lang/>
        </w:rPr>
        <w:t>variables que el mercado; los betas mayores que 1.00 están referidos a valores que varían más que el mercado y los betas negativos muestran un comportamiento inverso al mercado.</w:t>
      </w:r>
      <w:bookmarkEnd w:id="0"/>
    </w:p>
    <w:p w:rsidR="00F27DFF" w:rsidRDefault="00F27DFF" w:rsidP="00D44B39">
      <w:pPr>
        <w:spacing w:line="240" w:lineRule="auto"/>
        <w:ind w:firstLine="454"/>
        <w:jc w:val="center"/>
        <w:rPr>
          <w:rFonts w:ascii="Arial" w:hAnsi="Arial" w:cs="Arial"/>
          <w:b/>
          <w:color w:val="000000"/>
          <w:sz w:val="20"/>
          <w:szCs w:val="20"/>
          <w:lang/>
        </w:rPr>
      </w:pPr>
      <w:r>
        <w:rPr>
          <w:rFonts w:ascii="Arial" w:hAnsi="Arial" w:cs="Arial"/>
          <w:noProof/>
          <w:sz w:val="24"/>
          <w:szCs w:val="24"/>
          <w:lang w:eastAsia="es-EC"/>
        </w:rPr>
        <w:pict>
          <v:line id="_x0000_s1088" style="position:absolute;left:0;text-align:left;z-index:251675136" from="0,14.4pt" to="117.75pt,14.4pt" strokeweight=".26mm">
            <v:stroke joinstyle="miter"/>
          </v:line>
        </w:pict>
      </w:r>
    </w:p>
    <w:p w:rsidR="00F27DFF" w:rsidRPr="001A5EE3" w:rsidRDefault="00F27DFF" w:rsidP="00F27DFF">
      <w:pPr>
        <w:spacing w:line="360" w:lineRule="auto"/>
        <w:jc w:val="both"/>
        <w:rPr>
          <w:rStyle w:val="Refdenotaalpie1"/>
          <w:rFonts w:ascii="Arial" w:hAnsi="Arial" w:cs="Arial"/>
          <w:b/>
          <w:color w:val="000000"/>
          <w:sz w:val="28"/>
          <w:szCs w:val="28"/>
          <w:lang w:val="es-ES"/>
        </w:rPr>
      </w:pPr>
      <w:r w:rsidRPr="00B45D1D">
        <w:rPr>
          <w:rStyle w:val="Refdenotaalpie1"/>
          <w:rFonts w:ascii="Arial" w:hAnsi="Arial" w:cs="Arial"/>
          <w:b/>
          <w:color w:val="000000"/>
          <w:sz w:val="28"/>
          <w:szCs w:val="28"/>
          <w:lang w:val="es-ES"/>
        </w:rPr>
        <w:t xml:space="preserve">11  </w:t>
      </w:r>
      <w:r w:rsidRPr="00B45D1D">
        <w:rPr>
          <w:rStyle w:val="Refdenotaalpie1"/>
          <w:rFonts w:ascii="Arial" w:hAnsi="Arial" w:cs="Arial"/>
          <w:color w:val="000000"/>
          <w:sz w:val="28"/>
          <w:szCs w:val="28"/>
          <w:lang w:val="es-ES"/>
        </w:rPr>
        <w:t xml:space="preserve">Principios de Fianzas Corporativos,  R. Brealey., s. Myers, 5 edicion, Mc Graw Hil, Pag 113l </w:t>
      </w:r>
    </w:p>
    <w:p w:rsidR="00F27DFF" w:rsidRDefault="00F27DFF" w:rsidP="00F27DFF">
      <w:pPr>
        <w:spacing w:line="240" w:lineRule="auto"/>
        <w:rPr>
          <w:rFonts w:ascii="Arial" w:hAnsi="Arial" w:cs="Arial"/>
          <w:b/>
          <w:color w:val="000000"/>
          <w:sz w:val="20"/>
          <w:szCs w:val="20"/>
          <w:lang/>
        </w:rPr>
      </w:pPr>
    </w:p>
    <w:p w:rsidR="006774DB" w:rsidRPr="00D44B39" w:rsidRDefault="006774DB" w:rsidP="00D44B39">
      <w:pPr>
        <w:spacing w:line="240" w:lineRule="auto"/>
        <w:ind w:firstLine="454"/>
        <w:jc w:val="center"/>
        <w:rPr>
          <w:rFonts w:ascii="Arial" w:hAnsi="Arial" w:cs="Arial"/>
          <w:b/>
          <w:color w:val="000000"/>
          <w:sz w:val="20"/>
          <w:szCs w:val="20"/>
          <w:lang/>
        </w:rPr>
      </w:pPr>
      <w:r w:rsidRPr="00D44B39">
        <w:rPr>
          <w:rFonts w:ascii="Arial" w:hAnsi="Arial" w:cs="Arial"/>
          <w:b/>
          <w:color w:val="000000"/>
          <w:sz w:val="20"/>
          <w:szCs w:val="20"/>
          <w:lang/>
        </w:rPr>
        <w:t>CUADRO 2.5</w:t>
      </w:r>
    </w:p>
    <w:p w:rsidR="006774DB" w:rsidRPr="00D44B39" w:rsidRDefault="006774DB" w:rsidP="00D44B39">
      <w:pPr>
        <w:spacing w:line="240" w:lineRule="auto"/>
        <w:ind w:firstLine="454"/>
        <w:jc w:val="center"/>
        <w:rPr>
          <w:rFonts w:ascii="Arial" w:hAnsi="Arial" w:cs="Arial"/>
          <w:b/>
          <w:color w:val="000000"/>
          <w:sz w:val="20"/>
          <w:szCs w:val="20"/>
          <w:lang/>
        </w:rPr>
      </w:pPr>
      <w:r w:rsidRPr="00D44B39">
        <w:rPr>
          <w:rFonts w:ascii="Arial" w:eastAsia="Times New Roman" w:hAnsi="Arial" w:cs="Arial"/>
          <w:b/>
          <w:bCs/>
          <w:color w:val="000000"/>
          <w:sz w:val="20"/>
          <w:szCs w:val="20"/>
          <w:lang w:val="es-ES"/>
        </w:rPr>
        <w:t>Beta de los Principales Bancos de los Estados Unidos</w:t>
      </w:r>
      <w:r w:rsidRPr="00D44B39">
        <w:rPr>
          <w:rFonts w:ascii="Arial" w:hAnsi="Arial" w:cs="Arial"/>
          <w:b/>
          <w:color w:val="000000"/>
          <w:sz w:val="20"/>
          <w:szCs w:val="20"/>
          <w:lang/>
        </w:rPr>
        <w:t xml:space="preserve"> </w:t>
      </w:r>
    </w:p>
    <w:p w:rsidR="006774DB" w:rsidRDefault="00384BAC" w:rsidP="00D44B39">
      <w:pPr>
        <w:spacing w:line="240" w:lineRule="auto"/>
        <w:ind w:firstLine="454"/>
        <w:jc w:val="center"/>
        <w:rPr>
          <w:rFonts w:ascii="Arial" w:hAnsi="Arial" w:cs="Arial"/>
          <w:sz w:val="20"/>
          <w:szCs w:val="20"/>
          <w:lang/>
        </w:rPr>
      </w:pPr>
      <w:r>
        <w:pict>
          <v:shape id="_x0000_s1044" type="#_x0000_t202" style="position:absolute;left:0;text-align:left;margin-left:168.05pt;margin-top:12.1pt;width:314.2pt;height:353.4pt;z-index:251646464;mso-wrap-distance-left:7.05pt;mso-wrap-distance-right:7.05pt;mso-position-horizontal-relative:page" stroked="f">
            <v:fill opacity="0" color2="black"/>
            <v:textbox style="mso-next-textbox:#_x0000_s1044" inset="0,0,0,0">
              <w:txbxContent>
                <w:tbl>
                  <w:tblPr>
                    <w:tblW w:w="0" w:type="auto"/>
                    <w:tblInd w:w="70" w:type="dxa"/>
                    <w:tblLayout w:type="fixed"/>
                    <w:tblCellMar>
                      <w:left w:w="70" w:type="dxa"/>
                      <w:right w:w="70" w:type="dxa"/>
                    </w:tblCellMar>
                    <w:tblLook w:val="0000"/>
                  </w:tblPr>
                  <w:tblGrid>
                    <w:gridCol w:w="3814"/>
                    <w:gridCol w:w="1639"/>
                  </w:tblGrid>
                  <w:tr w:rsidR="00534734" w:rsidRPr="00D44B39" w:rsidTr="00F9758A">
                    <w:trPr>
                      <w:trHeight w:val="313"/>
                    </w:trPr>
                    <w:tc>
                      <w:tcPr>
                        <w:tcW w:w="3814" w:type="dxa"/>
                        <w:tcBorders>
                          <w:top w:val="single" w:sz="8" w:space="0" w:color="000000"/>
                          <w:left w:val="single" w:sz="8" w:space="0" w:color="000000"/>
                          <w:bottom w:val="single" w:sz="8" w:space="0" w:color="000000"/>
                        </w:tcBorders>
                        <w:shd w:val="clear" w:color="auto" w:fill="800000"/>
                        <w:vAlign w:val="center"/>
                      </w:tcPr>
                      <w:p w:rsidR="00534734" w:rsidRPr="00D44B39" w:rsidRDefault="00534734">
                        <w:pPr>
                          <w:snapToGrid w:val="0"/>
                          <w:ind w:left="902"/>
                          <w:rPr>
                            <w:rFonts w:ascii="Arial" w:eastAsia="Times New Roman" w:hAnsi="Arial" w:cs="Arial"/>
                            <w:b/>
                            <w:bCs/>
                            <w:sz w:val="16"/>
                            <w:szCs w:val="16"/>
                            <w:lang w:val="es-ES"/>
                          </w:rPr>
                        </w:pPr>
                        <w:r w:rsidRPr="00D44B39">
                          <w:rPr>
                            <w:rFonts w:ascii="Arial" w:eastAsia="Times New Roman" w:hAnsi="Arial" w:cs="Arial"/>
                            <w:b/>
                            <w:bCs/>
                            <w:sz w:val="16"/>
                            <w:szCs w:val="16"/>
                            <w:lang w:val="es-ES"/>
                          </w:rPr>
                          <w:t xml:space="preserve">Companies </w:t>
                        </w:r>
                      </w:p>
                    </w:tc>
                    <w:tc>
                      <w:tcPr>
                        <w:tcW w:w="1639" w:type="dxa"/>
                        <w:tcBorders>
                          <w:top w:val="single" w:sz="8" w:space="0" w:color="000000"/>
                          <w:left w:val="single" w:sz="8" w:space="0" w:color="000000"/>
                          <w:bottom w:val="single" w:sz="8" w:space="0" w:color="000000"/>
                          <w:right w:val="single" w:sz="8" w:space="0" w:color="000000"/>
                        </w:tcBorders>
                        <w:shd w:val="clear" w:color="auto" w:fill="800000"/>
                        <w:vAlign w:val="center"/>
                      </w:tcPr>
                      <w:p w:rsidR="00534734" w:rsidRPr="00D44B39" w:rsidRDefault="00534734">
                        <w:pPr>
                          <w:snapToGrid w:val="0"/>
                          <w:ind w:left="902"/>
                          <w:rPr>
                            <w:rFonts w:ascii="Arial" w:eastAsia="Times New Roman" w:hAnsi="Arial" w:cs="Arial"/>
                            <w:b/>
                            <w:bCs/>
                            <w:sz w:val="16"/>
                            <w:szCs w:val="16"/>
                            <w:lang w:val="es-ES"/>
                          </w:rPr>
                        </w:pPr>
                        <w:r w:rsidRPr="00D44B39">
                          <w:rPr>
                            <w:rFonts w:ascii="Arial" w:eastAsia="Times New Roman" w:hAnsi="Arial" w:cs="Arial"/>
                            <w:b/>
                            <w:bCs/>
                            <w:sz w:val="16"/>
                            <w:szCs w:val="16"/>
                            <w:lang w:val="es-ES"/>
                          </w:rPr>
                          <w:t>Betas</w:t>
                        </w:r>
                      </w:p>
                    </w:tc>
                  </w:tr>
                  <w:tr w:rsidR="00534734" w:rsidRPr="00D44B39">
                    <w:trPr>
                      <w:trHeight w:val="295"/>
                    </w:trPr>
                    <w:tc>
                      <w:tcPr>
                        <w:tcW w:w="3814" w:type="dxa"/>
                        <w:tcBorders>
                          <w:left w:val="single" w:sz="8" w:space="0" w:color="000000"/>
                          <w:bottom w:val="single" w:sz="4" w:space="0" w:color="000000"/>
                        </w:tcBorders>
                        <w:vAlign w:val="center"/>
                      </w:tcPr>
                      <w:p w:rsidR="00534734" w:rsidRPr="00D44B39" w:rsidRDefault="00534734">
                        <w:pPr>
                          <w:snapToGrid w:val="0"/>
                          <w:ind w:left="902"/>
                          <w:rPr>
                            <w:rFonts w:ascii="Arial" w:eastAsia="Times New Roman" w:hAnsi="Arial" w:cs="Arial"/>
                            <w:sz w:val="16"/>
                            <w:szCs w:val="16"/>
                            <w:lang w:val="en-GB"/>
                          </w:rPr>
                        </w:pPr>
                        <w:r w:rsidRPr="00D44B39">
                          <w:rPr>
                            <w:rFonts w:ascii="Arial" w:eastAsia="Times New Roman" w:hAnsi="Arial" w:cs="Arial"/>
                            <w:sz w:val="16"/>
                            <w:szCs w:val="16"/>
                            <w:lang w:val="en-GB"/>
                          </w:rPr>
                          <w:t>ABN AMOR Holding N.V.(AD (ABN)</w:t>
                        </w:r>
                      </w:p>
                    </w:tc>
                    <w:tc>
                      <w:tcPr>
                        <w:tcW w:w="1639" w:type="dxa"/>
                        <w:tcBorders>
                          <w:left w:val="single" w:sz="8" w:space="0" w:color="000000"/>
                          <w:bottom w:val="single" w:sz="4" w:space="0" w:color="000000"/>
                          <w:right w:val="single" w:sz="8" w:space="0" w:color="000000"/>
                        </w:tcBorders>
                        <w:vAlign w:val="center"/>
                      </w:tcPr>
                      <w:p w:rsidR="00534734" w:rsidRPr="00D44B39" w:rsidRDefault="00534734">
                        <w:pPr>
                          <w:snapToGrid w:val="0"/>
                          <w:ind w:left="902"/>
                          <w:rPr>
                            <w:rFonts w:ascii="Arial" w:eastAsia="Times New Roman" w:hAnsi="Arial" w:cs="Arial"/>
                            <w:sz w:val="16"/>
                            <w:szCs w:val="16"/>
                            <w:lang w:val="es-ES"/>
                          </w:rPr>
                        </w:pPr>
                        <w:r w:rsidRPr="00D44B39">
                          <w:rPr>
                            <w:rFonts w:ascii="Arial" w:eastAsia="Times New Roman" w:hAnsi="Arial" w:cs="Arial"/>
                            <w:sz w:val="16"/>
                            <w:szCs w:val="16"/>
                            <w:lang w:val="es-ES"/>
                          </w:rPr>
                          <w:t>1.569</w:t>
                        </w:r>
                      </w:p>
                    </w:tc>
                  </w:tr>
                  <w:tr w:rsidR="00534734" w:rsidRPr="00D44B39">
                    <w:trPr>
                      <w:trHeight w:val="295"/>
                    </w:trPr>
                    <w:tc>
                      <w:tcPr>
                        <w:tcW w:w="3814" w:type="dxa"/>
                        <w:tcBorders>
                          <w:left w:val="single" w:sz="8" w:space="0" w:color="000000"/>
                          <w:bottom w:val="single" w:sz="4" w:space="0" w:color="000000"/>
                        </w:tcBorders>
                        <w:vAlign w:val="center"/>
                      </w:tcPr>
                      <w:p w:rsidR="00534734" w:rsidRPr="00D44B39" w:rsidRDefault="00534734">
                        <w:pPr>
                          <w:snapToGrid w:val="0"/>
                          <w:ind w:left="902"/>
                          <w:rPr>
                            <w:rFonts w:ascii="Arial" w:eastAsia="Times New Roman" w:hAnsi="Arial" w:cs="Arial"/>
                            <w:sz w:val="16"/>
                            <w:szCs w:val="16"/>
                            <w:lang w:val="es-ES"/>
                          </w:rPr>
                        </w:pPr>
                        <w:r w:rsidRPr="00D44B39">
                          <w:rPr>
                            <w:rFonts w:ascii="Arial" w:eastAsia="Times New Roman" w:hAnsi="Arial" w:cs="Arial"/>
                            <w:sz w:val="16"/>
                            <w:szCs w:val="16"/>
                            <w:lang w:val="es-ES"/>
                          </w:rPr>
                          <w:t>Banco Santander Central H (STD)</w:t>
                        </w:r>
                      </w:p>
                    </w:tc>
                    <w:tc>
                      <w:tcPr>
                        <w:tcW w:w="1639" w:type="dxa"/>
                        <w:tcBorders>
                          <w:left w:val="single" w:sz="8" w:space="0" w:color="000000"/>
                          <w:bottom w:val="single" w:sz="4" w:space="0" w:color="000000"/>
                          <w:right w:val="single" w:sz="8" w:space="0" w:color="000000"/>
                        </w:tcBorders>
                        <w:vAlign w:val="center"/>
                      </w:tcPr>
                      <w:p w:rsidR="00534734" w:rsidRPr="00D44B39" w:rsidRDefault="00534734">
                        <w:pPr>
                          <w:snapToGrid w:val="0"/>
                          <w:ind w:left="902"/>
                          <w:rPr>
                            <w:rFonts w:ascii="Arial" w:eastAsia="Times New Roman" w:hAnsi="Arial" w:cs="Arial"/>
                            <w:sz w:val="16"/>
                            <w:szCs w:val="16"/>
                            <w:lang w:val="es-ES"/>
                          </w:rPr>
                        </w:pPr>
                        <w:r w:rsidRPr="00D44B39">
                          <w:rPr>
                            <w:rFonts w:ascii="Arial" w:eastAsia="Times New Roman" w:hAnsi="Arial" w:cs="Arial"/>
                            <w:sz w:val="16"/>
                            <w:szCs w:val="16"/>
                            <w:lang w:val="es-ES"/>
                          </w:rPr>
                          <w:t>1.369</w:t>
                        </w:r>
                      </w:p>
                    </w:tc>
                  </w:tr>
                  <w:tr w:rsidR="00534734" w:rsidRPr="00D44B39">
                    <w:trPr>
                      <w:trHeight w:val="295"/>
                    </w:trPr>
                    <w:tc>
                      <w:tcPr>
                        <w:tcW w:w="3814" w:type="dxa"/>
                        <w:tcBorders>
                          <w:left w:val="single" w:sz="8" w:space="0" w:color="000000"/>
                          <w:bottom w:val="single" w:sz="4" w:space="0" w:color="000000"/>
                        </w:tcBorders>
                        <w:vAlign w:val="center"/>
                      </w:tcPr>
                      <w:p w:rsidR="00534734" w:rsidRPr="00D44B39" w:rsidRDefault="00534734">
                        <w:pPr>
                          <w:snapToGrid w:val="0"/>
                          <w:ind w:left="902"/>
                          <w:rPr>
                            <w:rFonts w:ascii="Arial" w:eastAsia="Times New Roman" w:hAnsi="Arial" w:cs="Arial"/>
                            <w:sz w:val="16"/>
                            <w:szCs w:val="16"/>
                            <w:lang w:val="en-GB"/>
                          </w:rPr>
                        </w:pPr>
                        <w:r w:rsidRPr="00D44B39">
                          <w:rPr>
                            <w:rFonts w:ascii="Arial" w:eastAsia="Times New Roman" w:hAnsi="Arial" w:cs="Arial"/>
                            <w:sz w:val="16"/>
                            <w:szCs w:val="16"/>
                            <w:lang w:val="en-GB"/>
                          </w:rPr>
                          <w:t>Bank of America Corporati (BAC)</w:t>
                        </w:r>
                      </w:p>
                    </w:tc>
                    <w:tc>
                      <w:tcPr>
                        <w:tcW w:w="1639" w:type="dxa"/>
                        <w:tcBorders>
                          <w:left w:val="single" w:sz="8" w:space="0" w:color="000000"/>
                          <w:bottom w:val="single" w:sz="4" w:space="0" w:color="000000"/>
                          <w:right w:val="single" w:sz="8" w:space="0" w:color="000000"/>
                        </w:tcBorders>
                        <w:vAlign w:val="center"/>
                      </w:tcPr>
                      <w:p w:rsidR="00534734" w:rsidRPr="00D44B39" w:rsidRDefault="00534734">
                        <w:pPr>
                          <w:snapToGrid w:val="0"/>
                          <w:ind w:left="902"/>
                          <w:rPr>
                            <w:rFonts w:ascii="Arial" w:eastAsia="Times New Roman" w:hAnsi="Arial" w:cs="Arial"/>
                            <w:sz w:val="16"/>
                            <w:szCs w:val="16"/>
                            <w:lang w:val="es-ES"/>
                          </w:rPr>
                        </w:pPr>
                        <w:r w:rsidRPr="00D44B39">
                          <w:rPr>
                            <w:rFonts w:ascii="Arial" w:eastAsia="Times New Roman" w:hAnsi="Arial" w:cs="Arial"/>
                            <w:sz w:val="16"/>
                            <w:szCs w:val="16"/>
                            <w:lang w:val="es-ES"/>
                          </w:rPr>
                          <w:t>0.694</w:t>
                        </w:r>
                      </w:p>
                    </w:tc>
                  </w:tr>
                  <w:tr w:rsidR="00534734" w:rsidRPr="00D44B39">
                    <w:trPr>
                      <w:trHeight w:val="295"/>
                    </w:trPr>
                    <w:tc>
                      <w:tcPr>
                        <w:tcW w:w="3814" w:type="dxa"/>
                        <w:tcBorders>
                          <w:left w:val="single" w:sz="8" w:space="0" w:color="000000"/>
                          <w:bottom w:val="single" w:sz="4" w:space="0" w:color="000000"/>
                        </w:tcBorders>
                        <w:vAlign w:val="center"/>
                      </w:tcPr>
                      <w:p w:rsidR="00534734" w:rsidRPr="00D44B39" w:rsidRDefault="00534734">
                        <w:pPr>
                          <w:snapToGrid w:val="0"/>
                          <w:ind w:left="902"/>
                          <w:rPr>
                            <w:rFonts w:ascii="Arial" w:eastAsia="Times New Roman" w:hAnsi="Arial" w:cs="Arial"/>
                            <w:sz w:val="16"/>
                            <w:szCs w:val="16"/>
                            <w:lang w:val="es-ES"/>
                          </w:rPr>
                        </w:pPr>
                        <w:r w:rsidRPr="00D44B39">
                          <w:rPr>
                            <w:rFonts w:ascii="Arial" w:eastAsia="Times New Roman" w:hAnsi="Arial" w:cs="Arial"/>
                            <w:sz w:val="16"/>
                            <w:szCs w:val="16"/>
                            <w:lang w:val="en-GB"/>
                          </w:rPr>
                          <w:t xml:space="preserve">Bank of New York Co. </w:t>
                        </w:r>
                        <w:r w:rsidRPr="00D44B39">
                          <w:rPr>
                            <w:rFonts w:ascii="Arial" w:eastAsia="Times New Roman" w:hAnsi="Arial" w:cs="Arial"/>
                            <w:sz w:val="16"/>
                            <w:szCs w:val="16"/>
                            <w:lang w:val="es-ES"/>
                          </w:rPr>
                          <w:t>(BK)</w:t>
                        </w:r>
                      </w:p>
                    </w:tc>
                    <w:tc>
                      <w:tcPr>
                        <w:tcW w:w="1639" w:type="dxa"/>
                        <w:tcBorders>
                          <w:left w:val="single" w:sz="8" w:space="0" w:color="000000"/>
                          <w:bottom w:val="single" w:sz="4" w:space="0" w:color="000000"/>
                          <w:right w:val="single" w:sz="8" w:space="0" w:color="000000"/>
                        </w:tcBorders>
                        <w:vAlign w:val="center"/>
                      </w:tcPr>
                      <w:p w:rsidR="00534734" w:rsidRPr="00D44B39" w:rsidRDefault="00534734">
                        <w:pPr>
                          <w:snapToGrid w:val="0"/>
                          <w:ind w:left="902"/>
                          <w:rPr>
                            <w:rFonts w:ascii="Arial" w:eastAsia="Times New Roman" w:hAnsi="Arial" w:cs="Arial"/>
                            <w:sz w:val="16"/>
                            <w:szCs w:val="16"/>
                            <w:lang w:val="es-ES"/>
                          </w:rPr>
                        </w:pPr>
                        <w:r w:rsidRPr="00D44B39">
                          <w:rPr>
                            <w:rFonts w:ascii="Arial" w:eastAsia="Times New Roman" w:hAnsi="Arial" w:cs="Arial"/>
                            <w:sz w:val="16"/>
                            <w:szCs w:val="16"/>
                            <w:lang w:val="es-ES"/>
                          </w:rPr>
                          <w:t>1.353</w:t>
                        </w:r>
                      </w:p>
                    </w:tc>
                  </w:tr>
                  <w:tr w:rsidR="00534734" w:rsidRPr="00D44B39">
                    <w:trPr>
                      <w:trHeight w:val="295"/>
                    </w:trPr>
                    <w:tc>
                      <w:tcPr>
                        <w:tcW w:w="3814" w:type="dxa"/>
                        <w:tcBorders>
                          <w:left w:val="single" w:sz="8" w:space="0" w:color="000000"/>
                          <w:bottom w:val="single" w:sz="4" w:space="0" w:color="000000"/>
                        </w:tcBorders>
                        <w:vAlign w:val="center"/>
                      </w:tcPr>
                      <w:p w:rsidR="00534734" w:rsidRPr="00D44B39" w:rsidRDefault="00534734">
                        <w:pPr>
                          <w:snapToGrid w:val="0"/>
                          <w:ind w:left="902"/>
                          <w:rPr>
                            <w:rFonts w:ascii="Arial" w:eastAsia="Times New Roman" w:hAnsi="Arial" w:cs="Arial"/>
                            <w:sz w:val="16"/>
                            <w:szCs w:val="16"/>
                            <w:lang w:val="es-ES"/>
                          </w:rPr>
                        </w:pPr>
                        <w:r w:rsidRPr="00D44B39">
                          <w:rPr>
                            <w:rFonts w:ascii="Arial" w:eastAsia="Times New Roman" w:hAnsi="Arial" w:cs="Arial"/>
                            <w:sz w:val="16"/>
                            <w:szCs w:val="16"/>
                            <w:lang w:val="es-ES"/>
                          </w:rPr>
                          <w:t>Barclays PLC (ADR) (BCS)</w:t>
                        </w:r>
                      </w:p>
                    </w:tc>
                    <w:tc>
                      <w:tcPr>
                        <w:tcW w:w="1639" w:type="dxa"/>
                        <w:tcBorders>
                          <w:left w:val="single" w:sz="8" w:space="0" w:color="000000"/>
                          <w:bottom w:val="single" w:sz="4" w:space="0" w:color="000000"/>
                          <w:right w:val="single" w:sz="8" w:space="0" w:color="000000"/>
                        </w:tcBorders>
                        <w:vAlign w:val="center"/>
                      </w:tcPr>
                      <w:p w:rsidR="00534734" w:rsidRPr="00D44B39" w:rsidRDefault="00534734">
                        <w:pPr>
                          <w:snapToGrid w:val="0"/>
                          <w:ind w:left="902"/>
                          <w:rPr>
                            <w:rFonts w:ascii="Arial" w:eastAsia="Times New Roman" w:hAnsi="Arial" w:cs="Arial"/>
                            <w:sz w:val="16"/>
                            <w:szCs w:val="16"/>
                            <w:lang w:val="es-ES"/>
                          </w:rPr>
                        </w:pPr>
                        <w:r w:rsidRPr="00D44B39">
                          <w:rPr>
                            <w:rFonts w:ascii="Arial" w:eastAsia="Times New Roman" w:hAnsi="Arial" w:cs="Arial"/>
                            <w:sz w:val="16"/>
                            <w:szCs w:val="16"/>
                            <w:lang w:val="es-ES"/>
                          </w:rPr>
                          <w:t>0.945</w:t>
                        </w:r>
                      </w:p>
                    </w:tc>
                  </w:tr>
                  <w:tr w:rsidR="00534734" w:rsidRPr="00D44B39">
                    <w:trPr>
                      <w:trHeight w:val="295"/>
                    </w:trPr>
                    <w:tc>
                      <w:tcPr>
                        <w:tcW w:w="3814" w:type="dxa"/>
                        <w:tcBorders>
                          <w:left w:val="single" w:sz="8" w:space="0" w:color="000000"/>
                          <w:bottom w:val="single" w:sz="4" w:space="0" w:color="000000"/>
                        </w:tcBorders>
                        <w:vAlign w:val="center"/>
                      </w:tcPr>
                      <w:p w:rsidR="00534734" w:rsidRPr="00D44B39" w:rsidRDefault="00534734">
                        <w:pPr>
                          <w:snapToGrid w:val="0"/>
                          <w:ind w:left="902"/>
                          <w:rPr>
                            <w:rFonts w:ascii="Arial" w:eastAsia="Times New Roman" w:hAnsi="Arial" w:cs="Arial"/>
                            <w:sz w:val="16"/>
                            <w:szCs w:val="16"/>
                            <w:lang w:val="es-ES"/>
                          </w:rPr>
                        </w:pPr>
                        <w:r w:rsidRPr="00D44B39">
                          <w:rPr>
                            <w:rFonts w:ascii="Arial" w:eastAsia="Times New Roman" w:hAnsi="Arial" w:cs="Arial"/>
                            <w:sz w:val="16"/>
                            <w:szCs w:val="16"/>
                            <w:lang w:val="es-ES"/>
                          </w:rPr>
                          <w:t>BBVA S.A.(ADR) (BBV)</w:t>
                        </w:r>
                      </w:p>
                    </w:tc>
                    <w:tc>
                      <w:tcPr>
                        <w:tcW w:w="1639" w:type="dxa"/>
                        <w:tcBorders>
                          <w:left w:val="single" w:sz="8" w:space="0" w:color="000000"/>
                          <w:bottom w:val="single" w:sz="4" w:space="0" w:color="000000"/>
                          <w:right w:val="single" w:sz="8" w:space="0" w:color="000000"/>
                        </w:tcBorders>
                        <w:vAlign w:val="center"/>
                      </w:tcPr>
                      <w:p w:rsidR="00534734" w:rsidRPr="00D44B39" w:rsidRDefault="00534734">
                        <w:pPr>
                          <w:snapToGrid w:val="0"/>
                          <w:ind w:left="902"/>
                          <w:rPr>
                            <w:rFonts w:ascii="Arial" w:eastAsia="Times New Roman" w:hAnsi="Arial" w:cs="Arial"/>
                            <w:sz w:val="16"/>
                            <w:szCs w:val="16"/>
                            <w:lang w:val="es-ES"/>
                          </w:rPr>
                        </w:pPr>
                        <w:r w:rsidRPr="00D44B39">
                          <w:rPr>
                            <w:rFonts w:ascii="Arial" w:eastAsia="Times New Roman" w:hAnsi="Arial" w:cs="Arial"/>
                            <w:sz w:val="16"/>
                            <w:szCs w:val="16"/>
                            <w:lang w:val="es-ES"/>
                          </w:rPr>
                          <w:t>1.281</w:t>
                        </w:r>
                      </w:p>
                    </w:tc>
                  </w:tr>
                  <w:tr w:rsidR="00534734" w:rsidRPr="00D44B39">
                    <w:trPr>
                      <w:trHeight w:val="295"/>
                    </w:trPr>
                    <w:tc>
                      <w:tcPr>
                        <w:tcW w:w="3814" w:type="dxa"/>
                        <w:tcBorders>
                          <w:left w:val="single" w:sz="8" w:space="0" w:color="000000"/>
                          <w:bottom w:val="single" w:sz="4" w:space="0" w:color="000000"/>
                        </w:tcBorders>
                        <w:vAlign w:val="center"/>
                      </w:tcPr>
                      <w:p w:rsidR="00534734" w:rsidRPr="00D44B39" w:rsidRDefault="00534734">
                        <w:pPr>
                          <w:snapToGrid w:val="0"/>
                          <w:ind w:left="902"/>
                          <w:rPr>
                            <w:rFonts w:ascii="Arial" w:eastAsia="Times New Roman" w:hAnsi="Arial" w:cs="Arial"/>
                            <w:sz w:val="16"/>
                            <w:szCs w:val="16"/>
                            <w:lang w:val="es-ES"/>
                          </w:rPr>
                        </w:pPr>
                        <w:r w:rsidRPr="00D44B39">
                          <w:rPr>
                            <w:rFonts w:ascii="Arial" w:eastAsia="Times New Roman" w:hAnsi="Arial" w:cs="Arial"/>
                            <w:sz w:val="16"/>
                            <w:szCs w:val="16"/>
                            <w:lang w:val="es-ES"/>
                          </w:rPr>
                          <w:t>Citigroup Inc.(C)</w:t>
                        </w:r>
                      </w:p>
                    </w:tc>
                    <w:tc>
                      <w:tcPr>
                        <w:tcW w:w="1639" w:type="dxa"/>
                        <w:tcBorders>
                          <w:left w:val="single" w:sz="8" w:space="0" w:color="000000"/>
                          <w:bottom w:val="single" w:sz="4" w:space="0" w:color="000000"/>
                          <w:right w:val="single" w:sz="8" w:space="0" w:color="000000"/>
                        </w:tcBorders>
                        <w:vAlign w:val="center"/>
                      </w:tcPr>
                      <w:p w:rsidR="00534734" w:rsidRPr="00D44B39" w:rsidRDefault="00534734">
                        <w:pPr>
                          <w:snapToGrid w:val="0"/>
                          <w:ind w:left="902"/>
                          <w:rPr>
                            <w:rFonts w:ascii="Arial" w:eastAsia="Times New Roman" w:hAnsi="Arial" w:cs="Arial"/>
                            <w:sz w:val="16"/>
                            <w:szCs w:val="16"/>
                            <w:lang w:val="es-ES"/>
                          </w:rPr>
                        </w:pPr>
                        <w:r w:rsidRPr="00D44B39">
                          <w:rPr>
                            <w:rFonts w:ascii="Arial" w:eastAsia="Times New Roman" w:hAnsi="Arial" w:cs="Arial"/>
                            <w:sz w:val="16"/>
                            <w:szCs w:val="16"/>
                            <w:lang w:val="es-ES"/>
                          </w:rPr>
                          <w:t>1.334</w:t>
                        </w:r>
                      </w:p>
                    </w:tc>
                  </w:tr>
                  <w:tr w:rsidR="00534734" w:rsidRPr="00D44B39">
                    <w:trPr>
                      <w:trHeight w:val="295"/>
                    </w:trPr>
                    <w:tc>
                      <w:tcPr>
                        <w:tcW w:w="3814" w:type="dxa"/>
                        <w:tcBorders>
                          <w:left w:val="single" w:sz="8" w:space="0" w:color="000000"/>
                          <w:bottom w:val="single" w:sz="4" w:space="0" w:color="000000"/>
                        </w:tcBorders>
                        <w:vAlign w:val="center"/>
                      </w:tcPr>
                      <w:p w:rsidR="00534734" w:rsidRPr="00D44B39" w:rsidRDefault="00534734">
                        <w:pPr>
                          <w:snapToGrid w:val="0"/>
                          <w:ind w:left="902"/>
                          <w:rPr>
                            <w:rFonts w:ascii="Arial" w:eastAsia="Times New Roman" w:hAnsi="Arial" w:cs="Arial"/>
                            <w:sz w:val="16"/>
                            <w:szCs w:val="16"/>
                            <w:lang w:val="en-GB"/>
                          </w:rPr>
                        </w:pPr>
                        <w:r w:rsidRPr="00D44B39">
                          <w:rPr>
                            <w:rFonts w:ascii="Arial" w:eastAsia="Times New Roman" w:hAnsi="Arial" w:cs="Arial"/>
                            <w:sz w:val="16"/>
                            <w:szCs w:val="16"/>
                            <w:lang w:val="en-GB"/>
                          </w:rPr>
                          <w:t>Deutsche Bank AG (USA) (DB)</w:t>
                        </w:r>
                      </w:p>
                    </w:tc>
                    <w:tc>
                      <w:tcPr>
                        <w:tcW w:w="1639" w:type="dxa"/>
                        <w:tcBorders>
                          <w:left w:val="single" w:sz="8" w:space="0" w:color="000000"/>
                          <w:bottom w:val="single" w:sz="4" w:space="0" w:color="000000"/>
                          <w:right w:val="single" w:sz="8" w:space="0" w:color="000000"/>
                        </w:tcBorders>
                        <w:vAlign w:val="center"/>
                      </w:tcPr>
                      <w:p w:rsidR="00534734" w:rsidRPr="00D44B39" w:rsidRDefault="00534734">
                        <w:pPr>
                          <w:snapToGrid w:val="0"/>
                          <w:ind w:left="902"/>
                          <w:rPr>
                            <w:rFonts w:ascii="Arial" w:eastAsia="Times New Roman" w:hAnsi="Arial" w:cs="Arial"/>
                            <w:sz w:val="16"/>
                            <w:szCs w:val="16"/>
                            <w:lang w:val="es-ES"/>
                          </w:rPr>
                        </w:pPr>
                        <w:r w:rsidRPr="00D44B39">
                          <w:rPr>
                            <w:rFonts w:ascii="Arial" w:eastAsia="Times New Roman" w:hAnsi="Arial" w:cs="Arial"/>
                            <w:sz w:val="16"/>
                            <w:szCs w:val="16"/>
                            <w:lang w:val="es-ES"/>
                          </w:rPr>
                          <w:t>1.167</w:t>
                        </w:r>
                      </w:p>
                    </w:tc>
                  </w:tr>
                  <w:tr w:rsidR="00534734" w:rsidRPr="00D44B39">
                    <w:trPr>
                      <w:trHeight w:val="295"/>
                    </w:trPr>
                    <w:tc>
                      <w:tcPr>
                        <w:tcW w:w="3814" w:type="dxa"/>
                        <w:tcBorders>
                          <w:left w:val="single" w:sz="8" w:space="0" w:color="000000"/>
                          <w:bottom w:val="single" w:sz="4" w:space="0" w:color="000000"/>
                        </w:tcBorders>
                        <w:vAlign w:val="center"/>
                      </w:tcPr>
                      <w:p w:rsidR="00534734" w:rsidRPr="00D44B39" w:rsidRDefault="00534734">
                        <w:pPr>
                          <w:snapToGrid w:val="0"/>
                          <w:ind w:left="902"/>
                          <w:rPr>
                            <w:rFonts w:ascii="Arial" w:eastAsia="Times New Roman" w:hAnsi="Arial" w:cs="Arial"/>
                            <w:sz w:val="16"/>
                            <w:szCs w:val="16"/>
                            <w:lang w:val="en-GB"/>
                          </w:rPr>
                        </w:pPr>
                        <w:r w:rsidRPr="00D44B39">
                          <w:rPr>
                            <w:rFonts w:ascii="Arial" w:eastAsia="Times New Roman" w:hAnsi="Arial" w:cs="Arial"/>
                            <w:sz w:val="16"/>
                            <w:szCs w:val="16"/>
                            <w:lang w:val="en-GB"/>
                          </w:rPr>
                          <w:t>HBC Holding PLC (ADR) (HBC)</w:t>
                        </w:r>
                      </w:p>
                    </w:tc>
                    <w:tc>
                      <w:tcPr>
                        <w:tcW w:w="1639" w:type="dxa"/>
                        <w:tcBorders>
                          <w:left w:val="single" w:sz="8" w:space="0" w:color="000000"/>
                          <w:bottom w:val="single" w:sz="4" w:space="0" w:color="000000"/>
                          <w:right w:val="single" w:sz="8" w:space="0" w:color="000000"/>
                        </w:tcBorders>
                        <w:vAlign w:val="center"/>
                      </w:tcPr>
                      <w:p w:rsidR="00534734" w:rsidRPr="00D44B39" w:rsidRDefault="00534734">
                        <w:pPr>
                          <w:snapToGrid w:val="0"/>
                          <w:ind w:left="902"/>
                          <w:rPr>
                            <w:rFonts w:ascii="Arial" w:eastAsia="Times New Roman" w:hAnsi="Arial" w:cs="Arial"/>
                            <w:sz w:val="16"/>
                            <w:szCs w:val="16"/>
                            <w:lang w:val="es-ES"/>
                          </w:rPr>
                        </w:pPr>
                        <w:r w:rsidRPr="00D44B39">
                          <w:rPr>
                            <w:rFonts w:ascii="Arial" w:eastAsia="Times New Roman" w:hAnsi="Arial" w:cs="Arial"/>
                            <w:sz w:val="16"/>
                            <w:szCs w:val="16"/>
                            <w:lang w:val="es-ES"/>
                          </w:rPr>
                          <w:t>0.908</w:t>
                        </w:r>
                      </w:p>
                    </w:tc>
                  </w:tr>
                  <w:tr w:rsidR="00534734" w:rsidRPr="00D44B39">
                    <w:trPr>
                      <w:trHeight w:val="295"/>
                    </w:trPr>
                    <w:tc>
                      <w:tcPr>
                        <w:tcW w:w="3814" w:type="dxa"/>
                        <w:tcBorders>
                          <w:left w:val="single" w:sz="8" w:space="0" w:color="000000"/>
                          <w:bottom w:val="single" w:sz="4" w:space="0" w:color="000000"/>
                        </w:tcBorders>
                        <w:vAlign w:val="center"/>
                      </w:tcPr>
                      <w:p w:rsidR="00534734" w:rsidRPr="00D44B39" w:rsidRDefault="00534734">
                        <w:pPr>
                          <w:snapToGrid w:val="0"/>
                          <w:ind w:left="902"/>
                          <w:rPr>
                            <w:rFonts w:ascii="Arial" w:eastAsia="Times New Roman" w:hAnsi="Arial" w:cs="Arial"/>
                            <w:sz w:val="16"/>
                            <w:szCs w:val="16"/>
                            <w:lang w:val="es-ES"/>
                          </w:rPr>
                        </w:pPr>
                        <w:r w:rsidRPr="00D44B39">
                          <w:rPr>
                            <w:rFonts w:ascii="Arial" w:eastAsia="Times New Roman" w:hAnsi="Arial" w:cs="Arial"/>
                            <w:sz w:val="16"/>
                            <w:szCs w:val="16"/>
                            <w:lang w:val="es-ES"/>
                          </w:rPr>
                          <w:t>JPMorgan Chase &amp; Co. (JPM)</w:t>
                        </w:r>
                      </w:p>
                    </w:tc>
                    <w:tc>
                      <w:tcPr>
                        <w:tcW w:w="1639" w:type="dxa"/>
                        <w:tcBorders>
                          <w:left w:val="single" w:sz="8" w:space="0" w:color="000000"/>
                          <w:bottom w:val="single" w:sz="4" w:space="0" w:color="000000"/>
                          <w:right w:val="single" w:sz="8" w:space="0" w:color="000000"/>
                        </w:tcBorders>
                        <w:vAlign w:val="center"/>
                      </w:tcPr>
                      <w:p w:rsidR="00534734" w:rsidRPr="00D44B39" w:rsidRDefault="00534734">
                        <w:pPr>
                          <w:snapToGrid w:val="0"/>
                          <w:ind w:left="902"/>
                          <w:rPr>
                            <w:rFonts w:ascii="Arial" w:eastAsia="Times New Roman" w:hAnsi="Arial" w:cs="Arial"/>
                            <w:sz w:val="16"/>
                            <w:szCs w:val="16"/>
                            <w:lang w:val="es-ES"/>
                          </w:rPr>
                        </w:pPr>
                        <w:r w:rsidRPr="00D44B39">
                          <w:rPr>
                            <w:rFonts w:ascii="Arial" w:eastAsia="Times New Roman" w:hAnsi="Arial" w:cs="Arial"/>
                            <w:sz w:val="16"/>
                            <w:szCs w:val="16"/>
                            <w:lang w:val="es-ES"/>
                          </w:rPr>
                          <w:t>1.762</w:t>
                        </w:r>
                      </w:p>
                    </w:tc>
                  </w:tr>
                  <w:tr w:rsidR="00534734" w:rsidRPr="00D44B39">
                    <w:trPr>
                      <w:trHeight w:val="295"/>
                    </w:trPr>
                    <w:tc>
                      <w:tcPr>
                        <w:tcW w:w="3814" w:type="dxa"/>
                        <w:tcBorders>
                          <w:left w:val="single" w:sz="8" w:space="0" w:color="000000"/>
                          <w:bottom w:val="single" w:sz="4" w:space="0" w:color="000000"/>
                        </w:tcBorders>
                        <w:vAlign w:val="center"/>
                      </w:tcPr>
                      <w:p w:rsidR="00534734" w:rsidRPr="00D44B39" w:rsidRDefault="00534734">
                        <w:pPr>
                          <w:snapToGrid w:val="0"/>
                          <w:ind w:left="902"/>
                          <w:rPr>
                            <w:rFonts w:ascii="Arial" w:eastAsia="Times New Roman" w:hAnsi="Arial" w:cs="Arial"/>
                            <w:sz w:val="16"/>
                            <w:szCs w:val="16"/>
                            <w:lang w:val="en-GB"/>
                          </w:rPr>
                        </w:pPr>
                        <w:r w:rsidRPr="00D44B39">
                          <w:rPr>
                            <w:rFonts w:ascii="Arial" w:eastAsia="Times New Roman" w:hAnsi="Arial" w:cs="Arial"/>
                            <w:sz w:val="16"/>
                            <w:szCs w:val="16"/>
                            <w:lang w:val="en-GB"/>
                          </w:rPr>
                          <w:t>Societe Generale Group (A(SCGLY.PK)</w:t>
                        </w:r>
                      </w:p>
                    </w:tc>
                    <w:tc>
                      <w:tcPr>
                        <w:tcW w:w="1639" w:type="dxa"/>
                        <w:tcBorders>
                          <w:left w:val="single" w:sz="8" w:space="0" w:color="000000"/>
                          <w:bottom w:val="single" w:sz="4" w:space="0" w:color="000000"/>
                          <w:right w:val="single" w:sz="8" w:space="0" w:color="000000"/>
                        </w:tcBorders>
                        <w:vAlign w:val="center"/>
                      </w:tcPr>
                      <w:p w:rsidR="00534734" w:rsidRPr="00D44B39" w:rsidRDefault="00534734">
                        <w:pPr>
                          <w:snapToGrid w:val="0"/>
                          <w:ind w:left="902"/>
                          <w:rPr>
                            <w:rFonts w:ascii="Arial" w:eastAsia="Times New Roman" w:hAnsi="Arial" w:cs="Arial"/>
                            <w:sz w:val="16"/>
                            <w:szCs w:val="16"/>
                            <w:lang w:val="es-ES"/>
                          </w:rPr>
                        </w:pPr>
                        <w:r w:rsidRPr="00D44B39">
                          <w:rPr>
                            <w:rFonts w:ascii="Arial" w:eastAsia="Times New Roman" w:hAnsi="Arial" w:cs="Arial"/>
                            <w:sz w:val="16"/>
                            <w:szCs w:val="16"/>
                            <w:lang w:val="es-ES"/>
                          </w:rPr>
                          <w:t>1.007</w:t>
                        </w:r>
                      </w:p>
                    </w:tc>
                  </w:tr>
                  <w:tr w:rsidR="00534734" w:rsidRPr="00D44B39">
                    <w:trPr>
                      <w:trHeight w:val="295"/>
                    </w:trPr>
                    <w:tc>
                      <w:tcPr>
                        <w:tcW w:w="3814" w:type="dxa"/>
                        <w:tcBorders>
                          <w:left w:val="single" w:sz="8" w:space="0" w:color="000000"/>
                          <w:bottom w:val="single" w:sz="4" w:space="0" w:color="000000"/>
                        </w:tcBorders>
                        <w:vAlign w:val="center"/>
                      </w:tcPr>
                      <w:p w:rsidR="00534734" w:rsidRPr="00D44B39" w:rsidRDefault="00534734">
                        <w:pPr>
                          <w:snapToGrid w:val="0"/>
                          <w:ind w:left="902"/>
                          <w:rPr>
                            <w:rFonts w:ascii="Arial" w:eastAsia="Times New Roman" w:hAnsi="Arial" w:cs="Arial"/>
                            <w:sz w:val="16"/>
                            <w:szCs w:val="16"/>
                            <w:lang w:val="es-ES"/>
                          </w:rPr>
                        </w:pPr>
                        <w:r w:rsidRPr="00D44B39">
                          <w:rPr>
                            <w:rFonts w:ascii="Arial" w:eastAsia="Times New Roman" w:hAnsi="Arial" w:cs="Arial"/>
                            <w:sz w:val="16"/>
                            <w:szCs w:val="16"/>
                            <w:lang w:val="es-ES"/>
                          </w:rPr>
                          <w:t>U.S. Bancorp (USB)</w:t>
                        </w:r>
                      </w:p>
                    </w:tc>
                    <w:tc>
                      <w:tcPr>
                        <w:tcW w:w="1639" w:type="dxa"/>
                        <w:tcBorders>
                          <w:left w:val="single" w:sz="8" w:space="0" w:color="000000"/>
                          <w:bottom w:val="single" w:sz="4" w:space="0" w:color="000000"/>
                          <w:right w:val="single" w:sz="8" w:space="0" w:color="000000"/>
                        </w:tcBorders>
                        <w:vAlign w:val="center"/>
                      </w:tcPr>
                      <w:p w:rsidR="00534734" w:rsidRPr="00D44B39" w:rsidRDefault="00534734">
                        <w:pPr>
                          <w:snapToGrid w:val="0"/>
                          <w:ind w:left="902"/>
                          <w:rPr>
                            <w:rFonts w:ascii="Arial" w:eastAsia="Times New Roman" w:hAnsi="Arial" w:cs="Arial"/>
                            <w:sz w:val="16"/>
                            <w:szCs w:val="16"/>
                            <w:lang w:val="es-ES"/>
                          </w:rPr>
                        </w:pPr>
                        <w:r w:rsidRPr="00D44B39">
                          <w:rPr>
                            <w:rFonts w:ascii="Arial" w:eastAsia="Times New Roman" w:hAnsi="Arial" w:cs="Arial"/>
                            <w:sz w:val="16"/>
                            <w:szCs w:val="16"/>
                            <w:lang w:val="es-ES"/>
                          </w:rPr>
                          <w:t>0.758</w:t>
                        </w:r>
                      </w:p>
                    </w:tc>
                  </w:tr>
                  <w:tr w:rsidR="00534734" w:rsidRPr="00D44B39">
                    <w:trPr>
                      <w:trHeight w:val="295"/>
                    </w:trPr>
                    <w:tc>
                      <w:tcPr>
                        <w:tcW w:w="3814" w:type="dxa"/>
                        <w:tcBorders>
                          <w:left w:val="single" w:sz="8" w:space="0" w:color="000000"/>
                          <w:bottom w:val="single" w:sz="4" w:space="0" w:color="000000"/>
                        </w:tcBorders>
                        <w:vAlign w:val="center"/>
                      </w:tcPr>
                      <w:p w:rsidR="00534734" w:rsidRPr="00D44B39" w:rsidRDefault="00534734">
                        <w:pPr>
                          <w:snapToGrid w:val="0"/>
                          <w:ind w:left="902"/>
                          <w:rPr>
                            <w:rFonts w:ascii="Arial" w:eastAsia="Times New Roman" w:hAnsi="Arial" w:cs="Arial"/>
                            <w:sz w:val="16"/>
                            <w:szCs w:val="16"/>
                            <w:lang w:val="es-ES"/>
                          </w:rPr>
                        </w:pPr>
                        <w:r w:rsidRPr="00D44B39">
                          <w:rPr>
                            <w:rFonts w:ascii="Arial" w:eastAsia="Times New Roman" w:hAnsi="Arial" w:cs="Arial"/>
                            <w:sz w:val="16"/>
                            <w:szCs w:val="16"/>
                            <w:lang w:val="es-ES"/>
                          </w:rPr>
                          <w:t>UBS AG (USA) (UBS)</w:t>
                        </w:r>
                      </w:p>
                    </w:tc>
                    <w:tc>
                      <w:tcPr>
                        <w:tcW w:w="1639" w:type="dxa"/>
                        <w:tcBorders>
                          <w:left w:val="single" w:sz="8" w:space="0" w:color="000000"/>
                          <w:bottom w:val="single" w:sz="4" w:space="0" w:color="000000"/>
                          <w:right w:val="single" w:sz="8" w:space="0" w:color="000000"/>
                        </w:tcBorders>
                        <w:vAlign w:val="center"/>
                      </w:tcPr>
                      <w:p w:rsidR="00534734" w:rsidRPr="00D44B39" w:rsidRDefault="00534734">
                        <w:pPr>
                          <w:snapToGrid w:val="0"/>
                          <w:ind w:left="902"/>
                          <w:rPr>
                            <w:rFonts w:ascii="Arial" w:eastAsia="Times New Roman" w:hAnsi="Arial" w:cs="Arial"/>
                            <w:sz w:val="16"/>
                            <w:szCs w:val="16"/>
                            <w:lang w:val="es-ES"/>
                          </w:rPr>
                        </w:pPr>
                        <w:r w:rsidRPr="00D44B39">
                          <w:rPr>
                            <w:rFonts w:ascii="Arial" w:eastAsia="Times New Roman" w:hAnsi="Arial" w:cs="Arial"/>
                            <w:sz w:val="16"/>
                            <w:szCs w:val="16"/>
                            <w:lang w:val="es-ES"/>
                          </w:rPr>
                          <w:t>1.097</w:t>
                        </w:r>
                      </w:p>
                    </w:tc>
                  </w:tr>
                  <w:tr w:rsidR="00534734" w:rsidRPr="00D44B39">
                    <w:trPr>
                      <w:trHeight w:val="295"/>
                    </w:trPr>
                    <w:tc>
                      <w:tcPr>
                        <w:tcW w:w="3814" w:type="dxa"/>
                        <w:tcBorders>
                          <w:left w:val="single" w:sz="8" w:space="0" w:color="000000"/>
                          <w:bottom w:val="single" w:sz="4" w:space="0" w:color="000000"/>
                        </w:tcBorders>
                        <w:vAlign w:val="center"/>
                      </w:tcPr>
                      <w:p w:rsidR="00534734" w:rsidRPr="00D44B39" w:rsidRDefault="00534734">
                        <w:pPr>
                          <w:snapToGrid w:val="0"/>
                          <w:ind w:left="902"/>
                          <w:rPr>
                            <w:rFonts w:ascii="Arial" w:eastAsia="Times New Roman" w:hAnsi="Arial" w:cs="Arial"/>
                            <w:sz w:val="16"/>
                            <w:szCs w:val="16"/>
                            <w:lang w:val="es-ES"/>
                          </w:rPr>
                        </w:pPr>
                        <w:r w:rsidRPr="00D44B39">
                          <w:rPr>
                            <w:rFonts w:ascii="Arial" w:eastAsia="Times New Roman" w:hAnsi="Arial" w:cs="Arial"/>
                            <w:sz w:val="16"/>
                            <w:szCs w:val="16"/>
                            <w:lang w:val="es-ES"/>
                          </w:rPr>
                          <w:t>Wachovia Corporation (WB)</w:t>
                        </w:r>
                      </w:p>
                    </w:tc>
                    <w:tc>
                      <w:tcPr>
                        <w:tcW w:w="1639" w:type="dxa"/>
                        <w:tcBorders>
                          <w:left w:val="single" w:sz="8" w:space="0" w:color="000000"/>
                          <w:bottom w:val="single" w:sz="4" w:space="0" w:color="000000"/>
                          <w:right w:val="single" w:sz="8" w:space="0" w:color="000000"/>
                        </w:tcBorders>
                        <w:vAlign w:val="center"/>
                      </w:tcPr>
                      <w:p w:rsidR="00534734" w:rsidRPr="00D44B39" w:rsidRDefault="00534734">
                        <w:pPr>
                          <w:snapToGrid w:val="0"/>
                          <w:ind w:left="902"/>
                          <w:rPr>
                            <w:rFonts w:ascii="Arial" w:eastAsia="Times New Roman" w:hAnsi="Arial" w:cs="Arial"/>
                            <w:sz w:val="16"/>
                            <w:szCs w:val="16"/>
                            <w:lang w:val="es-ES"/>
                          </w:rPr>
                        </w:pPr>
                        <w:r w:rsidRPr="00D44B39">
                          <w:rPr>
                            <w:rFonts w:ascii="Arial" w:eastAsia="Times New Roman" w:hAnsi="Arial" w:cs="Arial"/>
                            <w:sz w:val="16"/>
                            <w:szCs w:val="16"/>
                            <w:lang w:val="es-ES"/>
                          </w:rPr>
                          <w:t>0.8</w:t>
                        </w:r>
                      </w:p>
                    </w:tc>
                  </w:tr>
                  <w:tr w:rsidR="00534734" w:rsidRPr="00D44B39">
                    <w:trPr>
                      <w:trHeight w:val="313"/>
                    </w:trPr>
                    <w:tc>
                      <w:tcPr>
                        <w:tcW w:w="3814" w:type="dxa"/>
                        <w:tcBorders>
                          <w:left w:val="single" w:sz="8" w:space="0" w:color="000000"/>
                          <w:bottom w:val="single" w:sz="8" w:space="0" w:color="000000"/>
                        </w:tcBorders>
                        <w:vAlign w:val="center"/>
                      </w:tcPr>
                      <w:p w:rsidR="00534734" w:rsidRPr="00D44B39" w:rsidRDefault="00534734">
                        <w:pPr>
                          <w:snapToGrid w:val="0"/>
                          <w:ind w:left="902"/>
                          <w:rPr>
                            <w:rFonts w:ascii="Arial" w:eastAsia="Times New Roman" w:hAnsi="Arial" w:cs="Arial"/>
                            <w:sz w:val="16"/>
                            <w:szCs w:val="16"/>
                            <w:lang w:val="es-ES"/>
                          </w:rPr>
                        </w:pPr>
                        <w:r w:rsidRPr="00D44B39">
                          <w:rPr>
                            <w:rFonts w:ascii="Arial" w:eastAsia="Times New Roman" w:hAnsi="Arial" w:cs="Arial"/>
                            <w:sz w:val="16"/>
                            <w:szCs w:val="16"/>
                            <w:lang w:val="es-ES"/>
                          </w:rPr>
                          <w:t>Wells Fargo &amp; Company (WFC)</w:t>
                        </w:r>
                      </w:p>
                    </w:tc>
                    <w:tc>
                      <w:tcPr>
                        <w:tcW w:w="1639" w:type="dxa"/>
                        <w:tcBorders>
                          <w:left w:val="single" w:sz="8" w:space="0" w:color="000000"/>
                          <w:bottom w:val="single" w:sz="8" w:space="0" w:color="000000"/>
                          <w:right w:val="single" w:sz="8" w:space="0" w:color="000000"/>
                        </w:tcBorders>
                        <w:vAlign w:val="center"/>
                      </w:tcPr>
                      <w:p w:rsidR="00534734" w:rsidRPr="00D44B39" w:rsidRDefault="00534734">
                        <w:pPr>
                          <w:snapToGrid w:val="0"/>
                          <w:ind w:left="902"/>
                          <w:rPr>
                            <w:rFonts w:ascii="Arial" w:eastAsia="Times New Roman" w:hAnsi="Arial" w:cs="Arial"/>
                            <w:sz w:val="16"/>
                            <w:szCs w:val="16"/>
                            <w:lang w:val="es-ES"/>
                          </w:rPr>
                        </w:pPr>
                        <w:r w:rsidRPr="00D44B39">
                          <w:rPr>
                            <w:rFonts w:ascii="Arial" w:eastAsia="Times New Roman" w:hAnsi="Arial" w:cs="Arial"/>
                            <w:sz w:val="16"/>
                            <w:szCs w:val="16"/>
                            <w:lang w:val="es-ES"/>
                          </w:rPr>
                          <w:t>0.346</w:t>
                        </w:r>
                      </w:p>
                    </w:tc>
                  </w:tr>
                </w:tbl>
              </w:txbxContent>
            </v:textbox>
            <w10:wrap type="square" side="largest"/>
          </v:shape>
        </w:pict>
      </w:r>
    </w:p>
    <w:p w:rsidR="006774DB" w:rsidRDefault="006774DB" w:rsidP="006774DB">
      <w:pPr>
        <w:spacing w:line="360" w:lineRule="auto"/>
        <w:ind w:firstLine="454"/>
        <w:jc w:val="center"/>
        <w:rPr>
          <w:rFonts w:ascii="Arial" w:hAnsi="Arial" w:cs="Arial"/>
          <w:sz w:val="20"/>
          <w:szCs w:val="20"/>
          <w:lang/>
        </w:rPr>
      </w:pPr>
    </w:p>
    <w:p w:rsidR="006774DB" w:rsidRDefault="006774DB" w:rsidP="006774DB">
      <w:pPr>
        <w:spacing w:line="360" w:lineRule="auto"/>
        <w:ind w:firstLine="454"/>
        <w:jc w:val="center"/>
        <w:rPr>
          <w:rFonts w:ascii="Arial" w:hAnsi="Arial" w:cs="Arial"/>
          <w:sz w:val="20"/>
          <w:szCs w:val="20"/>
          <w:lang/>
        </w:rPr>
      </w:pPr>
    </w:p>
    <w:p w:rsidR="006774DB" w:rsidRDefault="006774DB" w:rsidP="006774DB">
      <w:pPr>
        <w:spacing w:line="360" w:lineRule="auto"/>
        <w:ind w:firstLine="454"/>
        <w:jc w:val="center"/>
        <w:rPr>
          <w:rFonts w:ascii="Arial" w:hAnsi="Arial" w:cs="Arial"/>
          <w:sz w:val="20"/>
          <w:szCs w:val="20"/>
          <w:lang/>
        </w:rPr>
      </w:pPr>
    </w:p>
    <w:p w:rsidR="006774DB" w:rsidRDefault="006774DB" w:rsidP="006774DB">
      <w:pPr>
        <w:spacing w:line="360" w:lineRule="auto"/>
        <w:ind w:firstLine="454"/>
        <w:jc w:val="center"/>
        <w:rPr>
          <w:rFonts w:ascii="Arial" w:hAnsi="Arial" w:cs="Arial"/>
          <w:sz w:val="20"/>
          <w:szCs w:val="20"/>
          <w:lang/>
        </w:rPr>
      </w:pPr>
    </w:p>
    <w:p w:rsidR="006774DB" w:rsidRDefault="006774DB" w:rsidP="006774DB">
      <w:pPr>
        <w:spacing w:line="360" w:lineRule="auto"/>
        <w:ind w:firstLine="454"/>
        <w:jc w:val="center"/>
        <w:rPr>
          <w:rFonts w:ascii="Arial" w:hAnsi="Arial" w:cs="Arial"/>
          <w:sz w:val="20"/>
          <w:szCs w:val="20"/>
          <w:lang/>
        </w:rPr>
      </w:pPr>
    </w:p>
    <w:p w:rsidR="006774DB" w:rsidRDefault="006774DB" w:rsidP="006774DB">
      <w:pPr>
        <w:spacing w:line="360" w:lineRule="auto"/>
        <w:ind w:firstLine="454"/>
        <w:jc w:val="center"/>
        <w:rPr>
          <w:rFonts w:ascii="Arial" w:hAnsi="Arial" w:cs="Arial"/>
          <w:sz w:val="20"/>
          <w:szCs w:val="20"/>
          <w:lang/>
        </w:rPr>
      </w:pPr>
    </w:p>
    <w:p w:rsidR="006774DB" w:rsidRDefault="006774DB" w:rsidP="006774DB">
      <w:pPr>
        <w:spacing w:line="360" w:lineRule="auto"/>
        <w:ind w:firstLine="454"/>
        <w:jc w:val="center"/>
        <w:rPr>
          <w:rFonts w:ascii="Arial" w:hAnsi="Arial" w:cs="Arial"/>
          <w:sz w:val="20"/>
          <w:szCs w:val="20"/>
          <w:lang/>
        </w:rPr>
      </w:pPr>
    </w:p>
    <w:p w:rsidR="006774DB" w:rsidRDefault="006774DB" w:rsidP="006774DB">
      <w:pPr>
        <w:spacing w:line="360" w:lineRule="auto"/>
        <w:ind w:firstLine="454"/>
        <w:jc w:val="center"/>
        <w:rPr>
          <w:rFonts w:ascii="Arial" w:hAnsi="Arial" w:cs="Arial"/>
          <w:sz w:val="20"/>
          <w:szCs w:val="20"/>
          <w:lang/>
        </w:rPr>
      </w:pPr>
    </w:p>
    <w:p w:rsidR="006774DB" w:rsidRDefault="006774DB" w:rsidP="006774DB">
      <w:pPr>
        <w:spacing w:line="360" w:lineRule="auto"/>
        <w:ind w:firstLine="454"/>
        <w:jc w:val="center"/>
        <w:rPr>
          <w:rFonts w:ascii="Arial" w:hAnsi="Arial" w:cs="Arial"/>
          <w:sz w:val="20"/>
          <w:szCs w:val="20"/>
          <w:lang/>
        </w:rPr>
      </w:pPr>
    </w:p>
    <w:p w:rsidR="006774DB" w:rsidRDefault="006774DB" w:rsidP="006774DB">
      <w:pPr>
        <w:spacing w:line="360" w:lineRule="auto"/>
        <w:rPr>
          <w:rFonts w:ascii="Arial" w:hAnsi="Arial" w:cs="Arial"/>
          <w:sz w:val="20"/>
          <w:szCs w:val="20"/>
          <w:lang/>
        </w:rPr>
      </w:pPr>
    </w:p>
    <w:p w:rsidR="006774DB" w:rsidRDefault="006774DB" w:rsidP="006774DB">
      <w:pPr>
        <w:spacing w:line="360" w:lineRule="auto"/>
        <w:ind w:firstLine="454"/>
        <w:rPr>
          <w:rFonts w:ascii="Arial" w:hAnsi="Arial" w:cs="Arial"/>
          <w:sz w:val="16"/>
          <w:szCs w:val="16"/>
          <w:lang/>
        </w:rPr>
      </w:pPr>
    </w:p>
    <w:p w:rsidR="00384BAC" w:rsidRDefault="00384BAC" w:rsidP="00384BAC">
      <w:pPr>
        <w:spacing w:line="360" w:lineRule="auto"/>
        <w:ind w:firstLine="454"/>
        <w:rPr>
          <w:rFonts w:ascii="Arial" w:hAnsi="Arial" w:cs="Arial"/>
          <w:sz w:val="16"/>
          <w:szCs w:val="16"/>
          <w:lang/>
        </w:rPr>
      </w:pPr>
    </w:p>
    <w:p w:rsidR="00384BAC" w:rsidRDefault="00384BAC" w:rsidP="00384BAC">
      <w:pPr>
        <w:spacing w:line="360" w:lineRule="auto"/>
        <w:ind w:firstLine="454"/>
        <w:rPr>
          <w:rFonts w:ascii="Arial" w:hAnsi="Arial" w:cs="Arial"/>
          <w:sz w:val="16"/>
          <w:szCs w:val="16"/>
          <w:lang/>
        </w:rPr>
      </w:pPr>
    </w:p>
    <w:p w:rsidR="00A7470F" w:rsidRDefault="00A7470F" w:rsidP="00384BAC">
      <w:pPr>
        <w:spacing w:line="360" w:lineRule="auto"/>
        <w:ind w:firstLine="454"/>
        <w:rPr>
          <w:rFonts w:ascii="Arial" w:hAnsi="Arial" w:cs="Arial"/>
          <w:sz w:val="16"/>
          <w:szCs w:val="16"/>
          <w:lang/>
        </w:rPr>
      </w:pPr>
    </w:p>
    <w:p w:rsidR="006774DB" w:rsidRPr="001A5EE3" w:rsidRDefault="006774DB" w:rsidP="00384BAC">
      <w:pPr>
        <w:spacing w:line="360" w:lineRule="auto"/>
        <w:ind w:firstLine="454"/>
        <w:rPr>
          <w:rFonts w:ascii="Arial" w:hAnsi="Arial" w:cs="Arial"/>
          <w:sz w:val="16"/>
          <w:szCs w:val="16"/>
          <w:lang/>
        </w:rPr>
      </w:pPr>
      <w:r w:rsidRPr="001A5EE3">
        <w:rPr>
          <w:rFonts w:ascii="Arial" w:hAnsi="Arial" w:cs="Arial"/>
          <w:sz w:val="16"/>
          <w:szCs w:val="16"/>
          <w:lang/>
        </w:rPr>
        <w:t>Fuente: Yahoo! http://finance.yahoo.com</w:t>
      </w:r>
    </w:p>
    <w:p w:rsidR="006774DB" w:rsidRPr="001A5EE3" w:rsidRDefault="006774DB" w:rsidP="006774DB">
      <w:pPr>
        <w:spacing w:line="360" w:lineRule="auto"/>
        <w:ind w:firstLine="454"/>
        <w:rPr>
          <w:rFonts w:ascii="Arial" w:hAnsi="Arial" w:cs="Arial"/>
          <w:sz w:val="16"/>
          <w:szCs w:val="16"/>
          <w:lang/>
        </w:rPr>
      </w:pPr>
      <w:r w:rsidRPr="001A5EE3">
        <w:rPr>
          <w:rFonts w:ascii="Arial" w:hAnsi="Arial" w:cs="Arial"/>
          <w:sz w:val="16"/>
          <w:szCs w:val="16"/>
          <w:lang/>
        </w:rPr>
        <w:t>Elaboración: Autores</w:t>
      </w:r>
    </w:p>
    <w:p w:rsidR="006774DB" w:rsidRDefault="006774DB" w:rsidP="006774DB">
      <w:pPr>
        <w:spacing w:line="360" w:lineRule="auto"/>
        <w:ind w:firstLine="454"/>
        <w:jc w:val="both"/>
        <w:rPr>
          <w:rFonts w:ascii="Arial" w:hAnsi="Arial" w:cs="Arial"/>
          <w:lang/>
        </w:rPr>
      </w:pPr>
    </w:p>
    <w:p w:rsidR="006774DB" w:rsidRPr="00384BAC" w:rsidRDefault="006774DB" w:rsidP="006774DB">
      <w:pPr>
        <w:spacing w:line="360" w:lineRule="auto"/>
        <w:ind w:firstLine="454"/>
        <w:jc w:val="both"/>
        <w:rPr>
          <w:rFonts w:ascii="Arial" w:hAnsi="Arial" w:cs="Arial"/>
          <w:sz w:val="24"/>
          <w:szCs w:val="24"/>
          <w:lang/>
        </w:rPr>
      </w:pPr>
      <w:r w:rsidRPr="00384BAC">
        <w:rPr>
          <w:rFonts w:ascii="Arial" w:hAnsi="Arial" w:cs="Arial"/>
          <w:sz w:val="24"/>
          <w:szCs w:val="24"/>
          <w:lang/>
        </w:rPr>
        <w:t xml:space="preserve">En el caso del mercado ecuatoriano, se puede intentar calcular el factor beta midiendo la correlación entre la variación del precio de las acciones de la empresa y la variación de un  índice de mercado, sin embargo las condiciones del mercado, la carencia de datos históricos y la falta </w:t>
      </w:r>
      <w:r w:rsidR="00F27DFF">
        <w:rPr>
          <w:rFonts w:ascii="Arial" w:hAnsi="Arial" w:cs="Arial"/>
          <w:sz w:val="24"/>
          <w:szCs w:val="24"/>
          <w:lang/>
        </w:rPr>
        <w:t xml:space="preserve">de </w:t>
      </w:r>
      <w:r w:rsidRPr="00384BAC">
        <w:rPr>
          <w:rFonts w:ascii="Arial" w:hAnsi="Arial" w:cs="Arial"/>
          <w:sz w:val="24"/>
          <w:szCs w:val="24"/>
          <w:lang/>
        </w:rPr>
        <w:lastRenderedPageBreak/>
        <w:t>representatividad de IRECU entre otros factores, hacen difícil obtener una buena estimación del factor beta</w:t>
      </w:r>
      <w:r w:rsidRPr="00384BAC">
        <w:rPr>
          <w:rStyle w:val="Refdenotaalpie1"/>
          <w:rFonts w:ascii="Arial" w:hAnsi="Arial" w:cs="Arial"/>
          <w:sz w:val="24"/>
          <w:szCs w:val="24"/>
          <w:lang w:val="es-ES"/>
        </w:rPr>
        <w:t>1</w:t>
      </w:r>
      <w:r w:rsidRPr="00384BAC">
        <w:rPr>
          <w:rStyle w:val="Refdenotaalpie1"/>
          <w:rFonts w:ascii="Arial" w:hAnsi="Arial" w:cs="Arial"/>
          <w:b/>
          <w:bCs/>
          <w:sz w:val="24"/>
          <w:szCs w:val="24"/>
          <w:lang w:val="es-ES"/>
        </w:rPr>
        <w:t>2</w:t>
      </w:r>
      <w:r w:rsidRPr="00384BAC">
        <w:rPr>
          <w:rFonts w:ascii="Arial" w:hAnsi="Arial" w:cs="Arial"/>
          <w:sz w:val="24"/>
          <w:szCs w:val="24"/>
          <w:lang/>
        </w:rPr>
        <w:t>.</w:t>
      </w:r>
    </w:p>
    <w:p w:rsidR="006774DB" w:rsidRDefault="006774DB" w:rsidP="00A7470F">
      <w:pPr>
        <w:spacing w:line="240" w:lineRule="auto"/>
        <w:ind w:firstLine="454"/>
        <w:jc w:val="both"/>
        <w:rPr>
          <w:rFonts w:cs="Calibri"/>
          <w:b/>
          <w:lang/>
        </w:rPr>
      </w:pPr>
    </w:p>
    <w:p w:rsidR="006774DB" w:rsidRPr="00384BAC" w:rsidRDefault="006774DB" w:rsidP="006774DB">
      <w:pPr>
        <w:widowControl w:val="0"/>
        <w:numPr>
          <w:ilvl w:val="0"/>
          <w:numId w:val="15"/>
        </w:numPr>
        <w:tabs>
          <w:tab w:val="left" w:pos="1262"/>
          <w:tab w:val="left" w:pos="1428"/>
        </w:tabs>
        <w:suppressAutoHyphens/>
        <w:spacing w:after="0" w:line="360" w:lineRule="auto"/>
        <w:ind w:left="0" w:firstLine="454"/>
        <w:jc w:val="both"/>
        <w:rPr>
          <w:rFonts w:ascii="Arial" w:hAnsi="Arial" w:cs="Arial"/>
          <w:b/>
          <w:sz w:val="24"/>
          <w:szCs w:val="24"/>
          <w:lang/>
        </w:rPr>
      </w:pPr>
      <w:r w:rsidRPr="00384BAC">
        <w:rPr>
          <w:rFonts w:ascii="Arial" w:hAnsi="Arial" w:cs="Arial"/>
          <w:b/>
          <w:sz w:val="24"/>
          <w:szCs w:val="24"/>
          <w:lang/>
        </w:rPr>
        <w:t>PREMIO SOBRE EL RIESGO DEL MERCADO</w:t>
      </w:r>
    </w:p>
    <w:p w:rsidR="006774DB" w:rsidRPr="00384BAC" w:rsidRDefault="006774DB" w:rsidP="00A7470F">
      <w:pPr>
        <w:tabs>
          <w:tab w:val="left" w:pos="1262"/>
        </w:tabs>
        <w:spacing w:line="240" w:lineRule="auto"/>
        <w:jc w:val="both"/>
        <w:rPr>
          <w:rFonts w:ascii="Arial" w:hAnsi="Arial" w:cs="Arial"/>
          <w:b/>
          <w:sz w:val="24"/>
          <w:szCs w:val="24"/>
          <w:lang/>
        </w:rPr>
      </w:pPr>
    </w:p>
    <w:p w:rsidR="006774DB" w:rsidRPr="00384BAC" w:rsidRDefault="006774DB" w:rsidP="00384BAC">
      <w:pPr>
        <w:spacing w:line="360" w:lineRule="auto"/>
        <w:ind w:firstLine="454"/>
        <w:jc w:val="both"/>
        <w:rPr>
          <w:rFonts w:ascii="Arial" w:hAnsi="Arial" w:cs="Arial"/>
          <w:sz w:val="24"/>
          <w:szCs w:val="24"/>
          <w:lang/>
        </w:rPr>
      </w:pPr>
      <w:r w:rsidRPr="00384BAC">
        <w:rPr>
          <w:rFonts w:ascii="Arial" w:hAnsi="Arial" w:cs="Arial"/>
          <w:sz w:val="24"/>
          <w:szCs w:val="24"/>
          <w:lang/>
        </w:rPr>
        <w:t>Generalmente se usa el valor calculado por Ibboston &amp; Associates para el mercado norteamericano el cual toma una serie histórica de precios de índices accionarios bajo el supuesto que estas series largas predigan correctamente los valores esperados. Esta cifra se calculo como el premio por riesgo entre el índice S&amp;P 500 y los papeles de mediano plazo del gobierno estadounidense, y es usado para el cálculo de modelos de tasa de descuento. Debido a la carencia de datos para nuestro país, es difícil calcular la prima de riesgo representativa</w:t>
      </w:r>
      <w:r w:rsidRPr="00384BAC">
        <w:rPr>
          <w:rFonts w:cs="Calibri"/>
          <w:sz w:val="24"/>
          <w:szCs w:val="24"/>
          <w:lang/>
        </w:rPr>
        <w:t>.</w:t>
      </w:r>
    </w:p>
    <w:p w:rsidR="006774DB" w:rsidRDefault="006774DB" w:rsidP="006774DB">
      <w:pPr>
        <w:spacing w:line="360" w:lineRule="auto"/>
        <w:ind w:firstLine="454"/>
        <w:jc w:val="both"/>
        <w:rPr>
          <w:rFonts w:cs="Calibri"/>
          <w:lang/>
        </w:rPr>
      </w:pPr>
    </w:p>
    <w:p w:rsidR="006774DB" w:rsidRPr="00384BAC" w:rsidRDefault="006774DB" w:rsidP="006774DB">
      <w:pPr>
        <w:widowControl w:val="0"/>
        <w:numPr>
          <w:ilvl w:val="0"/>
          <w:numId w:val="15"/>
        </w:numPr>
        <w:tabs>
          <w:tab w:val="left" w:pos="902"/>
          <w:tab w:val="left" w:pos="1428"/>
        </w:tabs>
        <w:suppressAutoHyphens/>
        <w:spacing w:after="0" w:line="360" w:lineRule="auto"/>
        <w:ind w:left="0" w:firstLine="454"/>
        <w:jc w:val="both"/>
        <w:rPr>
          <w:rFonts w:ascii="Arial" w:hAnsi="Arial" w:cs="Arial"/>
          <w:b/>
          <w:sz w:val="24"/>
          <w:szCs w:val="24"/>
          <w:lang/>
        </w:rPr>
      </w:pPr>
      <w:r w:rsidRPr="00384BAC">
        <w:rPr>
          <w:rFonts w:ascii="Arial" w:hAnsi="Arial" w:cs="Arial"/>
          <w:b/>
          <w:sz w:val="24"/>
          <w:szCs w:val="24"/>
          <w:lang/>
        </w:rPr>
        <w:t xml:space="preserve">AJUSTE DE </w:t>
      </w:r>
      <w:smartTag w:uri="urn:schemas-microsoft-com:office:smarttags" w:element="PersonName">
        <w:smartTagPr>
          <w:attr w:name="ProductID" w:val="LA TASA DE"/>
        </w:smartTagPr>
        <w:r w:rsidRPr="00384BAC">
          <w:rPr>
            <w:rFonts w:ascii="Arial" w:hAnsi="Arial" w:cs="Arial"/>
            <w:b/>
            <w:sz w:val="24"/>
            <w:szCs w:val="24"/>
            <w:lang/>
          </w:rPr>
          <w:t>LA TASA DE</w:t>
        </w:r>
      </w:smartTag>
      <w:r w:rsidRPr="00384BAC">
        <w:rPr>
          <w:rFonts w:ascii="Arial" w:hAnsi="Arial" w:cs="Arial"/>
          <w:b/>
          <w:sz w:val="24"/>
          <w:szCs w:val="24"/>
          <w:lang/>
        </w:rPr>
        <w:t xml:space="preserve"> COSTO PATRIMONIAL</w:t>
      </w:r>
    </w:p>
    <w:p w:rsidR="006774DB" w:rsidRPr="00384BAC" w:rsidRDefault="006774DB" w:rsidP="00A7470F">
      <w:pPr>
        <w:tabs>
          <w:tab w:val="left" w:pos="902"/>
        </w:tabs>
        <w:spacing w:line="240" w:lineRule="auto"/>
        <w:jc w:val="both"/>
        <w:rPr>
          <w:rFonts w:ascii="Arial" w:hAnsi="Arial" w:cs="Arial"/>
          <w:b/>
          <w:sz w:val="24"/>
          <w:szCs w:val="24"/>
          <w:lang/>
        </w:rPr>
      </w:pPr>
    </w:p>
    <w:p w:rsidR="00A7470F" w:rsidRDefault="006774DB" w:rsidP="00A7470F">
      <w:pPr>
        <w:spacing w:line="360" w:lineRule="auto"/>
        <w:ind w:firstLine="454"/>
        <w:jc w:val="both"/>
        <w:rPr>
          <w:rFonts w:ascii="Arial" w:hAnsi="Arial" w:cs="Arial"/>
          <w:sz w:val="24"/>
          <w:szCs w:val="24"/>
          <w:lang/>
        </w:rPr>
      </w:pPr>
      <w:r w:rsidRPr="00384BAC">
        <w:rPr>
          <w:rFonts w:ascii="Arial" w:hAnsi="Arial" w:cs="Arial"/>
          <w:sz w:val="24"/>
          <w:szCs w:val="24"/>
          <w:lang/>
        </w:rPr>
        <w:t>Debido al poco movimiento accionario y la falta de disponibilidad de datos registrados en el Ecuador, lo cual dificulta el cálculo de un CAPM significativo, se utilizan los parámetros de EE.UU. y a este resultado se le agrega el Riesgo País, como una medida de ajuste que adapte el valor de la tasa de costo patrimonial a nuestro país.</w:t>
      </w:r>
    </w:p>
    <w:p w:rsidR="00F27DFF" w:rsidRDefault="00F27DFF" w:rsidP="00F27DFF">
      <w:pPr>
        <w:spacing w:line="360" w:lineRule="auto"/>
        <w:ind w:firstLine="454"/>
        <w:jc w:val="both"/>
        <w:rPr>
          <w:rFonts w:ascii="Arial" w:hAnsi="Arial" w:cs="Arial"/>
          <w:sz w:val="24"/>
          <w:szCs w:val="24"/>
          <w:lang/>
        </w:rPr>
      </w:pPr>
    </w:p>
    <w:p w:rsidR="00F27DFF" w:rsidRDefault="006774DB" w:rsidP="00F27DFF">
      <w:pPr>
        <w:spacing w:line="360" w:lineRule="auto"/>
        <w:ind w:firstLine="454"/>
        <w:jc w:val="both"/>
        <w:rPr>
          <w:rFonts w:ascii="Arial" w:hAnsi="Arial" w:cs="Arial"/>
          <w:sz w:val="24"/>
          <w:szCs w:val="24"/>
          <w:lang/>
        </w:rPr>
      </w:pPr>
      <w:r w:rsidRPr="00384BAC">
        <w:rPr>
          <w:rFonts w:ascii="Arial" w:hAnsi="Arial" w:cs="Arial"/>
          <w:sz w:val="24"/>
          <w:szCs w:val="24"/>
          <w:lang/>
        </w:rPr>
        <w:t>Realizando el ajuste para el cálculo del CAPM de</w:t>
      </w:r>
      <w:r w:rsidR="00384BAC">
        <w:rPr>
          <w:rFonts w:ascii="Arial" w:hAnsi="Arial" w:cs="Arial"/>
          <w:sz w:val="24"/>
          <w:szCs w:val="24"/>
          <w:lang/>
        </w:rPr>
        <w:t xml:space="preserve">l beta del Banco Produbanco </w:t>
      </w:r>
      <w:r w:rsidRPr="00384BAC">
        <w:rPr>
          <w:rFonts w:ascii="Arial" w:hAnsi="Arial" w:cs="Arial"/>
          <w:sz w:val="24"/>
          <w:szCs w:val="24"/>
          <w:lang/>
        </w:rPr>
        <w:t>la ecuación a utilizar  quedaría:</w:t>
      </w:r>
    </w:p>
    <w:p w:rsidR="00F27DFF" w:rsidRPr="00F27DFF" w:rsidRDefault="00F27DFF" w:rsidP="00F27DFF">
      <w:pPr>
        <w:spacing w:line="360" w:lineRule="auto"/>
        <w:ind w:firstLine="454"/>
        <w:jc w:val="both"/>
        <w:rPr>
          <w:rFonts w:ascii="Arial" w:hAnsi="Arial" w:cs="Arial"/>
          <w:lang/>
        </w:rPr>
      </w:pPr>
      <w:r>
        <w:pict>
          <v:line id="_x0000_s1055" style="position:absolute;left:0;text-align:left;z-index:251648512" from="0,25.75pt" to="146.7pt,25.75pt"/>
        </w:pict>
      </w:r>
    </w:p>
    <w:p w:rsidR="00F27DFF" w:rsidRPr="00F27DFF" w:rsidRDefault="00F27DFF" w:rsidP="00F27DFF">
      <w:pPr>
        <w:spacing w:line="360" w:lineRule="auto"/>
        <w:ind w:firstLine="454"/>
        <w:jc w:val="both"/>
        <w:rPr>
          <w:rFonts w:ascii="Arial" w:hAnsi="Arial" w:cs="Arial"/>
          <w:sz w:val="28"/>
          <w:szCs w:val="28"/>
          <w:lang w:val="es-ES"/>
        </w:rPr>
      </w:pPr>
      <w:r w:rsidRPr="00F27DFF">
        <w:rPr>
          <w:rStyle w:val="Refdenotaalpie1"/>
          <w:rFonts w:ascii="Arial" w:hAnsi="Arial" w:cs="Arial"/>
          <w:color w:val="000000"/>
          <w:sz w:val="28"/>
          <w:szCs w:val="28"/>
          <w:lang w:val="es-ES"/>
        </w:rPr>
        <w:t>12  Análisis de  Riesgo: Obtención de los betas patrimoniales para Empresas del Ecuador- P. Flores &amp; P. Quevedo Tesis Espol Dic-2001</w:t>
      </w:r>
    </w:p>
    <w:p w:rsidR="006774DB" w:rsidRPr="00384BAC" w:rsidRDefault="006774DB" w:rsidP="006774DB">
      <w:pPr>
        <w:spacing w:line="360" w:lineRule="auto"/>
        <w:ind w:firstLine="454"/>
        <w:jc w:val="both"/>
        <w:rPr>
          <w:rFonts w:ascii="Arial" w:hAnsi="Arial" w:cs="Arial"/>
          <w:sz w:val="24"/>
          <w:szCs w:val="24"/>
          <w:lang/>
        </w:rPr>
      </w:pPr>
      <w:r w:rsidRPr="00384BAC">
        <w:rPr>
          <w:rFonts w:ascii="Arial" w:hAnsi="Arial" w:cs="Arial"/>
          <w:sz w:val="24"/>
          <w:szCs w:val="24"/>
          <w:lang/>
        </w:rPr>
        <w:lastRenderedPageBreak/>
        <w:t>r = rf</w:t>
      </w:r>
      <w:r w:rsidRPr="00384BAC">
        <w:rPr>
          <w:rFonts w:ascii="Arial" w:hAnsi="Arial" w:cs="Arial"/>
          <w:sz w:val="24"/>
          <w:szCs w:val="24"/>
          <w:vertAlign w:val="subscript"/>
          <w:lang/>
        </w:rPr>
        <w:t xml:space="preserve"> </w:t>
      </w:r>
      <w:r w:rsidRPr="00384BAC">
        <w:rPr>
          <w:rFonts w:ascii="Arial" w:hAnsi="Arial" w:cs="Arial"/>
          <w:sz w:val="24"/>
          <w:szCs w:val="24"/>
          <w:lang/>
        </w:rPr>
        <w:t xml:space="preserve"> + β (E (r</w:t>
      </w:r>
      <w:r w:rsidRPr="00384BAC">
        <w:rPr>
          <w:rFonts w:ascii="Arial" w:hAnsi="Arial" w:cs="Arial"/>
          <w:sz w:val="24"/>
          <w:szCs w:val="24"/>
          <w:vertAlign w:val="subscript"/>
          <w:lang/>
        </w:rPr>
        <w:t>m</w:t>
      </w:r>
      <w:r w:rsidRPr="00384BAC">
        <w:rPr>
          <w:rFonts w:ascii="Arial" w:hAnsi="Arial" w:cs="Arial"/>
          <w:sz w:val="24"/>
          <w:szCs w:val="24"/>
          <w:lang/>
        </w:rPr>
        <w:t>) – r</w:t>
      </w:r>
      <w:r w:rsidRPr="00384BAC">
        <w:rPr>
          <w:rFonts w:ascii="Arial" w:hAnsi="Arial" w:cs="Arial"/>
          <w:sz w:val="24"/>
          <w:szCs w:val="24"/>
          <w:vertAlign w:val="subscript"/>
          <w:lang/>
        </w:rPr>
        <w:t>f</w:t>
      </w:r>
      <w:r w:rsidRPr="00384BAC">
        <w:rPr>
          <w:rFonts w:ascii="Arial" w:hAnsi="Arial" w:cs="Arial"/>
          <w:sz w:val="24"/>
          <w:szCs w:val="24"/>
          <w:lang/>
        </w:rPr>
        <w:t>) + Riesgo País</w:t>
      </w:r>
    </w:p>
    <w:p w:rsidR="006774DB" w:rsidRPr="00384BAC" w:rsidRDefault="006774DB" w:rsidP="006774DB">
      <w:pPr>
        <w:spacing w:line="360" w:lineRule="auto"/>
        <w:ind w:firstLine="454"/>
        <w:jc w:val="both"/>
        <w:rPr>
          <w:rFonts w:ascii="Arial" w:hAnsi="Arial" w:cs="Arial"/>
          <w:b/>
          <w:sz w:val="24"/>
          <w:szCs w:val="24"/>
          <w:lang/>
        </w:rPr>
      </w:pPr>
    </w:p>
    <w:p w:rsidR="006774DB" w:rsidRPr="00384BAC" w:rsidRDefault="006774DB" w:rsidP="006774DB">
      <w:pPr>
        <w:widowControl w:val="0"/>
        <w:numPr>
          <w:ilvl w:val="0"/>
          <w:numId w:val="15"/>
        </w:numPr>
        <w:tabs>
          <w:tab w:val="left" w:pos="1262"/>
          <w:tab w:val="left" w:pos="1428"/>
        </w:tabs>
        <w:suppressAutoHyphens/>
        <w:spacing w:after="0" w:line="360" w:lineRule="auto"/>
        <w:ind w:left="0" w:firstLine="454"/>
        <w:jc w:val="both"/>
        <w:rPr>
          <w:rFonts w:cs="Calibri"/>
          <w:b/>
          <w:sz w:val="24"/>
          <w:szCs w:val="24"/>
          <w:lang/>
        </w:rPr>
      </w:pPr>
      <w:r w:rsidRPr="00384BAC">
        <w:rPr>
          <w:rFonts w:cs="Calibri"/>
          <w:b/>
          <w:sz w:val="24"/>
          <w:szCs w:val="24"/>
          <w:lang/>
        </w:rPr>
        <w:t>RIESGO PAÍS</w:t>
      </w:r>
    </w:p>
    <w:p w:rsidR="006774DB" w:rsidRPr="00384BAC" w:rsidRDefault="006774DB" w:rsidP="006774DB">
      <w:pPr>
        <w:spacing w:line="360" w:lineRule="auto"/>
        <w:ind w:firstLine="454"/>
        <w:jc w:val="both"/>
        <w:rPr>
          <w:rFonts w:ascii="Arial" w:hAnsi="Arial" w:cs="Arial"/>
          <w:sz w:val="24"/>
          <w:szCs w:val="24"/>
          <w:lang/>
        </w:rPr>
      </w:pPr>
    </w:p>
    <w:p w:rsidR="006774DB" w:rsidRPr="00384BAC" w:rsidRDefault="006774DB" w:rsidP="006774DB">
      <w:pPr>
        <w:spacing w:line="360" w:lineRule="auto"/>
        <w:ind w:firstLine="454"/>
        <w:jc w:val="both"/>
        <w:rPr>
          <w:rFonts w:ascii="Arial" w:hAnsi="Arial" w:cs="Arial"/>
          <w:sz w:val="24"/>
          <w:szCs w:val="24"/>
          <w:lang/>
        </w:rPr>
      </w:pPr>
      <w:r w:rsidRPr="00384BAC">
        <w:rPr>
          <w:rFonts w:ascii="Arial" w:hAnsi="Arial" w:cs="Arial"/>
          <w:sz w:val="24"/>
          <w:szCs w:val="24"/>
          <w:lang/>
        </w:rPr>
        <w:t xml:space="preserve">El riesgo país es un concepto económico que ha sido abordado académica y empíricamente mediante la aplicación de metodologías de la mas variada índole: desde la utilización de índices de mercados como el índice EMBI de países emergentes de Chase JPMorgan hasta sistemas que incorporan variables económicas, políticas y financieras. El EMBI se define como un índice de bonos de mercados emergentes, el cual refleja el movimiento en los precios de sus títulos negociados en moneda extranjera. </w:t>
      </w:r>
    </w:p>
    <w:p w:rsidR="006774DB" w:rsidRPr="00384BAC" w:rsidRDefault="006774DB" w:rsidP="006774DB">
      <w:pPr>
        <w:spacing w:line="360" w:lineRule="auto"/>
        <w:ind w:firstLine="454"/>
        <w:jc w:val="both"/>
        <w:rPr>
          <w:rFonts w:ascii="Arial" w:hAnsi="Arial" w:cs="Arial"/>
          <w:sz w:val="24"/>
          <w:szCs w:val="24"/>
          <w:lang/>
        </w:rPr>
      </w:pPr>
    </w:p>
    <w:p w:rsidR="006774DB" w:rsidRDefault="006774DB" w:rsidP="006774DB">
      <w:pPr>
        <w:spacing w:line="360" w:lineRule="auto"/>
        <w:ind w:firstLine="454"/>
        <w:jc w:val="both"/>
        <w:rPr>
          <w:rFonts w:ascii="Arial" w:hAnsi="Arial" w:cs="Arial"/>
          <w:sz w:val="24"/>
          <w:szCs w:val="24"/>
          <w:lang/>
        </w:rPr>
      </w:pPr>
      <w:r w:rsidRPr="00384BAC">
        <w:rPr>
          <w:rFonts w:ascii="Arial" w:hAnsi="Arial" w:cs="Arial"/>
          <w:sz w:val="24"/>
          <w:szCs w:val="24"/>
          <w:lang/>
        </w:rPr>
        <w:t>Se la expresa como un índice  o como un margen de rentabilidad sobre aquella implícita en bonos del Tesoro de los Estados Unidos</w:t>
      </w:r>
      <w:r w:rsidRPr="00384BAC">
        <w:rPr>
          <w:rStyle w:val="Refdenotaalpie1"/>
          <w:rFonts w:ascii="Arial" w:hAnsi="Arial" w:cs="Arial"/>
          <w:color w:val="000000"/>
          <w:sz w:val="24"/>
          <w:szCs w:val="24"/>
          <w:lang w:val="es-ES"/>
        </w:rPr>
        <w:t xml:space="preserve">13 </w:t>
      </w:r>
      <w:r w:rsidRPr="00384BAC">
        <w:rPr>
          <w:rFonts w:ascii="Arial" w:hAnsi="Arial" w:cs="Arial"/>
          <w:sz w:val="24"/>
          <w:szCs w:val="24"/>
          <w:lang/>
        </w:rPr>
        <w:t>.</w:t>
      </w:r>
    </w:p>
    <w:p w:rsidR="00384BAC" w:rsidRDefault="00384BAC" w:rsidP="006774DB">
      <w:pPr>
        <w:spacing w:line="360" w:lineRule="auto"/>
        <w:ind w:firstLine="454"/>
        <w:jc w:val="both"/>
        <w:rPr>
          <w:rFonts w:ascii="Arial" w:hAnsi="Arial" w:cs="Arial"/>
          <w:sz w:val="24"/>
          <w:szCs w:val="24"/>
          <w:lang/>
        </w:rPr>
      </w:pPr>
    </w:p>
    <w:p w:rsidR="00384BAC" w:rsidRDefault="00384BAC" w:rsidP="006774DB">
      <w:pPr>
        <w:spacing w:line="360" w:lineRule="auto"/>
        <w:ind w:firstLine="454"/>
        <w:jc w:val="both"/>
        <w:rPr>
          <w:rFonts w:ascii="Arial" w:hAnsi="Arial" w:cs="Arial"/>
          <w:sz w:val="24"/>
          <w:szCs w:val="24"/>
          <w:lang/>
        </w:rPr>
      </w:pPr>
    </w:p>
    <w:p w:rsidR="00384BAC" w:rsidRDefault="00384BAC" w:rsidP="006774DB">
      <w:pPr>
        <w:spacing w:line="360" w:lineRule="auto"/>
        <w:ind w:firstLine="454"/>
        <w:jc w:val="both"/>
        <w:rPr>
          <w:rFonts w:ascii="Arial" w:hAnsi="Arial" w:cs="Arial"/>
          <w:sz w:val="24"/>
          <w:szCs w:val="24"/>
          <w:lang/>
        </w:rPr>
      </w:pPr>
    </w:p>
    <w:p w:rsidR="00384BAC" w:rsidRDefault="00384BAC" w:rsidP="006774DB">
      <w:pPr>
        <w:spacing w:line="360" w:lineRule="auto"/>
        <w:ind w:firstLine="454"/>
        <w:jc w:val="both"/>
        <w:rPr>
          <w:rFonts w:ascii="Arial" w:hAnsi="Arial" w:cs="Arial"/>
          <w:sz w:val="24"/>
          <w:szCs w:val="24"/>
          <w:lang/>
        </w:rPr>
      </w:pPr>
    </w:p>
    <w:p w:rsidR="00384BAC" w:rsidRDefault="00384BAC" w:rsidP="006774DB">
      <w:pPr>
        <w:spacing w:line="360" w:lineRule="auto"/>
        <w:ind w:firstLine="454"/>
        <w:jc w:val="both"/>
        <w:rPr>
          <w:rFonts w:ascii="Arial" w:hAnsi="Arial" w:cs="Arial"/>
          <w:sz w:val="24"/>
          <w:szCs w:val="24"/>
          <w:lang/>
        </w:rPr>
      </w:pPr>
    </w:p>
    <w:p w:rsidR="00F27DFF" w:rsidRDefault="00F27DFF" w:rsidP="006774DB">
      <w:pPr>
        <w:spacing w:line="360" w:lineRule="auto"/>
        <w:ind w:firstLine="454"/>
        <w:jc w:val="both"/>
        <w:rPr>
          <w:rFonts w:ascii="Arial" w:hAnsi="Arial" w:cs="Arial"/>
          <w:sz w:val="24"/>
          <w:szCs w:val="24"/>
          <w:lang/>
        </w:rPr>
      </w:pPr>
    </w:p>
    <w:p w:rsidR="00F27DFF" w:rsidRPr="00384BAC" w:rsidRDefault="00F27DFF" w:rsidP="006774DB">
      <w:pPr>
        <w:spacing w:line="360" w:lineRule="auto"/>
        <w:ind w:firstLine="454"/>
        <w:jc w:val="both"/>
        <w:rPr>
          <w:rFonts w:ascii="Arial" w:hAnsi="Arial" w:cs="Arial"/>
          <w:sz w:val="24"/>
          <w:szCs w:val="24"/>
          <w:lang/>
        </w:rPr>
      </w:pPr>
    </w:p>
    <w:p w:rsidR="006774DB" w:rsidRDefault="006774DB" w:rsidP="006774DB">
      <w:pPr>
        <w:spacing w:line="360" w:lineRule="auto"/>
        <w:jc w:val="both"/>
        <w:rPr>
          <w:rFonts w:cs="Tahoma"/>
          <w:sz w:val="28"/>
          <w:szCs w:val="28"/>
          <w:lang/>
        </w:rPr>
      </w:pPr>
      <w:r>
        <w:pict>
          <v:line id="_x0000_s1048" style="position:absolute;left:0;text-align:left;z-index:251647488" from="1.7pt,27.35pt" to="145pt,27.35pt"/>
        </w:pict>
      </w:r>
    </w:p>
    <w:p w:rsidR="006774DB" w:rsidRDefault="006774DB" w:rsidP="006774DB">
      <w:pPr>
        <w:ind w:firstLine="454"/>
        <w:jc w:val="both"/>
        <w:rPr>
          <w:rStyle w:val="Refdenotaalpie1"/>
          <w:rFonts w:ascii="Arial" w:hAnsi="Arial" w:cs="Arial"/>
          <w:color w:val="000000"/>
          <w:lang w:val="es-ES"/>
        </w:rPr>
      </w:pPr>
      <w:r w:rsidRPr="00843E2D">
        <w:rPr>
          <w:rStyle w:val="Refdenotaalpie1"/>
          <w:rFonts w:ascii="Arial" w:hAnsi="Arial" w:cs="Arial"/>
          <w:color w:val="000000"/>
          <w:lang w:val="es-ES"/>
        </w:rPr>
        <w:t xml:space="preserve">13 Pagina Web Banco Central del Ecuador </w:t>
      </w:r>
      <w:hyperlink r:id="rId43" w:history="1">
        <w:r w:rsidR="0015454E" w:rsidRPr="009F460E">
          <w:rPr>
            <w:rStyle w:val="Hipervnculo"/>
            <w:rFonts w:ascii="Arial" w:hAnsi="Arial" w:cs="Arial"/>
            <w:vertAlign w:val="superscript"/>
            <w:lang w:val="es-ES"/>
          </w:rPr>
          <w:t>www.bce.fin.ec</w:t>
        </w:r>
      </w:hyperlink>
    </w:p>
    <w:p w:rsidR="0015454E" w:rsidRDefault="0015454E" w:rsidP="0015454E">
      <w:pPr>
        <w:spacing w:line="360" w:lineRule="auto"/>
        <w:jc w:val="center"/>
        <w:rPr>
          <w:rFonts w:ascii="Arial" w:hAnsi="Arial" w:cs="Arial"/>
          <w:b/>
          <w:sz w:val="28"/>
          <w:szCs w:val="28"/>
        </w:rPr>
      </w:pPr>
    </w:p>
    <w:p w:rsidR="0015454E" w:rsidRDefault="0015454E" w:rsidP="0015454E">
      <w:pPr>
        <w:spacing w:line="360" w:lineRule="auto"/>
        <w:jc w:val="center"/>
        <w:rPr>
          <w:rFonts w:ascii="Arial" w:hAnsi="Arial" w:cs="Arial"/>
          <w:b/>
          <w:sz w:val="28"/>
          <w:szCs w:val="28"/>
        </w:rPr>
      </w:pPr>
    </w:p>
    <w:p w:rsidR="0015454E" w:rsidRDefault="0015454E" w:rsidP="0015454E">
      <w:pPr>
        <w:spacing w:line="360" w:lineRule="auto"/>
        <w:jc w:val="center"/>
        <w:rPr>
          <w:rFonts w:ascii="Arial" w:hAnsi="Arial" w:cs="Arial"/>
          <w:b/>
          <w:sz w:val="28"/>
          <w:szCs w:val="28"/>
        </w:rPr>
      </w:pPr>
    </w:p>
    <w:p w:rsidR="0015454E" w:rsidRDefault="0015454E" w:rsidP="0015454E">
      <w:pPr>
        <w:tabs>
          <w:tab w:val="left" w:pos="5850"/>
        </w:tabs>
        <w:spacing w:line="360" w:lineRule="auto"/>
        <w:rPr>
          <w:rFonts w:ascii="Arial" w:hAnsi="Arial" w:cs="Arial"/>
          <w:b/>
          <w:sz w:val="28"/>
          <w:szCs w:val="28"/>
        </w:rPr>
      </w:pPr>
      <w:r>
        <w:rPr>
          <w:rFonts w:ascii="Arial" w:hAnsi="Arial" w:cs="Arial"/>
          <w:b/>
          <w:sz w:val="28"/>
          <w:szCs w:val="28"/>
        </w:rPr>
        <w:tab/>
      </w:r>
    </w:p>
    <w:p w:rsidR="00F27DFF" w:rsidRDefault="00F27DFF" w:rsidP="0015454E">
      <w:pPr>
        <w:tabs>
          <w:tab w:val="left" w:pos="5850"/>
        </w:tabs>
        <w:spacing w:line="360" w:lineRule="auto"/>
        <w:rPr>
          <w:rFonts w:ascii="Arial" w:hAnsi="Arial" w:cs="Arial"/>
          <w:b/>
          <w:sz w:val="28"/>
          <w:szCs w:val="28"/>
        </w:rPr>
      </w:pPr>
    </w:p>
    <w:p w:rsidR="0015454E" w:rsidRDefault="0015454E" w:rsidP="0015454E">
      <w:pPr>
        <w:spacing w:line="360" w:lineRule="auto"/>
        <w:jc w:val="center"/>
        <w:rPr>
          <w:rFonts w:ascii="Arial" w:hAnsi="Arial" w:cs="Arial"/>
          <w:b/>
          <w:sz w:val="28"/>
          <w:szCs w:val="28"/>
        </w:rPr>
      </w:pPr>
    </w:p>
    <w:p w:rsidR="0015454E" w:rsidRPr="00FC2641" w:rsidRDefault="0015454E" w:rsidP="0015454E">
      <w:pPr>
        <w:spacing w:line="360" w:lineRule="auto"/>
        <w:jc w:val="center"/>
        <w:rPr>
          <w:rFonts w:ascii="Arial" w:hAnsi="Arial" w:cs="Arial"/>
          <w:b/>
          <w:sz w:val="28"/>
          <w:szCs w:val="28"/>
        </w:rPr>
      </w:pPr>
      <w:r w:rsidRPr="00FC2641">
        <w:rPr>
          <w:rFonts w:ascii="Arial" w:hAnsi="Arial" w:cs="Arial"/>
          <w:b/>
          <w:sz w:val="28"/>
          <w:szCs w:val="28"/>
        </w:rPr>
        <w:t>CAPÍTULO III</w:t>
      </w:r>
    </w:p>
    <w:p w:rsidR="0015454E" w:rsidRPr="00FC2641" w:rsidRDefault="0015454E" w:rsidP="0015454E">
      <w:pPr>
        <w:spacing w:line="360" w:lineRule="auto"/>
        <w:jc w:val="both"/>
        <w:rPr>
          <w:rFonts w:ascii="Arial" w:hAnsi="Arial" w:cs="Arial"/>
          <w:b/>
          <w:sz w:val="28"/>
          <w:szCs w:val="28"/>
        </w:rPr>
      </w:pPr>
    </w:p>
    <w:p w:rsidR="0015454E" w:rsidRPr="00FC2641" w:rsidRDefault="0015454E" w:rsidP="0015454E">
      <w:pPr>
        <w:numPr>
          <w:ilvl w:val="0"/>
          <w:numId w:val="20"/>
        </w:numPr>
        <w:tabs>
          <w:tab w:val="clear" w:pos="360"/>
          <w:tab w:val="num" w:pos="720"/>
        </w:tabs>
        <w:spacing w:after="0" w:line="360" w:lineRule="auto"/>
        <w:ind w:left="720" w:hanging="720"/>
        <w:jc w:val="both"/>
        <w:rPr>
          <w:rFonts w:ascii="Arial" w:hAnsi="Arial" w:cs="Arial"/>
          <w:b/>
          <w:sz w:val="28"/>
          <w:szCs w:val="28"/>
        </w:rPr>
      </w:pPr>
      <w:r w:rsidRPr="00FC2641">
        <w:rPr>
          <w:rFonts w:ascii="Arial" w:hAnsi="Arial" w:cs="Arial"/>
          <w:b/>
          <w:sz w:val="28"/>
          <w:szCs w:val="28"/>
        </w:rPr>
        <w:t>PROYECCIÓ</w:t>
      </w:r>
      <w:r>
        <w:rPr>
          <w:rFonts w:ascii="Arial" w:hAnsi="Arial" w:cs="Arial"/>
          <w:b/>
          <w:sz w:val="28"/>
          <w:szCs w:val="28"/>
        </w:rPr>
        <w:t xml:space="preserve">N DE LAS PRINCIPALES CUENTAS DE </w:t>
      </w:r>
      <w:r w:rsidRPr="00FC2641">
        <w:rPr>
          <w:rFonts w:ascii="Arial" w:hAnsi="Arial" w:cs="Arial"/>
          <w:b/>
          <w:sz w:val="28"/>
          <w:szCs w:val="28"/>
        </w:rPr>
        <w:t>LOS ESTADOS FINANCIEROS Y VALORACIÓN PARA PRODUBANCO</w:t>
      </w:r>
    </w:p>
    <w:p w:rsidR="0015454E" w:rsidRPr="00FC2641" w:rsidRDefault="0015454E" w:rsidP="0015454E">
      <w:pPr>
        <w:spacing w:line="360" w:lineRule="auto"/>
        <w:jc w:val="both"/>
        <w:rPr>
          <w:rFonts w:ascii="Arial" w:hAnsi="Arial" w:cs="Arial"/>
          <w:b/>
          <w:sz w:val="28"/>
          <w:szCs w:val="28"/>
        </w:rPr>
      </w:pPr>
    </w:p>
    <w:p w:rsidR="0015454E" w:rsidRPr="00FC2641" w:rsidRDefault="003B4B68" w:rsidP="0024494B">
      <w:pPr>
        <w:numPr>
          <w:ilvl w:val="1"/>
          <w:numId w:val="20"/>
        </w:numPr>
        <w:spacing w:after="0" w:line="360" w:lineRule="auto"/>
        <w:jc w:val="both"/>
        <w:rPr>
          <w:rFonts w:ascii="Arial" w:hAnsi="Arial" w:cs="Arial"/>
          <w:b/>
          <w:sz w:val="28"/>
          <w:szCs w:val="28"/>
        </w:rPr>
      </w:pPr>
      <w:r>
        <w:rPr>
          <w:rFonts w:ascii="Arial" w:hAnsi="Arial" w:cs="Arial"/>
          <w:b/>
          <w:sz w:val="28"/>
          <w:szCs w:val="28"/>
        </w:rPr>
        <w:t xml:space="preserve">3.1.  </w:t>
      </w:r>
      <w:r w:rsidR="0015454E" w:rsidRPr="00FC2641">
        <w:rPr>
          <w:rFonts w:ascii="Arial" w:hAnsi="Arial" w:cs="Arial"/>
          <w:b/>
          <w:sz w:val="28"/>
          <w:szCs w:val="28"/>
        </w:rPr>
        <w:t>PROYECCIÓN Y ANÁLISIS DE LOS RATIOS DE LOS ESTADOS FINANCIEROS</w:t>
      </w:r>
    </w:p>
    <w:p w:rsidR="0015454E" w:rsidRPr="00991A27" w:rsidRDefault="0015454E" w:rsidP="0015454E">
      <w:pPr>
        <w:spacing w:line="360" w:lineRule="auto"/>
        <w:jc w:val="both"/>
        <w:rPr>
          <w:rFonts w:ascii="Arial" w:hAnsi="Arial" w:cs="Arial"/>
          <w:b/>
        </w:rPr>
      </w:pPr>
    </w:p>
    <w:p w:rsidR="0015454E" w:rsidRPr="0015454E" w:rsidRDefault="0015454E" w:rsidP="0015454E">
      <w:pPr>
        <w:spacing w:line="360" w:lineRule="auto"/>
        <w:ind w:firstLine="454"/>
        <w:jc w:val="both"/>
        <w:rPr>
          <w:rFonts w:ascii="Arial" w:hAnsi="Arial" w:cs="Arial"/>
          <w:b/>
          <w:sz w:val="24"/>
          <w:szCs w:val="24"/>
        </w:rPr>
      </w:pPr>
      <w:r w:rsidRPr="0015454E">
        <w:rPr>
          <w:rFonts w:ascii="Arial" w:hAnsi="Arial" w:cs="Arial"/>
          <w:sz w:val="24"/>
          <w:szCs w:val="24"/>
        </w:rPr>
        <w:tab/>
        <w:t>Este capítulo consiste en realizar la proyección de las principales cuentas del Estados Financieros a través del cálculo de ratios necesarios para la proyección que nos permitirá tener la valoración del Banco, una vez obtenidos los ratios y sus proyecciones se proceder a valorar el exceso en el retorno a recibir y el cálculo de la tasa de descuento.</w:t>
      </w:r>
    </w:p>
    <w:p w:rsidR="0015454E" w:rsidRPr="0015454E" w:rsidRDefault="0015454E" w:rsidP="0015454E">
      <w:pPr>
        <w:spacing w:line="360" w:lineRule="auto"/>
        <w:ind w:firstLine="454"/>
        <w:jc w:val="both"/>
        <w:rPr>
          <w:rFonts w:ascii="Arial" w:hAnsi="Arial" w:cs="Arial"/>
          <w:b/>
          <w:sz w:val="24"/>
          <w:szCs w:val="24"/>
        </w:rPr>
      </w:pPr>
    </w:p>
    <w:p w:rsidR="0015454E" w:rsidRPr="0015454E" w:rsidRDefault="0015454E" w:rsidP="0015454E">
      <w:pPr>
        <w:spacing w:line="360" w:lineRule="auto"/>
        <w:ind w:firstLine="454"/>
        <w:jc w:val="both"/>
        <w:rPr>
          <w:rFonts w:ascii="Arial" w:hAnsi="Arial" w:cs="Arial"/>
          <w:b/>
          <w:sz w:val="24"/>
          <w:szCs w:val="24"/>
        </w:rPr>
      </w:pPr>
      <w:r w:rsidRPr="0015454E">
        <w:rPr>
          <w:rFonts w:ascii="Arial" w:hAnsi="Arial" w:cs="Arial"/>
          <w:b/>
          <w:sz w:val="24"/>
          <w:szCs w:val="24"/>
        </w:rPr>
        <w:tab/>
      </w:r>
      <w:r w:rsidRPr="0015454E">
        <w:rPr>
          <w:rFonts w:ascii="Arial" w:hAnsi="Arial" w:cs="Arial"/>
          <w:sz w:val="24"/>
          <w:szCs w:val="24"/>
        </w:rPr>
        <w:t xml:space="preserve">Para la proyección de las cuentas del Balance y del Estado de Resultados se utilizaron datos históricos desde el año 2000 hasta el 2007 con la excepción de 2 casos que serán  mencionados más adelante. La proyección hubiera sido mucho mas exacta si hubiéramos podido utilizar una </w:t>
      </w:r>
      <w:r w:rsidRPr="0015454E">
        <w:rPr>
          <w:rFonts w:ascii="Arial" w:hAnsi="Arial" w:cs="Arial"/>
          <w:sz w:val="24"/>
          <w:szCs w:val="24"/>
        </w:rPr>
        <w:lastRenderedPageBreak/>
        <w:t>mayor cantidad de datos, pero el cambio de moneda y sobre todo la extrema inconsistencia en el valor del cambio hicieron imposible tomar una mayor cantidad de datos para nuestros fines.</w:t>
      </w:r>
    </w:p>
    <w:p w:rsidR="0015454E" w:rsidRPr="0015454E" w:rsidRDefault="0015454E" w:rsidP="0015454E">
      <w:pPr>
        <w:spacing w:line="360" w:lineRule="auto"/>
        <w:ind w:firstLine="454"/>
        <w:jc w:val="both"/>
        <w:rPr>
          <w:rFonts w:ascii="Arial" w:hAnsi="Arial" w:cs="Arial"/>
          <w:b/>
          <w:sz w:val="24"/>
          <w:szCs w:val="24"/>
        </w:rPr>
      </w:pPr>
    </w:p>
    <w:p w:rsidR="0015454E" w:rsidRPr="0015454E" w:rsidRDefault="0015454E" w:rsidP="0015454E">
      <w:pPr>
        <w:spacing w:line="360" w:lineRule="auto"/>
        <w:ind w:firstLine="454"/>
        <w:jc w:val="both"/>
        <w:rPr>
          <w:rFonts w:ascii="Arial" w:hAnsi="Arial" w:cs="Arial"/>
          <w:b/>
          <w:sz w:val="24"/>
          <w:szCs w:val="24"/>
        </w:rPr>
      </w:pPr>
      <w:r w:rsidRPr="0015454E">
        <w:rPr>
          <w:rFonts w:ascii="Arial" w:hAnsi="Arial" w:cs="Arial"/>
          <w:sz w:val="24"/>
          <w:szCs w:val="24"/>
        </w:rPr>
        <w:tab/>
        <w:t xml:space="preserve">Como ya fue explicado, para realizar la valoración por este método no es necesario proyectar más que una sola cuenta y luego a partir de esta proyección obtenemos los valores que necesitamos mediante los ratios que presentaremos en la tabla más adelante. </w:t>
      </w:r>
    </w:p>
    <w:p w:rsidR="0015454E" w:rsidRPr="00991A27" w:rsidRDefault="0015454E" w:rsidP="0015454E">
      <w:pPr>
        <w:spacing w:line="360" w:lineRule="auto"/>
        <w:jc w:val="both"/>
        <w:rPr>
          <w:rFonts w:ascii="Arial" w:hAnsi="Arial" w:cs="Arial"/>
        </w:rPr>
      </w:pPr>
    </w:p>
    <w:p w:rsidR="0015454E" w:rsidRPr="00FC2641" w:rsidRDefault="0015454E" w:rsidP="0015454E">
      <w:pPr>
        <w:numPr>
          <w:ilvl w:val="2"/>
          <w:numId w:val="21"/>
        </w:numPr>
        <w:spacing w:after="0" w:line="360" w:lineRule="auto"/>
        <w:jc w:val="both"/>
        <w:rPr>
          <w:rFonts w:ascii="Arial" w:hAnsi="Arial" w:cs="Arial"/>
          <w:sz w:val="28"/>
          <w:szCs w:val="28"/>
        </w:rPr>
      </w:pPr>
      <w:r w:rsidRPr="00FC2641">
        <w:rPr>
          <w:rFonts w:ascii="Arial" w:hAnsi="Arial" w:cs="Arial"/>
          <w:b/>
          <w:sz w:val="28"/>
          <w:szCs w:val="28"/>
        </w:rPr>
        <w:t xml:space="preserve">PROYECCIÓN DE </w:t>
      </w:r>
      <w:smartTag w:uri="urn:schemas-microsoft-com:office:smarttags" w:element="PersonName">
        <w:smartTagPr>
          <w:attr w:name="ProductID" w:val="LA CUENTA COLOCACIONES"/>
        </w:smartTagPr>
        <w:r w:rsidRPr="00FC2641">
          <w:rPr>
            <w:rFonts w:ascii="Arial" w:hAnsi="Arial" w:cs="Arial"/>
            <w:b/>
            <w:sz w:val="28"/>
            <w:szCs w:val="28"/>
          </w:rPr>
          <w:t>LA CUENTA COLOCACIONES</w:t>
        </w:r>
      </w:smartTag>
      <w:r w:rsidRPr="00FC2641">
        <w:rPr>
          <w:rFonts w:ascii="Arial" w:hAnsi="Arial" w:cs="Arial"/>
          <w:b/>
          <w:sz w:val="28"/>
          <w:szCs w:val="28"/>
        </w:rPr>
        <w:t xml:space="preserve">  BRUTAS</w:t>
      </w:r>
      <w:r w:rsidRPr="00FC2641">
        <w:rPr>
          <w:rFonts w:ascii="Arial" w:hAnsi="Arial" w:cs="Arial"/>
          <w:sz w:val="28"/>
          <w:szCs w:val="28"/>
        </w:rPr>
        <w:t xml:space="preserve"> </w:t>
      </w:r>
    </w:p>
    <w:p w:rsidR="0015454E" w:rsidRDefault="0015454E" w:rsidP="0015454E">
      <w:pPr>
        <w:spacing w:line="360" w:lineRule="auto"/>
        <w:jc w:val="both"/>
        <w:rPr>
          <w:rFonts w:ascii="Arial" w:hAnsi="Arial" w:cs="Arial"/>
        </w:rPr>
      </w:pPr>
    </w:p>
    <w:p w:rsidR="0015454E" w:rsidRPr="00A7470F" w:rsidRDefault="0015454E" w:rsidP="00A7470F">
      <w:pPr>
        <w:spacing w:line="360" w:lineRule="auto"/>
        <w:ind w:firstLine="454"/>
        <w:jc w:val="both"/>
        <w:rPr>
          <w:rFonts w:ascii="Arial" w:hAnsi="Arial" w:cs="Arial"/>
        </w:rPr>
      </w:pPr>
      <w:r>
        <w:rPr>
          <w:rFonts w:ascii="Arial" w:hAnsi="Arial" w:cs="Arial"/>
        </w:rPr>
        <w:tab/>
      </w:r>
      <w:r w:rsidRPr="00991A27">
        <w:rPr>
          <w:rFonts w:ascii="Arial" w:hAnsi="Arial" w:cs="Arial"/>
        </w:rPr>
        <w:t>Las colo</w:t>
      </w:r>
      <w:r>
        <w:rPr>
          <w:rFonts w:ascii="Arial" w:hAnsi="Arial" w:cs="Arial"/>
        </w:rPr>
        <w:t>caciones brutas (Cartera neta má</w:t>
      </w:r>
      <w:r w:rsidRPr="00991A27">
        <w:rPr>
          <w:rFonts w:ascii="Arial" w:hAnsi="Arial" w:cs="Arial"/>
        </w:rPr>
        <w:t>s las provisiones) será la cuenta a proyectar ya que la cartera es decir los créditos otorgados son la clave y el motor del negocio bancario.</w:t>
      </w:r>
    </w:p>
    <w:p w:rsidR="0015454E" w:rsidRDefault="003A24B0" w:rsidP="0015454E">
      <w:pPr>
        <w:spacing w:line="360" w:lineRule="auto"/>
        <w:jc w:val="center"/>
        <w:rPr>
          <w:b/>
        </w:rPr>
      </w:pPr>
      <w:r>
        <w:rPr>
          <w:noProof/>
          <w:lang w:val="es-ES" w:eastAsia="es-ES"/>
        </w:rPr>
        <w:drawing>
          <wp:anchor distT="0" distB="0" distL="114300" distR="114300" simplePos="0" relativeHeight="251649536" behindDoc="0" locked="0" layoutInCell="1" allowOverlap="1">
            <wp:simplePos x="0" y="0"/>
            <wp:positionH relativeFrom="column">
              <wp:posOffset>571500</wp:posOffset>
            </wp:positionH>
            <wp:positionV relativeFrom="paragraph">
              <wp:posOffset>171450</wp:posOffset>
            </wp:positionV>
            <wp:extent cx="4152265" cy="2281555"/>
            <wp:effectExtent l="0" t="0" r="635" b="0"/>
            <wp:wrapNone/>
            <wp:docPr id="32" name="Objeto 3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anchor>
        </w:drawing>
      </w:r>
      <w:r w:rsidR="0015454E">
        <w:rPr>
          <w:b/>
        </w:rPr>
        <w:t>Grá</w:t>
      </w:r>
      <w:r w:rsidR="0015454E" w:rsidRPr="00991A27">
        <w:rPr>
          <w:b/>
        </w:rPr>
        <w:t>fico 3.1</w:t>
      </w:r>
    </w:p>
    <w:p w:rsidR="0015454E" w:rsidRDefault="0015454E" w:rsidP="0015454E">
      <w:pPr>
        <w:spacing w:line="360" w:lineRule="auto"/>
        <w:jc w:val="both"/>
        <w:rPr>
          <w:b/>
        </w:rPr>
      </w:pPr>
      <w:r w:rsidRPr="00991A27">
        <w:rPr>
          <w:b/>
        </w:rPr>
        <w:tab/>
      </w:r>
      <w:r w:rsidRPr="00991A27">
        <w:rPr>
          <w:b/>
        </w:rPr>
        <w:tab/>
      </w:r>
      <w:r w:rsidRPr="00991A27">
        <w:rPr>
          <w:b/>
        </w:rPr>
        <w:tab/>
      </w:r>
      <w:r w:rsidRPr="00991A27">
        <w:rPr>
          <w:b/>
        </w:rPr>
        <w:tab/>
      </w:r>
      <w:r w:rsidRPr="00991A27">
        <w:rPr>
          <w:b/>
        </w:rPr>
        <w:tab/>
      </w:r>
      <w:r w:rsidRPr="00991A27">
        <w:rPr>
          <w:b/>
        </w:rPr>
        <w:tab/>
      </w:r>
      <w:r w:rsidRPr="00991A27">
        <w:rPr>
          <w:b/>
        </w:rPr>
        <w:tab/>
      </w:r>
      <w:r w:rsidRPr="00991A27">
        <w:rPr>
          <w:b/>
        </w:rPr>
        <w:tab/>
      </w:r>
      <w:r w:rsidRPr="00991A27">
        <w:rPr>
          <w:b/>
        </w:rPr>
        <w:tab/>
      </w:r>
      <w:r w:rsidRPr="00991A27">
        <w:rPr>
          <w:b/>
        </w:rPr>
        <w:tab/>
      </w:r>
      <w:r w:rsidRPr="00991A27">
        <w:rPr>
          <w:b/>
        </w:rPr>
        <w:tab/>
      </w:r>
      <w:r w:rsidRPr="00991A27">
        <w:rPr>
          <w:b/>
        </w:rPr>
        <w:tab/>
      </w:r>
      <w:r w:rsidRPr="00991A27">
        <w:rPr>
          <w:b/>
        </w:rPr>
        <w:tab/>
      </w:r>
      <w:r w:rsidRPr="00991A27">
        <w:rPr>
          <w:b/>
        </w:rPr>
        <w:tab/>
      </w:r>
      <w:r w:rsidRPr="00991A27">
        <w:rPr>
          <w:b/>
        </w:rPr>
        <w:tab/>
      </w:r>
      <w:r w:rsidRPr="00991A27">
        <w:rPr>
          <w:b/>
        </w:rPr>
        <w:tab/>
      </w:r>
      <w:r w:rsidRPr="00991A27">
        <w:rPr>
          <w:b/>
        </w:rPr>
        <w:tab/>
      </w:r>
      <w:r w:rsidRPr="00991A27">
        <w:rPr>
          <w:b/>
        </w:rPr>
        <w:tab/>
      </w:r>
      <w:r w:rsidRPr="00991A27">
        <w:rPr>
          <w:b/>
        </w:rPr>
        <w:tab/>
      </w:r>
      <w:r w:rsidRPr="00991A27">
        <w:rPr>
          <w:b/>
        </w:rPr>
        <w:tab/>
      </w:r>
      <w:r w:rsidRPr="00991A27">
        <w:rPr>
          <w:b/>
        </w:rPr>
        <w:tab/>
      </w:r>
      <w:r w:rsidRPr="00991A27">
        <w:rPr>
          <w:b/>
        </w:rPr>
        <w:tab/>
      </w:r>
      <w:r w:rsidRPr="00991A27">
        <w:rPr>
          <w:b/>
        </w:rPr>
        <w:tab/>
      </w:r>
      <w:r w:rsidRPr="00991A27">
        <w:rPr>
          <w:b/>
        </w:rPr>
        <w:tab/>
      </w:r>
      <w:r w:rsidRPr="00991A27">
        <w:rPr>
          <w:b/>
        </w:rPr>
        <w:tab/>
      </w:r>
      <w:r w:rsidRPr="00991A27">
        <w:rPr>
          <w:b/>
        </w:rPr>
        <w:tab/>
      </w:r>
      <w:r w:rsidRPr="00991A27">
        <w:rPr>
          <w:b/>
        </w:rPr>
        <w:tab/>
      </w:r>
      <w:r w:rsidRPr="00991A27">
        <w:rPr>
          <w:b/>
        </w:rPr>
        <w:tab/>
      </w:r>
      <w:r w:rsidRPr="00991A27">
        <w:rPr>
          <w:b/>
        </w:rPr>
        <w:tab/>
      </w:r>
      <w:r w:rsidRPr="00991A27">
        <w:rPr>
          <w:b/>
        </w:rPr>
        <w:tab/>
      </w:r>
      <w:r w:rsidRPr="00991A27">
        <w:rPr>
          <w:b/>
        </w:rPr>
        <w:tab/>
      </w:r>
      <w:r w:rsidRPr="00991A27">
        <w:rPr>
          <w:b/>
        </w:rPr>
        <w:tab/>
      </w:r>
      <w:r w:rsidRPr="00991A27">
        <w:rPr>
          <w:b/>
        </w:rPr>
        <w:tab/>
      </w:r>
      <w:r w:rsidRPr="00991A27">
        <w:rPr>
          <w:b/>
        </w:rPr>
        <w:tab/>
      </w:r>
      <w:r w:rsidRPr="00991A27">
        <w:rPr>
          <w:b/>
        </w:rPr>
        <w:tab/>
      </w:r>
      <w:r w:rsidRPr="00991A27">
        <w:rPr>
          <w:b/>
        </w:rPr>
        <w:tab/>
      </w:r>
      <w:r w:rsidRPr="00991A27">
        <w:rPr>
          <w:b/>
        </w:rPr>
        <w:tab/>
      </w:r>
      <w:r w:rsidRPr="00991A27">
        <w:rPr>
          <w:b/>
        </w:rPr>
        <w:tab/>
      </w:r>
      <w:r w:rsidRPr="00991A27">
        <w:rPr>
          <w:b/>
        </w:rPr>
        <w:tab/>
      </w:r>
      <w:r w:rsidRPr="00991A27">
        <w:rPr>
          <w:b/>
        </w:rPr>
        <w:tab/>
      </w:r>
      <w:r w:rsidRPr="00991A27">
        <w:rPr>
          <w:b/>
        </w:rPr>
        <w:tab/>
      </w:r>
      <w:r w:rsidRPr="00991A27">
        <w:rPr>
          <w:b/>
        </w:rPr>
        <w:tab/>
      </w:r>
      <w:r w:rsidRPr="00991A27">
        <w:rPr>
          <w:b/>
        </w:rPr>
        <w:tab/>
      </w:r>
      <w:r w:rsidRPr="00991A27">
        <w:rPr>
          <w:b/>
        </w:rPr>
        <w:tab/>
      </w:r>
      <w:r w:rsidRPr="00991A27">
        <w:rPr>
          <w:b/>
        </w:rPr>
        <w:tab/>
      </w:r>
      <w:r w:rsidRPr="00991A27">
        <w:rPr>
          <w:b/>
        </w:rPr>
        <w:tab/>
      </w:r>
      <w:r w:rsidRPr="00991A27">
        <w:rPr>
          <w:b/>
        </w:rPr>
        <w:tab/>
      </w:r>
      <w:r w:rsidRPr="00991A27">
        <w:rPr>
          <w:b/>
        </w:rPr>
        <w:tab/>
      </w:r>
      <w:r w:rsidRPr="00991A27">
        <w:rPr>
          <w:b/>
        </w:rPr>
        <w:tab/>
      </w:r>
      <w:r w:rsidRPr="00991A27">
        <w:rPr>
          <w:b/>
        </w:rPr>
        <w:tab/>
      </w:r>
      <w:r w:rsidRPr="00991A27">
        <w:rPr>
          <w:b/>
        </w:rPr>
        <w:tab/>
      </w:r>
      <w:r w:rsidRPr="00991A27">
        <w:rPr>
          <w:b/>
        </w:rPr>
        <w:tab/>
      </w:r>
      <w:r w:rsidRPr="00991A27">
        <w:rPr>
          <w:b/>
        </w:rPr>
        <w:tab/>
      </w:r>
      <w:r w:rsidRPr="00991A27">
        <w:rPr>
          <w:b/>
        </w:rPr>
        <w:tab/>
      </w:r>
      <w:r w:rsidRPr="00991A27">
        <w:rPr>
          <w:b/>
        </w:rPr>
        <w:tab/>
      </w:r>
      <w:r w:rsidRPr="00991A27">
        <w:rPr>
          <w:b/>
        </w:rPr>
        <w:tab/>
      </w:r>
      <w:r w:rsidRPr="00991A27">
        <w:rPr>
          <w:b/>
        </w:rPr>
        <w:tab/>
      </w:r>
      <w:r w:rsidRPr="00991A27">
        <w:rPr>
          <w:b/>
        </w:rPr>
        <w:tab/>
      </w:r>
      <w:r w:rsidRPr="00991A27">
        <w:rPr>
          <w:b/>
        </w:rPr>
        <w:tab/>
      </w:r>
      <w:r w:rsidRPr="00991A27">
        <w:rPr>
          <w:b/>
        </w:rPr>
        <w:tab/>
      </w:r>
      <w:r w:rsidRPr="00991A27">
        <w:rPr>
          <w:b/>
        </w:rPr>
        <w:tab/>
      </w:r>
      <w:r w:rsidRPr="00991A27">
        <w:rPr>
          <w:b/>
        </w:rPr>
        <w:tab/>
      </w:r>
      <w:r w:rsidRPr="00991A27">
        <w:rPr>
          <w:b/>
        </w:rPr>
        <w:tab/>
      </w:r>
      <w:r w:rsidRPr="00991A27">
        <w:rPr>
          <w:b/>
        </w:rPr>
        <w:tab/>
      </w:r>
      <w:r w:rsidRPr="00991A27">
        <w:rPr>
          <w:b/>
        </w:rPr>
        <w:tab/>
      </w:r>
      <w:r w:rsidRPr="00991A27">
        <w:rPr>
          <w:b/>
        </w:rPr>
        <w:tab/>
      </w:r>
      <w:r w:rsidRPr="00991A27">
        <w:rPr>
          <w:b/>
        </w:rPr>
        <w:tab/>
      </w:r>
      <w:r w:rsidRPr="00991A27">
        <w:rPr>
          <w:b/>
        </w:rPr>
        <w:tab/>
      </w:r>
      <w:r w:rsidRPr="00991A27">
        <w:rPr>
          <w:b/>
        </w:rPr>
        <w:tab/>
      </w:r>
      <w:r w:rsidRPr="00991A27">
        <w:rPr>
          <w:b/>
        </w:rPr>
        <w:tab/>
      </w:r>
      <w:r w:rsidRPr="00991A27">
        <w:rPr>
          <w:b/>
        </w:rPr>
        <w:tab/>
      </w:r>
      <w:r w:rsidRPr="00991A27">
        <w:rPr>
          <w:b/>
        </w:rPr>
        <w:tab/>
      </w:r>
      <w:r w:rsidRPr="00991A27">
        <w:rPr>
          <w:b/>
        </w:rPr>
        <w:tab/>
      </w:r>
      <w:r w:rsidRPr="00991A27">
        <w:rPr>
          <w:b/>
        </w:rPr>
        <w:tab/>
      </w:r>
      <w:r>
        <w:rPr>
          <w:b/>
        </w:rPr>
        <w:tab/>
      </w:r>
      <w:r>
        <w:rPr>
          <w:b/>
        </w:rPr>
        <w:tab/>
      </w:r>
    </w:p>
    <w:p w:rsidR="0015454E" w:rsidRPr="00F27DFF" w:rsidRDefault="0015454E" w:rsidP="0015454E">
      <w:pPr>
        <w:spacing w:line="360" w:lineRule="auto"/>
        <w:jc w:val="both"/>
        <w:rPr>
          <w:b/>
          <w:sz w:val="16"/>
          <w:szCs w:val="16"/>
        </w:rPr>
      </w:pPr>
    </w:p>
    <w:p w:rsidR="0015454E" w:rsidRPr="00F27DFF" w:rsidRDefault="0015454E" w:rsidP="0015454E">
      <w:pPr>
        <w:spacing w:line="240" w:lineRule="atLeast"/>
        <w:jc w:val="both"/>
        <w:rPr>
          <w:rFonts w:ascii="Arial" w:hAnsi="Arial" w:cs="Arial"/>
          <w:sz w:val="16"/>
          <w:szCs w:val="16"/>
        </w:rPr>
      </w:pPr>
      <w:r w:rsidRPr="00F27DFF">
        <w:rPr>
          <w:rFonts w:ascii="Arial" w:hAnsi="Arial" w:cs="Arial"/>
          <w:sz w:val="16"/>
          <w:szCs w:val="16"/>
        </w:rPr>
        <w:t>Fuente: Superintendencia de Bancos</w:t>
      </w:r>
    </w:p>
    <w:p w:rsidR="0015454E" w:rsidRPr="00F27DFF" w:rsidRDefault="0015454E" w:rsidP="0015454E">
      <w:pPr>
        <w:spacing w:line="240" w:lineRule="atLeast"/>
        <w:jc w:val="both"/>
        <w:rPr>
          <w:rFonts w:ascii="Arial" w:hAnsi="Arial" w:cs="Arial"/>
          <w:sz w:val="20"/>
          <w:szCs w:val="20"/>
        </w:rPr>
      </w:pPr>
      <w:r w:rsidRPr="00F27DFF">
        <w:rPr>
          <w:rFonts w:ascii="Arial" w:hAnsi="Arial" w:cs="Arial"/>
          <w:sz w:val="16"/>
          <w:szCs w:val="16"/>
        </w:rPr>
        <w:t>Elaboración: Autores</w:t>
      </w:r>
    </w:p>
    <w:p w:rsidR="0015454E" w:rsidRPr="0015454E" w:rsidRDefault="0015454E" w:rsidP="0015454E">
      <w:pPr>
        <w:spacing w:line="360" w:lineRule="auto"/>
        <w:ind w:firstLine="454"/>
        <w:jc w:val="both"/>
        <w:rPr>
          <w:rFonts w:ascii="Arial" w:hAnsi="Arial" w:cs="Arial"/>
          <w:sz w:val="24"/>
          <w:szCs w:val="24"/>
        </w:rPr>
      </w:pPr>
      <w:r w:rsidRPr="0015454E">
        <w:rPr>
          <w:rFonts w:ascii="Arial" w:hAnsi="Arial" w:cs="Arial"/>
          <w:sz w:val="24"/>
          <w:szCs w:val="24"/>
        </w:rPr>
        <w:lastRenderedPageBreak/>
        <w:t>Para la proyección de esta cuenta se realizó una proyección econométrica mediante el programa E-views en base a su comportamiento histórico. Primero se proyecto el PIB y amarrado a este proyectamos las colocaciones brutas. El gráfico 3.1 muestra el comportamiento de las colocaciones brutas desde el 2000 hasta el 2007.</w:t>
      </w:r>
    </w:p>
    <w:p w:rsidR="0015454E" w:rsidRPr="0015454E" w:rsidRDefault="0015454E" w:rsidP="0015454E">
      <w:pPr>
        <w:spacing w:line="360" w:lineRule="auto"/>
        <w:ind w:firstLine="708"/>
        <w:jc w:val="both"/>
        <w:rPr>
          <w:b/>
          <w:sz w:val="24"/>
          <w:szCs w:val="24"/>
        </w:rPr>
      </w:pPr>
    </w:p>
    <w:p w:rsidR="0015454E" w:rsidRPr="0015454E" w:rsidRDefault="0015454E" w:rsidP="0015454E">
      <w:pPr>
        <w:spacing w:line="360" w:lineRule="auto"/>
        <w:ind w:firstLine="454"/>
        <w:jc w:val="both"/>
        <w:rPr>
          <w:rFonts w:ascii="Arial" w:hAnsi="Arial" w:cs="Arial"/>
          <w:sz w:val="24"/>
          <w:szCs w:val="24"/>
        </w:rPr>
      </w:pPr>
      <w:r w:rsidRPr="0015454E">
        <w:rPr>
          <w:rFonts w:ascii="Arial" w:hAnsi="Arial" w:cs="Arial"/>
          <w:sz w:val="24"/>
          <w:szCs w:val="24"/>
        </w:rPr>
        <w:t>Para la proyección del PIB simplemente se utilizó la variable @TREND para explicar su crecimiento sostenido hacia el futuro</w:t>
      </w:r>
    </w:p>
    <w:p w:rsidR="0015454E" w:rsidRPr="0015454E" w:rsidRDefault="0015454E" w:rsidP="0015454E">
      <w:pPr>
        <w:autoSpaceDE w:val="0"/>
        <w:autoSpaceDN w:val="0"/>
        <w:adjustRightInd w:val="0"/>
        <w:spacing w:line="360" w:lineRule="auto"/>
        <w:jc w:val="both"/>
        <w:rPr>
          <w:rFonts w:ascii="Arial" w:hAnsi="Arial" w:cs="Arial"/>
          <w:b/>
          <w:sz w:val="24"/>
          <w:szCs w:val="24"/>
        </w:rPr>
      </w:pPr>
    </w:p>
    <w:p w:rsidR="0015454E" w:rsidRPr="0015454E" w:rsidRDefault="0015454E" w:rsidP="0015454E">
      <w:pPr>
        <w:autoSpaceDE w:val="0"/>
        <w:autoSpaceDN w:val="0"/>
        <w:adjustRightInd w:val="0"/>
        <w:spacing w:line="360" w:lineRule="auto"/>
        <w:jc w:val="center"/>
        <w:rPr>
          <w:rFonts w:ascii="Arial" w:hAnsi="Arial" w:cs="Arial"/>
          <w:b/>
        </w:rPr>
      </w:pPr>
      <w:r w:rsidRPr="00991A27">
        <w:rPr>
          <w:rFonts w:ascii="Arial" w:hAnsi="Arial" w:cs="Arial"/>
          <w:b/>
        </w:rPr>
        <w:t>Cuadro 3.1</w:t>
      </w:r>
    </w:p>
    <w:p w:rsidR="0015454E" w:rsidRPr="0015454E" w:rsidRDefault="0015454E" w:rsidP="0015454E">
      <w:pPr>
        <w:autoSpaceDE w:val="0"/>
        <w:autoSpaceDN w:val="0"/>
        <w:adjustRightInd w:val="0"/>
        <w:spacing w:after="0" w:line="240" w:lineRule="auto"/>
        <w:rPr>
          <w:rFonts w:ascii="Arial" w:eastAsia="Times New Roman" w:hAnsi="Arial" w:cs="Arial"/>
          <w:sz w:val="20"/>
          <w:szCs w:val="20"/>
          <w:lang w:val="es-ES" w:eastAsia="es-ES"/>
        </w:rPr>
      </w:pPr>
    </w:p>
    <w:tbl>
      <w:tblPr>
        <w:tblW w:w="0" w:type="auto"/>
        <w:jc w:val="center"/>
        <w:tblInd w:w="60" w:type="dxa"/>
        <w:tblLayout w:type="fixed"/>
        <w:tblCellMar>
          <w:left w:w="30" w:type="dxa"/>
          <w:right w:w="30" w:type="dxa"/>
        </w:tblCellMar>
        <w:tblLook w:val="0000"/>
      </w:tblPr>
      <w:tblGrid>
        <w:gridCol w:w="2165"/>
        <w:gridCol w:w="1039"/>
        <w:gridCol w:w="1271"/>
        <w:gridCol w:w="1270"/>
        <w:gridCol w:w="1040"/>
      </w:tblGrid>
      <w:tr w:rsidR="0015454E" w:rsidRPr="0015454E">
        <w:tblPrEx>
          <w:tblCellMar>
            <w:top w:w="0" w:type="dxa"/>
            <w:bottom w:w="0" w:type="dxa"/>
          </w:tblCellMar>
        </w:tblPrEx>
        <w:trPr>
          <w:trHeight w:val="272"/>
          <w:jc w:val="center"/>
        </w:trPr>
        <w:tc>
          <w:tcPr>
            <w:tcW w:w="2165" w:type="dxa"/>
            <w:gridSpan w:val="3"/>
            <w:tcBorders>
              <w:top w:val="nil"/>
              <w:left w:val="nil"/>
              <w:bottom w:val="nil"/>
              <w:right w:val="nil"/>
            </w:tcBorders>
            <w:vAlign w:val="bottom"/>
          </w:tcPr>
          <w:p w:rsidR="0015454E" w:rsidRPr="0015454E" w:rsidRDefault="0015454E" w:rsidP="0015454E">
            <w:pPr>
              <w:autoSpaceDE w:val="0"/>
              <w:autoSpaceDN w:val="0"/>
              <w:adjustRightInd w:val="0"/>
              <w:spacing w:after="0" w:line="240" w:lineRule="auto"/>
              <w:rPr>
                <w:rFonts w:ascii="Arial" w:eastAsia="Times New Roman" w:hAnsi="Arial" w:cs="Arial"/>
                <w:color w:val="000000"/>
                <w:sz w:val="20"/>
                <w:szCs w:val="20"/>
                <w:lang w:val="es-ES" w:eastAsia="es-ES"/>
              </w:rPr>
            </w:pPr>
            <w:r w:rsidRPr="0015454E">
              <w:rPr>
                <w:rFonts w:ascii="Arial" w:eastAsia="Times New Roman" w:hAnsi="Arial" w:cs="Arial"/>
                <w:color w:val="000000"/>
                <w:sz w:val="20"/>
                <w:szCs w:val="20"/>
                <w:lang w:val="es-ES" w:eastAsia="es-ES"/>
              </w:rPr>
              <w:t>Dependent Variable: PIB</w:t>
            </w:r>
          </w:p>
        </w:tc>
        <w:tc>
          <w:tcPr>
            <w:tcW w:w="1270" w:type="dxa"/>
            <w:tcBorders>
              <w:top w:val="nil"/>
              <w:left w:val="nil"/>
              <w:bottom w:val="nil"/>
              <w:right w:val="nil"/>
            </w:tcBorders>
            <w:vAlign w:val="bottom"/>
          </w:tcPr>
          <w:p w:rsidR="0015454E" w:rsidRPr="0015454E" w:rsidRDefault="0015454E" w:rsidP="0015454E">
            <w:pPr>
              <w:autoSpaceDE w:val="0"/>
              <w:autoSpaceDN w:val="0"/>
              <w:adjustRightInd w:val="0"/>
              <w:spacing w:after="0" w:line="240" w:lineRule="auto"/>
              <w:jc w:val="center"/>
              <w:rPr>
                <w:rFonts w:ascii="Arial" w:eastAsia="Times New Roman" w:hAnsi="Arial" w:cs="Arial"/>
                <w:color w:val="000000"/>
                <w:sz w:val="20"/>
                <w:szCs w:val="20"/>
                <w:lang w:val="es-ES" w:eastAsia="es-ES"/>
              </w:rPr>
            </w:pPr>
          </w:p>
        </w:tc>
        <w:tc>
          <w:tcPr>
            <w:tcW w:w="1040" w:type="dxa"/>
            <w:tcBorders>
              <w:top w:val="nil"/>
              <w:left w:val="nil"/>
              <w:bottom w:val="nil"/>
              <w:right w:val="nil"/>
            </w:tcBorders>
            <w:vAlign w:val="bottom"/>
          </w:tcPr>
          <w:p w:rsidR="0015454E" w:rsidRPr="0015454E" w:rsidRDefault="0015454E" w:rsidP="0015454E">
            <w:pPr>
              <w:autoSpaceDE w:val="0"/>
              <w:autoSpaceDN w:val="0"/>
              <w:adjustRightInd w:val="0"/>
              <w:spacing w:after="0" w:line="240" w:lineRule="auto"/>
              <w:jc w:val="center"/>
              <w:rPr>
                <w:rFonts w:ascii="Arial" w:eastAsia="Times New Roman" w:hAnsi="Arial" w:cs="Arial"/>
                <w:color w:val="000000"/>
                <w:sz w:val="20"/>
                <w:szCs w:val="20"/>
                <w:lang w:val="es-ES" w:eastAsia="es-ES"/>
              </w:rPr>
            </w:pPr>
          </w:p>
        </w:tc>
      </w:tr>
      <w:tr w:rsidR="0015454E" w:rsidRPr="0015454E">
        <w:tblPrEx>
          <w:tblCellMar>
            <w:top w:w="0" w:type="dxa"/>
            <w:bottom w:w="0" w:type="dxa"/>
          </w:tblCellMar>
        </w:tblPrEx>
        <w:trPr>
          <w:trHeight w:val="272"/>
          <w:jc w:val="center"/>
        </w:trPr>
        <w:tc>
          <w:tcPr>
            <w:tcW w:w="2165" w:type="dxa"/>
            <w:gridSpan w:val="3"/>
            <w:tcBorders>
              <w:top w:val="nil"/>
              <w:left w:val="nil"/>
              <w:bottom w:val="nil"/>
              <w:right w:val="nil"/>
            </w:tcBorders>
            <w:vAlign w:val="bottom"/>
          </w:tcPr>
          <w:p w:rsidR="0015454E" w:rsidRPr="0015454E" w:rsidRDefault="0015454E" w:rsidP="0015454E">
            <w:pPr>
              <w:autoSpaceDE w:val="0"/>
              <w:autoSpaceDN w:val="0"/>
              <w:adjustRightInd w:val="0"/>
              <w:spacing w:after="0" w:line="240" w:lineRule="auto"/>
              <w:rPr>
                <w:rFonts w:ascii="Arial" w:eastAsia="Times New Roman" w:hAnsi="Arial" w:cs="Arial"/>
                <w:color w:val="000000"/>
                <w:sz w:val="20"/>
                <w:szCs w:val="20"/>
                <w:lang w:val="es-ES" w:eastAsia="es-ES"/>
              </w:rPr>
            </w:pPr>
            <w:r w:rsidRPr="0015454E">
              <w:rPr>
                <w:rFonts w:ascii="Arial" w:eastAsia="Times New Roman" w:hAnsi="Arial" w:cs="Arial"/>
                <w:color w:val="000000"/>
                <w:sz w:val="20"/>
                <w:szCs w:val="20"/>
                <w:lang w:val="es-ES" w:eastAsia="es-ES"/>
              </w:rPr>
              <w:t>Method: Least Squares</w:t>
            </w:r>
          </w:p>
        </w:tc>
        <w:tc>
          <w:tcPr>
            <w:tcW w:w="1270" w:type="dxa"/>
            <w:tcBorders>
              <w:top w:val="nil"/>
              <w:left w:val="nil"/>
              <w:bottom w:val="nil"/>
              <w:right w:val="nil"/>
            </w:tcBorders>
            <w:vAlign w:val="bottom"/>
          </w:tcPr>
          <w:p w:rsidR="0015454E" w:rsidRPr="0015454E" w:rsidRDefault="0015454E" w:rsidP="0015454E">
            <w:pPr>
              <w:autoSpaceDE w:val="0"/>
              <w:autoSpaceDN w:val="0"/>
              <w:adjustRightInd w:val="0"/>
              <w:spacing w:after="0" w:line="240" w:lineRule="auto"/>
              <w:jc w:val="center"/>
              <w:rPr>
                <w:rFonts w:ascii="Arial" w:eastAsia="Times New Roman" w:hAnsi="Arial" w:cs="Arial"/>
                <w:color w:val="000000"/>
                <w:sz w:val="20"/>
                <w:szCs w:val="20"/>
                <w:lang w:val="es-ES" w:eastAsia="es-ES"/>
              </w:rPr>
            </w:pPr>
          </w:p>
        </w:tc>
        <w:tc>
          <w:tcPr>
            <w:tcW w:w="1040" w:type="dxa"/>
            <w:tcBorders>
              <w:top w:val="nil"/>
              <w:left w:val="nil"/>
              <w:bottom w:val="nil"/>
              <w:right w:val="nil"/>
            </w:tcBorders>
            <w:vAlign w:val="bottom"/>
          </w:tcPr>
          <w:p w:rsidR="0015454E" w:rsidRPr="0015454E" w:rsidRDefault="0015454E" w:rsidP="0015454E">
            <w:pPr>
              <w:autoSpaceDE w:val="0"/>
              <w:autoSpaceDN w:val="0"/>
              <w:adjustRightInd w:val="0"/>
              <w:spacing w:after="0" w:line="240" w:lineRule="auto"/>
              <w:jc w:val="center"/>
              <w:rPr>
                <w:rFonts w:ascii="Arial" w:eastAsia="Times New Roman" w:hAnsi="Arial" w:cs="Arial"/>
                <w:color w:val="000000"/>
                <w:sz w:val="20"/>
                <w:szCs w:val="20"/>
                <w:lang w:val="es-ES" w:eastAsia="es-ES"/>
              </w:rPr>
            </w:pPr>
          </w:p>
        </w:tc>
      </w:tr>
      <w:tr w:rsidR="0015454E" w:rsidRPr="0015454E">
        <w:tblPrEx>
          <w:tblCellMar>
            <w:top w:w="0" w:type="dxa"/>
            <w:bottom w:w="0" w:type="dxa"/>
          </w:tblCellMar>
        </w:tblPrEx>
        <w:trPr>
          <w:trHeight w:val="272"/>
          <w:jc w:val="center"/>
        </w:trPr>
        <w:tc>
          <w:tcPr>
            <w:tcW w:w="2165" w:type="dxa"/>
            <w:gridSpan w:val="3"/>
            <w:tcBorders>
              <w:top w:val="nil"/>
              <w:left w:val="nil"/>
              <w:bottom w:val="nil"/>
              <w:right w:val="nil"/>
            </w:tcBorders>
            <w:vAlign w:val="bottom"/>
          </w:tcPr>
          <w:p w:rsidR="0015454E" w:rsidRPr="0015454E" w:rsidRDefault="0015454E" w:rsidP="0015454E">
            <w:pPr>
              <w:autoSpaceDE w:val="0"/>
              <w:autoSpaceDN w:val="0"/>
              <w:adjustRightInd w:val="0"/>
              <w:spacing w:after="0" w:line="240" w:lineRule="auto"/>
              <w:rPr>
                <w:rFonts w:ascii="Arial" w:eastAsia="Times New Roman" w:hAnsi="Arial" w:cs="Arial"/>
                <w:color w:val="000000"/>
                <w:sz w:val="20"/>
                <w:szCs w:val="20"/>
                <w:lang w:val="es-ES" w:eastAsia="es-ES"/>
              </w:rPr>
            </w:pPr>
            <w:r w:rsidRPr="0015454E">
              <w:rPr>
                <w:rFonts w:ascii="Arial" w:eastAsia="Times New Roman" w:hAnsi="Arial" w:cs="Arial"/>
                <w:color w:val="000000"/>
                <w:sz w:val="20"/>
                <w:szCs w:val="20"/>
                <w:lang w:val="es-ES" w:eastAsia="es-ES"/>
              </w:rPr>
              <w:t>Date: 05/29/08   Time: 11:50</w:t>
            </w:r>
          </w:p>
        </w:tc>
        <w:tc>
          <w:tcPr>
            <w:tcW w:w="1270" w:type="dxa"/>
            <w:tcBorders>
              <w:top w:val="nil"/>
              <w:left w:val="nil"/>
              <w:bottom w:val="nil"/>
              <w:right w:val="nil"/>
            </w:tcBorders>
            <w:vAlign w:val="bottom"/>
          </w:tcPr>
          <w:p w:rsidR="0015454E" w:rsidRPr="0015454E" w:rsidRDefault="0015454E" w:rsidP="0015454E">
            <w:pPr>
              <w:autoSpaceDE w:val="0"/>
              <w:autoSpaceDN w:val="0"/>
              <w:adjustRightInd w:val="0"/>
              <w:spacing w:after="0" w:line="240" w:lineRule="auto"/>
              <w:jc w:val="center"/>
              <w:rPr>
                <w:rFonts w:ascii="Arial" w:eastAsia="Times New Roman" w:hAnsi="Arial" w:cs="Arial"/>
                <w:color w:val="000000"/>
                <w:sz w:val="20"/>
                <w:szCs w:val="20"/>
                <w:lang w:val="es-ES" w:eastAsia="es-ES"/>
              </w:rPr>
            </w:pPr>
          </w:p>
        </w:tc>
        <w:tc>
          <w:tcPr>
            <w:tcW w:w="1040" w:type="dxa"/>
            <w:tcBorders>
              <w:top w:val="nil"/>
              <w:left w:val="nil"/>
              <w:bottom w:val="nil"/>
              <w:right w:val="nil"/>
            </w:tcBorders>
            <w:vAlign w:val="bottom"/>
          </w:tcPr>
          <w:p w:rsidR="0015454E" w:rsidRPr="0015454E" w:rsidRDefault="0015454E" w:rsidP="0015454E">
            <w:pPr>
              <w:autoSpaceDE w:val="0"/>
              <w:autoSpaceDN w:val="0"/>
              <w:adjustRightInd w:val="0"/>
              <w:spacing w:after="0" w:line="240" w:lineRule="auto"/>
              <w:jc w:val="center"/>
              <w:rPr>
                <w:rFonts w:ascii="Arial" w:eastAsia="Times New Roman" w:hAnsi="Arial" w:cs="Arial"/>
                <w:color w:val="000000"/>
                <w:sz w:val="20"/>
                <w:szCs w:val="20"/>
                <w:lang w:val="es-ES" w:eastAsia="es-ES"/>
              </w:rPr>
            </w:pPr>
          </w:p>
        </w:tc>
      </w:tr>
      <w:tr w:rsidR="0015454E" w:rsidRPr="0015454E">
        <w:tblPrEx>
          <w:tblCellMar>
            <w:top w:w="0" w:type="dxa"/>
            <w:bottom w:w="0" w:type="dxa"/>
          </w:tblCellMar>
        </w:tblPrEx>
        <w:trPr>
          <w:trHeight w:val="272"/>
          <w:jc w:val="center"/>
        </w:trPr>
        <w:tc>
          <w:tcPr>
            <w:tcW w:w="2165" w:type="dxa"/>
            <w:gridSpan w:val="3"/>
            <w:tcBorders>
              <w:top w:val="nil"/>
              <w:left w:val="nil"/>
              <w:bottom w:val="nil"/>
              <w:right w:val="nil"/>
            </w:tcBorders>
            <w:vAlign w:val="bottom"/>
          </w:tcPr>
          <w:p w:rsidR="0015454E" w:rsidRPr="0015454E" w:rsidRDefault="0015454E" w:rsidP="0015454E">
            <w:pPr>
              <w:autoSpaceDE w:val="0"/>
              <w:autoSpaceDN w:val="0"/>
              <w:adjustRightInd w:val="0"/>
              <w:spacing w:after="0" w:line="240" w:lineRule="auto"/>
              <w:rPr>
                <w:rFonts w:ascii="Arial" w:eastAsia="Times New Roman" w:hAnsi="Arial" w:cs="Arial"/>
                <w:color w:val="000000"/>
                <w:sz w:val="20"/>
                <w:szCs w:val="20"/>
                <w:lang w:val="es-ES" w:eastAsia="es-ES"/>
              </w:rPr>
            </w:pPr>
            <w:r w:rsidRPr="0015454E">
              <w:rPr>
                <w:rFonts w:ascii="Arial" w:eastAsia="Times New Roman" w:hAnsi="Arial" w:cs="Arial"/>
                <w:color w:val="000000"/>
                <w:sz w:val="20"/>
                <w:szCs w:val="20"/>
                <w:lang w:val="es-ES" w:eastAsia="es-ES"/>
              </w:rPr>
              <w:t>Sample: 2000Q1 2007Q4</w:t>
            </w:r>
          </w:p>
        </w:tc>
        <w:tc>
          <w:tcPr>
            <w:tcW w:w="1270" w:type="dxa"/>
            <w:tcBorders>
              <w:top w:val="nil"/>
              <w:left w:val="nil"/>
              <w:bottom w:val="nil"/>
              <w:right w:val="nil"/>
            </w:tcBorders>
            <w:vAlign w:val="bottom"/>
          </w:tcPr>
          <w:p w:rsidR="0015454E" w:rsidRPr="0015454E" w:rsidRDefault="0015454E" w:rsidP="0015454E">
            <w:pPr>
              <w:autoSpaceDE w:val="0"/>
              <w:autoSpaceDN w:val="0"/>
              <w:adjustRightInd w:val="0"/>
              <w:spacing w:after="0" w:line="240" w:lineRule="auto"/>
              <w:jc w:val="center"/>
              <w:rPr>
                <w:rFonts w:ascii="Arial" w:eastAsia="Times New Roman" w:hAnsi="Arial" w:cs="Arial"/>
                <w:color w:val="000000"/>
                <w:sz w:val="20"/>
                <w:szCs w:val="20"/>
                <w:lang w:val="es-ES" w:eastAsia="es-ES"/>
              </w:rPr>
            </w:pPr>
          </w:p>
        </w:tc>
        <w:tc>
          <w:tcPr>
            <w:tcW w:w="1040" w:type="dxa"/>
            <w:tcBorders>
              <w:top w:val="nil"/>
              <w:left w:val="nil"/>
              <w:bottom w:val="nil"/>
              <w:right w:val="nil"/>
            </w:tcBorders>
            <w:vAlign w:val="bottom"/>
          </w:tcPr>
          <w:p w:rsidR="0015454E" w:rsidRPr="0015454E" w:rsidRDefault="0015454E" w:rsidP="0015454E">
            <w:pPr>
              <w:autoSpaceDE w:val="0"/>
              <w:autoSpaceDN w:val="0"/>
              <w:adjustRightInd w:val="0"/>
              <w:spacing w:after="0" w:line="240" w:lineRule="auto"/>
              <w:jc w:val="center"/>
              <w:rPr>
                <w:rFonts w:ascii="Arial" w:eastAsia="Times New Roman" w:hAnsi="Arial" w:cs="Arial"/>
                <w:color w:val="000000"/>
                <w:sz w:val="20"/>
                <w:szCs w:val="20"/>
                <w:lang w:val="es-ES" w:eastAsia="es-ES"/>
              </w:rPr>
            </w:pPr>
          </w:p>
        </w:tc>
      </w:tr>
      <w:tr w:rsidR="0015454E" w:rsidRPr="0015454E">
        <w:tblPrEx>
          <w:tblCellMar>
            <w:top w:w="0" w:type="dxa"/>
            <w:bottom w:w="0" w:type="dxa"/>
          </w:tblCellMar>
        </w:tblPrEx>
        <w:trPr>
          <w:trHeight w:val="272"/>
          <w:jc w:val="center"/>
        </w:trPr>
        <w:tc>
          <w:tcPr>
            <w:tcW w:w="2165" w:type="dxa"/>
            <w:gridSpan w:val="3"/>
            <w:tcBorders>
              <w:top w:val="nil"/>
              <w:left w:val="nil"/>
              <w:bottom w:val="nil"/>
              <w:right w:val="nil"/>
            </w:tcBorders>
            <w:vAlign w:val="bottom"/>
          </w:tcPr>
          <w:p w:rsidR="0015454E" w:rsidRPr="0015454E" w:rsidRDefault="0015454E" w:rsidP="0015454E">
            <w:pPr>
              <w:autoSpaceDE w:val="0"/>
              <w:autoSpaceDN w:val="0"/>
              <w:adjustRightInd w:val="0"/>
              <w:spacing w:after="0" w:line="240" w:lineRule="auto"/>
              <w:rPr>
                <w:rFonts w:ascii="Arial" w:eastAsia="Times New Roman" w:hAnsi="Arial" w:cs="Arial"/>
                <w:color w:val="000000"/>
                <w:sz w:val="20"/>
                <w:szCs w:val="20"/>
                <w:lang w:val="es-ES" w:eastAsia="es-ES"/>
              </w:rPr>
            </w:pPr>
            <w:r w:rsidRPr="0015454E">
              <w:rPr>
                <w:rFonts w:ascii="Arial" w:eastAsia="Times New Roman" w:hAnsi="Arial" w:cs="Arial"/>
                <w:color w:val="000000"/>
                <w:sz w:val="20"/>
                <w:szCs w:val="20"/>
                <w:lang w:val="es-ES" w:eastAsia="es-ES"/>
              </w:rPr>
              <w:t>Included observations: 32</w:t>
            </w:r>
          </w:p>
        </w:tc>
        <w:tc>
          <w:tcPr>
            <w:tcW w:w="1270" w:type="dxa"/>
            <w:tcBorders>
              <w:top w:val="nil"/>
              <w:left w:val="nil"/>
              <w:bottom w:val="nil"/>
              <w:right w:val="nil"/>
            </w:tcBorders>
            <w:vAlign w:val="bottom"/>
          </w:tcPr>
          <w:p w:rsidR="0015454E" w:rsidRPr="0015454E" w:rsidRDefault="0015454E" w:rsidP="0015454E">
            <w:pPr>
              <w:autoSpaceDE w:val="0"/>
              <w:autoSpaceDN w:val="0"/>
              <w:adjustRightInd w:val="0"/>
              <w:spacing w:after="0" w:line="240" w:lineRule="auto"/>
              <w:jc w:val="center"/>
              <w:rPr>
                <w:rFonts w:ascii="Arial" w:eastAsia="Times New Roman" w:hAnsi="Arial" w:cs="Arial"/>
                <w:color w:val="000000"/>
                <w:sz w:val="20"/>
                <w:szCs w:val="20"/>
                <w:lang w:val="es-ES" w:eastAsia="es-ES"/>
              </w:rPr>
            </w:pPr>
          </w:p>
        </w:tc>
        <w:tc>
          <w:tcPr>
            <w:tcW w:w="1040" w:type="dxa"/>
            <w:tcBorders>
              <w:top w:val="nil"/>
              <w:left w:val="nil"/>
              <w:bottom w:val="nil"/>
              <w:right w:val="nil"/>
            </w:tcBorders>
            <w:vAlign w:val="bottom"/>
          </w:tcPr>
          <w:p w:rsidR="0015454E" w:rsidRPr="0015454E" w:rsidRDefault="0015454E" w:rsidP="0015454E">
            <w:pPr>
              <w:autoSpaceDE w:val="0"/>
              <w:autoSpaceDN w:val="0"/>
              <w:adjustRightInd w:val="0"/>
              <w:spacing w:after="0" w:line="240" w:lineRule="auto"/>
              <w:jc w:val="center"/>
              <w:rPr>
                <w:rFonts w:ascii="Arial" w:eastAsia="Times New Roman" w:hAnsi="Arial" w:cs="Arial"/>
                <w:color w:val="000000"/>
                <w:sz w:val="20"/>
                <w:szCs w:val="20"/>
                <w:lang w:val="es-ES" w:eastAsia="es-ES"/>
              </w:rPr>
            </w:pPr>
          </w:p>
        </w:tc>
      </w:tr>
      <w:tr w:rsidR="0015454E" w:rsidRPr="0015454E">
        <w:tblPrEx>
          <w:tblCellMar>
            <w:top w:w="0" w:type="dxa"/>
            <w:bottom w:w="0" w:type="dxa"/>
          </w:tblCellMar>
        </w:tblPrEx>
        <w:trPr>
          <w:trHeight w:val="272"/>
          <w:jc w:val="center"/>
        </w:trPr>
        <w:tc>
          <w:tcPr>
            <w:tcW w:w="2165" w:type="dxa"/>
            <w:gridSpan w:val="5"/>
            <w:tcBorders>
              <w:top w:val="nil"/>
              <w:left w:val="nil"/>
              <w:bottom w:val="nil"/>
              <w:right w:val="nil"/>
            </w:tcBorders>
            <w:vAlign w:val="bottom"/>
          </w:tcPr>
          <w:p w:rsidR="0015454E" w:rsidRPr="0015454E" w:rsidRDefault="0015454E" w:rsidP="0015454E">
            <w:pPr>
              <w:autoSpaceDE w:val="0"/>
              <w:autoSpaceDN w:val="0"/>
              <w:adjustRightInd w:val="0"/>
              <w:spacing w:after="0" w:line="240" w:lineRule="auto"/>
              <w:rPr>
                <w:rFonts w:ascii="Arial" w:eastAsia="Times New Roman" w:hAnsi="Arial" w:cs="Arial"/>
                <w:color w:val="000000"/>
                <w:sz w:val="20"/>
                <w:szCs w:val="20"/>
                <w:lang w:val="en-GB" w:eastAsia="es-ES"/>
              </w:rPr>
            </w:pPr>
            <w:r w:rsidRPr="0015454E">
              <w:rPr>
                <w:rFonts w:ascii="Arial" w:eastAsia="Times New Roman" w:hAnsi="Arial" w:cs="Arial"/>
                <w:color w:val="000000"/>
                <w:sz w:val="20"/>
                <w:szCs w:val="20"/>
                <w:lang w:val="en-GB" w:eastAsia="es-ES"/>
              </w:rPr>
              <w:t>Newey-West HAC Standard Errors &amp; Covariance (lag truncation=3)</w:t>
            </w:r>
          </w:p>
        </w:tc>
      </w:tr>
      <w:tr w:rsidR="0015454E" w:rsidRPr="0015454E">
        <w:tblPrEx>
          <w:tblCellMar>
            <w:top w:w="0" w:type="dxa"/>
            <w:bottom w:w="0" w:type="dxa"/>
          </w:tblCellMar>
        </w:tblPrEx>
        <w:trPr>
          <w:trHeight w:hRule="exact" w:val="102"/>
          <w:jc w:val="center"/>
        </w:trPr>
        <w:tc>
          <w:tcPr>
            <w:tcW w:w="2165" w:type="dxa"/>
            <w:tcBorders>
              <w:top w:val="nil"/>
              <w:left w:val="nil"/>
              <w:bottom w:val="double" w:sz="6" w:space="2" w:color="auto"/>
              <w:right w:val="nil"/>
            </w:tcBorders>
            <w:vAlign w:val="bottom"/>
          </w:tcPr>
          <w:p w:rsidR="0015454E" w:rsidRPr="0015454E" w:rsidRDefault="0015454E" w:rsidP="0015454E">
            <w:pPr>
              <w:autoSpaceDE w:val="0"/>
              <w:autoSpaceDN w:val="0"/>
              <w:adjustRightInd w:val="0"/>
              <w:spacing w:after="0" w:line="240" w:lineRule="auto"/>
              <w:jc w:val="center"/>
              <w:rPr>
                <w:rFonts w:ascii="Arial" w:eastAsia="Times New Roman" w:hAnsi="Arial" w:cs="Arial"/>
                <w:color w:val="000000"/>
                <w:sz w:val="20"/>
                <w:szCs w:val="20"/>
                <w:lang w:val="en-GB" w:eastAsia="es-ES"/>
              </w:rPr>
            </w:pPr>
          </w:p>
        </w:tc>
        <w:tc>
          <w:tcPr>
            <w:tcW w:w="1039" w:type="dxa"/>
            <w:tcBorders>
              <w:top w:val="nil"/>
              <w:left w:val="nil"/>
              <w:bottom w:val="double" w:sz="6" w:space="2" w:color="auto"/>
              <w:right w:val="nil"/>
            </w:tcBorders>
            <w:vAlign w:val="bottom"/>
          </w:tcPr>
          <w:p w:rsidR="0015454E" w:rsidRPr="0015454E" w:rsidRDefault="0015454E" w:rsidP="0015454E">
            <w:pPr>
              <w:autoSpaceDE w:val="0"/>
              <w:autoSpaceDN w:val="0"/>
              <w:adjustRightInd w:val="0"/>
              <w:spacing w:after="0" w:line="240" w:lineRule="auto"/>
              <w:jc w:val="center"/>
              <w:rPr>
                <w:rFonts w:ascii="Arial" w:eastAsia="Times New Roman" w:hAnsi="Arial" w:cs="Arial"/>
                <w:color w:val="000000"/>
                <w:sz w:val="20"/>
                <w:szCs w:val="20"/>
                <w:lang w:val="en-GB" w:eastAsia="es-ES"/>
              </w:rPr>
            </w:pPr>
          </w:p>
        </w:tc>
        <w:tc>
          <w:tcPr>
            <w:tcW w:w="1271" w:type="dxa"/>
            <w:tcBorders>
              <w:top w:val="nil"/>
              <w:left w:val="nil"/>
              <w:bottom w:val="double" w:sz="6" w:space="2" w:color="auto"/>
              <w:right w:val="nil"/>
            </w:tcBorders>
            <w:vAlign w:val="bottom"/>
          </w:tcPr>
          <w:p w:rsidR="0015454E" w:rsidRPr="0015454E" w:rsidRDefault="0015454E" w:rsidP="0015454E">
            <w:pPr>
              <w:autoSpaceDE w:val="0"/>
              <w:autoSpaceDN w:val="0"/>
              <w:adjustRightInd w:val="0"/>
              <w:spacing w:after="0" w:line="240" w:lineRule="auto"/>
              <w:jc w:val="center"/>
              <w:rPr>
                <w:rFonts w:ascii="Arial" w:eastAsia="Times New Roman" w:hAnsi="Arial" w:cs="Arial"/>
                <w:color w:val="000000"/>
                <w:sz w:val="20"/>
                <w:szCs w:val="20"/>
                <w:lang w:val="en-GB" w:eastAsia="es-ES"/>
              </w:rPr>
            </w:pPr>
          </w:p>
        </w:tc>
        <w:tc>
          <w:tcPr>
            <w:tcW w:w="1270" w:type="dxa"/>
            <w:tcBorders>
              <w:top w:val="nil"/>
              <w:left w:val="nil"/>
              <w:bottom w:val="double" w:sz="6" w:space="2" w:color="auto"/>
              <w:right w:val="nil"/>
            </w:tcBorders>
            <w:vAlign w:val="bottom"/>
          </w:tcPr>
          <w:p w:rsidR="0015454E" w:rsidRPr="0015454E" w:rsidRDefault="0015454E" w:rsidP="0015454E">
            <w:pPr>
              <w:autoSpaceDE w:val="0"/>
              <w:autoSpaceDN w:val="0"/>
              <w:adjustRightInd w:val="0"/>
              <w:spacing w:after="0" w:line="240" w:lineRule="auto"/>
              <w:jc w:val="center"/>
              <w:rPr>
                <w:rFonts w:ascii="Arial" w:eastAsia="Times New Roman" w:hAnsi="Arial" w:cs="Arial"/>
                <w:color w:val="000000"/>
                <w:sz w:val="20"/>
                <w:szCs w:val="20"/>
                <w:lang w:val="en-GB" w:eastAsia="es-ES"/>
              </w:rPr>
            </w:pPr>
          </w:p>
        </w:tc>
        <w:tc>
          <w:tcPr>
            <w:tcW w:w="1040" w:type="dxa"/>
            <w:tcBorders>
              <w:top w:val="nil"/>
              <w:left w:val="nil"/>
              <w:bottom w:val="double" w:sz="6" w:space="2" w:color="auto"/>
              <w:right w:val="nil"/>
            </w:tcBorders>
            <w:vAlign w:val="bottom"/>
          </w:tcPr>
          <w:p w:rsidR="0015454E" w:rsidRPr="0015454E" w:rsidRDefault="0015454E" w:rsidP="0015454E">
            <w:pPr>
              <w:autoSpaceDE w:val="0"/>
              <w:autoSpaceDN w:val="0"/>
              <w:adjustRightInd w:val="0"/>
              <w:spacing w:after="0" w:line="240" w:lineRule="auto"/>
              <w:jc w:val="center"/>
              <w:rPr>
                <w:rFonts w:ascii="Arial" w:eastAsia="Times New Roman" w:hAnsi="Arial" w:cs="Arial"/>
                <w:color w:val="000000"/>
                <w:sz w:val="20"/>
                <w:szCs w:val="20"/>
                <w:lang w:val="en-GB" w:eastAsia="es-ES"/>
              </w:rPr>
            </w:pPr>
          </w:p>
        </w:tc>
      </w:tr>
      <w:tr w:rsidR="0015454E" w:rsidRPr="0015454E">
        <w:tblPrEx>
          <w:tblCellMar>
            <w:top w:w="0" w:type="dxa"/>
            <w:bottom w:w="0" w:type="dxa"/>
          </w:tblCellMar>
        </w:tblPrEx>
        <w:trPr>
          <w:trHeight w:hRule="exact" w:val="153"/>
          <w:jc w:val="center"/>
        </w:trPr>
        <w:tc>
          <w:tcPr>
            <w:tcW w:w="2165" w:type="dxa"/>
            <w:tcBorders>
              <w:top w:val="nil"/>
              <w:left w:val="nil"/>
              <w:bottom w:val="nil"/>
              <w:right w:val="nil"/>
            </w:tcBorders>
            <w:vAlign w:val="bottom"/>
          </w:tcPr>
          <w:p w:rsidR="0015454E" w:rsidRPr="0015454E" w:rsidRDefault="0015454E" w:rsidP="0015454E">
            <w:pPr>
              <w:autoSpaceDE w:val="0"/>
              <w:autoSpaceDN w:val="0"/>
              <w:adjustRightInd w:val="0"/>
              <w:spacing w:after="0" w:line="240" w:lineRule="auto"/>
              <w:jc w:val="center"/>
              <w:rPr>
                <w:rFonts w:ascii="Arial" w:eastAsia="Times New Roman" w:hAnsi="Arial" w:cs="Arial"/>
                <w:color w:val="000000"/>
                <w:sz w:val="20"/>
                <w:szCs w:val="20"/>
                <w:lang w:val="en-GB" w:eastAsia="es-ES"/>
              </w:rPr>
            </w:pPr>
          </w:p>
        </w:tc>
        <w:tc>
          <w:tcPr>
            <w:tcW w:w="1039" w:type="dxa"/>
            <w:tcBorders>
              <w:top w:val="nil"/>
              <w:left w:val="nil"/>
              <w:bottom w:val="nil"/>
              <w:right w:val="nil"/>
            </w:tcBorders>
            <w:vAlign w:val="bottom"/>
          </w:tcPr>
          <w:p w:rsidR="0015454E" w:rsidRPr="0015454E" w:rsidRDefault="0015454E" w:rsidP="0015454E">
            <w:pPr>
              <w:autoSpaceDE w:val="0"/>
              <w:autoSpaceDN w:val="0"/>
              <w:adjustRightInd w:val="0"/>
              <w:spacing w:after="0" w:line="240" w:lineRule="auto"/>
              <w:jc w:val="center"/>
              <w:rPr>
                <w:rFonts w:ascii="Arial" w:eastAsia="Times New Roman" w:hAnsi="Arial" w:cs="Arial"/>
                <w:color w:val="000000"/>
                <w:sz w:val="20"/>
                <w:szCs w:val="20"/>
                <w:lang w:val="en-GB" w:eastAsia="es-ES"/>
              </w:rPr>
            </w:pPr>
          </w:p>
        </w:tc>
        <w:tc>
          <w:tcPr>
            <w:tcW w:w="1271" w:type="dxa"/>
            <w:tcBorders>
              <w:top w:val="nil"/>
              <w:left w:val="nil"/>
              <w:bottom w:val="nil"/>
              <w:right w:val="nil"/>
            </w:tcBorders>
            <w:vAlign w:val="bottom"/>
          </w:tcPr>
          <w:p w:rsidR="0015454E" w:rsidRPr="0015454E" w:rsidRDefault="0015454E" w:rsidP="0015454E">
            <w:pPr>
              <w:autoSpaceDE w:val="0"/>
              <w:autoSpaceDN w:val="0"/>
              <w:adjustRightInd w:val="0"/>
              <w:spacing w:after="0" w:line="240" w:lineRule="auto"/>
              <w:jc w:val="center"/>
              <w:rPr>
                <w:rFonts w:ascii="Arial" w:eastAsia="Times New Roman" w:hAnsi="Arial" w:cs="Arial"/>
                <w:color w:val="000000"/>
                <w:sz w:val="20"/>
                <w:szCs w:val="20"/>
                <w:lang w:val="en-GB" w:eastAsia="es-ES"/>
              </w:rPr>
            </w:pPr>
          </w:p>
        </w:tc>
        <w:tc>
          <w:tcPr>
            <w:tcW w:w="1270" w:type="dxa"/>
            <w:tcBorders>
              <w:top w:val="nil"/>
              <w:left w:val="nil"/>
              <w:bottom w:val="nil"/>
              <w:right w:val="nil"/>
            </w:tcBorders>
            <w:vAlign w:val="bottom"/>
          </w:tcPr>
          <w:p w:rsidR="0015454E" w:rsidRPr="0015454E" w:rsidRDefault="0015454E" w:rsidP="0015454E">
            <w:pPr>
              <w:autoSpaceDE w:val="0"/>
              <w:autoSpaceDN w:val="0"/>
              <w:adjustRightInd w:val="0"/>
              <w:spacing w:after="0" w:line="240" w:lineRule="auto"/>
              <w:jc w:val="center"/>
              <w:rPr>
                <w:rFonts w:ascii="Arial" w:eastAsia="Times New Roman" w:hAnsi="Arial" w:cs="Arial"/>
                <w:color w:val="000000"/>
                <w:sz w:val="20"/>
                <w:szCs w:val="20"/>
                <w:lang w:val="en-GB" w:eastAsia="es-ES"/>
              </w:rPr>
            </w:pPr>
          </w:p>
        </w:tc>
        <w:tc>
          <w:tcPr>
            <w:tcW w:w="1040" w:type="dxa"/>
            <w:tcBorders>
              <w:top w:val="nil"/>
              <w:left w:val="nil"/>
              <w:bottom w:val="nil"/>
              <w:right w:val="nil"/>
            </w:tcBorders>
            <w:vAlign w:val="bottom"/>
          </w:tcPr>
          <w:p w:rsidR="0015454E" w:rsidRPr="0015454E" w:rsidRDefault="0015454E" w:rsidP="0015454E">
            <w:pPr>
              <w:autoSpaceDE w:val="0"/>
              <w:autoSpaceDN w:val="0"/>
              <w:adjustRightInd w:val="0"/>
              <w:spacing w:after="0" w:line="240" w:lineRule="auto"/>
              <w:jc w:val="center"/>
              <w:rPr>
                <w:rFonts w:ascii="Arial" w:eastAsia="Times New Roman" w:hAnsi="Arial" w:cs="Arial"/>
                <w:color w:val="000000"/>
                <w:sz w:val="20"/>
                <w:szCs w:val="20"/>
                <w:lang w:val="en-GB" w:eastAsia="es-ES"/>
              </w:rPr>
            </w:pPr>
          </w:p>
        </w:tc>
      </w:tr>
      <w:tr w:rsidR="0015454E" w:rsidRPr="0015454E">
        <w:tblPrEx>
          <w:tblCellMar>
            <w:top w:w="0" w:type="dxa"/>
            <w:bottom w:w="0" w:type="dxa"/>
          </w:tblCellMar>
        </w:tblPrEx>
        <w:trPr>
          <w:trHeight w:val="272"/>
          <w:jc w:val="center"/>
        </w:trPr>
        <w:tc>
          <w:tcPr>
            <w:tcW w:w="2165" w:type="dxa"/>
            <w:tcBorders>
              <w:top w:val="nil"/>
              <w:left w:val="nil"/>
              <w:bottom w:val="nil"/>
              <w:right w:val="nil"/>
            </w:tcBorders>
            <w:vAlign w:val="bottom"/>
          </w:tcPr>
          <w:p w:rsidR="0015454E" w:rsidRPr="0015454E" w:rsidRDefault="0015454E" w:rsidP="0015454E">
            <w:pPr>
              <w:autoSpaceDE w:val="0"/>
              <w:autoSpaceDN w:val="0"/>
              <w:adjustRightInd w:val="0"/>
              <w:spacing w:after="0" w:line="240" w:lineRule="auto"/>
              <w:jc w:val="center"/>
              <w:rPr>
                <w:rFonts w:ascii="Arial" w:eastAsia="Times New Roman" w:hAnsi="Arial" w:cs="Arial"/>
                <w:color w:val="000000"/>
                <w:sz w:val="20"/>
                <w:szCs w:val="20"/>
                <w:lang w:val="es-ES" w:eastAsia="es-ES"/>
              </w:rPr>
            </w:pPr>
            <w:r w:rsidRPr="0015454E">
              <w:rPr>
                <w:rFonts w:ascii="Arial" w:eastAsia="Times New Roman" w:hAnsi="Arial" w:cs="Arial"/>
                <w:color w:val="000000"/>
                <w:sz w:val="20"/>
                <w:szCs w:val="20"/>
                <w:lang w:val="es-ES" w:eastAsia="es-ES"/>
              </w:rPr>
              <w:t>Variable</w:t>
            </w:r>
          </w:p>
        </w:tc>
        <w:tc>
          <w:tcPr>
            <w:tcW w:w="1039" w:type="dxa"/>
            <w:tcBorders>
              <w:top w:val="nil"/>
              <w:left w:val="nil"/>
              <w:bottom w:val="nil"/>
              <w:right w:val="nil"/>
            </w:tcBorders>
            <w:vAlign w:val="bottom"/>
          </w:tcPr>
          <w:p w:rsidR="0015454E" w:rsidRPr="0015454E" w:rsidRDefault="0015454E" w:rsidP="0015454E">
            <w:pPr>
              <w:autoSpaceDE w:val="0"/>
              <w:autoSpaceDN w:val="0"/>
              <w:adjustRightInd w:val="0"/>
              <w:spacing w:after="0" w:line="240" w:lineRule="auto"/>
              <w:ind w:right="10"/>
              <w:jc w:val="right"/>
              <w:rPr>
                <w:rFonts w:ascii="Arial" w:eastAsia="Times New Roman" w:hAnsi="Arial" w:cs="Arial"/>
                <w:color w:val="000000"/>
                <w:sz w:val="20"/>
                <w:szCs w:val="20"/>
                <w:lang w:val="es-ES" w:eastAsia="es-ES"/>
              </w:rPr>
            </w:pPr>
            <w:r w:rsidRPr="0015454E">
              <w:rPr>
                <w:rFonts w:ascii="Arial" w:eastAsia="Times New Roman" w:hAnsi="Arial" w:cs="Arial"/>
                <w:color w:val="000000"/>
                <w:sz w:val="20"/>
                <w:szCs w:val="20"/>
                <w:lang w:val="es-ES" w:eastAsia="es-ES"/>
              </w:rPr>
              <w:t>Coefficient</w:t>
            </w:r>
          </w:p>
        </w:tc>
        <w:tc>
          <w:tcPr>
            <w:tcW w:w="1271" w:type="dxa"/>
            <w:tcBorders>
              <w:top w:val="nil"/>
              <w:left w:val="nil"/>
              <w:bottom w:val="nil"/>
              <w:right w:val="nil"/>
            </w:tcBorders>
            <w:vAlign w:val="bottom"/>
          </w:tcPr>
          <w:p w:rsidR="0015454E" w:rsidRPr="0015454E" w:rsidRDefault="0015454E" w:rsidP="0015454E">
            <w:pPr>
              <w:autoSpaceDE w:val="0"/>
              <w:autoSpaceDN w:val="0"/>
              <w:adjustRightInd w:val="0"/>
              <w:spacing w:after="0" w:line="240" w:lineRule="auto"/>
              <w:ind w:right="10"/>
              <w:jc w:val="right"/>
              <w:rPr>
                <w:rFonts w:ascii="Arial" w:eastAsia="Times New Roman" w:hAnsi="Arial" w:cs="Arial"/>
                <w:color w:val="000000"/>
                <w:sz w:val="20"/>
                <w:szCs w:val="20"/>
                <w:lang w:val="es-ES" w:eastAsia="es-ES"/>
              </w:rPr>
            </w:pPr>
            <w:r w:rsidRPr="0015454E">
              <w:rPr>
                <w:rFonts w:ascii="Arial" w:eastAsia="Times New Roman" w:hAnsi="Arial" w:cs="Arial"/>
                <w:color w:val="000000"/>
                <w:sz w:val="20"/>
                <w:szCs w:val="20"/>
                <w:lang w:val="es-ES" w:eastAsia="es-ES"/>
              </w:rPr>
              <w:t>Std. Error</w:t>
            </w:r>
          </w:p>
        </w:tc>
        <w:tc>
          <w:tcPr>
            <w:tcW w:w="1270" w:type="dxa"/>
            <w:tcBorders>
              <w:top w:val="nil"/>
              <w:left w:val="nil"/>
              <w:bottom w:val="nil"/>
              <w:right w:val="nil"/>
            </w:tcBorders>
            <w:vAlign w:val="bottom"/>
          </w:tcPr>
          <w:p w:rsidR="0015454E" w:rsidRPr="0015454E" w:rsidRDefault="0015454E" w:rsidP="0015454E">
            <w:pPr>
              <w:autoSpaceDE w:val="0"/>
              <w:autoSpaceDN w:val="0"/>
              <w:adjustRightInd w:val="0"/>
              <w:spacing w:after="0" w:line="240" w:lineRule="auto"/>
              <w:ind w:right="10"/>
              <w:jc w:val="right"/>
              <w:rPr>
                <w:rFonts w:ascii="Arial" w:eastAsia="Times New Roman" w:hAnsi="Arial" w:cs="Arial"/>
                <w:color w:val="000000"/>
                <w:sz w:val="20"/>
                <w:szCs w:val="20"/>
                <w:lang w:val="es-ES" w:eastAsia="es-ES"/>
              </w:rPr>
            </w:pPr>
            <w:r w:rsidRPr="0015454E">
              <w:rPr>
                <w:rFonts w:ascii="Arial" w:eastAsia="Times New Roman" w:hAnsi="Arial" w:cs="Arial"/>
                <w:color w:val="000000"/>
                <w:sz w:val="20"/>
                <w:szCs w:val="20"/>
                <w:lang w:val="es-ES" w:eastAsia="es-ES"/>
              </w:rPr>
              <w:t>t-Statistic</w:t>
            </w:r>
          </w:p>
        </w:tc>
        <w:tc>
          <w:tcPr>
            <w:tcW w:w="1040" w:type="dxa"/>
            <w:tcBorders>
              <w:top w:val="nil"/>
              <w:left w:val="nil"/>
              <w:bottom w:val="nil"/>
              <w:right w:val="nil"/>
            </w:tcBorders>
            <w:vAlign w:val="bottom"/>
          </w:tcPr>
          <w:p w:rsidR="0015454E" w:rsidRPr="0015454E" w:rsidRDefault="0015454E" w:rsidP="0015454E">
            <w:pPr>
              <w:autoSpaceDE w:val="0"/>
              <w:autoSpaceDN w:val="0"/>
              <w:adjustRightInd w:val="0"/>
              <w:spacing w:after="0" w:line="240" w:lineRule="auto"/>
              <w:ind w:right="10"/>
              <w:jc w:val="right"/>
              <w:rPr>
                <w:rFonts w:ascii="Arial" w:eastAsia="Times New Roman" w:hAnsi="Arial" w:cs="Arial"/>
                <w:color w:val="000000"/>
                <w:sz w:val="20"/>
                <w:szCs w:val="20"/>
                <w:lang w:val="es-ES" w:eastAsia="es-ES"/>
              </w:rPr>
            </w:pPr>
            <w:r w:rsidRPr="0015454E">
              <w:rPr>
                <w:rFonts w:ascii="Arial" w:eastAsia="Times New Roman" w:hAnsi="Arial" w:cs="Arial"/>
                <w:color w:val="000000"/>
                <w:sz w:val="20"/>
                <w:szCs w:val="20"/>
                <w:lang w:val="es-ES" w:eastAsia="es-ES"/>
              </w:rPr>
              <w:t>Prob.  </w:t>
            </w:r>
          </w:p>
        </w:tc>
      </w:tr>
      <w:tr w:rsidR="0015454E" w:rsidRPr="0015454E">
        <w:tblPrEx>
          <w:tblCellMar>
            <w:top w:w="0" w:type="dxa"/>
            <w:bottom w:w="0" w:type="dxa"/>
          </w:tblCellMar>
        </w:tblPrEx>
        <w:trPr>
          <w:trHeight w:hRule="exact" w:val="102"/>
          <w:jc w:val="center"/>
        </w:trPr>
        <w:tc>
          <w:tcPr>
            <w:tcW w:w="2165" w:type="dxa"/>
            <w:tcBorders>
              <w:top w:val="nil"/>
              <w:left w:val="nil"/>
              <w:bottom w:val="double" w:sz="6" w:space="2" w:color="auto"/>
              <w:right w:val="nil"/>
            </w:tcBorders>
            <w:vAlign w:val="bottom"/>
          </w:tcPr>
          <w:p w:rsidR="0015454E" w:rsidRPr="0015454E" w:rsidRDefault="0015454E" w:rsidP="0015454E">
            <w:pPr>
              <w:autoSpaceDE w:val="0"/>
              <w:autoSpaceDN w:val="0"/>
              <w:adjustRightInd w:val="0"/>
              <w:spacing w:after="0" w:line="240" w:lineRule="auto"/>
              <w:jc w:val="center"/>
              <w:rPr>
                <w:rFonts w:ascii="Arial" w:eastAsia="Times New Roman" w:hAnsi="Arial" w:cs="Arial"/>
                <w:color w:val="000000"/>
                <w:sz w:val="20"/>
                <w:szCs w:val="20"/>
                <w:lang w:val="es-ES" w:eastAsia="es-ES"/>
              </w:rPr>
            </w:pPr>
          </w:p>
        </w:tc>
        <w:tc>
          <w:tcPr>
            <w:tcW w:w="1039" w:type="dxa"/>
            <w:tcBorders>
              <w:top w:val="nil"/>
              <w:left w:val="nil"/>
              <w:bottom w:val="double" w:sz="6" w:space="2" w:color="auto"/>
              <w:right w:val="nil"/>
            </w:tcBorders>
            <w:vAlign w:val="bottom"/>
          </w:tcPr>
          <w:p w:rsidR="0015454E" w:rsidRPr="0015454E" w:rsidRDefault="0015454E" w:rsidP="0015454E">
            <w:pPr>
              <w:autoSpaceDE w:val="0"/>
              <w:autoSpaceDN w:val="0"/>
              <w:adjustRightInd w:val="0"/>
              <w:spacing w:after="0" w:line="240" w:lineRule="auto"/>
              <w:jc w:val="center"/>
              <w:rPr>
                <w:rFonts w:ascii="Arial" w:eastAsia="Times New Roman" w:hAnsi="Arial" w:cs="Arial"/>
                <w:color w:val="000000"/>
                <w:sz w:val="20"/>
                <w:szCs w:val="20"/>
                <w:lang w:val="es-ES" w:eastAsia="es-ES"/>
              </w:rPr>
            </w:pPr>
          </w:p>
        </w:tc>
        <w:tc>
          <w:tcPr>
            <w:tcW w:w="1271" w:type="dxa"/>
            <w:tcBorders>
              <w:top w:val="nil"/>
              <w:left w:val="nil"/>
              <w:bottom w:val="double" w:sz="6" w:space="2" w:color="auto"/>
              <w:right w:val="nil"/>
            </w:tcBorders>
            <w:vAlign w:val="bottom"/>
          </w:tcPr>
          <w:p w:rsidR="0015454E" w:rsidRPr="0015454E" w:rsidRDefault="0015454E" w:rsidP="0015454E">
            <w:pPr>
              <w:autoSpaceDE w:val="0"/>
              <w:autoSpaceDN w:val="0"/>
              <w:adjustRightInd w:val="0"/>
              <w:spacing w:after="0" w:line="240" w:lineRule="auto"/>
              <w:jc w:val="center"/>
              <w:rPr>
                <w:rFonts w:ascii="Arial" w:eastAsia="Times New Roman" w:hAnsi="Arial" w:cs="Arial"/>
                <w:color w:val="000000"/>
                <w:sz w:val="20"/>
                <w:szCs w:val="20"/>
                <w:lang w:val="es-ES" w:eastAsia="es-ES"/>
              </w:rPr>
            </w:pPr>
          </w:p>
        </w:tc>
        <w:tc>
          <w:tcPr>
            <w:tcW w:w="1270" w:type="dxa"/>
            <w:tcBorders>
              <w:top w:val="nil"/>
              <w:left w:val="nil"/>
              <w:bottom w:val="double" w:sz="6" w:space="2" w:color="auto"/>
              <w:right w:val="nil"/>
            </w:tcBorders>
            <w:vAlign w:val="bottom"/>
          </w:tcPr>
          <w:p w:rsidR="0015454E" w:rsidRPr="0015454E" w:rsidRDefault="0015454E" w:rsidP="0015454E">
            <w:pPr>
              <w:autoSpaceDE w:val="0"/>
              <w:autoSpaceDN w:val="0"/>
              <w:adjustRightInd w:val="0"/>
              <w:spacing w:after="0" w:line="240" w:lineRule="auto"/>
              <w:jc w:val="center"/>
              <w:rPr>
                <w:rFonts w:ascii="Arial" w:eastAsia="Times New Roman" w:hAnsi="Arial" w:cs="Arial"/>
                <w:color w:val="000000"/>
                <w:sz w:val="20"/>
                <w:szCs w:val="20"/>
                <w:lang w:val="es-ES" w:eastAsia="es-ES"/>
              </w:rPr>
            </w:pPr>
          </w:p>
        </w:tc>
        <w:tc>
          <w:tcPr>
            <w:tcW w:w="1040" w:type="dxa"/>
            <w:tcBorders>
              <w:top w:val="nil"/>
              <w:left w:val="nil"/>
              <w:bottom w:val="double" w:sz="6" w:space="2" w:color="auto"/>
              <w:right w:val="nil"/>
            </w:tcBorders>
            <w:vAlign w:val="bottom"/>
          </w:tcPr>
          <w:p w:rsidR="0015454E" w:rsidRPr="0015454E" w:rsidRDefault="0015454E" w:rsidP="0015454E">
            <w:pPr>
              <w:autoSpaceDE w:val="0"/>
              <w:autoSpaceDN w:val="0"/>
              <w:adjustRightInd w:val="0"/>
              <w:spacing w:after="0" w:line="240" w:lineRule="auto"/>
              <w:jc w:val="center"/>
              <w:rPr>
                <w:rFonts w:ascii="Arial" w:eastAsia="Times New Roman" w:hAnsi="Arial" w:cs="Arial"/>
                <w:color w:val="000000"/>
                <w:sz w:val="20"/>
                <w:szCs w:val="20"/>
                <w:lang w:val="es-ES" w:eastAsia="es-ES"/>
              </w:rPr>
            </w:pPr>
          </w:p>
        </w:tc>
      </w:tr>
      <w:tr w:rsidR="0015454E" w:rsidRPr="0015454E">
        <w:tblPrEx>
          <w:tblCellMar>
            <w:top w:w="0" w:type="dxa"/>
            <w:bottom w:w="0" w:type="dxa"/>
          </w:tblCellMar>
        </w:tblPrEx>
        <w:trPr>
          <w:trHeight w:hRule="exact" w:val="153"/>
          <w:jc w:val="center"/>
        </w:trPr>
        <w:tc>
          <w:tcPr>
            <w:tcW w:w="2165" w:type="dxa"/>
            <w:tcBorders>
              <w:top w:val="nil"/>
              <w:left w:val="nil"/>
              <w:bottom w:val="nil"/>
              <w:right w:val="nil"/>
            </w:tcBorders>
            <w:vAlign w:val="bottom"/>
          </w:tcPr>
          <w:p w:rsidR="0015454E" w:rsidRPr="0015454E" w:rsidRDefault="0015454E" w:rsidP="0015454E">
            <w:pPr>
              <w:autoSpaceDE w:val="0"/>
              <w:autoSpaceDN w:val="0"/>
              <w:adjustRightInd w:val="0"/>
              <w:spacing w:after="0" w:line="240" w:lineRule="auto"/>
              <w:jc w:val="center"/>
              <w:rPr>
                <w:rFonts w:ascii="Arial" w:eastAsia="Times New Roman" w:hAnsi="Arial" w:cs="Arial"/>
                <w:color w:val="000000"/>
                <w:sz w:val="20"/>
                <w:szCs w:val="20"/>
                <w:lang w:val="es-ES" w:eastAsia="es-ES"/>
              </w:rPr>
            </w:pPr>
          </w:p>
        </w:tc>
        <w:tc>
          <w:tcPr>
            <w:tcW w:w="1039" w:type="dxa"/>
            <w:tcBorders>
              <w:top w:val="nil"/>
              <w:left w:val="nil"/>
              <w:bottom w:val="nil"/>
              <w:right w:val="nil"/>
            </w:tcBorders>
            <w:vAlign w:val="bottom"/>
          </w:tcPr>
          <w:p w:rsidR="0015454E" w:rsidRPr="0015454E" w:rsidRDefault="0015454E" w:rsidP="0015454E">
            <w:pPr>
              <w:autoSpaceDE w:val="0"/>
              <w:autoSpaceDN w:val="0"/>
              <w:adjustRightInd w:val="0"/>
              <w:spacing w:after="0" w:line="240" w:lineRule="auto"/>
              <w:jc w:val="center"/>
              <w:rPr>
                <w:rFonts w:ascii="Arial" w:eastAsia="Times New Roman" w:hAnsi="Arial" w:cs="Arial"/>
                <w:color w:val="000000"/>
                <w:sz w:val="20"/>
                <w:szCs w:val="20"/>
                <w:lang w:val="es-ES" w:eastAsia="es-ES"/>
              </w:rPr>
            </w:pPr>
          </w:p>
        </w:tc>
        <w:tc>
          <w:tcPr>
            <w:tcW w:w="1271" w:type="dxa"/>
            <w:tcBorders>
              <w:top w:val="nil"/>
              <w:left w:val="nil"/>
              <w:bottom w:val="nil"/>
              <w:right w:val="nil"/>
            </w:tcBorders>
            <w:vAlign w:val="bottom"/>
          </w:tcPr>
          <w:p w:rsidR="0015454E" w:rsidRPr="0015454E" w:rsidRDefault="0015454E" w:rsidP="0015454E">
            <w:pPr>
              <w:autoSpaceDE w:val="0"/>
              <w:autoSpaceDN w:val="0"/>
              <w:adjustRightInd w:val="0"/>
              <w:spacing w:after="0" w:line="240" w:lineRule="auto"/>
              <w:jc w:val="center"/>
              <w:rPr>
                <w:rFonts w:ascii="Arial" w:eastAsia="Times New Roman" w:hAnsi="Arial" w:cs="Arial"/>
                <w:color w:val="000000"/>
                <w:sz w:val="20"/>
                <w:szCs w:val="20"/>
                <w:lang w:val="es-ES" w:eastAsia="es-ES"/>
              </w:rPr>
            </w:pPr>
          </w:p>
        </w:tc>
        <w:tc>
          <w:tcPr>
            <w:tcW w:w="1270" w:type="dxa"/>
            <w:tcBorders>
              <w:top w:val="nil"/>
              <w:left w:val="nil"/>
              <w:bottom w:val="nil"/>
              <w:right w:val="nil"/>
            </w:tcBorders>
            <w:vAlign w:val="bottom"/>
          </w:tcPr>
          <w:p w:rsidR="0015454E" w:rsidRPr="0015454E" w:rsidRDefault="0015454E" w:rsidP="0015454E">
            <w:pPr>
              <w:autoSpaceDE w:val="0"/>
              <w:autoSpaceDN w:val="0"/>
              <w:adjustRightInd w:val="0"/>
              <w:spacing w:after="0" w:line="240" w:lineRule="auto"/>
              <w:jc w:val="center"/>
              <w:rPr>
                <w:rFonts w:ascii="Arial" w:eastAsia="Times New Roman" w:hAnsi="Arial" w:cs="Arial"/>
                <w:color w:val="000000"/>
                <w:sz w:val="20"/>
                <w:szCs w:val="20"/>
                <w:lang w:val="es-ES" w:eastAsia="es-ES"/>
              </w:rPr>
            </w:pPr>
          </w:p>
        </w:tc>
        <w:tc>
          <w:tcPr>
            <w:tcW w:w="1040" w:type="dxa"/>
            <w:tcBorders>
              <w:top w:val="nil"/>
              <w:left w:val="nil"/>
              <w:bottom w:val="nil"/>
              <w:right w:val="nil"/>
            </w:tcBorders>
            <w:vAlign w:val="bottom"/>
          </w:tcPr>
          <w:p w:rsidR="0015454E" w:rsidRPr="0015454E" w:rsidRDefault="0015454E" w:rsidP="0015454E">
            <w:pPr>
              <w:autoSpaceDE w:val="0"/>
              <w:autoSpaceDN w:val="0"/>
              <w:adjustRightInd w:val="0"/>
              <w:spacing w:after="0" w:line="240" w:lineRule="auto"/>
              <w:jc w:val="center"/>
              <w:rPr>
                <w:rFonts w:ascii="Arial" w:eastAsia="Times New Roman" w:hAnsi="Arial" w:cs="Arial"/>
                <w:color w:val="000000"/>
                <w:sz w:val="20"/>
                <w:szCs w:val="20"/>
                <w:lang w:val="es-ES" w:eastAsia="es-ES"/>
              </w:rPr>
            </w:pPr>
          </w:p>
        </w:tc>
      </w:tr>
      <w:tr w:rsidR="0015454E" w:rsidRPr="0015454E">
        <w:tblPrEx>
          <w:tblCellMar>
            <w:top w:w="0" w:type="dxa"/>
            <w:bottom w:w="0" w:type="dxa"/>
          </w:tblCellMar>
        </w:tblPrEx>
        <w:trPr>
          <w:trHeight w:val="272"/>
          <w:jc w:val="center"/>
        </w:trPr>
        <w:tc>
          <w:tcPr>
            <w:tcW w:w="2165" w:type="dxa"/>
            <w:tcBorders>
              <w:top w:val="nil"/>
              <w:left w:val="nil"/>
              <w:bottom w:val="nil"/>
              <w:right w:val="nil"/>
            </w:tcBorders>
            <w:vAlign w:val="bottom"/>
          </w:tcPr>
          <w:p w:rsidR="0015454E" w:rsidRPr="0015454E" w:rsidRDefault="0015454E" w:rsidP="0015454E">
            <w:pPr>
              <w:autoSpaceDE w:val="0"/>
              <w:autoSpaceDN w:val="0"/>
              <w:adjustRightInd w:val="0"/>
              <w:spacing w:after="0" w:line="240" w:lineRule="auto"/>
              <w:jc w:val="center"/>
              <w:rPr>
                <w:rFonts w:ascii="Arial" w:eastAsia="Times New Roman" w:hAnsi="Arial" w:cs="Arial"/>
                <w:color w:val="000000"/>
                <w:sz w:val="20"/>
                <w:szCs w:val="20"/>
                <w:lang w:val="es-ES" w:eastAsia="es-ES"/>
              </w:rPr>
            </w:pPr>
            <w:r w:rsidRPr="0015454E">
              <w:rPr>
                <w:rFonts w:ascii="Arial" w:eastAsia="Times New Roman" w:hAnsi="Arial" w:cs="Arial"/>
                <w:color w:val="000000"/>
                <w:sz w:val="20"/>
                <w:szCs w:val="20"/>
                <w:lang w:val="es-ES" w:eastAsia="es-ES"/>
              </w:rPr>
              <w:t>C</w:t>
            </w:r>
          </w:p>
        </w:tc>
        <w:tc>
          <w:tcPr>
            <w:tcW w:w="1039" w:type="dxa"/>
            <w:tcBorders>
              <w:top w:val="nil"/>
              <w:left w:val="nil"/>
              <w:bottom w:val="nil"/>
              <w:right w:val="nil"/>
            </w:tcBorders>
            <w:vAlign w:val="bottom"/>
          </w:tcPr>
          <w:p w:rsidR="0015454E" w:rsidRPr="0015454E" w:rsidRDefault="0015454E" w:rsidP="0015454E">
            <w:pPr>
              <w:autoSpaceDE w:val="0"/>
              <w:autoSpaceDN w:val="0"/>
              <w:adjustRightInd w:val="0"/>
              <w:spacing w:after="0" w:line="240" w:lineRule="auto"/>
              <w:ind w:right="10"/>
              <w:jc w:val="right"/>
              <w:rPr>
                <w:rFonts w:ascii="Arial" w:eastAsia="Times New Roman" w:hAnsi="Arial" w:cs="Arial"/>
                <w:color w:val="000000"/>
                <w:sz w:val="20"/>
                <w:szCs w:val="20"/>
                <w:lang w:val="es-ES" w:eastAsia="es-ES"/>
              </w:rPr>
            </w:pPr>
            <w:r w:rsidRPr="0015454E">
              <w:rPr>
                <w:rFonts w:ascii="Arial" w:eastAsia="Times New Roman" w:hAnsi="Arial" w:cs="Arial"/>
                <w:color w:val="000000"/>
                <w:sz w:val="20"/>
                <w:szCs w:val="20"/>
                <w:lang w:val="es-ES" w:eastAsia="es-ES"/>
              </w:rPr>
              <w:t>3854276.</w:t>
            </w:r>
          </w:p>
        </w:tc>
        <w:tc>
          <w:tcPr>
            <w:tcW w:w="1271" w:type="dxa"/>
            <w:tcBorders>
              <w:top w:val="nil"/>
              <w:left w:val="nil"/>
              <w:bottom w:val="nil"/>
              <w:right w:val="nil"/>
            </w:tcBorders>
            <w:vAlign w:val="bottom"/>
          </w:tcPr>
          <w:p w:rsidR="0015454E" w:rsidRPr="0015454E" w:rsidRDefault="0015454E" w:rsidP="0015454E">
            <w:pPr>
              <w:autoSpaceDE w:val="0"/>
              <w:autoSpaceDN w:val="0"/>
              <w:adjustRightInd w:val="0"/>
              <w:spacing w:after="0" w:line="240" w:lineRule="auto"/>
              <w:ind w:right="10"/>
              <w:jc w:val="right"/>
              <w:rPr>
                <w:rFonts w:ascii="Arial" w:eastAsia="Times New Roman" w:hAnsi="Arial" w:cs="Arial"/>
                <w:color w:val="000000"/>
                <w:sz w:val="20"/>
                <w:szCs w:val="20"/>
                <w:lang w:val="es-ES" w:eastAsia="es-ES"/>
              </w:rPr>
            </w:pPr>
            <w:r w:rsidRPr="0015454E">
              <w:rPr>
                <w:rFonts w:ascii="Arial" w:eastAsia="Times New Roman" w:hAnsi="Arial" w:cs="Arial"/>
                <w:color w:val="000000"/>
                <w:sz w:val="20"/>
                <w:szCs w:val="20"/>
                <w:lang w:val="es-ES" w:eastAsia="es-ES"/>
              </w:rPr>
              <w:t>33789.00</w:t>
            </w:r>
          </w:p>
        </w:tc>
        <w:tc>
          <w:tcPr>
            <w:tcW w:w="1270" w:type="dxa"/>
            <w:tcBorders>
              <w:top w:val="nil"/>
              <w:left w:val="nil"/>
              <w:bottom w:val="nil"/>
              <w:right w:val="nil"/>
            </w:tcBorders>
            <w:vAlign w:val="bottom"/>
          </w:tcPr>
          <w:p w:rsidR="0015454E" w:rsidRPr="0015454E" w:rsidRDefault="0015454E" w:rsidP="0015454E">
            <w:pPr>
              <w:autoSpaceDE w:val="0"/>
              <w:autoSpaceDN w:val="0"/>
              <w:adjustRightInd w:val="0"/>
              <w:spacing w:after="0" w:line="240" w:lineRule="auto"/>
              <w:ind w:right="10"/>
              <w:jc w:val="right"/>
              <w:rPr>
                <w:rFonts w:ascii="Arial" w:eastAsia="Times New Roman" w:hAnsi="Arial" w:cs="Arial"/>
                <w:color w:val="000000"/>
                <w:sz w:val="20"/>
                <w:szCs w:val="20"/>
                <w:lang w:val="es-ES" w:eastAsia="es-ES"/>
              </w:rPr>
            </w:pPr>
            <w:r w:rsidRPr="0015454E">
              <w:rPr>
                <w:rFonts w:ascii="Arial" w:eastAsia="Times New Roman" w:hAnsi="Arial" w:cs="Arial"/>
                <w:color w:val="000000"/>
                <w:sz w:val="20"/>
                <w:szCs w:val="20"/>
                <w:lang w:val="es-ES" w:eastAsia="es-ES"/>
              </w:rPr>
              <w:t>114.0689</w:t>
            </w:r>
          </w:p>
        </w:tc>
        <w:tc>
          <w:tcPr>
            <w:tcW w:w="1040" w:type="dxa"/>
            <w:tcBorders>
              <w:top w:val="nil"/>
              <w:left w:val="nil"/>
              <w:bottom w:val="nil"/>
              <w:right w:val="nil"/>
            </w:tcBorders>
            <w:vAlign w:val="bottom"/>
          </w:tcPr>
          <w:p w:rsidR="0015454E" w:rsidRPr="0015454E" w:rsidRDefault="0015454E" w:rsidP="0015454E">
            <w:pPr>
              <w:autoSpaceDE w:val="0"/>
              <w:autoSpaceDN w:val="0"/>
              <w:adjustRightInd w:val="0"/>
              <w:spacing w:after="0" w:line="240" w:lineRule="auto"/>
              <w:ind w:right="10"/>
              <w:jc w:val="right"/>
              <w:rPr>
                <w:rFonts w:ascii="Arial" w:eastAsia="Times New Roman" w:hAnsi="Arial" w:cs="Arial"/>
                <w:color w:val="000000"/>
                <w:sz w:val="20"/>
                <w:szCs w:val="20"/>
                <w:lang w:val="es-ES" w:eastAsia="es-ES"/>
              </w:rPr>
            </w:pPr>
            <w:r w:rsidRPr="0015454E">
              <w:rPr>
                <w:rFonts w:ascii="Arial" w:eastAsia="Times New Roman" w:hAnsi="Arial" w:cs="Arial"/>
                <w:color w:val="000000"/>
                <w:sz w:val="20"/>
                <w:szCs w:val="20"/>
                <w:lang w:val="es-ES" w:eastAsia="es-ES"/>
              </w:rPr>
              <w:t>0.0000</w:t>
            </w:r>
          </w:p>
        </w:tc>
      </w:tr>
      <w:tr w:rsidR="0015454E" w:rsidRPr="0015454E">
        <w:tblPrEx>
          <w:tblCellMar>
            <w:top w:w="0" w:type="dxa"/>
            <w:bottom w:w="0" w:type="dxa"/>
          </w:tblCellMar>
        </w:tblPrEx>
        <w:trPr>
          <w:trHeight w:val="272"/>
          <w:jc w:val="center"/>
        </w:trPr>
        <w:tc>
          <w:tcPr>
            <w:tcW w:w="2165" w:type="dxa"/>
            <w:tcBorders>
              <w:top w:val="nil"/>
              <w:left w:val="nil"/>
              <w:bottom w:val="nil"/>
              <w:right w:val="nil"/>
            </w:tcBorders>
            <w:vAlign w:val="bottom"/>
          </w:tcPr>
          <w:p w:rsidR="0015454E" w:rsidRPr="0015454E" w:rsidRDefault="0015454E" w:rsidP="0015454E">
            <w:pPr>
              <w:autoSpaceDE w:val="0"/>
              <w:autoSpaceDN w:val="0"/>
              <w:adjustRightInd w:val="0"/>
              <w:spacing w:after="0" w:line="240" w:lineRule="auto"/>
              <w:jc w:val="center"/>
              <w:rPr>
                <w:rFonts w:ascii="Arial" w:eastAsia="Times New Roman" w:hAnsi="Arial" w:cs="Arial"/>
                <w:color w:val="000000"/>
                <w:sz w:val="20"/>
                <w:szCs w:val="20"/>
                <w:lang w:val="es-ES" w:eastAsia="es-ES"/>
              </w:rPr>
            </w:pPr>
            <w:r w:rsidRPr="0015454E">
              <w:rPr>
                <w:rFonts w:ascii="Arial" w:eastAsia="Times New Roman" w:hAnsi="Arial" w:cs="Arial"/>
                <w:color w:val="000000"/>
                <w:sz w:val="20"/>
                <w:szCs w:val="20"/>
                <w:lang w:val="es-ES" w:eastAsia="es-ES"/>
              </w:rPr>
              <w:t>@TREND</w:t>
            </w:r>
          </w:p>
        </w:tc>
        <w:tc>
          <w:tcPr>
            <w:tcW w:w="1039" w:type="dxa"/>
            <w:tcBorders>
              <w:top w:val="nil"/>
              <w:left w:val="nil"/>
              <w:bottom w:val="nil"/>
              <w:right w:val="nil"/>
            </w:tcBorders>
            <w:vAlign w:val="bottom"/>
          </w:tcPr>
          <w:p w:rsidR="0015454E" w:rsidRPr="0015454E" w:rsidRDefault="0015454E" w:rsidP="0015454E">
            <w:pPr>
              <w:autoSpaceDE w:val="0"/>
              <w:autoSpaceDN w:val="0"/>
              <w:adjustRightInd w:val="0"/>
              <w:spacing w:after="0" w:line="240" w:lineRule="auto"/>
              <w:ind w:right="10"/>
              <w:jc w:val="right"/>
              <w:rPr>
                <w:rFonts w:ascii="Arial" w:eastAsia="Times New Roman" w:hAnsi="Arial" w:cs="Arial"/>
                <w:color w:val="000000"/>
                <w:sz w:val="20"/>
                <w:szCs w:val="20"/>
                <w:lang w:val="es-ES" w:eastAsia="es-ES"/>
              </w:rPr>
            </w:pPr>
            <w:r w:rsidRPr="0015454E">
              <w:rPr>
                <w:rFonts w:ascii="Arial" w:eastAsia="Times New Roman" w:hAnsi="Arial" w:cs="Arial"/>
                <w:color w:val="000000"/>
                <w:sz w:val="20"/>
                <w:szCs w:val="20"/>
                <w:lang w:val="es-ES" w:eastAsia="es-ES"/>
              </w:rPr>
              <w:t>58471.38</w:t>
            </w:r>
          </w:p>
        </w:tc>
        <w:tc>
          <w:tcPr>
            <w:tcW w:w="1271" w:type="dxa"/>
            <w:tcBorders>
              <w:top w:val="nil"/>
              <w:left w:val="nil"/>
              <w:bottom w:val="nil"/>
              <w:right w:val="nil"/>
            </w:tcBorders>
            <w:vAlign w:val="bottom"/>
          </w:tcPr>
          <w:p w:rsidR="0015454E" w:rsidRPr="0015454E" w:rsidRDefault="0015454E" w:rsidP="0015454E">
            <w:pPr>
              <w:autoSpaceDE w:val="0"/>
              <w:autoSpaceDN w:val="0"/>
              <w:adjustRightInd w:val="0"/>
              <w:spacing w:after="0" w:line="240" w:lineRule="auto"/>
              <w:ind w:right="10"/>
              <w:jc w:val="right"/>
              <w:rPr>
                <w:rFonts w:ascii="Arial" w:eastAsia="Times New Roman" w:hAnsi="Arial" w:cs="Arial"/>
                <w:color w:val="000000"/>
                <w:sz w:val="20"/>
                <w:szCs w:val="20"/>
                <w:lang w:val="es-ES" w:eastAsia="es-ES"/>
              </w:rPr>
            </w:pPr>
            <w:r w:rsidRPr="0015454E">
              <w:rPr>
                <w:rFonts w:ascii="Arial" w:eastAsia="Times New Roman" w:hAnsi="Arial" w:cs="Arial"/>
                <w:color w:val="000000"/>
                <w:sz w:val="20"/>
                <w:szCs w:val="20"/>
                <w:lang w:val="es-ES" w:eastAsia="es-ES"/>
              </w:rPr>
              <w:t>1787.514</w:t>
            </w:r>
          </w:p>
        </w:tc>
        <w:tc>
          <w:tcPr>
            <w:tcW w:w="1270" w:type="dxa"/>
            <w:tcBorders>
              <w:top w:val="nil"/>
              <w:left w:val="nil"/>
              <w:bottom w:val="nil"/>
              <w:right w:val="nil"/>
            </w:tcBorders>
            <w:vAlign w:val="bottom"/>
          </w:tcPr>
          <w:p w:rsidR="0015454E" w:rsidRPr="0015454E" w:rsidRDefault="0015454E" w:rsidP="0015454E">
            <w:pPr>
              <w:autoSpaceDE w:val="0"/>
              <w:autoSpaceDN w:val="0"/>
              <w:adjustRightInd w:val="0"/>
              <w:spacing w:after="0" w:line="240" w:lineRule="auto"/>
              <w:ind w:right="10"/>
              <w:jc w:val="right"/>
              <w:rPr>
                <w:rFonts w:ascii="Arial" w:eastAsia="Times New Roman" w:hAnsi="Arial" w:cs="Arial"/>
                <w:color w:val="000000"/>
                <w:sz w:val="20"/>
                <w:szCs w:val="20"/>
                <w:lang w:val="es-ES" w:eastAsia="es-ES"/>
              </w:rPr>
            </w:pPr>
            <w:r w:rsidRPr="0015454E">
              <w:rPr>
                <w:rFonts w:ascii="Arial" w:eastAsia="Times New Roman" w:hAnsi="Arial" w:cs="Arial"/>
                <w:color w:val="000000"/>
                <w:sz w:val="20"/>
                <w:szCs w:val="20"/>
                <w:lang w:val="es-ES" w:eastAsia="es-ES"/>
              </w:rPr>
              <w:t>32.71101</w:t>
            </w:r>
          </w:p>
        </w:tc>
        <w:tc>
          <w:tcPr>
            <w:tcW w:w="1040" w:type="dxa"/>
            <w:tcBorders>
              <w:top w:val="nil"/>
              <w:left w:val="nil"/>
              <w:bottom w:val="nil"/>
              <w:right w:val="nil"/>
            </w:tcBorders>
            <w:vAlign w:val="bottom"/>
          </w:tcPr>
          <w:p w:rsidR="0015454E" w:rsidRPr="0015454E" w:rsidRDefault="0015454E" w:rsidP="0015454E">
            <w:pPr>
              <w:autoSpaceDE w:val="0"/>
              <w:autoSpaceDN w:val="0"/>
              <w:adjustRightInd w:val="0"/>
              <w:spacing w:after="0" w:line="240" w:lineRule="auto"/>
              <w:ind w:right="10"/>
              <w:jc w:val="right"/>
              <w:rPr>
                <w:rFonts w:ascii="Arial" w:eastAsia="Times New Roman" w:hAnsi="Arial" w:cs="Arial"/>
                <w:color w:val="000000"/>
                <w:sz w:val="20"/>
                <w:szCs w:val="20"/>
                <w:lang w:val="es-ES" w:eastAsia="es-ES"/>
              </w:rPr>
            </w:pPr>
            <w:r w:rsidRPr="0015454E">
              <w:rPr>
                <w:rFonts w:ascii="Arial" w:eastAsia="Times New Roman" w:hAnsi="Arial" w:cs="Arial"/>
                <w:color w:val="000000"/>
                <w:sz w:val="20"/>
                <w:szCs w:val="20"/>
                <w:lang w:val="es-ES" w:eastAsia="es-ES"/>
              </w:rPr>
              <w:t>0.0000</w:t>
            </w:r>
          </w:p>
        </w:tc>
      </w:tr>
      <w:tr w:rsidR="0015454E" w:rsidRPr="0015454E">
        <w:tblPrEx>
          <w:tblCellMar>
            <w:top w:w="0" w:type="dxa"/>
            <w:bottom w:w="0" w:type="dxa"/>
          </w:tblCellMar>
        </w:tblPrEx>
        <w:trPr>
          <w:trHeight w:hRule="exact" w:val="102"/>
          <w:jc w:val="center"/>
        </w:trPr>
        <w:tc>
          <w:tcPr>
            <w:tcW w:w="2165" w:type="dxa"/>
            <w:tcBorders>
              <w:top w:val="nil"/>
              <w:left w:val="nil"/>
              <w:bottom w:val="double" w:sz="6" w:space="2" w:color="auto"/>
              <w:right w:val="nil"/>
            </w:tcBorders>
            <w:vAlign w:val="bottom"/>
          </w:tcPr>
          <w:p w:rsidR="0015454E" w:rsidRPr="0015454E" w:rsidRDefault="0015454E" w:rsidP="0015454E">
            <w:pPr>
              <w:autoSpaceDE w:val="0"/>
              <w:autoSpaceDN w:val="0"/>
              <w:adjustRightInd w:val="0"/>
              <w:spacing w:after="0" w:line="240" w:lineRule="auto"/>
              <w:jc w:val="center"/>
              <w:rPr>
                <w:rFonts w:ascii="Arial" w:eastAsia="Times New Roman" w:hAnsi="Arial" w:cs="Arial"/>
                <w:color w:val="000000"/>
                <w:sz w:val="20"/>
                <w:szCs w:val="20"/>
                <w:lang w:val="es-ES" w:eastAsia="es-ES"/>
              </w:rPr>
            </w:pPr>
          </w:p>
        </w:tc>
        <w:tc>
          <w:tcPr>
            <w:tcW w:w="1039" w:type="dxa"/>
            <w:tcBorders>
              <w:top w:val="nil"/>
              <w:left w:val="nil"/>
              <w:bottom w:val="double" w:sz="6" w:space="2" w:color="auto"/>
              <w:right w:val="nil"/>
            </w:tcBorders>
            <w:vAlign w:val="bottom"/>
          </w:tcPr>
          <w:p w:rsidR="0015454E" w:rsidRPr="0015454E" w:rsidRDefault="0015454E" w:rsidP="0015454E">
            <w:pPr>
              <w:autoSpaceDE w:val="0"/>
              <w:autoSpaceDN w:val="0"/>
              <w:adjustRightInd w:val="0"/>
              <w:spacing w:after="0" w:line="240" w:lineRule="auto"/>
              <w:jc w:val="center"/>
              <w:rPr>
                <w:rFonts w:ascii="Arial" w:eastAsia="Times New Roman" w:hAnsi="Arial" w:cs="Arial"/>
                <w:color w:val="000000"/>
                <w:sz w:val="20"/>
                <w:szCs w:val="20"/>
                <w:lang w:val="es-ES" w:eastAsia="es-ES"/>
              </w:rPr>
            </w:pPr>
          </w:p>
        </w:tc>
        <w:tc>
          <w:tcPr>
            <w:tcW w:w="1271" w:type="dxa"/>
            <w:tcBorders>
              <w:top w:val="nil"/>
              <w:left w:val="nil"/>
              <w:bottom w:val="double" w:sz="6" w:space="2" w:color="auto"/>
              <w:right w:val="nil"/>
            </w:tcBorders>
            <w:vAlign w:val="bottom"/>
          </w:tcPr>
          <w:p w:rsidR="0015454E" w:rsidRPr="0015454E" w:rsidRDefault="0015454E" w:rsidP="0015454E">
            <w:pPr>
              <w:autoSpaceDE w:val="0"/>
              <w:autoSpaceDN w:val="0"/>
              <w:adjustRightInd w:val="0"/>
              <w:spacing w:after="0" w:line="240" w:lineRule="auto"/>
              <w:jc w:val="center"/>
              <w:rPr>
                <w:rFonts w:ascii="Arial" w:eastAsia="Times New Roman" w:hAnsi="Arial" w:cs="Arial"/>
                <w:color w:val="000000"/>
                <w:sz w:val="20"/>
                <w:szCs w:val="20"/>
                <w:lang w:val="es-ES" w:eastAsia="es-ES"/>
              </w:rPr>
            </w:pPr>
          </w:p>
        </w:tc>
        <w:tc>
          <w:tcPr>
            <w:tcW w:w="1270" w:type="dxa"/>
            <w:tcBorders>
              <w:top w:val="nil"/>
              <w:left w:val="nil"/>
              <w:bottom w:val="double" w:sz="6" w:space="2" w:color="auto"/>
              <w:right w:val="nil"/>
            </w:tcBorders>
            <w:vAlign w:val="bottom"/>
          </w:tcPr>
          <w:p w:rsidR="0015454E" w:rsidRPr="0015454E" w:rsidRDefault="0015454E" w:rsidP="0015454E">
            <w:pPr>
              <w:autoSpaceDE w:val="0"/>
              <w:autoSpaceDN w:val="0"/>
              <w:adjustRightInd w:val="0"/>
              <w:spacing w:after="0" w:line="240" w:lineRule="auto"/>
              <w:jc w:val="center"/>
              <w:rPr>
                <w:rFonts w:ascii="Arial" w:eastAsia="Times New Roman" w:hAnsi="Arial" w:cs="Arial"/>
                <w:color w:val="000000"/>
                <w:sz w:val="20"/>
                <w:szCs w:val="20"/>
                <w:lang w:val="es-ES" w:eastAsia="es-ES"/>
              </w:rPr>
            </w:pPr>
          </w:p>
        </w:tc>
        <w:tc>
          <w:tcPr>
            <w:tcW w:w="1040" w:type="dxa"/>
            <w:tcBorders>
              <w:top w:val="nil"/>
              <w:left w:val="nil"/>
              <w:bottom w:val="double" w:sz="6" w:space="2" w:color="auto"/>
              <w:right w:val="nil"/>
            </w:tcBorders>
            <w:vAlign w:val="bottom"/>
          </w:tcPr>
          <w:p w:rsidR="0015454E" w:rsidRPr="0015454E" w:rsidRDefault="0015454E" w:rsidP="0015454E">
            <w:pPr>
              <w:autoSpaceDE w:val="0"/>
              <w:autoSpaceDN w:val="0"/>
              <w:adjustRightInd w:val="0"/>
              <w:spacing w:after="0" w:line="240" w:lineRule="auto"/>
              <w:jc w:val="center"/>
              <w:rPr>
                <w:rFonts w:ascii="Arial" w:eastAsia="Times New Roman" w:hAnsi="Arial" w:cs="Arial"/>
                <w:color w:val="000000"/>
                <w:sz w:val="20"/>
                <w:szCs w:val="20"/>
                <w:lang w:val="es-ES" w:eastAsia="es-ES"/>
              </w:rPr>
            </w:pPr>
          </w:p>
        </w:tc>
      </w:tr>
      <w:tr w:rsidR="0015454E" w:rsidRPr="0015454E">
        <w:tblPrEx>
          <w:tblCellMar>
            <w:top w:w="0" w:type="dxa"/>
            <w:bottom w:w="0" w:type="dxa"/>
          </w:tblCellMar>
        </w:tblPrEx>
        <w:trPr>
          <w:trHeight w:hRule="exact" w:val="153"/>
          <w:jc w:val="center"/>
        </w:trPr>
        <w:tc>
          <w:tcPr>
            <w:tcW w:w="2165" w:type="dxa"/>
            <w:tcBorders>
              <w:top w:val="nil"/>
              <w:left w:val="nil"/>
              <w:bottom w:val="nil"/>
              <w:right w:val="nil"/>
            </w:tcBorders>
            <w:vAlign w:val="bottom"/>
          </w:tcPr>
          <w:p w:rsidR="0015454E" w:rsidRPr="0015454E" w:rsidRDefault="0015454E" w:rsidP="0015454E">
            <w:pPr>
              <w:autoSpaceDE w:val="0"/>
              <w:autoSpaceDN w:val="0"/>
              <w:adjustRightInd w:val="0"/>
              <w:spacing w:after="0" w:line="240" w:lineRule="auto"/>
              <w:jc w:val="center"/>
              <w:rPr>
                <w:rFonts w:ascii="Arial" w:eastAsia="Times New Roman" w:hAnsi="Arial" w:cs="Arial"/>
                <w:color w:val="000000"/>
                <w:sz w:val="20"/>
                <w:szCs w:val="20"/>
                <w:lang w:val="es-ES" w:eastAsia="es-ES"/>
              </w:rPr>
            </w:pPr>
          </w:p>
        </w:tc>
        <w:tc>
          <w:tcPr>
            <w:tcW w:w="1039" w:type="dxa"/>
            <w:tcBorders>
              <w:top w:val="nil"/>
              <w:left w:val="nil"/>
              <w:bottom w:val="nil"/>
              <w:right w:val="nil"/>
            </w:tcBorders>
            <w:vAlign w:val="bottom"/>
          </w:tcPr>
          <w:p w:rsidR="0015454E" w:rsidRPr="0015454E" w:rsidRDefault="0015454E" w:rsidP="0015454E">
            <w:pPr>
              <w:autoSpaceDE w:val="0"/>
              <w:autoSpaceDN w:val="0"/>
              <w:adjustRightInd w:val="0"/>
              <w:spacing w:after="0" w:line="240" w:lineRule="auto"/>
              <w:jc w:val="center"/>
              <w:rPr>
                <w:rFonts w:ascii="Arial" w:eastAsia="Times New Roman" w:hAnsi="Arial" w:cs="Arial"/>
                <w:color w:val="000000"/>
                <w:sz w:val="20"/>
                <w:szCs w:val="20"/>
                <w:lang w:val="es-ES" w:eastAsia="es-ES"/>
              </w:rPr>
            </w:pPr>
          </w:p>
        </w:tc>
        <w:tc>
          <w:tcPr>
            <w:tcW w:w="1271" w:type="dxa"/>
            <w:tcBorders>
              <w:top w:val="nil"/>
              <w:left w:val="nil"/>
              <w:bottom w:val="nil"/>
              <w:right w:val="nil"/>
            </w:tcBorders>
            <w:vAlign w:val="bottom"/>
          </w:tcPr>
          <w:p w:rsidR="0015454E" w:rsidRPr="0015454E" w:rsidRDefault="0015454E" w:rsidP="0015454E">
            <w:pPr>
              <w:autoSpaceDE w:val="0"/>
              <w:autoSpaceDN w:val="0"/>
              <w:adjustRightInd w:val="0"/>
              <w:spacing w:after="0" w:line="240" w:lineRule="auto"/>
              <w:jc w:val="center"/>
              <w:rPr>
                <w:rFonts w:ascii="Arial" w:eastAsia="Times New Roman" w:hAnsi="Arial" w:cs="Arial"/>
                <w:color w:val="000000"/>
                <w:sz w:val="20"/>
                <w:szCs w:val="20"/>
                <w:lang w:val="es-ES" w:eastAsia="es-ES"/>
              </w:rPr>
            </w:pPr>
          </w:p>
        </w:tc>
        <w:tc>
          <w:tcPr>
            <w:tcW w:w="1270" w:type="dxa"/>
            <w:tcBorders>
              <w:top w:val="nil"/>
              <w:left w:val="nil"/>
              <w:bottom w:val="nil"/>
              <w:right w:val="nil"/>
            </w:tcBorders>
            <w:vAlign w:val="bottom"/>
          </w:tcPr>
          <w:p w:rsidR="0015454E" w:rsidRPr="0015454E" w:rsidRDefault="0015454E" w:rsidP="0015454E">
            <w:pPr>
              <w:autoSpaceDE w:val="0"/>
              <w:autoSpaceDN w:val="0"/>
              <w:adjustRightInd w:val="0"/>
              <w:spacing w:after="0" w:line="240" w:lineRule="auto"/>
              <w:jc w:val="center"/>
              <w:rPr>
                <w:rFonts w:ascii="Arial" w:eastAsia="Times New Roman" w:hAnsi="Arial" w:cs="Arial"/>
                <w:color w:val="000000"/>
                <w:sz w:val="20"/>
                <w:szCs w:val="20"/>
                <w:lang w:val="es-ES" w:eastAsia="es-ES"/>
              </w:rPr>
            </w:pPr>
          </w:p>
        </w:tc>
        <w:tc>
          <w:tcPr>
            <w:tcW w:w="1040" w:type="dxa"/>
            <w:tcBorders>
              <w:top w:val="nil"/>
              <w:left w:val="nil"/>
              <w:bottom w:val="nil"/>
              <w:right w:val="nil"/>
            </w:tcBorders>
            <w:vAlign w:val="bottom"/>
          </w:tcPr>
          <w:p w:rsidR="0015454E" w:rsidRPr="0015454E" w:rsidRDefault="0015454E" w:rsidP="0015454E">
            <w:pPr>
              <w:autoSpaceDE w:val="0"/>
              <w:autoSpaceDN w:val="0"/>
              <w:adjustRightInd w:val="0"/>
              <w:spacing w:after="0" w:line="240" w:lineRule="auto"/>
              <w:jc w:val="center"/>
              <w:rPr>
                <w:rFonts w:ascii="Arial" w:eastAsia="Times New Roman" w:hAnsi="Arial" w:cs="Arial"/>
                <w:color w:val="000000"/>
                <w:sz w:val="20"/>
                <w:szCs w:val="20"/>
                <w:lang w:val="es-ES" w:eastAsia="es-ES"/>
              </w:rPr>
            </w:pPr>
          </w:p>
        </w:tc>
      </w:tr>
      <w:tr w:rsidR="0015454E" w:rsidRPr="0015454E">
        <w:tblPrEx>
          <w:tblCellMar>
            <w:top w:w="0" w:type="dxa"/>
            <w:bottom w:w="0" w:type="dxa"/>
          </w:tblCellMar>
        </w:tblPrEx>
        <w:trPr>
          <w:trHeight w:val="272"/>
          <w:jc w:val="center"/>
        </w:trPr>
        <w:tc>
          <w:tcPr>
            <w:tcW w:w="2165" w:type="dxa"/>
            <w:tcBorders>
              <w:top w:val="nil"/>
              <w:left w:val="nil"/>
              <w:bottom w:val="nil"/>
              <w:right w:val="nil"/>
            </w:tcBorders>
            <w:vAlign w:val="bottom"/>
          </w:tcPr>
          <w:p w:rsidR="0015454E" w:rsidRPr="0015454E" w:rsidRDefault="0015454E" w:rsidP="0015454E">
            <w:pPr>
              <w:autoSpaceDE w:val="0"/>
              <w:autoSpaceDN w:val="0"/>
              <w:adjustRightInd w:val="0"/>
              <w:spacing w:after="0" w:line="240" w:lineRule="auto"/>
              <w:rPr>
                <w:rFonts w:ascii="Arial" w:eastAsia="Times New Roman" w:hAnsi="Arial" w:cs="Arial"/>
                <w:color w:val="000000"/>
                <w:sz w:val="20"/>
                <w:szCs w:val="20"/>
                <w:lang w:val="es-ES" w:eastAsia="es-ES"/>
              </w:rPr>
            </w:pPr>
            <w:r w:rsidRPr="0015454E">
              <w:rPr>
                <w:rFonts w:ascii="Arial" w:eastAsia="Times New Roman" w:hAnsi="Arial" w:cs="Arial"/>
                <w:color w:val="000000"/>
                <w:sz w:val="20"/>
                <w:szCs w:val="20"/>
                <w:lang w:val="es-ES" w:eastAsia="es-ES"/>
              </w:rPr>
              <w:t>R-squared</w:t>
            </w:r>
          </w:p>
        </w:tc>
        <w:tc>
          <w:tcPr>
            <w:tcW w:w="1039" w:type="dxa"/>
            <w:tcBorders>
              <w:top w:val="nil"/>
              <w:left w:val="nil"/>
              <w:bottom w:val="nil"/>
              <w:right w:val="nil"/>
            </w:tcBorders>
            <w:vAlign w:val="bottom"/>
          </w:tcPr>
          <w:p w:rsidR="0015454E" w:rsidRPr="0015454E" w:rsidRDefault="0015454E" w:rsidP="0015454E">
            <w:pPr>
              <w:autoSpaceDE w:val="0"/>
              <w:autoSpaceDN w:val="0"/>
              <w:adjustRightInd w:val="0"/>
              <w:spacing w:after="0" w:line="240" w:lineRule="auto"/>
              <w:ind w:right="10"/>
              <w:jc w:val="right"/>
              <w:rPr>
                <w:rFonts w:ascii="Arial" w:eastAsia="Times New Roman" w:hAnsi="Arial" w:cs="Arial"/>
                <w:color w:val="000000"/>
                <w:sz w:val="20"/>
                <w:szCs w:val="20"/>
                <w:lang w:val="es-ES" w:eastAsia="es-ES"/>
              </w:rPr>
            </w:pPr>
            <w:r w:rsidRPr="0015454E">
              <w:rPr>
                <w:rFonts w:ascii="Arial" w:eastAsia="Times New Roman" w:hAnsi="Arial" w:cs="Arial"/>
                <w:color w:val="000000"/>
                <w:sz w:val="20"/>
                <w:szCs w:val="20"/>
                <w:lang w:val="es-ES" w:eastAsia="es-ES"/>
              </w:rPr>
              <w:t>0.980043</w:t>
            </w:r>
          </w:p>
        </w:tc>
        <w:tc>
          <w:tcPr>
            <w:tcW w:w="1271" w:type="dxa"/>
            <w:gridSpan w:val="2"/>
            <w:tcBorders>
              <w:top w:val="nil"/>
              <w:left w:val="nil"/>
              <w:bottom w:val="nil"/>
              <w:right w:val="nil"/>
            </w:tcBorders>
            <w:vAlign w:val="bottom"/>
          </w:tcPr>
          <w:p w:rsidR="0015454E" w:rsidRPr="0015454E" w:rsidRDefault="0015454E" w:rsidP="0015454E">
            <w:pPr>
              <w:autoSpaceDE w:val="0"/>
              <w:autoSpaceDN w:val="0"/>
              <w:adjustRightInd w:val="0"/>
              <w:spacing w:after="0" w:line="240" w:lineRule="auto"/>
              <w:ind w:right="10"/>
              <w:rPr>
                <w:rFonts w:ascii="Arial" w:eastAsia="Times New Roman" w:hAnsi="Arial" w:cs="Arial"/>
                <w:color w:val="000000"/>
                <w:sz w:val="20"/>
                <w:szCs w:val="20"/>
                <w:lang w:val="es-ES" w:eastAsia="es-ES"/>
              </w:rPr>
            </w:pPr>
            <w:r w:rsidRPr="0015454E">
              <w:rPr>
                <w:rFonts w:ascii="Arial" w:eastAsia="Times New Roman" w:hAnsi="Arial" w:cs="Arial"/>
                <w:color w:val="000000"/>
                <w:sz w:val="20"/>
                <w:szCs w:val="20"/>
                <w:lang w:val="es-ES" w:eastAsia="es-ES"/>
              </w:rPr>
              <w:t>    Mean dependent var</w:t>
            </w:r>
          </w:p>
        </w:tc>
        <w:tc>
          <w:tcPr>
            <w:tcW w:w="1040" w:type="dxa"/>
            <w:tcBorders>
              <w:top w:val="nil"/>
              <w:left w:val="nil"/>
              <w:bottom w:val="nil"/>
              <w:right w:val="nil"/>
            </w:tcBorders>
            <w:vAlign w:val="bottom"/>
          </w:tcPr>
          <w:p w:rsidR="0015454E" w:rsidRPr="0015454E" w:rsidRDefault="0015454E" w:rsidP="0015454E">
            <w:pPr>
              <w:autoSpaceDE w:val="0"/>
              <w:autoSpaceDN w:val="0"/>
              <w:adjustRightInd w:val="0"/>
              <w:spacing w:after="0" w:line="240" w:lineRule="auto"/>
              <w:ind w:right="10"/>
              <w:jc w:val="right"/>
              <w:rPr>
                <w:rFonts w:ascii="Arial" w:eastAsia="Times New Roman" w:hAnsi="Arial" w:cs="Arial"/>
                <w:color w:val="000000"/>
                <w:sz w:val="20"/>
                <w:szCs w:val="20"/>
                <w:lang w:val="es-ES" w:eastAsia="es-ES"/>
              </w:rPr>
            </w:pPr>
            <w:r w:rsidRPr="0015454E">
              <w:rPr>
                <w:rFonts w:ascii="Arial" w:eastAsia="Times New Roman" w:hAnsi="Arial" w:cs="Arial"/>
                <w:color w:val="000000"/>
                <w:sz w:val="20"/>
                <w:szCs w:val="20"/>
                <w:lang w:val="es-ES" w:eastAsia="es-ES"/>
              </w:rPr>
              <w:t>4760582.</w:t>
            </w:r>
          </w:p>
        </w:tc>
      </w:tr>
      <w:tr w:rsidR="0015454E" w:rsidRPr="0015454E">
        <w:tblPrEx>
          <w:tblCellMar>
            <w:top w:w="0" w:type="dxa"/>
            <w:bottom w:w="0" w:type="dxa"/>
          </w:tblCellMar>
        </w:tblPrEx>
        <w:trPr>
          <w:trHeight w:val="272"/>
          <w:jc w:val="center"/>
        </w:trPr>
        <w:tc>
          <w:tcPr>
            <w:tcW w:w="2165" w:type="dxa"/>
            <w:tcBorders>
              <w:top w:val="nil"/>
              <w:left w:val="nil"/>
              <w:bottom w:val="nil"/>
              <w:right w:val="nil"/>
            </w:tcBorders>
            <w:vAlign w:val="bottom"/>
          </w:tcPr>
          <w:p w:rsidR="0015454E" w:rsidRPr="0015454E" w:rsidRDefault="0015454E" w:rsidP="0015454E">
            <w:pPr>
              <w:autoSpaceDE w:val="0"/>
              <w:autoSpaceDN w:val="0"/>
              <w:adjustRightInd w:val="0"/>
              <w:spacing w:after="0" w:line="240" w:lineRule="auto"/>
              <w:rPr>
                <w:rFonts w:ascii="Arial" w:eastAsia="Times New Roman" w:hAnsi="Arial" w:cs="Arial"/>
                <w:color w:val="000000"/>
                <w:sz w:val="20"/>
                <w:szCs w:val="20"/>
                <w:lang w:val="es-ES" w:eastAsia="es-ES"/>
              </w:rPr>
            </w:pPr>
            <w:r w:rsidRPr="0015454E">
              <w:rPr>
                <w:rFonts w:ascii="Arial" w:eastAsia="Times New Roman" w:hAnsi="Arial" w:cs="Arial"/>
                <w:color w:val="000000"/>
                <w:sz w:val="20"/>
                <w:szCs w:val="20"/>
                <w:lang w:val="es-ES" w:eastAsia="es-ES"/>
              </w:rPr>
              <w:t>Adjusted R-squared</w:t>
            </w:r>
          </w:p>
        </w:tc>
        <w:tc>
          <w:tcPr>
            <w:tcW w:w="1039" w:type="dxa"/>
            <w:tcBorders>
              <w:top w:val="nil"/>
              <w:left w:val="nil"/>
              <w:bottom w:val="nil"/>
              <w:right w:val="nil"/>
            </w:tcBorders>
            <w:vAlign w:val="bottom"/>
          </w:tcPr>
          <w:p w:rsidR="0015454E" w:rsidRPr="0015454E" w:rsidRDefault="0015454E" w:rsidP="0015454E">
            <w:pPr>
              <w:autoSpaceDE w:val="0"/>
              <w:autoSpaceDN w:val="0"/>
              <w:adjustRightInd w:val="0"/>
              <w:spacing w:after="0" w:line="240" w:lineRule="auto"/>
              <w:ind w:right="10"/>
              <w:jc w:val="right"/>
              <w:rPr>
                <w:rFonts w:ascii="Arial" w:eastAsia="Times New Roman" w:hAnsi="Arial" w:cs="Arial"/>
                <w:color w:val="000000"/>
                <w:sz w:val="20"/>
                <w:szCs w:val="20"/>
                <w:lang w:val="es-ES" w:eastAsia="es-ES"/>
              </w:rPr>
            </w:pPr>
            <w:r w:rsidRPr="0015454E">
              <w:rPr>
                <w:rFonts w:ascii="Arial" w:eastAsia="Times New Roman" w:hAnsi="Arial" w:cs="Arial"/>
                <w:color w:val="000000"/>
                <w:sz w:val="20"/>
                <w:szCs w:val="20"/>
                <w:lang w:val="es-ES" w:eastAsia="es-ES"/>
              </w:rPr>
              <w:t>0.979377</w:t>
            </w:r>
          </w:p>
        </w:tc>
        <w:tc>
          <w:tcPr>
            <w:tcW w:w="1271" w:type="dxa"/>
            <w:gridSpan w:val="2"/>
            <w:tcBorders>
              <w:top w:val="nil"/>
              <w:left w:val="nil"/>
              <w:bottom w:val="nil"/>
              <w:right w:val="nil"/>
            </w:tcBorders>
            <w:vAlign w:val="bottom"/>
          </w:tcPr>
          <w:p w:rsidR="0015454E" w:rsidRPr="0015454E" w:rsidRDefault="0015454E" w:rsidP="0015454E">
            <w:pPr>
              <w:autoSpaceDE w:val="0"/>
              <w:autoSpaceDN w:val="0"/>
              <w:adjustRightInd w:val="0"/>
              <w:spacing w:after="0" w:line="240" w:lineRule="auto"/>
              <w:ind w:right="10"/>
              <w:rPr>
                <w:rFonts w:ascii="Arial" w:eastAsia="Times New Roman" w:hAnsi="Arial" w:cs="Arial"/>
                <w:color w:val="000000"/>
                <w:sz w:val="20"/>
                <w:szCs w:val="20"/>
                <w:lang w:val="es-ES" w:eastAsia="es-ES"/>
              </w:rPr>
            </w:pPr>
            <w:r w:rsidRPr="0015454E">
              <w:rPr>
                <w:rFonts w:ascii="Arial" w:eastAsia="Times New Roman" w:hAnsi="Arial" w:cs="Arial"/>
                <w:color w:val="000000"/>
                <w:sz w:val="20"/>
                <w:szCs w:val="20"/>
                <w:lang w:val="es-ES" w:eastAsia="es-ES"/>
              </w:rPr>
              <w:t>    S.D. dependent var</w:t>
            </w:r>
          </w:p>
        </w:tc>
        <w:tc>
          <w:tcPr>
            <w:tcW w:w="1040" w:type="dxa"/>
            <w:tcBorders>
              <w:top w:val="nil"/>
              <w:left w:val="nil"/>
              <w:bottom w:val="nil"/>
              <w:right w:val="nil"/>
            </w:tcBorders>
            <w:vAlign w:val="bottom"/>
          </w:tcPr>
          <w:p w:rsidR="0015454E" w:rsidRPr="0015454E" w:rsidRDefault="0015454E" w:rsidP="0015454E">
            <w:pPr>
              <w:autoSpaceDE w:val="0"/>
              <w:autoSpaceDN w:val="0"/>
              <w:adjustRightInd w:val="0"/>
              <w:spacing w:after="0" w:line="240" w:lineRule="auto"/>
              <w:ind w:right="10"/>
              <w:jc w:val="right"/>
              <w:rPr>
                <w:rFonts w:ascii="Arial" w:eastAsia="Times New Roman" w:hAnsi="Arial" w:cs="Arial"/>
                <w:color w:val="000000"/>
                <w:sz w:val="20"/>
                <w:szCs w:val="20"/>
                <w:lang w:val="es-ES" w:eastAsia="es-ES"/>
              </w:rPr>
            </w:pPr>
            <w:r w:rsidRPr="0015454E">
              <w:rPr>
                <w:rFonts w:ascii="Arial" w:eastAsia="Times New Roman" w:hAnsi="Arial" w:cs="Arial"/>
                <w:color w:val="000000"/>
                <w:sz w:val="20"/>
                <w:szCs w:val="20"/>
                <w:lang w:val="es-ES" w:eastAsia="es-ES"/>
              </w:rPr>
              <w:t>554066.8</w:t>
            </w:r>
          </w:p>
        </w:tc>
      </w:tr>
      <w:tr w:rsidR="0015454E" w:rsidRPr="0015454E">
        <w:tblPrEx>
          <w:tblCellMar>
            <w:top w:w="0" w:type="dxa"/>
            <w:bottom w:w="0" w:type="dxa"/>
          </w:tblCellMar>
        </w:tblPrEx>
        <w:trPr>
          <w:trHeight w:val="272"/>
          <w:jc w:val="center"/>
        </w:trPr>
        <w:tc>
          <w:tcPr>
            <w:tcW w:w="2165" w:type="dxa"/>
            <w:tcBorders>
              <w:top w:val="nil"/>
              <w:left w:val="nil"/>
              <w:bottom w:val="nil"/>
              <w:right w:val="nil"/>
            </w:tcBorders>
            <w:vAlign w:val="bottom"/>
          </w:tcPr>
          <w:p w:rsidR="0015454E" w:rsidRPr="0015454E" w:rsidRDefault="0015454E" w:rsidP="0015454E">
            <w:pPr>
              <w:autoSpaceDE w:val="0"/>
              <w:autoSpaceDN w:val="0"/>
              <w:adjustRightInd w:val="0"/>
              <w:spacing w:after="0" w:line="240" w:lineRule="auto"/>
              <w:rPr>
                <w:rFonts w:ascii="Arial" w:eastAsia="Times New Roman" w:hAnsi="Arial" w:cs="Arial"/>
                <w:color w:val="000000"/>
                <w:sz w:val="20"/>
                <w:szCs w:val="20"/>
                <w:lang w:val="es-ES" w:eastAsia="es-ES"/>
              </w:rPr>
            </w:pPr>
            <w:r w:rsidRPr="0015454E">
              <w:rPr>
                <w:rFonts w:ascii="Arial" w:eastAsia="Times New Roman" w:hAnsi="Arial" w:cs="Arial"/>
                <w:color w:val="000000"/>
                <w:sz w:val="20"/>
                <w:szCs w:val="20"/>
                <w:lang w:val="es-ES" w:eastAsia="es-ES"/>
              </w:rPr>
              <w:t>S.E. of regression</w:t>
            </w:r>
          </w:p>
        </w:tc>
        <w:tc>
          <w:tcPr>
            <w:tcW w:w="1039" w:type="dxa"/>
            <w:tcBorders>
              <w:top w:val="nil"/>
              <w:left w:val="nil"/>
              <w:bottom w:val="nil"/>
              <w:right w:val="nil"/>
            </w:tcBorders>
            <w:vAlign w:val="bottom"/>
          </w:tcPr>
          <w:p w:rsidR="0015454E" w:rsidRPr="0015454E" w:rsidRDefault="0015454E" w:rsidP="0015454E">
            <w:pPr>
              <w:autoSpaceDE w:val="0"/>
              <w:autoSpaceDN w:val="0"/>
              <w:adjustRightInd w:val="0"/>
              <w:spacing w:after="0" w:line="240" w:lineRule="auto"/>
              <w:ind w:right="10"/>
              <w:jc w:val="right"/>
              <w:rPr>
                <w:rFonts w:ascii="Arial" w:eastAsia="Times New Roman" w:hAnsi="Arial" w:cs="Arial"/>
                <w:color w:val="000000"/>
                <w:sz w:val="20"/>
                <w:szCs w:val="20"/>
                <w:lang w:val="es-ES" w:eastAsia="es-ES"/>
              </w:rPr>
            </w:pPr>
            <w:r w:rsidRPr="0015454E">
              <w:rPr>
                <w:rFonts w:ascii="Arial" w:eastAsia="Times New Roman" w:hAnsi="Arial" w:cs="Arial"/>
                <w:color w:val="000000"/>
                <w:sz w:val="20"/>
                <w:szCs w:val="20"/>
                <w:lang w:val="es-ES" w:eastAsia="es-ES"/>
              </w:rPr>
              <w:t>79567.05</w:t>
            </w:r>
          </w:p>
        </w:tc>
        <w:tc>
          <w:tcPr>
            <w:tcW w:w="1271" w:type="dxa"/>
            <w:gridSpan w:val="2"/>
            <w:tcBorders>
              <w:top w:val="nil"/>
              <w:left w:val="nil"/>
              <w:bottom w:val="nil"/>
              <w:right w:val="nil"/>
            </w:tcBorders>
            <w:vAlign w:val="bottom"/>
          </w:tcPr>
          <w:p w:rsidR="0015454E" w:rsidRPr="0015454E" w:rsidRDefault="0015454E" w:rsidP="0015454E">
            <w:pPr>
              <w:autoSpaceDE w:val="0"/>
              <w:autoSpaceDN w:val="0"/>
              <w:adjustRightInd w:val="0"/>
              <w:spacing w:after="0" w:line="240" w:lineRule="auto"/>
              <w:ind w:right="10"/>
              <w:rPr>
                <w:rFonts w:ascii="Arial" w:eastAsia="Times New Roman" w:hAnsi="Arial" w:cs="Arial"/>
                <w:color w:val="000000"/>
                <w:sz w:val="20"/>
                <w:szCs w:val="20"/>
                <w:lang w:val="es-ES" w:eastAsia="es-ES"/>
              </w:rPr>
            </w:pPr>
            <w:r w:rsidRPr="0015454E">
              <w:rPr>
                <w:rFonts w:ascii="Arial" w:eastAsia="Times New Roman" w:hAnsi="Arial" w:cs="Arial"/>
                <w:color w:val="000000"/>
                <w:sz w:val="20"/>
                <w:szCs w:val="20"/>
                <w:lang w:val="es-ES" w:eastAsia="es-ES"/>
              </w:rPr>
              <w:t>    Akaike info criterion</w:t>
            </w:r>
          </w:p>
        </w:tc>
        <w:tc>
          <w:tcPr>
            <w:tcW w:w="1040" w:type="dxa"/>
            <w:tcBorders>
              <w:top w:val="nil"/>
              <w:left w:val="nil"/>
              <w:bottom w:val="nil"/>
              <w:right w:val="nil"/>
            </w:tcBorders>
            <w:vAlign w:val="bottom"/>
          </w:tcPr>
          <w:p w:rsidR="0015454E" w:rsidRPr="0015454E" w:rsidRDefault="0015454E" w:rsidP="0015454E">
            <w:pPr>
              <w:autoSpaceDE w:val="0"/>
              <w:autoSpaceDN w:val="0"/>
              <w:adjustRightInd w:val="0"/>
              <w:spacing w:after="0" w:line="240" w:lineRule="auto"/>
              <w:ind w:right="10"/>
              <w:jc w:val="right"/>
              <w:rPr>
                <w:rFonts w:ascii="Arial" w:eastAsia="Times New Roman" w:hAnsi="Arial" w:cs="Arial"/>
                <w:color w:val="000000"/>
                <w:sz w:val="20"/>
                <w:szCs w:val="20"/>
                <w:lang w:val="es-ES" w:eastAsia="es-ES"/>
              </w:rPr>
            </w:pPr>
            <w:r w:rsidRPr="0015454E">
              <w:rPr>
                <w:rFonts w:ascii="Arial" w:eastAsia="Times New Roman" w:hAnsi="Arial" w:cs="Arial"/>
                <w:color w:val="000000"/>
                <w:sz w:val="20"/>
                <w:szCs w:val="20"/>
                <w:lang w:val="es-ES" w:eastAsia="es-ES"/>
              </w:rPr>
              <w:t>25.46705</w:t>
            </w:r>
          </w:p>
        </w:tc>
      </w:tr>
      <w:tr w:rsidR="0015454E" w:rsidRPr="0015454E">
        <w:tblPrEx>
          <w:tblCellMar>
            <w:top w:w="0" w:type="dxa"/>
            <w:bottom w:w="0" w:type="dxa"/>
          </w:tblCellMar>
        </w:tblPrEx>
        <w:trPr>
          <w:trHeight w:val="272"/>
          <w:jc w:val="center"/>
        </w:trPr>
        <w:tc>
          <w:tcPr>
            <w:tcW w:w="2165" w:type="dxa"/>
            <w:tcBorders>
              <w:top w:val="nil"/>
              <w:left w:val="nil"/>
              <w:bottom w:val="nil"/>
              <w:right w:val="nil"/>
            </w:tcBorders>
            <w:vAlign w:val="bottom"/>
          </w:tcPr>
          <w:p w:rsidR="0015454E" w:rsidRPr="0015454E" w:rsidRDefault="0015454E" w:rsidP="0015454E">
            <w:pPr>
              <w:autoSpaceDE w:val="0"/>
              <w:autoSpaceDN w:val="0"/>
              <w:adjustRightInd w:val="0"/>
              <w:spacing w:after="0" w:line="240" w:lineRule="auto"/>
              <w:rPr>
                <w:rFonts w:ascii="Arial" w:eastAsia="Times New Roman" w:hAnsi="Arial" w:cs="Arial"/>
                <w:color w:val="000000"/>
                <w:sz w:val="20"/>
                <w:szCs w:val="20"/>
                <w:lang w:val="es-ES" w:eastAsia="es-ES"/>
              </w:rPr>
            </w:pPr>
            <w:r w:rsidRPr="0015454E">
              <w:rPr>
                <w:rFonts w:ascii="Arial" w:eastAsia="Times New Roman" w:hAnsi="Arial" w:cs="Arial"/>
                <w:color w:val="000000"/>
                <w:sz w:val="20"/>
                <w:szCs w:val="20"/>
                <w:lang w:val="es-ES" w:eastAsia="es-ES"/>
              </w:rPr>
              <w:t>Sum squared resid</w:t>
            </w:r>
          </w:p>
        </w:tc>
        <w:tc>
          <w:tcPr>
            <w:tcW w:w="1039" w:type="dxa"/>
            <w:tcBorders>
              <w:top w:val="nil"/>
              <w:left w:val="nil"/>
              <w:bottom w:val="nil"/>
              <w:right w:val="nil"/>
            </w:tcBorders>
            <w:vAlign w:val="bottom"/>
          </w:tcPr>
          <w:p w:rsidR="0015454E" w:rsidRPr="0015454E" w:rsidRDefault="0015454E" w:rsidP="0015454E">
            <w:pPr>
              <w:autoSpaceDE w:val="0"/>
              <w:autoSpaceDN w:val="0"/>
              <w:adjustRightInd w:val="0"/>
              <w:spacing w:after="0" w:line="240" w:lineRule="auto"/>
              <w:ind w:right="10"/>
              <w:jc w:val="right"/>
              <w:rPr>
                <w:rFonts w:ascii="Arial" w:eastAsia="Times New Roman" w:hAnsi="Arial" w:cs="Arial"/>
                <w:color w:val="000000"/>
                <w:sz w:val="20"/>
                <w:szCs w:val="20"/>
                <w:lang w:val="es-ES" w:eastAsia="es-ES"/>
              </w:rPr>
            </w:pPr>
            <w:r w:rsidRPr="0015454E">
              <w:rPr>
                <w:rFonts w:ascii="Arial" w:eastAsia="Times New Roman" w:hAnsi="Arial" w:cs="Arial"/>
                <w:color w:val="000000"/>
                <w:sz w:val="20"/>
                <w:szCs w:val="20"/>
                <w:lang w:val="es-ES" w:eastAsia="es-ES"/>
              </w:rPr>
              <w:t>1.90E+11</w:t>
            </w:r>
          </w:p>
        </w:tc>
        <w:tc>
          <w:tcPr>
            <w:tcW w:w="1271" w:type="dxa"/>
            <w:gridSpan w:val="2"/>
            <w:tcBorders>
              <w:top w:val="nil"/>
              <w:left w:val="nil"/>
              <w:bottom w:val="nil"/>
              <w:right w:val="nil"/>
            </w:tcBorders>
            <w:vAlign w:val="bottom"/>
          </w:tcPr>
          <w:p w:rsidR="0015454E" w:rsidRPr="0015454E" w:rsidRDefault="0015454E" w:rsidP="0015454E">
            <w:pPr>
              <w:autoSpaceDE w:val="0"/>
              <w:autoSpaceDN w:val="0"/>
              <w:adjustRightInd w:val="0"/>
              <w:spacing w:after="0" w:line="240" w:lineRule="auto"/>
              <w:ind w:right="10"/>
              <w:rPr>
                <w:rFonts w:ascii="Arial" w:eastAsia="Times New Roman" w:hAnsi="Arial" w:cs="Arial"/>
                <w:color w:val="000000"/>
                <w:sz w:val="20"/>
                <w:szCs w:val="20"/>
                <w:lang w:val="es-ES" w:eastAsia="es-ES"/>
              </w:rPr>
            </w:pPr>
            <w:r w:rsidRPr="0015454E">
              <w:rPr>
                <w:rFonts w:ascii="Arial" w:eastAsia="Times New Roman" w:hAnsi="Arial" w:cs="Arial"/>
                <w:color w:val="000000"/>
                <w:sz w:val="20"/>
                <w:szCs w:val="20"/>
                <w:lang w:val="es-ES" w:eastAsia="es-ES"/>
              </w:rPr>
              <w:t>    Schwarz criterion</w:t>
            </w:r>
          </w:p>
        </w:tc>
        <w:tc>
          <w:tcPr>
            <w:tcW w:w="1040" w:type="dxa"/>
            <w:tcBorders>
              <w:top w:val="nil"/>
              <w:left w:val="nil"/>
              <w:bottom w:val="nil"/>
              <w:right w:val="nil"/>
            </w:tcBorders>
            <w:vAlign w:val="bottom"/>
          </w:tcPr>
          <w:p w:rsidR="0015454E" w:rsidRPr="0015454E" w:rsidRDefault="0015454E" w:rsidP="0015454E">
            <w:pPr>
              <w:autoSpaceDE w:val="0"/>
              <w:autoSpaceDN w:val="0"/>
              <w:adjustRightInd w:val="0"/>
              <w:spacing w:after="0" w:line="240" w:lineRule="auto"/>
              <w:ind w:right="10"/>
              <w:jc w:val="right"/>
              <w:rPr>
                <w:rFonts w:ascii="Arial" w:eastAsia="Times New Roman" w:hAnsi="Arial" w:cs="Arial"/>
                <w:color w:val="000000"/>
                <w:sz w:val="20"/>
                <w:szCs w:val="20"/>
                <w:lang w:val="es-ES" w:eastAsia="es-ES"/>
              </w:rPr>
            </w:pPr>
            <w:r w:rsidRPr="0015454E">
              <w:rPr>
                <w:rFonts w:ascii="Arial" w:eastAsia="Times New Roman" w:hAnsi="Arial" w:cs="Arial"/>
                <w:color w:val="000000"/>
                <w:sz w:val="20"/>
                <w:szCs w:val="20"/>
                <w:lang w:val="es-ES" w:eastAsia="es-ES"/>
              </w:rPr>
              <w:t>25.55866</w:t>
            </w:r>
          </w:p>
        </w:tc>
      </w:tr>
      <w:tr w:rsidR="0015454E" w:rsidRPr="0015454E">
        <w:tblPrEx>
          <w:tblCellMar>
            <w:top w:w="0" w:type="dxa"/>
            <w:bottom w:w="0" w:type="dxa"/>
          </w:tblCellMar>
        </w:tblPrEx>
        <w:trPr>
          <w:trHeight w:val="272"/>
          <w:jc w:val="center"/>
        </w:trPr>
        <w:tc>
          <w:tcPr>
            <w:tcW w:w="2165" w:type="dxa"/>
            <w:tcBorders>
              <w:top w:val="nil"/>
              <w:left w:val="nil"/>
              <w:bottom w:val="nil"/>
              <w:right w:val="nil"/>
            </w:tcBorders>
            <w:vAlign w:val="bottom"/>
          </w:tcPr>
          <w:p w:rsidR="0015454E" w:rsidRPr="0015454E" w:rsidRDefault="0015454E" w:rsidP="0015454E">
            <w:pPr>
              <w:autoSpaceDE w:val="0"/>
              <w:autoSpaceDN w:val="0"/>
              <w:adjustRightInd w:val="0"/>
              <w:spacing w:after="0" w:line="240" w:lineRule="auto"/>
              <w:rPr>
                <w:rFonts w:ascii="Arial" w:eastAsia="Times New Roman" w:hAnsi="Arial" w:cs="Arial"/>
                <w:color w:val="000000"/>
                <w:sz w:val="20"/>
                <w:szCs w:val="20"/>
                <w:lang w:val="es-ES" w:eastAsia="es-ES"/>
              </w:rPr>
            </w:pPr>
            <w:r w:rsidRPr="0015454E">
              <w:rPr>
                <w:rFonts w:ascii="Arial" w:eastAsia="Times New Roman" w:hAnsi="Arial" w:cs="Arial"/>
                <w:color w:val="000000"/>
                <w:sz w:val="20"/>
                <w:szCs w:val="20"/>
                <w:lang w:val="es-ES" w:eastAsia="es-ES"/>
              </w:rPr>
              <w:t>Log likelihood</w:t>
            </w:r>
          </w:p>
        </w:tc>
        <w:tc>
          <w:tcPr>
            <w:tcW w:w="1039" w:type="dxa"/>
            <w:tcBorders>
              <w:top w:val="nil"/>
              <w:left w:val="nil"/>
              <w:bottom w:val="nil"/>
              <w:right w:val="nil"/>
            </w:tcBorders>
            <w:vAlign w:val="bottom"/>
          </w:tcPr>
          <w:p w:rsidR="0015454E" w:rsidRPr="0015454E" w:rsidRDefault="0015454E" w:rsidP="0015454E">
            <w:pPr>
              <w:autoSpaceDE w:val="0"/>
              <w:autoSpaceDN w:val="0"/>
              <w:adjustRightInd w:val="0"/>
              <w:spacing w:after="0" w:line="240" w:lineRule="auto"/>
              <w:ind w:right="10"/>
              <w:jc w:val="right"/>
              <w:rPr>
                <w:rFonts w:ascii="Arial" w:eastAsia="Times New Roman" w:hAnsi="Arial" w:cs="Arial"/>
                <w:color w:val="000000"/>
                <w:sz w:val="20"/>
                <w:szCs w:val="20"/>
                <w:lang w:val="es-ES" w:eastAsia="es-ES"/>
              </w:rPr>
            </w:pPr>
            <w:r w:rsidRPr="0015454E">
              <w:rPr>
                <w:rFonts w:ascii="Arial" w:eastAsia="Times New Roman" w:hAnsi="Arial" w:cs="Arial"/>
                <w:color w:val="000000"/>
                <w:sz w:val="20"/>
                <w:szCs w:val="20"/>
                <w:lang w:val="es-ES" w:eastAsia="es-ES"/>
              </w:rPr>
              <w:t>-405.4728</w:t>
            </w:r>
          </w:p>
        </w:tc>
        <w:tc>
          <w:tcPr>
            <w:tcW w:w="1271" w:type="dxa"/>
            <w:gridSpan w:val="2"/>
            <w:tcBorders>
              <w:top w:val="nil"/>
              <w:left w:val="nil"/>
              <w:bottom w:val="nil"/>
              <w:right w:val="nil"/>
            </w:tcBorders>
            <w:vAlign w:val="bottom"/>
          </w:tcPr>
          <w:p w:rsidR="0015454E" w:rsidRPr="0015454E" w:rsidRDefault="0015454E" w:rsidP="0015454E">
            <w:pPr>
              <w:autoSpaceDE w:val="0"/>
              <w:autoSpaceDN w:val="0"/>
              <w:adjustRightInd w:val="0"/>
              <w:spacing w:after="0" w:line="240" w:lineRule="auto"/>
              <w:ind w:right="10"/>
              <w:rPr>
                <w:rFonts w:ascii="Arial" w:eastAsia="Times New Roman" w:hAnsi="Arial" w:cs="Arial"/>
                <w:color w:val="000000"/>
                <w:sz w:val="20"/>
                <w:szCs w:val="20"/>
                <w:lang w:val="es-ES" w:eastAsia="es-ES"/>
              </w:rPr>
            </w:pPr>
            <w:r w:rsidRPr="0015454E">
              <w:rPr>
                <w:rFonts w:ascii="Arial" w:eastAsia="Times New Roman" w:hAnsi="Arial" w:cs="Arial"/>
                <w:color w:val="000000"/>
                <w:sz w:val="20"/>
                <w:szCs w:val="20"/>
                <w:lang w:val="es-ES" w:eastAsia="es-ES"/>
              </w:rPr>
              <w:t>    F-statistic</w:t>
            </w:r>
          </w:p>
        </w:tc>
        <w:tc>
          <w:tcPr>
            <w:tcW w:w="1040" w:type="dxa"/>
            <w:tcBorders>
              <w:top w:val="nil"/>
              <w:left w:val="nil"/>
              <w:bottom w:val="nil"/>
              <w:right w:val="nil"/>
            </w:tcBorders>
            <w:vAlign w:val="bottom"/>
          </w:tcPr>
          <w:p w:rsidR="0015454E" w:rsidRPr="0015454E" w:rsidRDefault="0015454E" w:rsidP="0015454E">
            <w:pPr>
              <w:autoSpaceDE w:val="0"/>
              <w:autoSpaceDN w:val="0"/>
              <w:adjustRightInd w:val="0"/>
              <w:spacing w:after="0" w:line="240" w:lineRule="auto"/>
              <w:ind w:right="10"/>
              <w:jc w:val="right"/>
              <w:rPr>
                <w:rFonts w:ascii="Arial" w:eastAsia="Times New Roman" w:hAnsi="Arial" w:cs="Arial"/>
                <w:color w:val="000000"/>
                <w:sz w:val="20"/>
                <w:szCs w:val="20"/>
                <w:lang w:val="es-ES" w:eastAsia="es-ES"/>
              </w:rPr>
            </w:pPr>
            <w:r w:rsidRPr="0015454E">
              <w:rPr>
                <w:rFonts w:ascii="Arial" w:eastAsia="Times New Roman" w:hAnsi="Arial" w:cs="Arial"/>
                <w:color w:val="000000"/>
                <w:sz w:val="20"/>
                <w:szCs w:val="20"/>
                <w:lang w:val="es-ES" w:eastAsia="es-ES"/>
              </w:rPr>
              <w:t>1473.210</w:t>
            </w:r>
          </w:p>
        </w:tc>
      </w:tr>
      <w:tr w:rsidR="0015454E" w:rsidRPr="0015454E">
        <w:tblPrEx>
          <w:tblCellMar>
            <w:top w:w="0" w:type="dxa"/>
            <w:bottom w:w="0" w:type="dxa"/>
          </w:tblCellMar>
        </w:tblPrEx>
        <w:trPr>
          <w:trHeight w:val="272"/>
          <w:jc w:val="center"/>
        </w:trPr>
        <w:tc>
          <w:tcPr>
            <w:tcW w:w="2165" w:type="dxa"/>
            <w:tcBorders>
              <w:top w:val="nil"/>
              <w:left w:val="nil"/>
              <w:bottom w:val="nil"/>
              <w:right w:val="nil"/>
            </w:tcBorders>
            <w:vAlign w:val="bottom"/>
          </w:tcPr>
          <w:p w:rsidR="0015454E" w:rsidRPr="0015454E" w:rsidRDefault="0015454E" w:rsidP="0015454E">
            <w:pPr>
              <w:autoSpaceDE w:val="0"/>
              <w:autoSpaceDN w:val="0"/>
              <w:adjustRightInd w:val="0"/>
              <w:spacing w:after="0" w:line="240" w:lineRule="auto"/>
              <w:rPr>
                <w:rFonts w:ascii="Arial" w:eastAsia="Times New Roman" w:hAnsi="Arial" w:cs="Arial"/>
                <w:color w:val="000000"/>
                <w:sz w:val="20"/>
                <w:szCs w:val="20"/>
                <w:lang w:val="es-ES" w:eastAsia="es-ES"/>
              </w:rPr>
            </w:pPr>
            <w:r w:rsidRPr="0015454E">
              <w:rPr>
                <w:rFonts w:ascii="Arial" w:eastAsia="Times New Roman" w:hAnsi="Arial" w:cs="Arial"/>
                <w:color w:val="000000"/>
                <w:sz w:val="20"/>
                <w:szCs w:val="20"/>
                <w:lang w:val="es-ES" w:eastAsia="es-ES"/>
              </w:rPr>
              <w:t>Durbin-Watson stat</w:t>
            </w:r>
          </w:p>
        </w:tc>
        <w:tc>
          <w:tcPr>
            <w:tcW w:w="1039" w:type="dxa"/>
            <w:tcBorders>
              <w:top w:val="nil"/>
              <w:left w:val="nil"/>
              <w:bottom w:val="nil"/>
              <w:right w:val="nil"/>
            </w:tcBorders>
            <w:vAlign w:val="bottom"/>
          </w:tcPr>
          <w:p w:rsidR="0015454E" w:rsidRPr="0015454E" w:rsidRDefault="0015454E" w:rsidP="0015454E">
            <w:pPr>
              <w:autoSpaceDE w:val="0"/>
              <w:autoSpaceDN w:val="0"/>
              <w:adjustRightInd w:val="0"/>
              <w:spacing w:after="0" w:line="240" w:lineRule="auto"/>
              <w:ind w:right="10"/>
              <w:jc w:val="right"/>
              <w:rPr>
                <w:rFonts w:ascii="Arial" w:eastAsia="Times New Roman" w:hAnsi="Arial" w:cs="Arial"/>
                <w:color w:val="000000"/>
                <w:sz w:val="20"/>
                <w:szCs w:val="20"/>
                <w:lang w:val="es-ES" w:eastAsia="es-ES"/>
              </w:rPr>
            </w:pPr>
            <w:r w:rsidRPr="0015454E">
              <w:rPr>
                <w:rFonts w:ascii="Arial" w:eastAsia="Times New Roman" w:hAnsi="Arial" w:cs="Arial"/>
                <w:color w:val="000000"/>
                <w:sz w:val="20"/>
                <w:szCs w:val="20"/>
                <w:lang w:val="es-ES" w:eastAsia="es-ES"/>
              </w:rPr>
              <w:t>0.694222</w:t>
            </w:r>
          </w:p>
        </w:tc>
        <w:tc>
          <w:tcPr>
            <w:tcW w:w="1271" w:type="dxa"/>
            <w:gridSpan w:val="2"/>
            <w:tcBorders>
              <w:top w:val="nil"/>
              <w:left w:val="nil"/>
              <w:bottom w:val="nil"/>
              <w:right w:val="nil"/>
            </w:tcBorders>
            <w:vAlign w:val="bottom"/>
          </w:tcPr>
          <w:p w:rsidR="0015454E" w:rsidRPr="0015454E" w:rsidRDefault="0015454E" w:rsidP="0015454E">
            <w:pPr>
              <w:autoSpaceDE w:val="0"/>
              <w:autoSpaceDN w:val="0"/>
              <w:adjustRightInd w:val="0"/>
              <w:spacing w:after="0" w:line="240" w:lineRule="auto"/>
              <w:ind w:right="10"/>
              <w:rPr>
                <w:rFonts w:ascii="Arial" w:eastAsia="Times New Roman" w:hAnsi="Arial" w:cs="Arial"/>
                <w:color w:val="000000"/>
                <w:sz w:val="20"/>
                <w:szCs w:val="20"/>
                <w:lang w:val="es-ES" w:eastAsia="es-ES"/>
              </w:rPr>
            </w:pPr>
            <w:r w:rsidRPr="0015454E">
              <w:rPr>
                <w:rFonts w:ascii="Arial" w:eastAsia="Times New Roman" w:hAnsi="Arial" w:cs="Arial"/>
                <w:color w:val="000000"/>
                <w:sz w:val="20"/>
                <w:szCs w:val="20"/>
                <w:lang w:val="es-ES" w:eastAsia="es-ES"/>
              </w:rPr>
              <w:t>    Prob(F-statistic)</w:t>
            </w:r>
          </w:p>
        </w:tc>
        <w:tc>
          <w:tcPr>
            <w:tcW w:w="1040" w:type="dxa"/>
            <w:tcBorders>
              <w:top w:val="nil"/>
              <w:left w:val="nil"/>
              <w:bottom w:val="nil"/>
              <w:right w:val="nil"/>
            </w:tcBorders>
            <w:vAlign w:val="bottom"/>
          </w:tcPr>
          <w:p w:rsidR="0015454E" w:rsidRPr="0015454E" w:rsidRDefault="0015454E" w:rsidP="0015454E">
            <w:pPr>
              <w:autoSpaceDE w:val="0"/>
              <w:autoSpaceDN w:val="0"/>
              <w:adjustRightInd w:val="0"/>
              <w:spacing w:after="0" w:line="240" w:lineRule="auto"/>
              <w:ind w:right="10"/>
              <w:jc w:val="right"/>
              <w:rPr>
                <w:rFonts w:ascii="Arial" w:eastAsia="Times New Roman" w:hAnsi="Arial" w:cs="Arial"/>
                <w:color w:val="000000"/>
                <w:sz w:val="20"/>
                <w:szCs w:val="20"/>
                <w:lang w:val="es-ES" w:eastAsia="es-ES"/>
              </w:rPr>
            </w:pPr>
            <w:r w:rsidRPr="0015454E">
              <w:rPr>
                <w:rFonts w:ascii="Arial" w:eastAsia="Times New Roman" w:hAnsi="Arial" w:cs="Arial"/>
                <w:color w:val="000000"/>
                <w:sz w:val="20"/>
                <w:szCs w:val="20"/>
                <w:lang w:val="es-ES" w:eastAsia="es-ES"/>
              </w:rPr>
              <w:t>0.000000</w:t>
            </w:r>
          </w:p>
        </w:tc>
      </w:tr>
      <w:tr w:rsidR="0015454E" w:rsidRPr="0015454E">
        <w:tblPrEx>
          <w:tblCellMar>
            <w:top w:w="0" w:type="dxa"/>
            <w:bottom w:w="0" w:type="dxa"/>
          </w:tblCellMar>
        </w:tblPrEx>
        <w:trPr>
          <w:trHeight w:hRule="exact" w:val="102"/>
          <w:jc w:val="center"/>
        </w:trPr>
        <w:tc>
          <w:tcPr>
            <w:tcW w:w="2165" w:type="dxa"/>
            <w:tcBorders>
              <w:top w:val="nil"/>
              <w:left w:val="nil"/>
              <w:bottom w:val="double" w:sz="6" w:space="0" w:color="auto"/>
              <w:right w:val="nil"/>
            </w:tcBorders>
            <w:vAlign w:val="bottom"/>
          </w:tcPr>
          <w:p w:rsidR="0015454E" w:rsidRPr="0015454E" w:rsidRDefault="0015454E" w:rsidP="0015454E">
            <w:pPr>
              <w:autoSpaceDE w:val="0"/>
              <w:autoSpaceDN w:val="0"/>
              <w:adjustRightInd w:val="0"/>
              <w:spacing w:after="0" w:line="240" w:lineRule="auto"/>
              <w:jc w:val="center"/>
              <w:rPr>
                <w:rFonts w:ascii="Arial" w:eastAsia="Times New Roman" w:hAnsi="Arial" w:cs="Arial"/>
                <w:color w:val="000000"/>
                <w:sz w:val="20"/>
                <w:szCs w:val="20"/>
                <w:lang w:val="es-ES" w:eastAsia="es-ES"/>
              </w:rPr>
            </w:pPr>
          </w:p>
        </w:tc>
        <w:tc>
          <w:tcPr>
            <w:tcW w:w="1039" w:type="dxa"/>
            <w:tcBorders>
              <w:top w:val="nil"/>
              <w:left w:val="nil"/>
              <w:bottom w:val="double" w:sz="6" w:space="0" w:color="auto"/>
              <w:right w:val="nil"/>
            </w:tcBorders>
            <w:vAlign w:val="bottom"/>
          </w:tcPr>
          <w:p w:rsidR="0015454E" w:rsidRPr="0015454E" w:rsidRDefault="0015454E" w:rsidP="0015454E">
            <w:pPr>
              <w:autoSpaceDE w:val="0"/>
              <w:autoSpaceDN w:val="0"/>
              <w:adjustRightInd w:val="0"/>
              <w:spacing w:after="0" w:line="240" w:lineRule="auto"/>
              <w:jc w:val="center"/>
              <w:rPr>
                <w:rFonts w:ascii="Arial" w:eastAsia="Times New Roman" w:hAnsi="Arial" w:cs="Arial"/>
                <w:color w:val="000000"/>
                <w:sz w:val="20"/>
                <w:szCs w:val="20"/>
                <w:lang w:val="es-ES" w:eastAsia="es-ES"/>
              </w:rPr>
            </w:pPr>
          </w:p>
        </w:tc>
        <w:tc>
          <w:tcPr>
            <w:tcW w:w="1271" w:type="dxa"/>
            <w:tcBorders>
              <w:top w:val="nil"/>
              <w:left w:val="nil"/>
              <w:bottom w:val="double" w:sz="6" w:space="0" w:color="auto"/>
              <w:right w:val="nil"/>
            </w:tcBorders>
            <w:vAlign w:val="bottom"/>
          </w:tcPr>
          <w:p w:rsidR="0015454E" w:rsidRPr="0015454E" w:rsidRDefault="0015454E" w:rsidP="0015454E">
            <w:pPr>
              <w:autoSpaceDE w:val="0"/>
              <w:autoSpaceDN w:val="0"/>
              <w:adjustRightInd w:val="0"/>
              <w:spacing w:after="0" w:line="240" w:lineRule="auto"/>
              <w:jc w:val="center"/>
              <w:rPr>
                <w:rFonts w:ascii="Arial" w:eastAsia="Times New Roman" w:hAnsi="Arial" w:cs="Arial"/>
                <w:color w:val="000000"/>
                <w:sz w:val="20"/>
                <w:szCs w:val="20"/>
                <w:lang w:val="es-ES" w:eastAsia="es-ES"/>
              </w:rPr>
            </w:pPr>
          </w:p>
        </w:tc>
        <w:tc>
          <w:tcPr>
            <w:tcW w:w="1270" w:type="dxa"/>
            <w:tcBorders>
              <w:top w:val="nil"/>
              <w:left w:val="nil"/>
              <w:bottom w:val="double" w:sz="6" w:space="0" w:color="auto"/>
              <w:right w:val="nil"/>
            </w:tcBorders>
            <w:vAlign w:val="bottom"/>
          </w:tcPr>
          <w:p w:rsidR="0015454E" w:rsidRPr="0015454E" w:rsidRDefault="0015454E" w:rsidP="0015454E">
            <w:pPr>
              <w:autoSpaceDE w:val="0"/>
              <w:autoSpaceDN w:val="0"/>
              <w:adjustRightInd w:val="0"/>
              <w:spacing w:after="0" w:line="240" w:lineRule="auto"/>
              <w:jc w:val="center"/>
              <w:rPr>
                <w:rFonts w:ascii="Arial" w:eastAsia="Times New Roman" w:hAnsi="Arial" w:cs="Arial"/>
                <w:color w:val="000000"/>
                <w:sz w:val="20"/>
                <w:szCs w:val="20"/>
                <w:lang w:val="es-ES" w:eastAsia="es-ES"/>
              </w:rPr>
            </w:pPr>
          </w:p>
        </w:tc>
        <w:tc>
          <w:tcPr>
            <w:tcW w:w="1040" w:type="dxa"/>
            <w:tcBorders>
              <w:top w:val="nil"/>
              <w:left w:val="nil"/>
              <w:bottom w:val="double" w:sz="6" w:space="0" w:color="auto"/>
              <w:right w:val="nil"/>
            </w:tcBorders>
            <w:vAlign w:val="bottom"/>
          </w:tcPr>
          <w:p w:rsidR="0015454E" w:rsidRPr="0015454E" w:rsidRDefault="0015454E" w:rsidP="0015454E">
            <w:pPr>
              <w:autoSpaceDE w:val="0"/>
              <w:autoSpaceDN w:val="0"/>
              <w:adjustRightInd w:val="0"/>
              <w:spacing w:after="0" w:line="240" w:lineRule="auto"/>
              <w:jc w:val="center"/>
              <w:rPr>
                <w:rFonts w:ascii="Arial" w:eastAsia="Times New Roman" w:hAnsi="Arial" w:cs="Arial"/>
                <w:color w:val="000000"/>
                <w:sz w:val="20"/>
                <w:szCs w:val="20"/>
                <w:lang w:val="es-ES" w:eastAsia="es-ES"/>
              </w:rPr>
            </w:pPr>
          </w:p>
        </w:tc>
      </w:tr>
      <w:tr w:rsidR="0015454E" w:rsidRPr="0015454E">
        <w:tblPrEx>
          <w:tblCellMar>
            <w:top w:w="0" w:type="dxa"/>
            <w:bottom w:w="0" w:type="dxa"/>
          </w:tblCellMar>
        </w:tblPrEx>
        <w:trPr>
          <w:trHeight w:hRule="exact" w:val="153"/>
          <w:jc w:val="center"/>
        </w:trPr>
        <w:tc>
          <w:tcPr>
            <w:tcW w:w="2165" w:type="dxa"/>
            <w:tcBorders>
              <w:top w:val="nil"/>
              <w:left w:val="nil"/>
              <w:bottom w:val="nil"/>
              <w:right w:val="nil"/>
            </w:tcBorders>
            <w:vAlign w:val="bottom"/>
          </w:tcPr>
          <w:p w:rsidR="0015454E" w:rsidRPr="0015454E" w:rsidRDefault="0015454E" w:rsidP="0015454E">
            <w:pPr>
              <w:autoSpaceDE w:val="0"/>
              <w:autoSpaceDN w:val="0"/>
              <w:adjustRightInd w:val="0"/>
              <w:spacing w:after="0" w:line="240" w:lineRule="auto"/>
              <w:jc w:val="center"/>
              <w:rPr>
                <w:rFonts w:ascii="Arial" w:eastAsia="Times New Roman" w:hAnsi="Arial" w:cs="Arial"/>
                <w:color w:val="000000"/>
                <w:sz w:val="20"/>
                <w:szCs w:val="20"/>
                <w:lang w:val="es-ES" w:eastAsia="es-ES"/>
              </w:rPr>
            </w:pPr>
          </w:p>
        </w:tc>
        <w:tc>
          <w:tcPr>
            <w:tcW w:w="1039" w:type="dxa"/>
            <w:tcBorders>
              <w:top w:val="nil"/>
              <w:left w:val="nil"/>
              <w:bottom w:val="nil"/>
              <w:right w:val="nil"/>
            </w:tcBorders>
            <w:vAlign w:val="bottom"/>
          </w:tcPr>
          <w:p w:rsidR="0015454E" w:rsidRPr="0015454E" w:rsidRDefault="0015454E" w:rsidP="0015454E">
            <w:pPr>
              <w:autoSpaceDE w:val="0"/>
              <w:autoSpaceDN w:val="0"/>
              <w:adjustRightInd w:val="0"/>
              <w:spacing w:after="0" w:line="240" w:lineRule="auto"/>
              <w:jc w:val="center"/>
              <w:rPr>
                <w:rFonts w:ascii="Arial" w:eastAsia="Times New Roman" w:hAnsi="Arial" w:cs="Arial"/>
                <w:color w:val="000000"/>
                <w:sz w:val="20"/>
                <w:szCs w:val="20"/>
                <w:lang w:val="es-ES" w:eastAsia="es-ES"/>
              </w:rPr>
            </w:pPr>
          </w:p>
        </w:tc>
        <w:tc>
          <w:tcPr>
            <w:tcW w:w="1271" w:type="dxa"/>
            <w:tcBorders>
              <w:top w:val="nil"/>
              <w:left w:val="nil"/>
              <w:bottom w:val="nil"/>
              <w:right w:val="nil"/>
            </w:tcBorders>
            <w:vAlign w:val="bottom"/>
          </w:tcPr>
          <w:p w:rsidR="0015454E" w:rsidRPr="0015454E" w:rsidRDefault="0015454E" w:rsidP="0015454E">
            <w:pPr>
              <w:autoSpaceDE w:val="0"/>
              <w:autoSpaceDN w:val="0"/>
              <w:adjustRightInd w:val="0"/>
              <w:spacing w:after="0" w:line="240" w:lineRule="auto"/>
              <w:jc w:val="center"/>
              <w:rPr>
                <w:rFonts w:ascii="Arial" w:eastAsia="Times New Roman" w:hAnsi="Arial" w:cs="Arial"/>
                <w:color w:val="000000"/>
                <w:sz w:val="20"/>
                <w:szCs w:val="20"/>
                <w:lang w:val="es-ES" w:eastAsia="es-ES"/>
              </w:rPr>
            </w:pPr>
          </w:p>
        </w:tc>
        <w:tc>
          <w:tcPr>
            <w:tcW w:w="1270" w:type="dxa"/>
            <w:tcBorders>
              <w:top w:val="nil"/>
              <w:left w:val="nil"/>
              <w:bottom w:val="nil"/>
              <w:right w:val="nil"/>
            </w:tcBorders>
            <w:vAlign w:val="bottom"/>
          </w:tcPr>
          <w:p w:rsidR="0015454E" w:rsidRPr="0015454E" w:rsidRDefault="0015454E" w:rsidP="0015454E">
            <w:pPr>
              <w:autoSpaceDE w:val="0"/>
              <w:autoSpaceDN w:val="0"/>
              <w:adjustRightInd w:val="0"/>
              <w:spacing w:after="0" w:line="240" w:lineRule="auto"/>
              <w:jc w:val="center"/>
              <w:rPr>
                <w:rFonts w:ascii="Arial" w:eastAsia="Times New Roman" w:hAnsi="Arial" w:cs="Arial"/>
                <w:color w:val="000000"/>
                <w:sz w:val="20"/>
                <w:szCs w:val="20"/>
                <w:lang w:val="es-ES" w:eastAsia="es-ES"/>
              </w:rPr>
            </w:pPr>
          </w:p>
        </w:tc>
        <w:tc>
          <w:tcPr>
            <w:tcW w:w="1040" w:type="dxa"/>
            <w:tcBorders>
              <w:top w:val="nil"/>
              <w:left w:val="nil"/>
              <w:bottom w:val="nil"/>
              <w:right w:val="nil"/>
            </w:tcBorders>
            <w:vAlign w:val="bottom"/>
          </w:tcPr>
          <w:p w:rsidR="0015454E" w:rsidRPr="0015454E" w:rsidRDefault="0015454E" w:rsidP="0015454E">
            <w:pPr>
              <w:autoSpaceDE w:val="0"/>
              <w:autoSpaceDN w:val="0"/>
              <w:adjustRightInd w:val="0"/>
              <w:spacing w:after="0" w:line="240" w:lineRule="auto"/>
              <w:jc w:val="center"/>
              <w:rPr>
                <w:rFonts w:ascii="Arial" w:eastAsia="Times New Roman" w:hAnsi="Arial" w:cs="Arial"/>
                <w:color w:val="000000"/>
                <w:sz w:val="20"/>
                <w:szCs w:val="20"/>
                <w:lang w:val="es-ES" w:eastAsia="es-ES"/>
              </w:rPr>
            </w:pPr>
          </w:p>
        </w:tc>
      </w:tr>
    </w:tbl>
    <w:p w:rsidR="0015454E" w:rsidRPr="00F27DFF" w:rsidRDefault="0015454E" w:rsidP="0015454E">
      <w:pPr>
        <w:autoSpaceDE w:val="0"/>
        <w:autoSpaceDN w:val="0"/>
        <w:adjustRightInd w:val="0"/>
        <w:spacing w:line="240" w:lineRule="atLeast"/>
        <w:jc w:val="both"/>
        <w:rPr>
          <w:rFonts w:ascii="Arial" w:hAnsi="Arial" w:cs="Arial"/>
          <w:sz w:val="20"/>
          <w:szCs w:val="20"/>
        </w:rPr>
      </w:pPr>
      <w:r w:rsidRPr="00F27DFF">
        <w:rPr>
          <w:rFonts w:ascii="Arial" w:hAnsi="Arial" w:cs="Arial"/>
          <w:sz w:val="16"/>
          <w:szCs w:val="16"/>
        </w:rPr>
        <w:t>Fuente: Superintendencia de Bancos</w:t>
      </w:r>
    </w:p>
    <w:p w:rsidR="0015454E" w:rsidRPr="0042635B" w:rsidRDefault="0015454E" w:rsidP="0015454E">
      <w:pPr>
        <w:spacing w:line="240" w:lineRule="atLeast"/>
        <w:jc w:val="both"/>
        <w:rPr>
          <w:sz w:val="16"/>
          <w:szCs w:val="16"/>
        </w:rPr>
      </w:pPr>
      <w:r w:rsidRPr="00F27DFF">
        <w:rPr>
          <w:rFonts w:ascii="Arial" w:hAnsi="Arial" w:cs="Arial"/>
          <w:sz w:val="16"/>
          <w:szCs w:val="16"/>
        </w:rPr>
        <w:t>Elaboración: Autores</w:t>
      </w:r>
    </w:p>
    <w:p w:rsidR="00230AF6" w:rsidRDefault="0015454E" w:rsidP="0015454E">
      <w:pPr>
        <w:spacing w:line="360" w:lineRule="auto"/>
        <w:ind w:firstLine="454"/>
        <w:jc w:val="both"/>
        <w:rPr>
          <w:rFonts w:ascii="Arial" w:hAnsi="Arial" w:cs="Arial"/>
          <w:sz w:val="20"/>
          <w:szCs w:val="20"/>
        </w:rPr>
      </w:pPr>
      <w:r>
        <w:rPr>
          <w:rFonts w:ascii="Arial" w:hAnsi="Arial" w:cs="Arial"/>
          <w:sz w:val="20"/>
          <w:szCs w:val="20"/>
        </w:rPr>
        <w:br/>
        <w:t xml:space="preserve">           </w:t>
      </w:r>
    </w:p>
    <w:p w:rsidR="00230AF6" w:rsidRDefault="00230AF6" w:rsidP="0015454E">
      <w:pPr>
        <w:spacing w:line="360" w:lineRule="auto"/>
        <w:ind w:firstLine="454"/>
        <w:jc w:val="both"/>
        <w:rPr>
          <w:rFonts w:ascii="Arial" w:hAnsi="Arial" w:cs="Arial"/>
          <w:sz w:val="20"/>
          <w:szCs w:val="20"/>
        </w:rPr>
      </w:pPr>
    </w:p>
    <w:p w:rsidR="0015454E" w:rsidRPr="00991A27" w:rsidRDefault="0015454E" w:rsidP="0015454E">
      <w:pPr>
        <w:spacing w:line="360" w:lineRule="auto"/>
        <w:ind w:firstLine="454"/>
        <w:jc w:val="both"/>
        <w:rPr>
          <w:rFonts w:ascii="Arial" w:hAnsi="Arial" w:cs="Arial"/>
        </w:rPr>
      </w:pPr>
      <w:r>
        <w:rPr>
          <w:rFonts w:ascii="Arial" w:hAnsi="Arial" w:cs="Arial"/>
          <w:sz w:val="20"/>
          <w:szCs w:val="20"/>
        </w:rPr>
        <w:lastRenderedPageBreak/>
        <w:t xml:space="preserve"> </w:t>
      </w:r>
      <w:r w:rsidRPr="00991A27">
        <w:rPr>
          <w:rFonts w:ascii="Arial" w:hAnsi="Arial" w:cs="Arial"/>
        </w:rPr>
        <w:t>Como podemos observar en el cuadro, todos los coeficientes de la regresión son significativos dado que se rech</w:t>
      </w:r>
      <w:r>
        <w:rPr>
          <w:rFonts w:ascii="Arial" w:hAnsi="Arial" w:cs="Arial"/>
        </w:rPr>
        <w:t>aza la hipótesis nula de que la probabilidad es mayor al 5%</w:t>
      </w:r>
    </w:p>
    <w:p w:rsidR="0015454E" w:rsidRPr="00991A27" w:rsidRDefault="0015454E" w:rsidP="0015454E">
      <w:pPr>
        <w:spacing w:line="360" w:lineRule="auto"/>
        <w:jc w:val="both"/>
        <w:rPr>
          <w:rFonts w:ascii="Arial" w:hAnsi="Arial" w:cs="Arial"/>
        </w:rPr>
      </w:pPr>
    </w:p>
    <w:p w:rsidR="0015454E" w:rsidRPr="00991A27" w:rsidRDefault="0015454E" w:rsidP="0015454E">
      <w:pPr>
        <w:spacing w:line="360" w:lineRule="auto"/>
        <w:ind w:firstLine="708"/>
        <w:jc w:val="both"/>
        <w:rPr>
          <w:rFonts w:ascii="Arial" w:hAnsi="Arial" w:cs="Arial"/>
        </w:rPr>
      </w:pPr>
      <w:r w:rsidRPr="00991A27">
        <w:rPr>
          <w:rFonts w:ascii="Arial" w:hAnsi="Arial" w:cs="Arial"/>
        </w:rPr>
        <w:t>Compara</w:t>
      </w:r>
      <w:r>
        <w:rPr>
          <w:rFonts w:ascii="Arial" w:hAnsi="Arial" w:cs="Arial"/>
        </w:rPr>
        <w:t>n</w:t>
      </w:r>
      <w:r w:rsidRPr="00991A27">
        <w:rPr>
          <w:rFonts w:ascii="Arial" w:hAnsi="Arial" w:cs="Arial"/>
        </w:rPr>
        <w:t>do el valor real de del PIB anual del año 2007 con el proyectado vemos que se obtiene un error menor al 1%</w:t>
      </w:r>
      <w:r>
        <w:rPr>
          <w:rFonts w:ascii="Arial" w:hAnsi="Arial" w:cs="Arial"/>
        </w:rPr>
        <w:t>,</w:t>
      </w:r>
      <w:r w:rsidRPr="00991A27">
        <w:rPr>
          <w:rFonts w:ascii="Arial" w:hAnsi="Arial" w:cs="Arial"/>
        </w:rPr>
        <w:t xml:space="preserve"> lo cual comprueba la efectividad del modelo.</w:t>
      </w:r>
    </w:p>
    <w:p w:rsidR="0015454E" w:rsidRDefault="0015454E" w:rsidP="0015454E">
      <w:pPr>
        <w:spacing w:line="360" w:lineRule="auto"/>
        <w:jc w:val="center"/>
        <w:rPr>
          <w:rFonts w:ascii="Arial" w:hAnsi="Arial" w:cs="Arial"/>
          <w:b/>
        </w:rPr>
      </w:pPr>
    </w:p>
    <w:p w:rsidR="0015454E" w:rsidRPr="00991A27" w:rsidRDefault="0015454E" w:rsidP="0015454E">
      <w:pPr>
        <w:spacing w:line="360" w:lineRule="auto"/>
        <w:jc w:val="center"/>
        <w:rPr>
          <w:rFonts w:ascii="Arial" w:hAnsi="Arial" w:cs="Arial"/>
          <w:b/>
        </w:rPr>
      </w:pPr>
      <w:r w:rsidRPr="00991A27">
        <w:rPr>
          <w:rFonts w:ascii="Arial" w:hAnsi="Arial" w:cs="Arial"/>
          <w:b/>
        </w:rPr>
        <w:t>Cuadro 3.2</w:t>
      </w:r>
    </w:p>
    <w:tbl>
      <w:tblPr>
        <w:tblpPr w:leftFromText="141" w:rightFromText="141" w:vertAnchor="text" w:horzAnchor="margin" w:tblpXSpec="center" w:tblpY="158"/>
        <w:tblW w:w="4116"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CellMar>
          <w:left w:w="70" w:type="dxa"/>
          <w:right w:w="70" w:type="dxa"/>
        </w:tblCellMar>
        <w:tblLook w:val="0000"/>
      </w:tblPr>
      <w:tblGrid>
        <w:gridCol w:w="1276"/>
        <w:gridCol w:w="1440"/>
        <w:gridCol w:w="1400"/>
      </w:tblGrid>
      <w:tr w:rsidR="0015454E" w:rsidRPr="00991A27" w:rsidTr="008431A6">
        <w:trPr>
          <w:trHeight w:val="121"/>
        </w:trPr>
        <w:tc>
          <w:tcPr>
            <w:tcW w:w="4115" w:type="dxa"/>
            <w:gridSpan w:val="3"/>
            <w:tcBorders>
              <w:top w:val="single" w:sz="4" w:space="0" w:color="auto"/>
              <w:bottom w:val="single" w:sz="6" w:space="0" w:color="auto"/>
            </w:tcBorders>
            <w:shd w:val="clear" w:color="auto" w:fill="800000"/>
            <w:noWrap/>
            <w:vAlign w:val="bottom"/>
          </w:tcPr>
          <w:p w:rsidR="0015454E" w:rsidRPr="00991A27" w:rsidRDefault="0015454E" w:rsidP="00FC4F38">
            <w:pPr>
              <w:spacing w:line="360" w:lineRule="auto"/>
              <w:jc w:val="center"/>
              <w:rPr>
                <w:rFonts w:ascii="Arial" w:hAnsi="Arial" w:cs="Arial"/>
                <w:b/>
                <w:bCs/>
              </w:rPr>
            </w:pPr>
            <w:r w:rsidRPr="00991A27">
              <w:rPr>
                <w:rFonts w:ascii="Arial" w:hAnsi="Arial" w:cs="Arial"/>
                <w:b/>
                <w:bCs/>
              </w:rPr>
              <w:t>PIB</w:t>
            </w:r>
          </w:p>
        </w:tc>
      </w:tr>
      <w:tr w:rsidR="0015454E" w:rsidRPr="00991A27" w:rsidTr="008431A6">
        <w:trPr>
          <w:trHeight w:val="107"/>
        </w:trPr>
        <w:tc>
          <w:tcPr>
            <w:tcW w:w="1276" w:type="dxa"/>
            <w:tcBorders>
              <w:top w:val="single" w:sz="6" w:space="0" w:color="auto"/>
              <w:bottom w:val="single" w:sz="6" w:space="0" w:color="auto"/>
            </w:tcBorders>
            <w:shd w:val="clear" w:color="auto" w:fill="800000"/>
            <w:noWrap/>
            <w:vAlign w:val="bottom"/>
          </w:tcPr>
          <w:p w:rsidR="0015454E" w:rsidRPr="00991A27" w:rsidRDefault="0015454E" w:rsidP="00FC4F38">
            <w:pPr>
              <w:spacing w:line="360" w:lineRule="auto"/>
              <w:jc w:val="both"/>
              <w:rPr>
                <w:rFonts w:ascii="Arial" w:hAnsi="Arial" w:cs="Arial"/>
                <w:b/>
                <w:bCs/>
              </w:rPr>
            </w:pPr>
            <w:r w:rsidRPr="00991A27">
              <w:rPr>
                <w:rFonts w:ascii="Arial" w:hAnsi="Arial" w:cs="Arial"/>
                <w:b/>
                <w:bCs/>
              </w:rPr>
              <w:t>Real</w:t>
            </w:r>
          </w:p>
        </w:tc>
        <w:tc>
          <w:tcPr>
            <w:tcW w:w="1440" w:type="dxa"/>
            <w:tcBorders>
              <w:top w:val="single" w:sz="6" w:space="0" w:color="auto"/>
              <w:bottom w:val="single" w:sz="6" w:space="0" w:color="auto"/>
            </w:tcBorders>
            <w:shd w:val="clear" w:color="auto" w:fill="800000"/>
            <w:noWrap/>
            <w:vAlign w:val="bottom"/>
          </w:tcPr>
          <w:p w:rsidR="0015454E" w:rsidRPr="00991A27" w:rsidRDefault="0015454E" w:rsidP="00FC4F38">
            <w:pPr>
              <w:spacing w:line="360" w:lineRule="auto"/>
              <w:jc w:val="both"/>
              <w:rPr>
                <w:rFonts w:ascii="Arial" w:hAnsi="Arial" w:cs="Arial"/>
                <w:b/>
                <w:bCs/>
              </w:rPr>
            </w:pPr>
            <w:r w:rsidRPr="00991A27">
              <w:rPr>
                <w:rFonts w:ascii="Arial" w:hAnsi="Arial" w:cs="Arial"/>
                <w:b/>
                <w:bCs/>
              </w:rPr>
              <w:t xml:space="preserve"> Proyectado </w:t>
            </w:r>
          </w:p>
        </w:tc>
        <w:tc>
          <w:tcPr>
            <w:tcW w:w="1400" w:type="dxa"/>
            <w:tcBorders>
              <w:top w:val="single" w:sz="6" w:space="0" w:color="auto"/>
              <w:bottom w:val="single" w:sz="6" w:space="0" w:color="auto"/>
            </w:tcBorders>
            <w:shd w:val="clear" w:color="auto" w:fill="800000"/>
            <w:noWrap/>
            <w:vAlign w:val="bottom"/>
          </w:tcPr>
          <w:p w:rsidR="0015454E" w:rsidRPr="00991A27" w:rsidRDefault="0015454E" w:rsidP="00FC4F38">
            <w:pPr>
              <w:spacing w:line="360" w:lineRule="auto"/>
              <w:jc w:val="both"/>
              <w:rPr>
                <w:rFonts w:ascii="Arial" w:hAnsi="Arial" w:cs="Arial"/>
                <w:b/>
                <w:bCs/>
              </w:rPr>
            </w:pPr>
            <w:r w:rsidRPr="00991A27">
              <w:rPr>
                <w:rFonts w:ascii="Arial" w:hAnsi="Arial" w:cs="Arial"/>
                <w:b/>
                <w:bCs/>
              </w:rPr>
              <w:t>Mg error</w:t>
            </w:r>
          </w:p>
        </w:tc>
      </w:tr>
      <w:tr w:rsidR="0015454E" w:rsidRPr="00991A27" w:rsidTr="008431A6">
        <w:trPr>
          <w:trHeight w:val="152"/>
        </w:trPr>
        <w:tc>
          <w:tcPr>
            <w:tcW w:w="1276" w:type="dxa"/>
            <w:tcBorders>
              <w:top w:val="single" w:sz="6" w:space="0" w:color="auto"/>
            </w:tcBorders>
            <w:shd w:val="clear" w:color="auto" w:fill="auto"/>
            <w:noWrap/>
            <w:vAlign w:val="bottom"/>
          </w:tcPr>
          <w:p w:rsidR="0015454E" w:rsidRPr="00991A27" w:rsidRDefault="0015454E" w:rsidP="00FC4F38">
            <w:pPr>
              <w:spacing w:line="360" w:lineRule="auto"/>
              <w:jc w:val="both"/>
              <w:rPr>
                <w:rFonts w:ascii="Arial" w:hAnsi="Arial" w:cs="Arial"/>
                <w:b/>
                <w:bCs/>
              </w:rPr>
            </w:pPr>
            <w:r w:rsidRPr="00991A27">
              <w:rPr>
                <w:rFonts w:ascii="Arial" w:hAnsi="Arial" w:cs="Arial"/>
                <w:b/>
                <w:bCs/>
              </w:rPr>
              <w:t>22127000</w:t>
            </w:r>
          </w:p>
        </w:tc>
        <w:tc>
          <w:tcPr>
            <w:tcW w:w="1440" w:type="dxa"/>
            <w:tcBorders>
              <w:top w:val="single" w:sz="6" w:space="0" w:color="auto"/>
            </w:tcBorders>
            <w:shd w:val="clear" w:color="auto" w:fill="auto"/>
            <w:noWrap/>
            <w:vAlign w:val="bottom"/>
          </w:tcPr>
          <w:p w:rsidR="0015454E" w:rsidRPr="00991A27" w:rsidRDefault="0015454E" w:rsidP="00FC4F38">
            <w:pPr>
              <w:spacing w:line="360" w:lineRule="auto"/>
              <w:jc w:val="both"/>
              <w:rPr>
                <w:rFonts w:ascii="Arial" w:hAnsi="Arial" w:cs="Arial"/>
                <w:b/>
                <w:bCs/>
              </w:rPr>
            </w:pPr>
            <w:r w:rsidRPr="00991A27">
              <w:rPr>
                <w:rFonts w:ascii="Arial" w:hAnsi="Arial" w:cs="Arial"/>
                <w:b/>
                <w:bCs/>
              </w:rPr>
              <w:t>22316724</w:t>
            </w:r>
          </w:p>
        </w:tc>
        <w:tc>
          <w:tcPr>
            <w:tcW w:w="1400" w:type="dxa"/>
            <w:tcBorders>
              <w:top w:val="single" w:sz="6" w:space="0" w:color="auto"/>
            </w:tcBorders>
            <w:shd w:val="clear" w:color="auto" w:fill="auto"/>
            <w:noWrap/>
            <w:vAlign w:val="bottom"/>
          </w:tcPr>
          <w:p w:rsidR="0015454E" w:rsidRPr="00991A27" w:rsidRDefault="0015454E" w:rsidP="00FC4F38">
            <w:pPr>
              <w:spacing w:line="360" w:lineRule="auto"/>
              <w:jc w:val="both"/>
              <w:rPr>
                <w:rFonts w:ascii="Arial" w:hAnsi="Arial" w:cs="Arial"/>
                <w:b/>
                <w:bCs/>
              </w:rPr>
            </w:pPr>
            <w:r w:rsidRPr="00991A27">
              <w:rPr>
                <w:rFonts w:ascii="Arial" w:hAnsi="Arial" w:cs="Arial"/>
                <w:b/>
                <w:bCs/>
              </w:rPr>
              <w:t xml:space="preserve">0,00850143                                                                                                                                                        </w:t>
            </w:r>
          </w:p>
        </w:tc>
      </w:tr>
    </w:tbl>
    <w:p w:rsidR="0015454E" w:rsidRPr="00991A27" w:rsidRDefault="0015454E" w:rsidP="0015454E">
      <w:pPr>
        <w:spacing w:line="360" w:lineRule="auto"/>
        <w:jc w:val="both"/>
        <w:rPr>
          <w:rFonts w:ascii="Arial" w:hAnsi="Arial" w:cs="Arial"/>
          <w:b/>
        </w:rPr>
      </w:pPr>
    </w:p>
    <w:p w:rsidR="0015454E" w:rsidRPr="00991A27" w:rsidRDefault="0015454E" w:rsidP="0015454E">
      <w:pPr>
        <w:spacing w:line="360" w:lineRule="auto"/>
        <w:jc w:val="both"/>
      </w:pPr>
      <w:r w:rsidRPr="00991A27">
        <w:rPr>
          <w:rFonts w:ascii="Arial" w:hAnsi="Arial" w:cs="Arial"/>
        </w:rPr>
        <w:br/>
      </w:r>
    </w:p>
    <w:p w:rsidR="0015454E" w:rsidRDefault="0015454E" w:rsidP="0015454E">
      <w:pPr>
        <w:spacing w:line="360" w:lineRule="auto"/>
        <w:jc w:val="both"/>
      </w:pPr>
      <w:r w:rsidRPr="00991A27">
        <w:t xml:space="preserve">   </w:t>
      </w:r>
    </w:p>
    <w:p w:rsidR="00230AF6" w:rsidRDefault="00230AF6" w:rsidP="00230AF6">
      <w:pPr>
        <w:spacing w:line="240" w:lineRule="atLeast"/>
        <w:jc w:val="both"/>
      </w:pPr>
    </w:p>
    <w:p w:rsidR="0015454E" w:rsidRPr="00F27DFF" w:rsidRDefault="0015454E" w:rsidP="008431A6">
      <w:pPr>
        <w:spacing w:line="240" w:lineRule="auto"/>
        <w:jc w:val="both"/>
        <w:rPr>
          <w:rFonts w:ascii="Arial" w:hAnsi="Arial" w:cs="Arial"/>
          <w:sz w:val="16"/>
          <w:szCs w:val="16"/>
        </w:rPr>
      </w:pPr>
      <w:bookmarkStart w:id="1" w:name="OLE_LINK4"/>
      <w:bookmarkStart w:id="2" w:name="OLE_LINK5"/>
      <w:r w:rsidRPr="00F27DFF">
        <w:rPr>
          <w:rFonts w:ascii="Arial" w:hAnsi="Arial" w:cs="Arial"/>
          <w:sz w:val="16"/>
          <w:szCs w:val="16"/>
        </w:rPr>
        <w:t>Fuente: Superintendencia de Bancos</w:t>
      </w:r>
    </w:p>
    <w:p w:rsidR="0015454E" w:rsidRPr="0042635B" w:rsidRDefault="0015454E" w:rsidP="008431A6">
      <w:pPr>
        <w:spacing w:line="240" w:lineRule="auto"/>
        <w:jc w:val="both"/>
      </w:pPr>
      <w:r w:rsidRPr="00F27DFF">
        <w:rPr>
          <w:rFonts w:ascii="Arial" w:hAnsi="Arial" w:cs="Arial"/>
          <w:sz w:val="16"/>
          <w:szCs w:val="16"/>
        </w:rPr>
        <w:t>Elaboración: Autores</w:t>
      </w:r>
    </w:p>
    <w:bookmarkEnd w:id="1"/>
    <w:bookmarkEnd w:id="2"/>
    <w:p w:rsidR="0015454E" w:rsidRPr="00991A27" w:rsidRDefault="0015454E" w:rsidP="0015454E">
      <w:pPr>
        <w:spacing w:line="360" w:lineRule="auto"/>
        <w:jc w:val="both"/>
      </w:pPr>
    </w:p>
    <w:p w:rsidR="00230AF6" w:rsidRDefault="0015454E" w:rsidP="00F849B7">
      <w:pPr>
        <w:spacing w:line="360" w:lineRule="auto"/>
        <w:ind w:firstLine="454"/>
        <w:jc w:val="both"/>
        <w:rPr>
          <w:rFonts w:ascii="Arial" w:hAnsi="Arial" w:cs="Arial"/>
          <w:sz w:val="24"/>
          <w:szCs w:val="24"/>
        </w:rPr>
      </w:pPr>
      <w:r w:rsidRPr="00230AF6">
        <w:rPr>
          <w:rFonts w:ascii="Arial" w:hAnsi="Arial" w:cs="Arial"/>
          <w:sz w:val="24"/>
          <w:szCs w:val="24"/>
        </w:rPr>
        <w:t>Luego de obtener la proyección del PIB procedemos a  proyectar las colocaciones brutas utilizando la proyección del PIB como variable explicativa.</w:t>
      </w:r>
    </w:p>
    <w:p w:rsidR="00F849B7" w:rsidRDefault="00F849B7" w:rsidP="00F849B7">
      <w:pPr>
        <w:spacing w:line="360" w:lineRule="auto"/>
        <w:ind w:firstLine="454"/>
        <w:jc w:val="both"/>
        <w:rPr>
          <w:rFonts w:ascii="Arial" w:hAnsi="Arial" w:cs="Arial"/>
          <w:sz w:val="24"/>
          <w:szCs w:val="24"/>
        </w:rPr>
      </w:pPr>
    </w:p>
    <w:p w:rsidR="00F849B7" w:rsidRDefault="00F849B7" w:rsidP="00F849B7">
      <w:pPr>
        <w:spacing w:line="360" w:lineRule="auto"/>
        <w:ind w:firstLine="454"/>
        <w:jc w:val="both"/>
        <w:rPr>
          <w:rFonts w:ascii="Arial" w:hAnsi="Arial" w:cs="Arial"/>
          <w:sz w:val="24"/>
          <w:szCs w:val="24"/>
        </w:rPr>
      </w:pPr>
    </w:p>
    <w:p w:rsidR="00F849B7" w:rsidRDefault="00F849B7" w:rsidP="00F849B7">
      <w:pPr>
        <w:spacing w:line="360" w:lineRule="auto"/>
        <w:ind w:firstLine="454"/>
        <w:jc w:val="both"/>
        <w:rPr>
          <w:rFonts w:ascii="Arial" w:hAnsi="Arial" w:cs="Arial"/>
          <w:sz w:val="24"/>
          <w:szCs w:val="24"/>
        </w:rPr>
      </w:pPr>
    </w:p>
    <w:p w:rsidR="00F849B7" w:rsidRDefault="00F849B7" w:rsidP="00F849B7">
      <w:pPr>
        <w:spacing w:line="360" w:lineRule="auto"/>
        <w:ind w:firstLine="454"/>
        <w:jc w:val="both"/>
        <w:rPr>
          <w:rFonts w:ascii="Arial" w:hAnsi="Arial" w:cs="Arial"/>
          <w:sz w:val="24"/>
          <w:szCs w:val="24"/>
        </w:rPr>
      </w:pPr>
    </w:p>
    <w:p w:rsidR="00F849B7" w:rsidRPr="00F849B7" w:rsidRDefault="00F849B7" w:rsidP="00F849B7">
      <w:pPr>
        <w:spacing w:line="360" w:lineRule="auto"/>
        <w:ind w:firstLine="454"/>
        <w:jc w:val="both"/>
        <w:rPr>
          <w:rFonts w:ascii="Arial" w:hAnsi="Arial" w:cs="Arial"/>
          <w:sz w:val="24"/>
          <w:szCs w:val="24"/>
        </w:rPr>
      </w:pPr>
    </w:p>
    <w:p w:rsidR="008431A6" w:rsidRDefault="008431A6" w:rsidP="0015454E">
      <w:pPr>
        <w:spacing w:line="360" w:lineRule="auto"/>
        <w:jc w:val="center"/>
        <w:rPr>
          <w:rFonts w:ascii="Arial" w:hAnsi="Arial" w:cs="Arial"/>
          <w:b/>
        </w:rPr>
      </w:pPr>
    </w:p>
    <w:p w:rsidR="0015454E" w:rsidRPr="006D1834" w:rsidRDefault="0015454E" w:rsidP="0015454E">
      <w:pPr>
        <w:spacing w:line="360" w:lineRule="auto"/>
        <w:jc w:val="center"/>
        <w:rPr>
          <w:rFonts w:ascii="Arial" w:hAnsi="Arial" w:cs="Arial"/>
          <w:b/>
        </w:rPr>
      </w:pPr>
      <w:r w:rsidRPr="00991A27">
        <w:rPr>
          <w:rFonts w:ascii="Arial" w:hAnsi="Arial" w:cs="Arial"/>
          <w:b/>
        </w:rPr>
        <w:lastRenderedPageBreak/>
        <w:t>Cuadro 3.3</w:t>
      </w:r>
    </w:p>
    <w:p w:rsidR="00230AF6" w:rsidRPr="00230AF6" w:rsidRDefault="00230AF6" w:rsidP="00230AF6">
      <w:pPr>
        <w:autoSpaceDE w:val="0"/>
        <w:autoSpaceDN w:val="0"/>
        <w:adjustRightInd w:val="0"/>
        <w:spacing w:after="0" w:line="240" w:lineRule="auto"/>
        <w:rPr>
          <w:rFonts w:ascii="Arial" w:eastAsia="Times New Roman" w:hAnsi="Arial" w:cs="Arial"/>
          <w:sz w:val="20"/>
          <w:szCs w:val="20"/>
          <w:lang w:val="es-ES" w:eastAsia="es-ES"/>
        </w:rPr>
      </w:pPr>
    </w:p>
    <w:tbl>
      <w:tblPr>
        <w:tblW w:w="0" w:type="auto"/>
        <w:jc w:val="center"/>
        <w:tblInd w:w="60" w:type="dxa"/>
        <w:tblLayout w:type="fixed"/>
        <w:tblCellMar>
          <w:left w:w="30" w:type="dxa"/>
          <w:right w:w="30" w:type="dxa"/>
        </w:tblCellMar>
        <w:tblLook w:val="0000"/>
      </w:tblPr>
      <w:tblGrid>
        <w:gridCol w:w="2165"/>
        <w:gridCol w:w="1039"/>
        <w:gridCol w:w="1271"/>
        <w:gridCol w:w="1270"/>
        <w:gridCol w:w="1040"/>
      </w:tblGrid>
      <w:tr w:rsidR="00230AF6" w:rsidRPr="00230AF6" w:rsidTr="00F27DFF">
        <w:tblPrEx>
          <w:tblCellMar>
            <w:top w:w="0" w:type="dxa"/>
            <w:bottom w:w="0" w:type="dxa"/>
          </w:tblCellMar>
        </w:tblPrEx>
        <w:trPr>
          <w:trHeight w:val="272"/>
          <w:jc w:val="center"/>
        </w:trPr>
        <w:tc>
          <w:tcPr>
            <w:tcW w:w="2165" w:type="dxa"/>
            <w:gridSpan w:val="3"/>
            <w:tcBorders>
              <w:top w:val="nil"/>
              <w:left w:val="nil"/>
              <w:bottom w:val="nil"/>
              <w:right w:val="nil"/>
            </w:tcBorders>
            <w:vAlign w:val="bottom"/>
          </w:tcPr>
          <w:p w:rsidR="00230AF6" w:rsidRPr="00230AF6" w:rsidRDefault="00230AF6" w:rsidP="00230AF6">
            <w:pPr>
              <w:autoSpaceDE w:val="0"/>
              <w:autoSpaceDN w:val="0"/>
              <w:adjustRightInd w:val="0"/>
              <w:spacing w:after="0" w:line="240" w:lineRule="auto"/>
              <w:rPr>
                <w:rFonts w:ascii="Arial" w:eastAsia="Times New Roman" w:hAnsi="Arial" w:cs="Arial"/>
                <w:color w:val="000000"/>
                <w:sz w:val="20"/>
                <w:szCs w:val="20"/>
                <w:lang w:val="es-ES" w:eastAsia="es-ES"/>
              </w:rPr>
            </w:pPr>
            <w:r w:rsidRPr="00230AF6">
              <w:rPr>
                <w:rFonts w:ascii="Arial" w:eastAsia="Times New Roman" w:hAnsi="Arial" w:cs="Arial"/>
                <w:color w:val="000000"/>
                <w:sz w:val="20"/>
                <w:szCs w:val="20"/>
                <w:lang w:val="es-ES" w:eastAsia="es-ES"/>
              </w:rPr>
              <w:t>Dependent Variable: COLOC</w:t>
            </w:r>
          </w:p>
        </w:tc>
        <w:tc>
          <w:tcPr>
            <w:tcW w:w="1270" w:type="dxa"/>
            <w:tcBorders>
              <w:top w:val="nil"/>
              <w:left w:val="nil"/>
              <w:bottom w:val="nil"/>
              <w:right w:val="nil"/>
            </w:tcBorders>
            <w:vAlign w:val="bottom"/>
          </w:tcPr>
          <w:p w:rsidR="00230AF6" w:rsidRPr="00230AF6" w:rsidRDefault="00230AF6" w:rsidP="00230AF6">
            <w:pPr>
              <w:autoSpaceDE w:val="0"/>
              <w:autoSpaceDN w:val="0"/>
              <w:adjustRightInd w:val="0"/>
              <w:spacing w:after="0" w:line="240" w:lineRule="auto"/>
              <w:jc w:val="center"/>
              <w:rPr>
                <w:rFonts w:ascii="Arial" w:eastAsia="Times New Roman" w:hAnsi="Arial" w:cs="Arial"/>
                <w:color w:val="000000"/>
                <w:sz w:val="20"/>
                <w:szCs w:val="20"/>
                <w:lang w:val="es-ES" w:eastAsia="es-ES"/>
              </w:rPr>
            </w:pPr>
          </w:p>
        </w:tc>
        <w:tc>
          <w:tcPr>
            <w:tcW w:w="1040" w:type="dxa"/>
            <w:tcBorders>
              <w:top w:val="nil"/>
              <w:left w:val="nil"/>
              <w:bottom w:val="nil"/>
              <w:right w:val="nil"/>
            </w:tcBorders>
            <w:vAlign w:val="bottom"/>
          </w:tcPr>
          <w:p w:rsidR="00230AF6" w:rsidRPr="00230AF6" w:rsidRDefault="00230AF6" w:rsidP="00230AF6">
            <w:pPr>
              <w:autoSpaceDE w:val="0"/>
              <w:autoSpaceDN w:val="0"/>
              <w:adjustRightInd w:val="0"/>
              <w:spacing w:after="0" w:line="240" w:lineRule="auto"/>
              <w:jc w:val="center"/>
              <w:rPr>
                <w:rFonts w:ascii="Arial" w:eastAsia="Times New Roman" w:hAnsi="Arial" w:cs="Arial"/>
                <w:color w:val="000000"/>
                <w:sz w:val="20"/>
                <w:szCs w:val="20"/>
                <w:lang w:val="es-ES" w:eastAsia="es-ES"/>
              </w:rPr>
            </w:pPr>
          </w:p>
        </w:tc>
      </w:tr>
      <w:tr w:rsidR="00230AF6" w:rsidRPr="00230AF6" w:rsidTr="00F27DFF">
        <w:tblPrEx>
          <w:tblCellMar>
            <w:top w:w="0" w:type="dxa"/>
            <w:bottom w:w="0" w:type="dxa"/>
          </w:tblCellMar>
        </w:tblPrEx>
        <w:trPr>
          <w:trHeight w:val="272"/>
          <w:jc w:val="center"/>
        </w:trPr>
        <w:tc>
          <w:tcPr>
            <w:tcW w:w="2165" w:type="dxa"/>
            <w:gridSpan w:val="3"/>
            <w:tcBorders>
              <w:top w:val="nil"/>
              <w:left w:val="nil"/>
              <w:bottom w:val="nil"/>
              <w:right w:val="nil"/>
            </w:tcBorders>
            <w:vAlign w:val="bottom"/>
          </w:tcPr>
          <w:p w:rsidR="00230AF6" w:rsidRPr="00230AF6" w:rsidRDefault="00230AF6" w:rsidP="00230AF6">
            <w:pPr>
              <w:autoSpaceDE w:val="0"/>
              <w:autoSpaceDN w:val="0"/>
              <w:adjustRightInd w:val="0"/>
              <w:spacing w:after="0" w:line="240" w:lineRule="auto"/>
              <w:rPr>
                <w:rFonts w:ascii="Arial" w:eastAsia="Times New Roman" w:hAnsi="Arial" w:cs="Arial"/>
                <w:color w:val="000000"/>
                <w:sz w:val="20"/>
                <w:szCs w:val="20"/>
                <w:lang w:val="es-ES" w:eastAsia="es-ES"/>
              </w:rPr>
            </w:pPr>
            <w:r w:rsidRPr="00230AF6">
              <w:rPr>
                <w:rFonts w:ascii="Arial" w:eastAsia="Times New Roman" w:hAnsi="Arial" w:cs="Arial"/>
                <w:color w:val="000000"/>
                <w:sz w:val="20"/>
                <w:szCs w:val="20"/>
                <w:lang w:val="es-ES" w:eastAsia="es-ES"/>
              </w:rPr>
              <w:t>Method: Least Squares</w:t>
            </w:r>
          </w:p>
        </w:tc>
        <w:tc>
          <w:tcPr>
            <w:tcW w:w="1270" w:type="dxa"/>
            <w:tcBorders>
              <w:top w:val="nil"/>
              <w:left w:val="nil"/>
              <w:bottom w:val="nil"/>
              <w:right w:val="nil"/>
            </w:tcBorders>
            <w:vAlign w:val="bottom"/>
          </w:tcPr>
          <w:p w:rsidR="00230AF6" w:rsidRPr="00230AF6" w:rsidRDefault="00230AF6" w:rsidP="00230AF6">
            <w:pPr>
              <w:autoSpaceDE w:val="0"/>
              <w:autoSpaceDN w:val="0"/>
              <w:adjustRightInd w:val="0"/>
              <w:spacing w:after="0" w:line="240" w:lineRule="auto"/>
              <w:jc w:val="center"/>
              <w:rPr>
                <w:rFonts w:ascii="Arial" w:eastAsia="Times New Roman" w:hAnsi="Arial" w:cs="Arial"/>
                <w:color w:val="000000"/>
                <w:sz w:val="20"/>
                <w:szCs w:val="20"/>
                <w:lang w:val="es-ES" w:eastAsia="es-ES"/>
              </w:rPr>
            </w:pPr>
          </w:p>
        </w:tc>
        <w:tc>
          <w:tcPr>
            <w:tcW w:w="1040" w:type="dxa"/>
            <w:tcBorders>
              <w:top w:val="nil"/>
              <w:left w:val="nil"/>
              <w:bottom w:val="nil"/>
              <w:right w:val="nil"/>
            </w:tcBorders>
            <w:vAlign w:val="bottom"/>
          </w:tcPr>
          <w:p w:rsidR="00230AF6" w:rsidRPr="00230AF6" w:rsidRDefault="00230AF6" w:rsidP="00230AF6">
            <w:pPr>
              <w:autoSpaceDE w:val="0"/>
              <w:autoSpaceDN w:val="0"/>
              <w:adjustRightInd w:val="0"/>
              <w:spacing w:after="0" w:line="240" w:lineRule="auto"/>
              <w:jc w:val="center"/>
              <w:rPr>
                <w:rFonts w:ascii="Arial" w:eastAsia="Times New Roman" w:hAnsi="Arial" w:cs="Arial"/>
                <w:color w:val="000000"/>
                <w:sz w:val="20"/>
                <w:szCs w:val="20"/>
                <w:lang w:val="es-ES" w:eastAsia="es-ES"/>
              </w:rPr>
            </w:pPr>
          </w:p>
        </w:tc>
      </w:tr>
      <w:tr w:rsidR="00230AF6" w:rsidRPr="00230AF6" w:rsidTr="00F27DFF">
        <w:tblPrEx>
          <w:tblCellMar>
            <w:top w:w="0" w:type="dxa"/>
            <w:bottom w:w="0" w:type="dxa"/>
          </w:tblCellMar>
        </w:tblPrEx>
        <w:trPr>
          <w:trHeight w:val="272"/>
          <w:jc w:val="center"/>
        </w:trPr>
        <w:tc>
          <w:tcPr>
            <w:tcW w:w="2165" w:type="dxa"/>
            <w:gridSpan w:val="3"/>
            <w:tcBorders>
              <w:top w:val="nil"/>
              <w:left w:val="nil"/>
              <w:bottom w:val="nil"/>
              <w:right w:val="nil"/>
            </w:tcBorders>
            <w:vAlign w:val="bottom"/>
          </w:tcPr>
          <w:p w:rsidR="00230AF6" w:rsidRPr="00230AF6" w:rsidRDefault="00230AF6" w:rsidP="00230AF6">
            <w:pPr>
              <w:autoSpaceDE w:val="0"/>
              <w:autoSpaceDN w:val="0"/>
              <w:adjustRightInd w:val="0"/>
              <w:spacing w:after="0" w:line="240" w:lineRule="auto"/>
              <w:rPr>
                <w:rFonts w:ascii="Arial" w:eastAsia="Times New Roman" w:hAnsi="Arial" w:cs="Arial"/>
                <w:color w:val="000000"/>
                <w:sz w:val="20"/>
                <w:szCs w:val="20"/>
                <w:lang w:val="es-ES" w:eastAsia="es-ES"/>
              </w:rPr>
            </w:pPr>
            <w:r w:rsidRPr="00230AF6">
              <w:rPr>
                <w:rFonts w:ascii="Arial" w:eastAsia="Times New Roman" w:hAnsi="Arial" w:cs="Arial"/>
                <w:color w:val="000000"/>
                <w:sz w:val="20"/>
                <w:szCs w:val="20"/>
                <w:lang w:val="es-ES" w:eastAsia="es-ES"/>
              </w:rPr>
              <w:t>Date: 05/29/08   Time: 11:50</w:t>
            </w:r>
          </w:p>
        </w:tc>
        <w:tc>
          <w:tcPr>
            <w:tcW w:w="1270" w:type="dxa"/>
            <w:tcBorders>
              <w:top w:val="nil"/>
              <w:left w:val="nil"/>
              <w:bottom w:val="nil"/>
              <w:right w:val="nil"/>
            </w:tcBorders>
            <w:vAlign w:val="bottom"/>
          </w:tcPr>
          <w:p w:rsidR="00230AF6" w:rsidRPr="00230AF6" w:rsidRDefault="00230AF6" w:rsidP="00230AF6">
            <w:pPr>
              <w:autoSpaceDE w:val="0"/>
              <w:autoSpaceDN w:val="0"/>
              <w:adjustRightInd w:val="0"/>
              <w:spacing w:after="0" w:line="240" w:lineRule="auto"/>
              <w:jc w:val="center"/>
              <w:rPr>
                <w:rFonts w:ascii="Arial" w:eastAsia="Times New Roman" w:hAnsi="Arial" w:cs="Arial"/>
                <w:color w:val="000000"/>
                <w:sz w:val="20"/>
                <w:szCs w:val="20"/>
                <w:lang w:val="es-ES" w:eastAsia="es-ES"/>
              </w:rPr>
            </w:pPr>
          </w:p>
        </w:tc>
        <w:tc>
          <w:tcPr>
            <w:tcW w:w="1040" w:type="dxa"/>
            <w:tcBorders>
              <w:top w:val="nil"/>
              <w:left w:val="nil"/>
              <w:bottom w:val="nil"/>
              <w:right w:val="nil"/>
            </w:tcBorders>
            <w:vAlign w:val="bottom"/>
          </w:tcPr>
          <w:p w:rsidR="00230AF6" w:rsidRPr="00230AF6" w:rsidRDefault="00230AF6" w:rsidP="00230AF6">
            <w:pPr>
              <w:autoSpaceDE w:val="0"/>
              <w:autoSpaceDN w:val="0"/>
              <w:adjustRightInd w:val="0"/>
              <w:spacing w:after="0" w:line="240" w:lineRule="auto"/>
              <w:jc w:val="center"/>
              <w:rPr>
                <w:rFonts w:ascii="Arial" w:eastAsia="Times New Roman" w:hAnsi="Arial" w:cs="Arial"/>
                <w:color w:val="000000"/>
                <w:sz w:val="20"/>
                <w:szCs w:val="20"/>
                <w:lang w:val="es-ES" w:eastAsia="es-ES"/>
              </w:rPr>
            </w:pPr>
          </w:p>
        </w:tc>
      </w:tr>
      <w:tr w:rsidR="00230AF6" w:rsidRPr="00230AF6" w:rsidTr="00F27DFF">
        <w:tblPrEx>
          <w:tblCellMar>
            <w:top w:w="0" w:type="dxa"/>
            <w:bottom w:w="0" w:type="dxa"/>
          </w:tblCellMar>
        </w:tblPrEx>
        <w:trPr>
          <w:trHeight w:val="272"/>
          <w:jc w:val="center"/>
        </w:trPr>
        <w:tc>
          <w:tcPr>
            <w:tcW w:w="2165" w:type="dxa"/>
            <w:gridSpan w:val="3"/>
            <w:tcBorders>
              <w:top w:val="nil"/>
              <w:left w:val="nil"/>
              <w:bottom w:val="nil"/>
              <w:right w:val="nil"/>
            </w:tcBorders>
            <w:vAlign w:val="bottom"/>
          </w:tcPr>
          <w:p w:rsidR="00230AF6" w:rsidRPr="00230AF6" w:rsidRDefault="00230AF6" w:rsidP="00230AF6">
            <w:pPr>
              <w:autoSpaceDE w:val="0"/>
              <w:autoSpaceDN w:val="0"/>
              <w:adjustRightInd w:val="0"/>
              <w:spacing w:after="0" w:line="240" w:lineRule="auto"/>
              <w:rPr>
                <w:rFonts w:ascii="Arial" w:eastAsia="Times New Roman" w:hAnsi="Arial" w:cs="Arial"/>
                <w:color w:val="000000"/>
                <w:sz w:val="20"/>
                <w:szCs w:val="20"/>
                <w:lang w:val="es-ES" w:eastAsia="es-ES"/>
              </w:rPr>
            </w:pPr>
            <w:r w:rsidRPr="00230AF6">
              <w:rPr>
                <w:rFonts w:ascii="Arial" w:eastAsia="Times New Roman" w:hAnsi="Arial" w:cs="Arial"/>
                <w:color w:val="000000"/>
                <w:sz w:val="20"/>
                <w:szCs w:val="20"/>
                <w:lang w:val="es-ES" w:eastAsia="es-ES"/>
              </w:rPr>
              <w:t>Sample: 2000Q1 2007Q4</w:t>
            </w:r>
          </w:p>
        </w:tc>
        <w:tc>
          <w:tcPr>
            <w:tcW w:w="1270" w:type="dxa"/>
            <w:tcBorders>
              <w:top w:val="nil"/>
              <w:left w:val="nil"/>
              <w:bottom w:val="nil"/>
              <w:right w:val="nil"/>
            </w:tcBorders>
            <w:vAlign w:val="bottom"/>
          </w:tcPr>
          <w:p w:rsidR="00230AF6" w:rsidRPr="00230AF6" w:rsidRDefault="00230AF6" w:rsidP="00230AF6">
            <w:pPr>
              <w:autoSpaceDE w:val="0"/>
              <w:autoSpaceDN w:val="0"/>
              <w:adjustRightInd w:val="0"/>
              <w:spacing w:after="0" w:line="240" w:lineRule="auto"/>
              <w:jc w:val="center"/>
              <w:rPr>
                <w:rFonts w:ascii="Arial" w:eastAsia="Times New Roman" w:hAnsi="Arial" w:cs="Arial"/>
                <w:color w:val="000000"/>
                <w:sz w:val="20"/>
                <w:szCs w:val="20"/>
                <w:lang w:val="es-ES" w:eastAsia="es-ES"/>
              </w:rPr>
            </w:pPr>
          </w:p>
        </w:tc>
        <w:tc>
          <w:tcPr>
            <w:tcW w:w="1040" w:type="dxa"/>
            <w:tcBorders>
              <w:top w:val="nil"/>
              <w:left w:val="nil"/>
              <w:bottom w:val="nil"/>
              <w:right w:val="nil"/>
            </w:tcBorders>
            <w:vAlign w:val="bottom"/>
          </w:tcPr>
          <w:p w:rsidR="00230AF6" w:rsidRPr="00230AF6" w:rsidRDefault="00230AF6" w:rsidP="00230AF6">
            <w:pPr>
              <w:autoSpaceDE w:val="0"/>
              <w:autoSpaceDN w:val="0"/>
              <w:adjustRightInd w:val="0"/>
              <w:spacing w:after="0" w:line="240" w:lineRule="auto"/>
              <w:jc w:val="center"/>
              <w:rPr>
                <w:rFonts w:ascii="Arial" w:eastAsia="Times New Roman" w:hAnsi="Arial" w:cs="Arial"/>
                <w:color w:val="000000"/>
                <w:sz w:val="20"/>
                <w:szCs w:val="20"/>
                <w:lang w:val="es-ES" w:eastAsia="es-ES"/>
              </w:rPr>
            </w:pPr>
          </w:p>
        </w:tc>
      </w:tr>
      <w:tr w:rsidR="00230AF6" w:rsidRPr="00230AF6" w:rsidTr="00F27DFF">
        <w:tblPrEx>
          <w:tblCellMar>
            <w:top w:w="0" w:type="dxa"/>
            <w:bottom w:w="0" w:type="dxa"/>
          </w:tblCellMar>
        </w:tblPrEx>
        <w:trPr>
          <w:trHeight w:val="272"/>
          <w:jc w:val="center"/>
        </w:trPr>
        <w:tc>
          <w:tcPr>
            <w:tcW w:w="2165" w:type="dxa"/>
            <w:gridSpan w:val="3"/>
            <w:tcBorders>
              <w:top w:val="nil"/>
              <w:left w:val="nil"/>
              <w:bottom w:val="nil"/>
              <w:right w:val="nil"/>
            </w:tcBorders>
            <w:vAlign w:val="bottom"/>
          </w:tcPr>
          <w:p w:rsidR="00230AF6" w:rsidRPr="00230AF6" w:rsidRDefault="00230AF6" w:rsidP="00230AF6">
            <w:pPr>
              <w:autoSpaceDE w:val="0"/>
              <w:autoSpaceDN w:val="0"/>
              <w:adjustRightInd w:val="0"/>
              <w:spacing w:after="0" w:line="240" w:lineRule="auto"/>
              <w:rPr>
                <w:rFonts w:ascii="Arial" w:eastAsia="Times New Roman" w:hAnsi="Arial" w:cs="Arial"/>
                <w:color w:val="000000"/>
                <w:sz w:val="20"/>
                <w:szCs w:val="20"/>
                <w:lang w:val="es-ES" w:eastAsia="es-ES"/>
              </w:rPr>
            </w:pPr>
            <w:r w:rsidRPr="00230AF6">
              <w:rPr>
                <w:rFonts w:ascii="Arial" w:eastAsia="Times New Roman" w:hAnsi="Arial" w:cs="Arial"/>
                <w:color w:val="000000"/>
                <w:sz w:val="20"/>
                <w:szCs w:val="20"/>
                <w:lang w:val="es-ES" w:eastAsia="es-ES"/>
              </w:rPr>
              <w:t>Included observations: 32</w:t>
            </w:r>
          </w:p>
        </w:tc>
        <w:tc>
          <w:tcPr>
            <w:tcW w:w="1270" w:type="dxa"/>
            <w:tcBorders>
              <w:top w:val="nil"/>
              <w:left w:val="nil"/>
              <w:bottom w:val="nil"/>
              <w:right w:val="nil"/>
            </w:tcBorders>
            <w:vAlign w:val="bottom"/>
          </w:tcPr>
          <w:p w:rsidR="00230AF6" w:rsidRPr="00230AF6" w:rsidRDefault="00230AF6" w:rsidP="00230AF6">
            <w:pPr>
              <w:autoSpaceDE w:val="0"/>
              <w:autoSpaceDN w:val="0"/>
              <w:adjustRightInd w:val="0"/>
              <w:spacing w:after="0" w:line="240" w:lineRule="auto"/>
              <w:jc w:val="center"/>
              <w:rPr>
                <w:rFonts w:ascii="Arial" w:eastAsia="Times New Roman" w:hAnsi="Arial" w:cs="Arial"/>
                <w:color w:val="000000"/>
                <w:sz w:val="20"/>
                <w:szCs w:val="20"/>
                <w:lang w:val="es-ES" w:eastAsia="es-ES"/>
              </w:rPr>
            </w:pPr>
          </w:p>
        </w:tc>
        <w:tc>
          <w:tcPr>
            <w:tcW w:w="1040" w:type="dxa"/>
            <w:tcBorders>
              <w:top w:val="nil"/>
              <w:left w:val="nil"/>
              <w:bottom w:val="nil"/>
              <w:right w:val="nil"/>
            </w:tcBorders>
            <w:vAlign w:val="bottom"/>
          </w:tcPr>
          <w:p w:rsidR="00230AF6" w:rsidRPr="00230AF6" w:rsidRDefault="00230AF6" w:rsidP="00230AF6">
            <w:pPr>
              <w:autoSpaceDE w:val="0"/>
              <w:autoSpaceDN w:val="0"/>
              <w:adjustRightInd w:val="0"/>
              <w:spacing w:after="0" w:line="240" w:lineRule="auto"/>
              <w:jc w:val="center"/>
              <w:rPr>
                <w:rFonts w:ascii="Arial" w:eastAsia="Times New Roman" w:hAnsi="Arial" w:cs="Arial"/>
                <w:color w:val="000000"/>
                <w:sz w:val="20"/>
                <w:szCs w:val="20"/>
                <w:lang w:val="es-ES" w:eastAsia="es-ES"/>
              </w:rPr>
            </w:pPr>
          </w:p>
        </w:tc>
      </w:tr>
      <w:tr w:rsidR="00230AF6" w:rsidRPr="00230AF6" w:rsidTr="00F27DFF">
        <w:tblPrEx>
          <w:tblCellMar>
            <w:top w:w="0" w:type="dxa"/>
            <w:bottom w:w="0" w:type="dxa"/>
          </w:tblCellMar>
        </w:tblPrEx>
        <w:trPr>
          <w:trHeight w:val="272"/>
          <w:jc w:val="center"/>
        </w:trPr>
        <w:tc>
          <w:tcPr>
            <w:tcW w:w="2165" w:type="dxa"/>
            <w:gridSpan w:val="5"/>
            <w:tcBorders>
              <w:top w:val="nil"/>
              <w:left w:val="nil"/>
              <w:bottom w:val="nil"/>
              <w:right w:val="nil"/>
            </w:tcBorders>
            <w:vAlign w:val="bottom"/>
          </w:tcPr>
          <w:p w:rsidR="00230AF6" w:rsidRPr="00230AF6" w:rsidRDefault="00230AF6" w:rsidP="00230AF6">
            <w:pPr>
              <w:autoSpaceDE w:val="0"/>
              <w:autoSpaceDN w:val="0"/>
              <w:adjustRightInd w:val="0"/>
              <w:spacing w:after="0" w:line="240" w:lineRule="auto"/>
              <w:rPr>
                <w:rFonts w:ascii="Arial" w:eastAsia="Times New Roman" w:hAnsi="Arial" w:cs="Arial"/>
                <w:color w:val="000000"/>
                <w:sz w:val="20"/>
                <w:szCs w:val="20"/>
                <w:lang w:val="en-GB" w:eastAsia="es-ES"/>
              </w:rPr>
            </w:pPr>
            <w:r w:rsidRPr="00230AF6">
              <w:rPr>
                <w:rFonts w:ascii="Arial" w:eastAsia="Times New Roman" w:hAnsi="Arial" w:cs="Arial"/>
                <w:color w:val="000000"/>
                <w:sz w:val="20"/>
                <w:szCs w:val="20"/>
                <w:lang w:val="en-GB" w:eastAsia="es-ES"/>
              </w:rPr>
              <w:t>Newey-West HAC Standard Errors &amp; Covariance (lag truncation=3)</w:t>
            </w:r>
          </w:p>
        </w:tc>
      </w:tr>
      <w:tr w:rsidR="00230AF6" w:rsidRPr="00230AF6" w:rsidTr="00F27DFF">
        <w:tblPrEx>
          <w:tblCellMar>
            <w:top w:w="0" w:type="dxa"/>
            <w:bottom w:w="0" w:type="dxa"/>
          </w:tblCellMar>
        </w:tblPrEx>
        <w:trPr>
          <w:trHeight w:hRule="exact" w:val="102"/>
          <w:jc w:val="center"/>
        </w:trPr>
        <w:tc>
          <w:tcPr>
            <w:tcW w:w="2165" w:type="dxa"/>
            <w:tcBorders>
              <w:top w:val="nil"/>
              <w:left w:val="nil"/>
              <w:bottom w:val="double" w:sz="6" w:space="2" w:color="auto"/>
              <w:right w:val="nil"/>
            </w:tcBorders>
            <w:vAlign w:val="bottom"/>
          </w:tcPr>
          <w:p w:rsidR="00230AF6" w:rsidRPr="00230AF6" w:rsidRDefault="00230AF6" w:rsidP="00230AF6">
            <w:pPr>
              <w:autoSpaceDE w:val="0"/>
              <w:autoSpaceDN w:val="0"/>
              <w:adjustRightInd w:val="0"/>
              <w:spacing w:after="0" w:line="240" w:lineRule="auto"/>
              <w:jc w:val="center"/>
              <w:rPr>
                <w:rFonts w:ascii="Arial" w:eastAsia="Times New Roman" w:hAnsi="Arial" w:cs="Arial"/>
                <w:color w:val="000000"/>
                <w:sz w:val="20"/>
                <w:szCs w:val="20"/>
                <w:lang w:val="en-GB" w:eastAsia="es-ES"/>
              </w:rPr>
            </w:pPr>
          </w:p>
        </w:tc>
        <w:tc>
          <w:tcPr>
            <w:tcW w:w="1039" w:type="dxa"/>
            <w:tcBorders>
              <w:top w:val="nil"/>
              <w:left w:val="nil"/>
              <w:bottom w:val="double" w:sz="6" w:space="2" w:color="auto"/>
              <w:right w:val="nil"/>
            </w:tcBorders>
            <w:vAlign w:val="bottom"/>
          </w:tcPr>
          <w:p w:rsidR="00230AF6" w:rsidRPr="00230AF6" w:rsidRDefault="00230AF6" w:rsidP="00230AF6">
            <w:pPr>
              <w:autoSpaceDE w:val="0"/>
              <w:autoSpaceDN w:val="0"/>
              <w:adjustRightInd w:val="0"/>
              <w:spacing w:after="0" w:line="240" w:lineRule="auto"/>
              <w:jc w:val="center"/>
              <w:rPr>
                <w:rFonts w:ascii="Arial" w:eastAsia="Times New Roman" w:hAnsi="Arial" w:cs="Arial"/>
                <w:color w:val="000000"/>
                <w:sz w:val="20"/>
                <w:szCs w:val="20"/>
                <w:lang w:val="en-GB" w:eastAsia="es-ES"/>
              </w:rPr>
            </w:pPr>
          </w:p>
        </w:tc>
        <w:tc>
          <w:tcPr>
            <w:tcW w:w="1271" w:type="dxa"/>
            <w:tcBorders>
              <w:top w:val="nil"/>
              <w:left w:val="nil"/>
              <w:bottom w:val="double" w:sz="6" w:space="2" w:color="auto"/>
              <w:right w:val="nil"/>
            </w:tcBorders>
            <w:vAlign w:val="bottom"/>
          </w:tcPr>
          <w:p w:rsidR="00230AF6" w:rsidRPr="00230AF6" w:rsidRDefault="00230AF6" w:rsidP="00230AF6">
            <w:pPr>
              <w:autoSpaceDE w:val="0"/>
              <w:autoSpaceDN w:val="0"/>
              <w:adjustRightInd w:val="0"/>
              <w:spacing w:after="0" w:line="240" w:lineRule="auto"/>
              <w:jc w:val="center"/>
              <w:rPr>
                <w:rFonts w:ascii="Arial" w:eastAsia="Times New Roman" w:hAnsi="Arial" w:cs="Arial"/>
                <w:color w:val="000000"/>
                <w:sz w:val="20"/>
                <w:szCs w:val="20"/>
                <w:lang w:val="en-GB" w:eastAsia="es-ES"/>
              </w:rPr>
            </w:pPr>
          </w:p>
        </w:tc>
        <w:tc>
          <w:tcPr>
            <w:tcW w:w="1270" w:type="dxa"/>
            <w:tcBorders>
              <w:top w:val="nil"/>
              <w:left w:val="nil"/>
              <w:bottom w:val="double" w:sz="6" w:space="2" w:color="auto"/>
              <w:right w:val="nil"/>
            </w:tcBorders>
            <w:vAlign w:val="bottom"/>
          </w:tcPr>
          <w:p w:rsidR="00230AF6" w:rsidRPr="00230AF6" w:rsidRDefault="00230AF6" w:rsidP="00230AF6">
            <w:pPr>
              <w:autoSpaceDE w:val="0"/>
              <w:autoSpaceDN w:val="0"/>
              <w:adjustRightInd w:val="0"/>
              <w:spacing w:after="0" w:line="240" w:lineRule="auto"/>
              <w:jc w:val="center"/>
              <w:rPr>
                <w:rFonts w:ascii="Arial" w:eastAsia="Times New Roman" w:hAnsi="Arial" w:cs="Arial"/>
                <w:color w:val="000000"/>
                <w:sz w:val="20"/>
                <w:szCs w:val="20"/>
                <w:lang w:val="en-GB" w:eastAsia="es-ES"/>
              </w:rPr>
            </w:pPr>
          </w:p>
        </w:tc>
        <w:tc>
          <w:tcPr>
            <w:tcW w:w="1040" w:type="dxa"/>
            <w:tcBorders>
              <w:top w:val="nil"/>
              <w:left w:val="nil"/>
              <w:bottom w:val="double" w:sz="6" w:space="2" w:color="auto"/>
              <w:right w:val="nil"/>
            </w:tcBorders>
            <w:vAlign w:val="bottom"/>
          </w:tcPr>
          <w:p w:rsidR="00230AF6" w:rsidRPr="00230AF6" w:rsidRDefault="00230AF6" w:rsidP="00230AF6">
            <w:pPr>
              <w:autoSpaceDE w:val="0"/>
              <w:autoSpaceDN w:val="0"/>
              <w:adjustRightInd w:val="0"/>
              <w:spacing w:after="0" w:line="240" w:lineRule="auto"/>
              <w:jc w:val="center"/>
              <w:rPr>
                <w:rFonts w:ascii="Arial" w:eastAsia="Times New Roman" w:hAnsi="Arial" w:cs="Arial"/>
                <w:color w:val="000000"/>
                <w:sz w:val="20"/>
                <w:szCs w:val="20"/>
                <w:lang w:val="en-GB" w:eastAsia="es-ES"/>
              </w:rPr>
            </w:pPr>
          </w:p>
        </w:tc>
      </w:tr>
      <w:tr w:rsidR="00230AF6" w:rsidRPr="00230AF6" w:rsidTr="00F27DFF">
        <w:tblPrEx>
          <w:tblCellMar>
            <w:top w:w="0" w:type="dxa"/>
            <w:bottom w:w="0" w:type="dxa"/>
          </w:tblCellMar>
        </w:tblPrEx>
        <w:trPr>
          <w:trHeight w:hRule="exact" w:val="153"/>
          <w:jc w:val="center"/>
        </w:trPr>
        <w:tc>
          <w:tcPr>
            <w:tcW w:w="2165" w:type="dxa"/>
            <w:tcBorders>
              <w:top w:val="nil"/>
              <w:left w:val="nil"/>
              <w:bottom w:val="nil"/>
              <w:right w:val="nil"/>
            </w:tcBorders>
            <w:vAlign w:val="bottom"/>
          </w:tcPr>
          <w:p w:rsidR="00230AF6" w:rsidRPr="00230AF6" w:rsidRDefault="00230AF6" w:rsidP="00230AF6">
            <w:pPr>
              <w:autoSpaceDE w:val="0"/>
              <w:autoSpaceDN w:val="0"/>
              <w:adjustRightInd w:val="0"/>
              <w:spacing w:after="0" w:line="240" w:lineRule="auto"/>
              <w:jc w:val="center"/>
              <w:rPr>
                <w:rFonts w:ascii="Arial" w:eastAsia="Times New Roman" w:hAnsi="Arial" w:cs="Arial"/>
                <w:color w:val="000000"/>
                <w:sz w:val="20"/>
                <w:szCs w:val="20"/>
                <w:lang w:val="en-GB" w:eastAsia="es-ES"/>
              </w:rPr>
            </w:pPr>
          </w:p>
        </w:tc>
        <w:tc>
          <w:tcPr>
            <w:tcW w:w="1039" w:type="dxa"/>
            <w:tcBorders>
              <w:top w:val="nil"/>
              <w:left w:val="nil"/>
              <w:bottom w:val="nil"/>
              <w:right w:val="nil"/>
            </w:tcBorders>
            <w:vAlign w:val="bottom"/>
          </w:tcPr>
          <w:p w:rsidR="00230AF6" w:rsidRPr="00230AF6" w:rsidRDefault="00230AF6" w:rsidP="00230AF6">
            <w:pPr>
              <w:autoSpaceDE w:val="0"/>
              <w:autoSpaceDN w:val="0"/>
              <w:adjustRightInd w:val="0"/>
              <w:spacing w:after="0" w:line="240" w:lineRule="auto"/>
              <w:jc w:val="center"/>
              <w:rPr>
                <w:rFonts w:ascii="Arial" w:eastAsia="Times New Roman" w:hAnsi="Arial" w:cs="Arial"/>
                <w:color w:val="000000"/>
                <w:sz w:val="20"/>
                <w:szCs w:val="20"/>
                <w:lang w:val="en-GB" w:eastAsia="es-ES"/>
              </w:rPr>
            </w:pPr>
          </w:p>
        </w:tc>
        <w:tc>
          <w:tcPr>
            <w:tcW w:w="1271" w:type="dxa"/>
            <w:tcBorders>
              <w:top w:val="nil"/>
              <w:left w:val="nil"/>
              <w:bottom w:val="nil"/>
              <w:right w:val="nil"/>
            </w:tcBorders>
            <w:vAlign w:val="bottom"/>
          </w:tcPr>
          <w:p w:rsidR="00230AF6" w:rsidRPr="00230AF6" w:rsidRDefault="00230AF6" w:rsidP="00230AF6">
            <w:pPr>
              <w:autoSpaceDE w:val="0"/>
              <w:autoSpaceDN w:val="0"/>
              <w:adjustRightInd w:val="0"/>
              <w:spacing w:after="0" w:line="240" w:lineRule="auto"/>
              <w:jc w:val="center"/>
              <w:rPr>
                <w:rFonts w:ascii="Arial" w:eastAsia="Times New Roman" w:hAnsi="Arial" w:cs="Arial"/>
                <w:color w:val="000000"/>
                <w:sz w:val="20"/>
                <w:szCs w:val="20"/>
                <w:lang w:val="en-GB" w:eastAsia="es-ES"/>
              </w:rPr>
            </w:pPr>
          </w:p>
        </w:tc>
        <w:tc>
          <w:tcPr>
            <w:tcW w:w="1270" w:type="dxa"/>
            <w:tcBorders>
              <w:top w:val="nil"/>
              <w:left w:val="nil"/>
              <w:bottom w:val="nil"/>
              <w:right w:val="nil"/>
            </w:tcBorders>
            <w:vAlign w:val="bottom"/>
          </w:tcPr>
          <w:p w:rsidR="00230AF6" w:rsidRPr="00230AF6" w:rsidRDefault="00230AF6" w:rsidP="00230AF6">
            <w:pPr>
              <w:autoSpaceDE w:val="0"/>
              <w:autoSpaceDN w:val="0"/>
              <w:adjustRightInd w:val="0"/>
              <w:spacing w:after="0" w:line="240" w:lineRule="auto"/>
              <w:jc w:val="center"/>
              <w:rPr>
                <w:rFonts w:ascii="Arial" w:eastAsia="Times New Roman" w:hAnsi="Arial" w:cs="Arial"/>
                <w:color w:val="000000"/>
                <w:sz w:val="20"/>
                <w:szCs w:val="20"/>
                <w:lang w:val="en-GB" w:eastAsia="es-ES"/>
              </w:rPr>
            </w:pPr>
          </w:p>
        </w:tc>
        <w:tc>
          <w:tcPr>
            <w:tcW w:w="1040" w:type="dxa"/>
            <w:tcBorders>
              <w:top w:val="nil"/>
              <w:left w:val="nil"/>
              <w:bottom w:val="nil"/>
              <w:right w:val="nil"/>
            </w:tcBorders>
            <w:vAlign w:val="bottom"/>
          </w:tcPr>
          <w:p w:rsidR="00230AF6" w:rsidRPr="00230AF6" w:rsidRDefault="00230AF6" w:rsidP="00230AF6">
            <w:pPr>
              <w:autoSpaceDE w:val="0"/>
              <w:autoSpaceDN w:val="0"/>
              <w:adjustRightInd w:val="0"/>
              <w:spacing w:after="0" w:line="240" w:lineRule="auto"/>
              <w:jc w:val="center"/>
              <w:rPr>
                <w:rFonts w:ascii="Arial" w:eastAsia="Times New Roman" w:hAnsi="Arial" w:cs="Arial"/>
                <w:color w:val="000000"/>
                <w:sz w:val="20"/>
                <w:szCs w:val="20"/>
                <w:lang w:val="en-GB" w:eastAsia="es-ES"/>
              </w:rPr>
            </w:pPr>
          </w:p>
        </w:tc>
      </w:tr>
      <w:tr w:rsidR="00230AF6" w:rsidRPr="00230AF6" w:rsidTr="00F27DFF">
        <w:tblPrEx>
          <w:tblCellMar>
            <w:top w:w="0" w:type="dxa"/>
            <w:bottom w:w="0" w:type="dxa"/>
          </w:tblCellMar>
        </w:tblPrEx>
        <w:trPr>
          <w:trHeight w:val="272"/>
          <w:jc w:val="center"/>
        </w:trPr>
        <w:tc>
          <w:tcPr>
            <w:tcW w:w="2165" w:type="dxa"/>
            <w:tcBorders>
              <w:top w:val="nil"/>
              <w:left w:val="nil"/>
              <w:bottom w:val="nil"/>
              <w:right w:val="nil"/>
            </w:tcBorders>
            <w:vAlign w:val="bottom"/>
          </w:tcPr>
          <w:p w:rsidR="00230AF6" w:rsidRPr="00230AF6" w:rsidRDefault="00230AF6" w:rsidP="00230AF6">
            <w:pPr>
              <w:autoSpaceDE w:val="0"/>
              <w:autoSpaceDN w:val="0"/>
              <w:adjustRightInd w:val="0"/>
              <w:spacing w:after="0" w:line="240" w:lineRule="auto"/>
              <w:jc w:val="center"/>
              <w:rPr>
                <w:rFonts w:ascii="Arial" w:eastAsia="Times New Roman" w:hAnsi="Arial" w:cs="Arial"/>
                <w:color w:val="000000"/>
                <w:sz w:val="20"/>
                <w:szCs w:val="20"/>
                <w:lang w:val="es-ES" w:eastAsia="es-ES"/>
              </w:rPr>
            </w:pPr>
            <w:r w:rsidRPr="00230AF6">
              <w:rPr>
                <w:rFonts w:ascii="Arial" w:eastAsia="Times New Roman" w:hAnsi="Arial" w:cs="Arial"/>
                <w:color w:val="000000"/>
                <w:sz w:val="20"/>
                <w:szCs w:val="20"/>
                <w:lang w:val="es-ES" w:eastAsia="es-ES"/>
              </w:rPr>
              <w:t>Variable</w:t>
            </w:r>
          </w:p>
        </w:tc>
        <w:tc>
          <w:tcPr>
            <w:tcW w:w="1039" w:type="dxa"/>
            <w:tcBorders>
              <w:top w:val="nil"/>
              <w:left w:val="nil"/>
              <w:bottom w:val="nil"/>
              <w:right w:val="nil"/>
            </w:tcBorders>
            <w:vAlign w:val="bottom"/>
          </w:tcPr>
          <w:p w:rsidR="00230AF6" w:rsidRPr="00230AF6" w:rsidRDefault="00230AF6" w:rsidP="00230AF6">
            <w:pPr>
              <w:autoSpaceDE w:val="0"/>
              <w:autoSpaceDN w:val="0"/>
              <w:adjustRightInd w:val="0"/>
              <w:spacing w:after="0" w:line="240" w:lineRule="auto"/>
              <w:ind w:right="10"/>
              <w:jc w:val="right"/>
              <w:rPr>
                <w:rFonts w:ascii="Arial" w:eastAsia="Times New Roman" w:hAnsi="Arial" w:cs="Arial"/>
                <w:color w:val="000000"/>
                <w:sz w:val="20"/>
                <w:szCs w:val="20"/>
                <w:lang w:val="es-ES" w:eastAsia="es-ES"/>
              </w:rPr>
            </w:pPr>
            <w:r w:rsidRPr="00230AF6">
              <w:rPr>
                <w:rFonts w:ascii="Arial" w:eastAsia="Times New Roman" w:hAnsi="Arial" w:cs="Arial"/>
                <w:color w:val="000000"/>
                <w:sz w:val="20"/>
                <w:szCs w:val="20"/>
                <w:lang w:val="es-ES" w:eastAsia="es-ES"/>
              </w:rPr>
              <w:t>Coefficient</w:t>
            </w:r>
          </w:p>
        </w:tc>
        <w:tc>
          <w:tcPr>
            <w:tcW w:w="1271" w:type="dxa"/>
            <w:tcBorders>
              <w:top w:val="nil"/>
              <w:left w:val="nil"/>
              <w:bottom w:val="nil"/>
              <w:right w:val="nil"/>
            </w:tcBorders>
            <w:vAlign w:val="bottom"/>
          </w:tcPr>
          <w:p w:rsidR="00230AF6" w:rsidRPr="00230AF6" w:rsidRDefault="00230AF6" w:rsidP="00230AF6">
            <w:pPr>
              <w:autoSpaceDE w:val="0"/>
              <w:autoSpaceDN w:val="0"/>
              <w:adjustRightInd w:val="0"/>
              <w:spacing w:after="0" w:line="240" w:lineRule="auto"/>
              <w:ind w:right="10"/>
              <w:jc w:val="right"/>
              <w:rPr>
                <w:rFonts w:ascii="Arial" w:eastAsia="Times New Roman" w:hAnsi="Arial" w:cs="Arial"/>
                <w:color w:val="000000"/>
                <w:sz w:val="20"/>
                <w:szCs w:val="20"/>
                <w:lang w:val="es-ES" w:eastAsia="es-ES"/>
              </w:rPr>
            </w:pPr>
            <w:r w:rsidRPr="00230AF6">
              <w:rPr>
                <w:rFonts w:ascii="Arial" w:eastAsia="Times New Roman" w:hAnsi="Arial" w:cs="Arial"/>
                <w:color w:val="000000"/>
                <w:sz w:val="20"/>
                <w:szCs w:val="20"/>
                <w:lang w:val="es-ES" w:eastAsia="es-ES"/>
              </w:rPr>
              <w:t>Std. Error</w:t>
            </w:r>
          </w:p>
        </w:tc>
        <w:tc>
          <w:tcPr>
            <w:tcW w:w="1270" w:type="dxa"/>
            <w:tcBorders>
              <w:top w:val="nil"/>
              <w:left w:val="nil"/>
              <w:bottom w:val="nil"/>
              <w:right w:val="nil"/>
            </w:tcBorders>
            <w:vAlign w:val="bottom"/>
          </w:tcPr>
          <w:p w:rsidR="00230AF6" w:rsidRPr="00230AF6" w:rsidRDefault="00230AF6" w:rsidP="00230AF6">
            <w:pPr>
              <w:autoSpaceDE w:val="0"/>
              <w:autoSpaceDN w:val="0"/>
              <w:adjustRightInd w:val="0"/>
              <w:spacing w:after="0" w:line="240" w:lineRule="auto"/>
              <w:ind w:right="10"/>
              <w:jc w:val="right"/>
              <w:rPr>
                <w:rFonts w:ascii="Arial" w:eastAsia="Times New Roman" w:hAnsi="Arial" w:cs="Arial"/>
                <w:color w:val="000000"/>
                <w:sz w:val="20"/>
                <w:szCs w:val="20"/>
                <w:lang w:val="es-ES" w:eastAsia="es-ES"/>
              </w:rPr>
            </w:pPr>
            <w:r w:rsidRPr="00230AF6">
              <w:rPr>
                <w:rFonts w:ascii="Arial" w:eastAsia="Times New Roman" w:hAnsi="Arial" w:cs="Arial"/>
                <w:color w:val="000000"/>
                <w:sz w:val="20"/>
                <w:szCs w:val="20"/>
                <w:lang w:val="es-ES" w:eastAsia="es-ES"/>
              </w:rPr>
              <w:t>t-Statistic</w:t>
            </w:r>
          </w:p>
        </w:tc>
        <w:tc>
          <w:tcPr>
            <w:tcW w:w="1040" w:type="dxa"/>
            <w:tcBorders>
              <w:top w:val="nil"/>
              <w:left w:val="nil"/>
              <w:bottom w:val="nil"/>
              <w:right w:val="nil"/>
            </w:tcBorders>
            <w:vAlign w:val="bottom"/>
          </w:tcPr>
          <w:p w:rsidR="00230AF6" w:rsidRPr="00230AF6" w:rsidRDefault="00230AF6" w:rsidP="00230AF6">
            <w:pPr>
              <w:autoSpaceDE w:val="0"/>
              <w:autoSpaceDN w:val="0"/>
              <w:adjustRightInd w:val="0"/>
              <w:spacing w:after="0" w:line="240" w:lineRule="auto"/>
              <w:ind w:right="10"/>
              <w:jc w:val="right"/>
              <w:rPr>
                <w:rFonts w:ascii="Arial" w:eastAsia="Times New Roman" w:hAnsi="Arial" w:cs="Arial"/>
                <w:color w:val="000000"/>
                <w:sz w:val="20"/>
                <w:szCs w:val="20"/>
                <w:lang w:val="es-ES" w:eastAsia="es-ES"/>
              </w:rPr>
            </w:pPr>
            <w:r w:rsidRPr="00230AF6">
              <w:rPr>
                <w:rFonts w:ascii="Arial" w:eastAsia="Times New Roman" w:hAnsi="Arial" w:cs="Arial"/>
                <w:color w:val="000000"/>
                <w:sz w:val="20"/>
                <w:szCs w:val="20"/>
                <w:lang w:val="es-ES" w:eastAsia="es-ES"/>
              </w:rPr>
              <w:t>Prob.  </w:t>
            </w:r>
          </w:p>
        </w:tc>
      </w:tr>
      <w:tr w:rsidR="00230AF6" w:rsidRPr="00230AF6" w:rsidTr="00F27DFF">
        <w:tblPrEx>
          <w:tblCellMar>
            <w:top w:w="0" w:type="dxa"/>
            <w:bottom w:w="0" w:type="dxa"/>
          </w:tblCellMar>
        </w:tblPrEx>
        <w:trPr>
          <w:trHeight w:hRule="exact" w:val="102"/>
          <w:jc w:val="center"/>
        </w:trPr>
        <w:tc>
          <w:tcPr>
            <w:tcW w:w="2165" w:type="dxa"/>
            <w:tcBorders>
              <w:top w:val="nil"/>
              <w:left w:val="nil"/>
              <w:bottom w:val="double" w:sz="6" w:space="2" w:color="auto"/>
              <w:right w:val="nil"/>
            </w:tcBorders>
            <w:vAlign w:val="bottom"/>
          </w:tcPr>
          <w:p w:rsidR="00230AF6" w:rsidRPr="00230AF6" w:rsidRDefault="00230AF6" w:rsidP="00230AF6">
            <w:pPr>
              <w:autoSpaceDE w:val="0"/>
              <w:autoSpaceDN w:val="0"/>
              <w:adjustRightInd w:val="0"/>
              <w:spacing w:after="0" w:line="240" w:lineRule="auto"/>
              <w:jc w:val="center"/>
              <w:rPr>
                <w:rFonts w:ascii="Arial" w:eastAsia="Times New Roman" w:hAnsi="Arial" w:cs="Arial"/>
                <w:color w:val="000000"/>
                <w:sz w:val="20"/>
                <w:szCs w:val="20"/>
                <w:lang w:val="es-ES" w:eastAsia="es-ES"/>
              </w:rPr>
            </w:pPr>
          </w:p>
        </w:tc>
        <w:tc>
          <w:tcPr>
            <w:tcW w:w="1039" w:type="dxa"/>
            <w:tcBorders>
              <w:top w:val="nil"/>
              <w:left w:val="nil"/>
              <w:bottom w:val="double" w:sz="6" w:space="2" w:color="auto"/>
              <w:right w:val="nil"/>
            </w:tcBorders>
            <w:vAlign w:val="bottom"/>
          </w:tcPr>
          <w:p w:rsidR="00230AF6" w:rsidRPr="00230AF6" w:rsidRDefault="00230AF6" w:rsidP="00230AF6">
            <w:pPr>
              <w:autoSpaceDE w:val="0"/>
              <w:autoSpaceDN w:val="0"/>
              <w:adjustRightInd w:val="0"/>
              <w:spacing w:after="0" w:line="240" w:lineRule="auto"/>
              <w:jc w:val="center"/>
              <w:rPr>
                <w:rFonts w:ascii="Arial" w:eastAsia="Times New Roman" w:hAnsi="Arial" w:cs="Arial"/>
                <w:color w:val="000000"/>
                <w:sz w:val="20"/>
                <w:szCs w:val="20"/>
                <w:lang w:val="es-ES" w:eastAsia="es-ES"/>
              </w:rPr>
            </w:pPr>
          </w:p>
        </w:tc>
        <w:tc>
          <w:tcPr>
            <w:tcW w:w="1271" w:type="dxa"/>
            <w:tcBorders>
              <w:top w:val="nil"/>
              <w:left w:val="nil"/>
              <w:bottom w:val="double" w:sz="6" w:space="2" w:color="auto"/>
              <w:right w:val="nil"/>
            </w:tcBorders>
            <w:vAlign w:val="bottom"/>
          </w:tcPr>
          <w:p w:rsidR="00230AF6" w:rsidRPr="00230AF6" w:rsidRDefault="00230AF6" w:rsidP="00230AF6">
            <w:pPr>
              <w:autoSpaceDE w:val="0"/>
              <w:autoSpaceDN w:val="0"/>
              <w:adjustRightInd w:val="0"/>
              <w:spacing w:after="0" w:line="240" w:lineRule="auto"/>
              <w:jc w:val="center"/>
              <w:rPr>
                <w:rFonts w:ascii="Arial" w:eastAsia="Times New Roman" w:hAnsi="Arial" w:cs="Arial"/>
                <w:color w:val="000000"/>
                <w:sz w:val="20"/>
                <w:szCs w:val="20"/>
                <w:lang w:val="es-ES" w:eastAsia="es-ES"/>
              </w:rPr>
            </w:pPr>
          </w:p>
        </w:tc>
        <w:tc>
          <w:tcPr>
            <w:tcW w:w="1270" w:type="dxa"/>
            <w:tcBorders>
              <w:top w:val="nil"/>
              <w:left w:val="nil"/>
              <w:bottom w:val="double" w:sz="6" w:space="2" w:color="auto"/>
              <w:right w:val="nil"/>
            </w:tcBorders>
            <w:vAlign w:val="bottom"/>
          </w:tcPr>
          <w:p w:rsidR="00230AF6" w:rsidRPr="00230AF6" w:rsidRDefault="00230AF6" w:rsidP="00230AF6">
            <w:pPr>
              <w:autoSpaceDE w:val="0"/>
              <w:autoSpaceDN w:val="0"/>
              <w:adjustRightInd w:val="0"/>
              <w:spacing w:after="0" w:line="240" w:lineRule="auto"/>
              <w:jc w:val="center"/>
              <w:rPr>
                <w:rFonts w:ascii="Arial" w:eastAsia="Times New Roman" w:hAnsi="Arial" w:cs="Arial"/>
                <w:color w:val="000000"/>
                <w:sz w:val="20"/>
                <w:szCs w:val="20"/>
                <w:lang w:val="es-ES" w:eastAsia="es-ES"/>
              </w:rPr>
            </w:pPr>
          </w:p>
        </w:tc>
        <w:tc>
          <w:tcPr>
            <w:tcW w:w="1040" w:type="dxa"/>
            <w:tcBorders>
              <w:top w:val="nil"/>
              <w:left w:val="nil"/>
              <w:bottom w:val="double" w:sz="6" w:space="2" w:color="auto"/>
              <w:right w:val="nil"/>
            </w:tcBorders>
            <w:vAlign w:val="bottom"/>
          </w:tcPr>
          <w:p w:rsidR="00230AF6" w:rsidRPr="00230AF6" w:rsidRDefault="00230AF6" w:rsidP="00230AF6">
            <w:pPr>
              <w:autoSpaceDE w:val="0"/>
              <w:autoSpaceDN w:val="0"/>
              <w:adjustRightInd w:val="0"/>
              <w:spacing w:after="0" w:line="240" w:lineRule="auto"/>
              <w:jc w:val="center"/>
              <w:rPr>
                <w:rFonts w:ascii="Arial" w:eastAsia="Times New Roman" w:hAnsi="Arial" w:cs="Arial"/>
                <w:color w:val="000000"/>
                <w:sz w:val="20"/>
                <w:szCs w:val="20"/>
                <w:lang w:val="es-ES" w:eastAsia="es-ES"/>
              </w:rPr>
            </w:pPr>
          </w:p>
        </w:tc>
      </w:tr>
      <w:tr w:rsidR="00230AF6" w:rsidRPr="00230AF6" w:rsidTr="00F27DFF">
        <w:tblPrEx>
          <w:tblCellMar>
            <w:top w:w="0" w:type="dxa"/>
            <w:bottom w:w="0" w:type="dxa"/>
          </w:tblCellMar>
        </w:tblPrEx>
        <w:trPr>
          <w:trHeight w:hRule="exact" w:val="153"/>
          <w:jc w:val="center"/>
        </w:trPr>
        <w:tc>
          <w:tcPr>
            <w:tcW w:w="2165" w:type="dxa"/>
            <w:tcBorders>
              <w:top w:val="nil"/>
              <w:left w:val="nil"/>
              <w:bottom w:val="nil"/>
              <w:right w:val="nil"/>
            </w:tcBorders>
            <w:vAlign w:val="bottom"/>
          </w:tcPr>
          <w:p w:rsidR="00230AF6" w:rsidRPr="00230AF6" w:rsidRDefault="00230AF6" w:rsidP="00230AF6">
            <w:pPr>
              <w:autoSpaceDE w:val="0"/>
              <w:autoSpaceDN w:val="0"/>
              <w:adjustRightInd w:val="0"/>
              <w:spacing w:after="0" w:line="240" w:lineRule="auto"/>
              <w:jc w:val="center"/>
              <w:rPr>
                <w:rFonts w:ascii="Arial" w:eastAsia="Times New Roman" w:hAnsi="Arial" w:cs="Arial"/>
                <w:color w:val="000000"/>
                <w:sz w:val="20"/>
                <w:szCs w:val="20"/>
                <w:lang w:val="es-ES" w:eastAsia="es-ES"/>
              </w:rPr>
            </w:pPr>
          </w:p>
        </w:tc>
        <w:tc>
          <w:tcPr>
            <w:tcW w:w="1039" w:type="dxa"/>
            <w:tcBorders>
              <w:top w:val="nil"/>
              <w:left w:val="nil"/>
              <w:bottom w:val="nil"/>
              <w:right w:val="nil"/>
            </w:tcBorders>
            <w:vAlign w:val="bottom"/>
          </w:tcPr>
          <w:p w:rsidR="00230AF6" w:rsidRPr="00230AF6" w:rsidRDefault="00230AF6" w:rsidP="00230AF6">
            <w:pPr>
              <w:autoSpaceDE w:val="0"/>
              <w:autoSpaceDN w:val="0"/>
              <w:adjustRightInd w:val="0"/>
              <w:spacing w:after="0" w:line="240" w:lineRule="auto"/>
              <w:jc w:val="center"/>
              <w:rPr>
                <w:rFonts w:ascii="Arial" w:eastAsia="Times New Roman" w:hAnsi="Arial" w:cs="Arial"/>
                <w:color w:val="000000"/>
                <w:sz w:val="20"/>
                <w:szCs w:val="20"/>
                <w:lang w:val="es-ES" w:eastAsia="es-ES"/>
              </w:rPr>
            </w:pPr>
          </w:p>
        </w:tc>
        <w:tc>
          <w:tcPr>
            <w:tcW w:w="1271" w:type="dxa"/>
            <w:tcBorders>
              <w:top w:val="nil"/>
              <w:left w:val="nil"/>
              <w:bottom w:val="nil"/>
              <w:right w:val="nil"/>
            </w:tcBorders>
            <w:vAlign w:val="bottom"/>
          </w:tcPr>
          <w:p w:rsidR="00230AF6" w:rsidRPr="00230AF6" w:rsidRDefault="00230AF6" w:rsidP="00230AF6">
            <w:pPr>
              <w:autoSpaceDE w:val="0"/>
              <w:autoSpaceDN w:val="0"/>
              <w:adjustRightInd w:val="0"/>
              <w:spacing w:after="0" w:line="240" w:lineRule="auto"/>
              <w:jc w:val="center"/>
              <w:rPr>
                <w:rFonts w:ascii="Arial" w:eastAsia="Times New Roman" w:hAnsi="Arial" w:cs="Arial"/>
                <w:color w:val="000000"/>
                <w:sz w:val="20"/>
                <w:szCs w:val="20"/>
                <w:lang w:val="es-ES" w:eastAsia="es-ES"/>
              </w:rPr>
            </w:pPr>
          </w:p>
        </w:tc>
        <w:tc>
          <w:tcPr>
            <w:tcW w:w="1270" w:type="dxa"/>
            <w:tcBorders>
              <w:top w:val="nil"/>
              <w:left w:val="nil"/>
              <w:bottom w:val="nil"/>
              <w:right w:val="nil"/>
            </w:tcBorders>
            <w:vAlign w:val="bottom"/>
          </w:tcPr>
          <w:p w:rsidR="00230AF6" w:rsidRPr="00230AF6" w:rsidRDefault="00230AF6" w:rsidP="00230AF6">
            <w:pPr>
              <w:autoSpaceDE w:val="0"/>
              <w:autoSpaceDN w:val="0"/>
              <w:adjustRightInd w:val="0"/>
              <w:spacing w:after="0" w:line="240" w:lineRule="auto"/>
              <w:jc w:val="center"/>
              <w:rPr>
                <w:rFonts w:ascii="Arial" w:eastAsia="Times New Roman" w:hAnsi="Arial" w:cs="Arial"/>
                <w:color w:val="000000"/>
                <w:sz w:val="20"/>
                <w:szCs w:val="20"/>
                <w:lang w:val="es-ES" w:eastAsia="es-ES"/>
              </w:rPr>
            </w:pPr>
          </w:p>
        </w:tc>
        <w:tc>
          <w:tcPr>
            <w:tcW w:w="1040" w:type="dxa"/>
            <w:tcBorders>
              <w:top w:val="nil"/>
              <w:left w:val="nil"/>
              <w:bottom w:val="nil"/>
              <w:right w:val="nil"/>
            </w:tcBorders>
            <w:vAlign w:val="bottom"/>
          </w:tcPr>
          <w:p w:rsidR="00230AF6" w:rsidRPr="00230AF6" w:rsidRDefault="00230AF6" w:rsidP="00230AF6">
            <w:pPr>
              <w:autoSpaceDE w:val="0"/>
              <w:autoSpaceDN w:val="0"/>
              <w:adjustRightInd w:val="0"/>
              <w:spacing w:after="0" w:line="240" w:lineRule="auto"/>
              <w:jc w:val="center"/>
              <w:rPr>
                <w:rFonts w:ascii="Arial" w:eastAsia="Times New Roman" w:hAnsi="Arial" w:cs="Arial"/>
                <w:color w:val="000000"/>
                <w:sz w:val="20"/>
                <w:szCs w:val="20"/>
                <w:lang w:val="es-ES" w:eastAsia="es-ES"/>
              </w:rPr>
            </w:pPr>
          </w:p>
        </w:tc>
      </w:tr>
      <w:tr w:rsidR="00230AF6" w:rsidRPr="00230AF6" w:rsidTr="00F27DFF">
        <w:tblPrEx>
          <w:tblCellMar>
            <w:top w:w="0" w:type="dxa"/>
            <w:bottom w:w="0" w:type="dxa"/>
          </w:tblCellMar>
        </w:tblPrEx>
        <w:trPr>
          <w:trHeight w:val="272"/>
          <w:jc w:val="center"/>
        </w:trPr>
        <w:tc>
          <w:tcPr>
            <w:tcW w:w="2165" w:type="dxa"/>
            <w:tcBorders>
              <w:top w:val="nil"/>
              <w:left w:val="nil"/>
              <w:bottom w:val="nil"/>
              <w:right w:val="nil"/>
            </w:tcBorders>
            <w:vAlign w:val="bottom"/>
          </w:tcPr>
          <w:p w:rsidR="00230AF6" w:rsidRPr="00230AF6" w:rsidRDefault="00230AF6" w:rsidP="00230AF6">
            <w:pPr>
              <w:autoSpaceDE w:val="0"/>
              <w:autoSpaceDN w:val="0"/>
              <w:adjustRightInd w:val="0"/>
              <w:spacing w:after="0" w:line="240" w:lineRule="auto"/>
              <w:jc w:val="center"/>
              <w:rPr>
                <w:rFonts w:ascii="Arial" w:eastAsia="Times New Roman" w:hAnsi="Arial" w:cs="Arial"/>
                <w:color w:val="000000"/>
                <w:sz w:val="20"/>
                <w:szCs w:val="20"/>
                <w:lang w:val="es-ES" w:eastAsia="es-ES"/>
              </w:rPr>
            </w:pPr>
            <w:r w:rsidRPr="00230AF6">
              <w:rPr>
                <w:rFonts w:ascii="Arial" w:eastAsia="Times New Roman" w:hAnsi="Arial" w:cs="Arial"/>
                <w:color w:val="000000"/>
                <w:sz w:val="20"/>
                <w:szCs w:val="20"/>
                <w:lang w:val="es-ES" w:eastAsia="es-ES"/>
              </w:rPr>
              <w:t>C</w:t>
            </w:r>
          </w:p>
        </w:tc>
        <w:tc>
          <w:tcPr>
            <w:tcW w:w="1039" w:type="dxa"/>
            <w:tcBorders>
              <w:top w:val="nil"/>
              <w:left w:val="nil"/>
              <w:bottom w:val="nil"/>
              <w:right w:val="nil"/>
            </w:tcBorders>
            <w:vAlign w:val="bottom"/>
          </w:tcPr>
          <w:p w:rsidR="00230AF6" w:rsidRPr="00230AF6" w:rsidRDefault="00230AF6" w:rsidP="00230AF6">
            <w:pPr>
              <w:autoSpaceDE w:val="0"/>
              <w:autoSpaceDN w:val="0"/>
              <w:adjustRightInd w:val="0"/>
              <w:spacing w:after="0" w:line="240" w:lineRule="auto"/>
              <w:ind w:right="10"/>
              <w:jc w:val="right"/>
              <w:rPr>
                <w:rFonts w:ascii="Arial" w:eastAsia="Times New Roman" w:hAnsi="Arial" w:cs="Arial"/>
                <w:color w:val="000000"/>
                <w:sz w:val="20"/>
                <w:szCs w:val="20"/>
                <w:lang w:val="es-ES" w:eastAsia="es-ES"/>
              </w:rPr>
            </w:pPr>
            <w:r w:rsidRPr="00230AF6">
              <w:rPr>
                <w:rFonts w:ascii="Arial" w:eastAsia="Times New Roman" w:hAnsi="Arial" w:cs="Arial"/>
                <w:color w:val="000000"/>
                <w:sz w:val="20"/>
                <w:szCs w:val="20"/>
                <w:lang w:val="es-ES" w:eastAsia="es-ES"/>
              </w:rPr>
              <w:t>-868240.5</w:t>
            </w:r>
          </w:p>
        </w:tc>
        <w:tc>
          <w:tcPr>
            <w:tcW w:w="1271" w:type="dxa"/>
            <w:tcBorders>
              <w:top w:val="nil"/>
              <w:left w:val="nil"/>
              <w:bottom w:val="nil"/>
              <w:right w:val="nil"/>
            </w:tcBorders>
            <w:vAlign w:val="bottom"/>
          </w:tcPr>
          <w:p w:rsidR="00230AF6" w:rsidRPr="00230AF6" w:rsidRDefault="00230AF6" w:rsidP="00230AF6">
            <w:pPr>
              <w:autoSpaceDE w:val="0"/>
              <w:autoSpaceDN w:val="0"/>
              <w:adjustRightInd w:val="0"/>
              <w:spacing w:after="0" w:line="240" w:lineRule="auto"/>
              <w:ind w:right="10"/>
              <w:jc w:val="right"/>
              <w:rPr>
                <w:rFonts w:ascii="Arial" w:eastAsia="Times New Roman" w:hAnsi="Arial" w:cs="Arial"/>
                <w:color w:val="000000"/>
                <w:sz w:val="20"/>
                <w:szCs w:val="20"/>
                <w:lang w:val="es-ES" w:eastAsia="es-ES"/>
              </w:rPr>
            </w:pPr>
            <w:r w:rsidRPr="00230AF6">
              <w:rPr>
                <w:rFonts w:ascii="Arial" w:eastAsia="Times New Roman" w:hAnsi="Arial" w:cs="Arial"/>
                <w:color w:val="000000"/>
                <w:sz w:val="20"/>
                <w:szCs w:val="20"/>
                <w:lang w:val="es-ES" w:eastAsia="es-ES"/>
              </w:rPr>
              <w:t>62103.80</w:t>
            </w:r>
          </w:p>
        </w:tc>
        <w:tc>
          <w:tcPr>
            <w:tcW w:w="1270" w:type="dxa"/>
            <w:tcBorders>
              <w:top w:val="nil"/>
              <w:left w:val="nil"/>
              <w:bottom w:val="nil"/>
              <w:right w:val="nil"/>
            </w:tcBorders>
            <w:vAlign w:val="bottom"/>
          </w:tcPr>
          <w:p w:rsidR="00230AF6" w:rsidRPr="00230AF6" w:rsidRDefault="00230AF6" w:rsidP="00230AF6">
            <w:pPr>
              <w:autoSpaceDE w:val="0"/>
              <w:autoSpaceDN w:val="0"/>
              <w:adjustRightInd w:val="0"/>
              <w:spacing w:after="0" w:line="240" w:lineRule="auto"/>
              <w:ind w:right="10"/>
              <w:jc w:val="right"/>
              <w:rPr>
                <w:rFonts w:ascii="Arial" w:eastAsia="Times New Roman" w:hAnsi="Arial" w:cs="Arial"/>
                <w:color w:val="000000"/>
                <w:sz w:val="20"/>
                <w:szCs w:val="20"/>
                <w:lang w:val="es-ES" w:eastAsia="es-ES"/>
              </w:rPr>
            </w:pPr>
            <w:r w:rsidRPr="00230AF6">
              <w:rPr>
                <w:rFonts w:ascii="Arial" w:eastAsia="Times New Roman" w:hAnsi="Arial" w:cs="Arial"/>
                <w:color w:val="000000"/>
                <w:sz w:val="20"/>
                <w:szCs w:val="20"/>
                <w:lang w:val="es-ES" w:eastAsia="es-ES"/>
              </w:rPr>
              <w:t>-13.98047</w:t>
            </w:r>
          </w:p>
        </w:tc>
        <w:tc>
          <w:tcPr>
            <w:tcW w:w="1040" w:type="dxa"/>
            <w:tcBorders>
              <w:top w:val="nil"/>
              <w:left w:val="nil"/>
              <w:bottom w:val="nil"/>
              <w:right w:val="nil"/>
            </w:tcBorders>
            <w:vAlign w:val="bottom"/>
          </w:tcPr>
          <w:p w:rsidR="00230AF6" w:rsidRPr="00230AF6" w:rsidRDefault="00230AF6" w:rsidP="00230AF6">
            <w:pPr>
              <w:autoSpaceDE w:val="0"/>
              <w:autoSpaceDN w:val="0"/>
              <w:adjustRightInd w:val="0"/>
              <w:spacing w:after="0" w:line="240" w:lineRule="auto"/>
              <w:ind w:right="10"/>
              <w:jc w:val="right"/>
              <w:rPr>
                <w:rFonts w:ascii="Arial" w:eastAsia="Times New Roman" w:hAnsi="Arial" w:cs="Arial"/>
                <w:color w:val="000000"/>
                <w:sz w:val="20"/>
                <w:szCs w:val="20"/>
                <w:lang w:val="es-ES" w:eastAsia="es-ES"/>
              </w:rPr>
            </w:pPr>
            <w:r w:rsidRPr="00230AF6">
              <w:rPr>
                <w:rFonts w:ascii="Arial" w:eastAsia="Times New Roman" w:hAnsi="Arial" w:cs="Arial"/>
                <w:color w:val="000000"/>
                <w:sz w:val="20"/>
                <w:szCs w:val="20"/>
                <w:lang w:val="es-ES" w:eastAsia="es-ES"/>
              </w:rPr>
              <w:t>0.0000</w:t>
            </w:r>
          </w:p>
        </w:tc>
      </w:tr>
      <w:tr w:rsidR="00230AF6" w:rsidRPr="00230AF6" w:rsidTr="00F27DFF">
        <w:tblPrEx>
          <w:tblCellMar>
            <w:top w:w="0" w:type="dxa"/>
            <w:bottom w:w="0" w:type="dxa"/>
          </w:tblCellMar>
        </w:tblPrEx>
        <w:trPr>
          <w:trHeight w:val="272"/>
          <w:jc w:val="center"/>
        </w:trPr>
        <w:tc>
          <w:tcPr>
            <w:tcW w:w="2165" w:type="dxa"/>
            <w:tcBorders>
              <w:top w:val="nil"/>
              <w:left w:val="nil"/>
              <w:bottom w:val="nil"/>
              <w:right w:val="nil"/>
            </w:tcBorders>
            <w:vAlign w:val="bottom"/>
          </w:tcPr>
          <w:p w:rsidR="00230AF6" w:rsidRPr="00230AF6" w:rsidRDefault="00230AF6" w:rsidP="00230AF6">
            <w:pPr>
              <w:autoSpaceDE w:val="0"/>
              <w:autoSpaceDN w:val="0"/>
              <w:adjustRightInd w:val="0"/>
              <w:spacing w:after="0" w:line="240" w:lineRule="auto"/>
              <w:jc w:val="center"/>
              <w:rPr>
                <w:rFonts w:ascii="Arial" w:eastAsia="Times New Roman" w:hAnsi="Arial" w:cs="Arial"/>
                <w:color w:val="000000"/>
                <w:sz w:val="20"/>
                <w:szCs w:val="20"/>
                <w:lang w:val="es-ES" w:eastAsia="es-ES"/>
              </w:rPr>
            </w:pPr>
            <w:r w:rsidRPr="00230AF6">
              <w:rPr>
                <w:rFonts w:ascii="Arial" w:eastAsia="Times New Roman" w:hAnsi="Arial" w:cs="Arial"/>
                <w:color w:val="000000"/>
                <w:sz w:val="20"/>
                <w:szCs w:val="20"/>
                <w:lang w:val="es-ES" w:eastAsia="es-ES"/>
              </w:rPr>
              <w:t>PIBF</w:t>
            </w:r>
          </w:p>
        </w:tc>
        <w:tc>
          <w:tcPr>
            <w:tcW w:w="1039" w:type="dxa"/>
            <w:tcBorders>
              <w:top w:val="nil"/>
              <w:left w:val="nil"/>
              <w:bottom w:val="nil"/>
              <w:right w:val="nil"/>
            </w:tcBorders>
            <w:vAlign w:val="bottom"/>
          </w:tcPr>
          <w:p w:rsidR="00230AF6" w:rsidRPr="00230AF6" w:rsidRDefault="00230AF6" w:rsidP="00230AF6">
            <w:pPr>
              <w:autoSpaceDE w:val="0"/>
              <w:autoSpaceDN w:val="0"/>
              <w:adjustRightInd w:val="0"/>
              <w:spacing w:after="0" w:line="240" w:lineRule="auto"/>
              <w:ind w:right="10"/>
              <w:jc w:val="right"/>
              <w:rPr>
                <w:rFonts w:ascii="Arial" w:eastAsia="Times New Roman" w:hAnsi="Arial" w:cs="Arial"/>
                <w:color w:val="000000"/>
                <w:sz w:val="20"/>
                <w:szCs w:val="20"/>
                <w:lang w:val="es-ES" w:eastAsia="es-ES"/>
              </w:rPr>
            </w:pPr>
            <w:r w:rsidRPr="00230AF6">
              <w:rPr>
                <w:rFonts w:ascii="Arial" w:eastAsia="Times New Roman" w:hAnsi="Arial" w:cs="Arial"/>
                <w:color w:val="000000"/>
                <w:sz w:val="20"/>
                <w:szCs w:val="20"/>
                <w:lang w:val="es-ES" w:eastAsia="es-ES"/>
              </w:rPr>
              <w:t>0.265684</w:t>
            </w:r>
          </w:p>
        </w:tc>
        <w:tc>
          <w:tcPr>
            <w:tcW w:w="1271" w:type="dxa"/>
            <w:tcBorders>
              <w:top w:val="nil"/>
              <w:left w:val="nil"/>
              <w:bottom w:val="nil"/>
              <w:right w:val="nil"/>
            </w:tcBorders>
            <w:vAlign w:val="bottom"/>
          </w:tcPr>
          <w:p w:rsidR="00230AF6" w:rsidRPr="00230AF6" w:rsidRDefault="00230AF6" w:rsidP="00230AF6">
            <w:pPr>
              <w:autoSpaceDE w:val="0"/>
              <w:autoSpaceDN w:val="0"/>
              <w:adjustRightInd w:val="0"/>
              <w:spacing w:after="0" w:line="240" w:lineRule="auto"/>
              <w:ind w:right="10"/>
              <w:jc w:val="right"/>
              <w:rPr>
                <w:rFonts w:ascii="Arial" w:eastAsia="Times New Roman" w:hAnsi="Arial" w:cs="Arial"/>
                <w:color w:val="000000"/>
                <w:sz w:val="20"/>
                <w:szCs w:val="20"/>
                <w:lang w:val="es-ES" w:eastAsia="es-ES"/>
              </w:rPr>
            </w:pPr>
            <w:r w:rsidRPr="00230AF6">
              <w:rPr>
                <w:rFonts w:ascii="Arial" w:eastAsia="Times New Roman" w:hAnsi="Arial" w:cs="Arial"/>
                <w:color w:val="000000"/>
                <w:sz w:val="20"/>
                <w:szCs w:val="20"/>
                <w:lang w:val="es-ES" w:eastAsia="es-ES"/>
              </w:rPr>
              <w:t>0.012334</w:t>
            </w:r>
          </w:p>
        </w:tc>
        <w:tc>
          <w:tcPr>
            <w:tcW w:w="1270" w:type="dxa"/>
            <w:tcBorders>
              <w:top w:val="nil"/>
              <w:left w:val="nil"/>
              <w:bottom w:val="nil"/>
              <w:right w:val="nil"/>
            </w:tcBorders>
            <w:vAlign w:val="bottom"/>
          </w:tcPr>
          <w:p w:rsidR="00230AF6" w:rsidRPr="00230AF6" w:rsidRDefault="00230AF6" w:rsidP="00230AF6">
            <w:pPr>
              <w:autoSpaceDE w:val="0"/>
              <w:autoSpaceDN w:val="0"/>
              <w:adjustRightInd w:val="0"/>
              <w:spacing w:after="0" w:line="240" w:lineRule="auto"/>
              <w:ind w:right="10"/>
              <w:jc w:val="right"/>
              <w:rPr>
                <w:rFonts w:ascii="Arial" w:eastAsia="Times New Roman" w:hAnsi="Arial" w:cs="Arial"/>
                <w:color w:val="000000"/>
                <w:sz w:val="20"/>
                <w:szCs w:val="20"/>
                <w:lang w:val="es-ES" w:eastAsia="es-ES"/>
              </w:rPr>
            </w:pPr>
            <w:r w:rsidRPr="00230AF6">
              <w:rPr>
                <w:rFonts w:ascii="Arial" w:eastAsia="Times New Roman" w:hAnsi="Arial" w:cs="Arial"/>
                <w:color w:val="000000"/>
                <w:sz w:val="20"/>
                <w:szCs w:val="20"/>
                <w:lang w:val="es-ES" w:eastAsia="es-ES"/>
              </w:rPr>
              <w:t>21.54076</w:t>
            </w:r>
          </w:p>
        </w:tc>
        <w:tc>
          <w:tcPr>
            <w:tcW w:w="1040" w:type="dxa"/>
            <w:tcBorders>
              <w:top w:val="nil"/>
              <w:left w:val="nil"/>
              <w:bottom w:val="nil"/>
              <w:right w:val="nil"/>
            </w:tcBorders>
            <w:vAlign w:val="bottom"/>
          </w:tcPr>
          <w:p w:rsidR="00230AF6" w:rsidRPr="00230AF6" w:rsidRDefault="00230AF6" w:rsidP="00230AF6">
            <w:pPr>
              <w:autoSpaceDE w:val="0"/>
              <w:autoSpaceDN w:val="0"/>
              <w:adjustRightInd w:val="0"/>
              <w:spacing w:after="0" w:line="240" w:lineRule="auto"/>
              <w:ind w:right="10"/>
              <w:jc w:val="right"/>
              <w:rPr>
                <w:rFonts w:ascii="Arial" w:eastAsia="Times New Roman" w:hAnsi="Arial" w:cs="Arial"/>
                <w:color w:val="000000"/>
                <w:sz w:val="20"/>
                <w:szCs w:val="20"/>
                <w:lang w:val="es-ES" w:eastAsia="es-ES"/>
              </w:rPr>
            </w:pPr>
            <w:r w:rsidRPr="00230AF6">
              <w:rPr>
                <w:rFonts w:ascii="Arial" w:eastAsia="Times New Roman" w:hAnsi="Arial" w:cs="Arial"/>
                <w:color w:val="000000"/>
                <w:sz w:val="20"/>
                <w:szCs w:val="20"/>
                <w:lang w:val="es-ES" w:eastAsia="es-ES"/>
              </w:rPr>
              <w:t>0.0000</w:t>
            </w:r>
          </w:p>
        </w:tc>
      </w:tr>
      <w:tr w:rsidR="00230AF6" w:rsidRPr="00230AF6" w:rsidTr="00F27DFF">
        <w:tblPrEx>
          <w:tblCellMar>
            <w:top w:w="0" w:type="dxa"/>
            <w:bottom w:w="0" w:type="dxa"/>
          </w:tblCellMar>
        </w:tblPrEx>
        <w:trPr>
          <w:trHeight w:hRule="exact" w:val="102"/>
          <w:jc w:val="center"/>
        </w:trPr>
        <w:tc>
          <w:tcPr>
            <w:tcW w:w="2165" w:type="dxa"/>
            <w:tcBorders>
              <w:top w:val="nil"/>
              <w:left w:val="nil"/>
              <w:bottom w:val="double" w:sz="6" w:space="2" w:color="auto"/>
              <w:right w:val="nil"/>
            </w:tcBorders>
            <w:vAlign w:val="bottom"/>
          </w:tcPr>
          <w:p w:rsidR="00230AF6" w:rsidRPr="00230AF6" w:rsidRDefault="00230AF6" w:rsidP="00230AF6">
            <w:pPr>
              <w:autoSpaceDE w:val="0"/>
              <w:autoSpaceDN w:val="0"/>
              <w:adjustRightInd w:val="0"/>
              <w:spacing w:after="0" w:line="240" w:lineRule="auto"/>
              <w:jc w:val="center"/>
              <w:rPr>
                <w:rFonts w:ascii="Arial" w:eastAsia="Times New Roman" w:hAnsi="Arial" w:cs="Arial"/>
                <w:color w:val="000000"/>
                <w:sz w:val="20"/>
                <w:szCs w:val="20"/>
                <w:lang w:val="es-ES" w:eastAsia="es-ES"/>
              </w:rPr>
            </w:pPr>
          </w:p>
        </w:tc>
        <w:tc>
          <w:tcPr>
            <w:tcW w:w="1039" w:type="dxa"/>
            <w:tcBorders>
              <w:top w:val="nil"/>
              <w:left w:val="nil"/>
              <w:bottom w:val="double" w:sz="6" w:space="2" w:color="auto"/>
              <w:right w:val="nil"/>
            </w:tcBorders>
            <w:vAlign w:val="bottom"/>
          </w:tcPr>
          <w:p w:rsidR="00230AF6" w:rsidRPr="00230AF6" w:rsidRDefault="00230AF6" w:rsidP="00230AF6">
            <w:pPr>
              <w:autoSpaceDE w:val="0"/>
              <w:autoSpaceDN w:val="0"/>
              <w:adjustRightInd w:val="0"/>
              <w:spacing w:after="0" w:line="240" w:lineRule="auto"/>
              <w:jc w:val="center"/>
              <w:rPr>
                <w:rFonts w:ascii="Arial" w:eastAsia="Times New Roman" w:hAnsi="Arial" w:cs="Arial"/>
                <w:color w:val="000000"/>
                <w:sz w:val="20"/>
                <w:szCs w:val="20"/>
                <w:lang w:val="es-ES" w:eastAsia="es-ES"/>
              </w:rPr>
            </w:pPr>
          </w:p>
        </w:tc>
        <w:tc>
          <w:tcPr>
            <w:tcW w:w="1271" w:type="dxa"/>
            <w:tcBorders>
              <w:top w:val="nil"/>
              <w:left w:val="nil"/>
              <w:bottom w:val="double" w:sz="6" w:space="2" w:color="auto"/>
              <w:right w:val="nil"/>
            </w:tcBorders>
            <w:vAlign w:val="bottom"/>
          </w:tcPr>
          <w:p w:rsidR="00230AF6" w:rsidRPr="00230AF6" w:rsidRDefault="00230AF6" w:rsidP="00230AF6">
            <w:pPr>
              <w:autoSpaceDE w:val="0"/>
              <w:autoSpaceDN w:val="0"/>
              <w:adjustRightInd w:val="0"/>
              <w:spacing w:after="0" w:line="240" w:lineRule="auto"/>
              <w:jc w:val="center"/>
              <w:rPr>
                <w:rFonts w:ascii="Arial" w:eastAsia="Times New Roman" w:hAnsi="Arial" w:cs="Arial"/>
                <w:color w:val="000000"/>
                <w:sz w:val="20"/>
                <w:szCs w:val="20"/>
                <w:lang w:val="es-ES" w:eastAsia="es-ES"/>
              </w:rPr>
            </w:pPr>
          </w:p>
        </w:tc>
        <w:tc>
          <w:tcPr>
            <w:tcW w:w="1270" w:type="dxa"/>
            <w:tcBorders>
              <w:top w:val="nil"/>
              <w:left w:val="nil"/>
              <w:bottom w:val="double" w:sz="6" w:space="2" w:color="auto"/>
              <w:right w:val="nil"/>
            </w:tcBorders>
            <w:vAlign w:val="bottom"/>
          </w:tcPr>
          <w:p w:rsidR="00230AF6" w:rsidRPr="00230AF6" w:rsidRDefault="00230AF6" w:rsidP="00230AF6">
            <w:pPr>
              <w:autoSpaceDE w:val="0"/>
              <w:autoSpaceDN w:val="0"/>
              <w:adjustRightInd w:val="0"/>
              <w:spacing w:after="0" w:line="240" w:lineRule="auto"/>
              <w:jc w:val="center"/>
              <w:rPr>
                <w:rFonts w:ascii="Arial" w:eastAsia="Times New Roman" w:hAnsi="Arial" w:cs="Arial"/>
                <w:color w:val="000000"/>
                <w:sz w:val="20"/>
                <w:szCs w:val="20"/>
                <w:lang w:val="es-ES" w:eastAsia="es-ES"/>
              </w:rPr>
            </w:pPr>
          </w:p>
        </w:tc>
        <w:tc>
          <w:tcPr>
            <w:tcW w:w="1040" w:type="dxa"/>
            <w:tcBorders>
              <w:top w:val="nil"/>
              <w:left w:val="nil"/>
              <w:bottom w:val="double" w:sz="6" w:space="2" w:color="auto"/>
              <w:right w:val="nil"/>
            </w:tcBorders>
            <w:vAlign w:val="bottom"/>
          </w:tcPr>
          <w:p w:rsidR="00230AF6" w:rsidRPr="00230AF6" w:rsidRDefault="00230AF6" w:rsidP="00230AF6">
            <w:pPr>
              <w:autoSpaceDE w:val="0"/>
              <w:autoSpaceDN w:val="0"/>
              <w:adjustRightInd w:val="0"/>
              <w:spacing w:after="0" w:line="240" w:lineRule="auto"/>
              <w:jc w:val="center"/>
              <w:rPr>
                <w:rFonts w:ascii="Arial" w:eastAsia="Times New Roman" w:hAnsi="Arial" w:cs="Arial"/>
                <w:color w:val="000000"/>
                <w:sz w:val="20"/>
                <w:szCs w:val="20"/>
                <w:lang w:val="es-ES" w:eastAsia="es-ES"/>
              </w:rPr>
            </w:pPr>
          </w:p>
        </w:tc>
      </w:tr>
      <w:tr w:rsidR="00230AF6" w:rsidRPr="00230AF6" w:rsidTr="00F27DFF">
        <w:tblPrEx>
          <w:tblCellMar>
            <w:top w:w="0" w:type="dxa"/>
            <w:bottom w:w="0" w:type="dxa"/>
          </w:tblCellMar>
        </w:tblPrEx>
        <w:trPr>
          <w:trHeight w:hRule="exact" w:val="153"/>
          <w:jc w:val="center"/>
        </w:trPr>
        <w:tc>
          <w:tcPr>
            <w:tcW w:w="2165" w:type="dxa"/>
            <w:tcBorders>
              <w:top w:val="nil"/>
              <w:left w:val="nil"/>
              <w:bottom w:val="nil"/>
              <w:right w:val="nil"/>
            </w:tcBorders>
            <w:vAlign w:val="bottom"/>
          </w:tcPr>
          <w:p w:rsidR="00230AF6" w:rsidRPr="00230AF6" w:rsidRDefault="00230AF6" w:rsidP="00230AF6">
            <w:pPr>
              <w:autoSpaceDE w:val="0"/>
              <w:autoSpaceDN w:val="0"/>
              <w:adjustRightInd w:val="0"/>
              <w:spacing w:after="0" w:line="240" w:lineRule="auto"/>
              <w:jc w:val="center"/>
              <w:rPr>
                <w:rFonts w:ascii="Arial" w:eastAsia="Times New Roman" w:hAnsi="Arial" w:cs="Arial"/>
                <w:color w:val="000000"/>
                <w:sz w:val="20"/>
                <w:szCs w:val="20"/>
                <w:lang w:val="es-ES" w:eastAsia="es-ES"/>
              </w:rPr>
            </w:pPr>
          </w:p>
        </w:tc>
        <w:tc>
          <w:tcPr>
            <w:tcW w:w="1039" w:type="dxa"/>
            <w:tcBorders>
              <w:top w:val="nil"/>
              <w:left w:val="nil"/>
              <w:bottom w:val="nil"/>
              <w:right w:val="nil"/>
            </w:tcBorders>
            <w:vAlign w:val="bottom"/>
          </w:tcPr>
          <w:p w:rsidR="00230AF6" w:rsidRPr="00230AF6" w:rsidRDefault="00230AF6" w:rsidP="00230AF6">
            <w:pPr>
              <w:autoSpaceDE w:val="0"/>
              <w:autoSpaceDN w:val="0"/>
              <w:adjustRightInd w:val="0"/>
              <w:spacing w:after="0" w:line="240" w:lineRule="auto"/>
              <w:jc w:val="center"/>
              <w:rPr>
                <w:rFonts w:ascii="Arial" w:eastAsia="Times New Roman" w:hAnsi="Arial" w:cs="Arial"/>
                <w:color w:val="000000"/>
                <w:sz w:val="20"/>
                <w:szCs w:val="20"/>
                <w:lang w:val="es-ES" w:eastAsia="es-ES"/>
              </w:rPr>
            </w:pPr>
          </w:p>
        </w:tc>
        <w:tc>
          <w:tcPr>
            <w:tcW w:w="1271" w:type="dxa"/>
            <w:tcBorders>
              <w:top w:val="nil"/>
              <w:left w:val="nil"/>
              <w:bottom w:val="nil"/>
              <w:right w:val="nil"/>
            </w:tcBorders>
            <w:vAlign w:val="bottom"/>
          </w:tcPr>
          <w:p w:rsidR="00230AF6" w:rsidRPr="00230AF6" w:rsidRDefault="00230AF6" w:rsidP="00230AF6">
            <w:pPr>
              <w:autoSpaceDE w:val="0"/>
              <w:autoSpaceDN w:val="0"/>
              <w:adjustRightInd w:val="0"/>
              <w:spacing w:after="0" w:line="240" w:lineRule="auto"/>
              <w:jc w:val="center"/>
              <w:rPr>
                <w:rFonts w:ascii="Arial" w:eastAsia="Times New Roman" w:hAnsi="Arial" w:cs="Arial"/>
                <w:color w:val="000000"/>
                <w:sz w:val="20"/>
                <w:szCs w:val="20"/>
                <w:lang w:val="es-ES" w:eastAsia="es-ES"/>
              </w:rPr>
            </w:pPr>
          </w:p>
        </w:tc>
        <w:tc>
          <w:tcPr>
            <w:tcW w:w="1270" w:type="dxa"/>
            <w:tcBorders>
              <w:top w:val="nil"/>
              <w:left w:val="nil"/>
              <w:bottom w:val="nil"/>
              <w:right w:val="nil"/>
            </w:tcBorders>
            <w:vAlign w:val="bottom"/>
          </w:tcPr>
          <w:p w:rsidR="00230AF6" w:rsidRPr="00230AF6" w:rsidRDefault="00230AF6" w:rsidP="00230AF6">
            <w:pPr>
              <w:autoSpaceDE w:val="0"/>
              <w:autoSpaceDN w:val="0"/>
              <w:adjustRightInd w:val="0"/>
              <w:spacing w:after="0" w:line="240" w:lineRule="auto"/>
              <w:jc w:val="center"/>
              <w:rPr>
                <w:rFonts w:ascii="Arial" w:eastAsia="Times New Roman" w:hAnsi="Arial" w:cs="Arial"/>
                <w:color w:val="000000"/>
                <w:sz w:val="20"/>
                <w:szCs w:val="20"/>
                <w:lang w:val="es-ES" w:eastAsia="es-ES"/>
              </w:rPr>
            </w:pPr>
          </w:p>
        </w:tc>
        <w:tc>
          <w:tcPr>
            <w:tcW w:w="1040" w:type="dxa"/>
            <w:tcBorders>
              <w:top w:val="nil"/>
              <w:left w:val="nil"/>
              <w:bottom w:val="nil"/>
              <w:right w:val="nil"/>
            </w:tcBorders>
            <w:vAlign w:val="bottom"/>
          </w:tcPr>
          <w:p w:rsidR="00230AF6" w:rsidRPr="00230AF6" w:rsidRDefault="00230AF6" w:rsidP="00230AF6">
            <w:pPr>
              <w:autoSpaceDE w:val="0"/>
              <w:autoSpaceDN w:val="0"/>
              <w:adjustRightInd w:val="0"/>
              <w:spacing w:after="0" w:line="240" w:lineRule="auto"/>
              <w:jc w:val="center"/>
              <w:rPr>
                <w:rFonts w:ascii="Arial" w:eastAsia="Times New Roman" w:hAnsi="Arial" w:cs="Arial"/>
                <w:color w:val="000000"/>
                <w:sz w:val="20"/>
                <w:szCs w:val="20"/>
                <w:lang w:val="es-ES" w:eastAsia="es-ES"/>
              </w:rPr>
            </w:pPr>
          </w:p>
        </w:tc>
      </w:tr>
      <w:tr w:rsidR="00230AF6" w:rsidRPr="00230AF6" w:rsidTr="00F27DFF">
        <w:tblPrEx>
          <w:tblCellMar>
            <w:top w:w="0" w:type="dxa"/>
            <w:bottom w:w="0" w:type="dxa"/>
          </w:tblCellMar>
        </w:tblPrEx>
        <w:trPr>
          <w:trHeight w:val="272"/>
          <w:jc w:val="center"/>
        </w:trPr>
        <w:tc>
          <w:tcPr>
            <w:tcW w:w="2165" w:type="dxa"/>
            <w:tcBorders>
              <w:top w:val="nil"/>
              <w:left w:val="nil"/>
              <w:bottom w:val="nil"/>
              <w:right w:val="nil"/>
            </w:tcBorders>
            <w:vAlign w:val="bottom"/>
          </w:tcPr>
          <w:p w:rsidR="00230AF6" w:rsidRPr="00230AF6" w:rsidRDefault="00230AF6" w:rsidP="00230AF6">
            <w:pPr>
              <w:autoSpaceDE w:val="0"/>
              <w:autoSpaceDN w:val="0"/>
              <w:adjustRightInd w:val="0"/>
              <w:spacing w:after="0" w:line="240" w:lineRule="auto"/>
              <w:rPr>
                <w:rFonts w:ascii="Arial" w:eastAsia="Times New Roman" w:hAnsi="Arial" w:cs="Arial"/>
                <w:color w:val="000000"/>
                <w:sz w:val="20"/>
                <w:szCs w:val="20"/>
                <w:lang w:val="es-ES" w:eastAsia="es-ES"/>
              </w:rPr>
            </w:pPr>
            <w:r w:rsidRPr="00230AF6">
              <w:rPr>
                <w:rFonts w:ascii="Arial" w:eastAsia="Times New Roman" w:hAnsi="Arial" w:cs="Arial"/>
                <w:color w:val="000000"/>
                <w:sz w:val="20"/>
                <w:szCs w:val="20"/>
                <w:lang w:val="es-ES" w:eastAsia="es-ES"/>
              </w:rPr>
              <w:t>R-squared</w:t>
            </w:r>
          </w:p>
        </w:tc>
        <w:tc>
          <w:tcPr>
            <w:tcW w:w="1039" w:type="dxa"/>
            <w:tcBorders>
              <w:top w:val="nil"/>
              <w:left w:val="nil"/>
              <w:bottom w:val="nil"/>
              <w:right w:val="nil"/>
            </w:tcBorders>
            <w:vAlign w:val="bottom"/>
          </w:tcPr>
          <w:p w:rsidR="00230AF6" w:rsidRPr="00230AF6" w:rsidRDefault="00230AF6" w:rsidP="00230AF6">
            <w:pPr>
              <w:autoSpaceDE w:val="0"/>
              <w:autoSpaceDN w:val="0"/>
              <w:adjustRightInd w:val="0"/>
              <w:spacing w:after="0" w:line="240" w:lineRule="auto"/>
              <w:ind w:right="10"/>
              <w:jc w:val="right"/>
              <w:rPr>
                <w:rFonts w:ascii="Arial" w:eastAsia="Times New Roman" w:hAnsi="Arial" w:cs="Arial"/>
                <w:color w:val="000000"/>
                <w:sz w:val="20"/>
                <w:szCs w:val="20"/>
                <w:lang w:val="es-ES" w:eastAsia="es-ES"/>
              </w:rPr>
            </w:pPr>
            <w:r w:rsidRPr="00230AF6">
              <w:rPr>
                <w:rFonts w:ascii="Arial" w:eastAsia="Times New Roman" w:hAnsi="Arial" w:cs="Arial"/>
                <w:color w:val="000000"/>
                <w:sz w:val="20"/>
                <w:szCs w:val="20"/>
                <w:lang w:val="es-ES" w:eastAsia="es-ES"/>
              </w:rPr>
              <w:t>0.963092</w:t>
            </w:r>
          </w:p>
        </w:tc>
        <w:tc>
          <w:tcPr>
            <w:tcW w:w="1271" w:type="dxa"/>
            <w:gridSpan w:val="2"/>
            <w:tcBorders>
              <w:top w:val="nil"/>
              <w:left w:val="nil"/>
              <w:bottom w:val="nil"/>
              <w:right w:val="nil"/>
            </w:tcBorders>
            <w:vAlign w:val="bottom"/>
          </w:tcPr>
          <w:p w:rsidR="00230AF6" w:rsidRPr="00230AF6" w:rsidRDefault="00230AF6" w:rsidP="00230AF6">
            <w:pPr>
              <w:autoSpaceDE w:val="0"/>
              <w:autoSpaceDN w:val="0"/>
              <w:adjustRightInd w:val="0"/>
              <w:spacing w:after="0" w:line="240" w:lineRule="auto"/>
              <w:ind w:right="10"/>
              <w:rPr>
                <w:rFonts w:ascii="Arial" w:eastAsia="Times New Roman" w:hAnsi="Arial" w:cs="Arial"/>
                <w:color w:val="000000"/>
                <w:sz w:val="20"/>
                <w:szCs w:val="20"/>
                <w:lang w:val="es-ES" w:eastAsia="es-ES"/>
              </w:rPr>
            </w:pPr>
            <w:r w:rsidRPr="00230AF6">
              <w:rPr>
                <w:rFonts w:ascii="Arial" w:eastAsia="Times New Roman" w:hAnsi="Arial" w:cs="Arial"/>
                <w:color w:val="000000"/>
                <w:sz w:val="20"/>
                <w:szCs w:val="20"/>
                <w:lang w:val="es-ES" w:eastAsia="es-ES"/>
              </w:rPr>
              <w:t>    Mean dependent var</w:t>
            </w:r>
          </w:p>
        </w:tc>
        <w:tc>
          <w:tcPr>
            <w:tcW w:w="1040" w:type="dxa"/>
            <w:tcBorders>
              <w:top w:val="nil"/>
              <w:left w:val="nil"/>
              <w:bottom w:val="nil"/>
              <w:right w:val="nil"/>
            </w:tcBorders>
            <w:vAlign w:val="bottom"/>
          </w:tcPr>
          <w:p w:rsidR="00230AF6" w:rsidRPr="00230AF6" w:rsidRDefault="00230AF6" w:rsidP="00230AF6">
            <w:pPr>
              <w:autoSpaceDE w:val="0"/>
              <w:autoSpaceDN w:val="0"/>
              <w:adjustRightInd w:val="0"/>
              <w:spacing w:after="0" w:line="240" w:lineRule="auto"/>
              <w:ind w:right="10"/>
              <w:jc w:val="right"/>
              <w:rPr>
                <w:rFonts w:ascii="Arial" w:eastAsia="Times New Roman" w:hAnsi="Arial" w:cs="Arial"/>
                <w:color w:val="000000"/>
                <w:sz w:val="20"/>
                <w:szCs w:val="20"/>
                <w:lang w:val="es-ES" w:eastAsia="es-ES"/>
              </w:rPr>
            </w:pPr>
            <w:r w:rsidRPr="00230AF6">
              <w:rPr>
                <w:rFonts w:ascii="Arial" w:eastAsia="Times New Roman" w:hAnsi="Arial" w:cs="Arial"/>
                <w:color w:val="000000"/>
                <w:sz w:val="20"/>
                <w:szCs w:val="20"/>
                <w:lang w:val="es-ES" w:eastAsia="es-ES"/>
              </w:rPr>
              <w:t>396571.5</w:t>
            </w:r>
          </w:p>
        </w:tc>
      </w:tr>
      <w:tr w:rsidR="00230AF6" w:rsidRPr="00230AF6" w:rsidTr="00F27DFF">
        <w:tblPrEx>
          <w:tblCellMar>
            <w:top w:w="0" w:type="dxa"/>
            <w:bottom w:w="0" w:type="dxa"/>
          </w:tblCellMar>
        </w:tblPrEx>
        <w:trPr>
          <w:trHeight w:val="272"/>
          <w:jc w:val="center"/>
        </w:trPr>
        <w:tc>
          <w:tcPr>
            <w:tcW w:w="2165" w:type="dxa"/>
            <w:tcBorders>
              <w:top w:val="nil"/>
              <w:left w:val="nil"/>
              <w:bottom w:val="nil"/>
              <w:right w:val="nil"/>
            </w:tcBorders>
            <w:vAlign w:val="bottom"/>
          </w:tcPr>
          <w:p w:rsidR="00230AF6" w:rsidRPr="00230AF6" w:rsidRDefault="00230AF6" w:rsidP="00230AF6">
            <w:pPr>
              <w:autoSpaceDE w:val="0"/>
              <w:autoSpaceDN w:val="0"/>
              <w:adjustRightInd w:val="0"/>
              <w:spacing w:after="0" w:line="240" w:lineRule="auto"/>
              <w:rPr>
                <w:rFonts w:ascii="Arial" w:eastAsia="Times New Roman" w:hAnsi="Arial" w:cs="Arial"/>
                <w:color w:val="000000"/>
                <w:sz w:val="20"/>
                <w:szCs w:val="20"/>
                <w:lang w:val="es-ES" w:eastAsia="es-ES"/>
              </w:rPr>
            </w:pPr>
            <w:r w:rsidRPr="00230AF6">
              <w:rPr>
                <w:rFonts w:ascii="Arial" w:eastAsia="Times New Roman" w:hAnsi="Arial" w:cs="Arial"/>
                <w:color w:val="000000"/>
                <w:sz w:val="20"/>
                <w:szCs w:val="20"/>
                <w:lang w:val="es-ES" w:eastAsia="es-ES"/>
              </w:rPr>
              <w:t>Adjusted R-squared</w:t>
            </w:r>
          </w:p>
        </w:tc>
        <w:tc>
          <w:tcPr>
            <w:tcW w:w="1039" w:type="dxa"/>
            <w:tcBorders>
              <w:top w:val="nil"/>
              <w:left w:val="nil"/>
              <w:bottom w:val="nil"/>
              <w:right w:val="nil"/>
            </w:tcBorders>
            <w:vAlign w:val="bottom"/>
          </w:tcPr>
          <w:p w:rsidR="00230AF6" w:rsidRPr="00230AF6" w:rsidRDefault="00230AF6" w:rsidP="00230AF6">
            <w:pPr>
              <w:autoSpaceDE w:val="0"/>
              <w:autoSpaceDN w:val="0"/>
              <w:adjustRightInd w:val="0"/>
              <w:spacing w:after="0" w:line="240" w:lineRule="auto"/>
              <w:ind w:right="10"/>
              <w:jc w:val="right"/>
              <w:rPr>
                <w:rFonts w:ascii="Arial" w:eastAsia="Times New Roman" w:hAnsi="Arial" w:cs="Arial"/>
                <w:color w:val="000000"/>
                <w:sz w:val="20"/>
                <w:szCs w:val="20"/>
                <w:lang w:val="es-ES" w:eastAsia="es-ES"/>
              </w:rPr>
            </w:pPr>
            <w:r w:rsidRPr="00230AF6">
              <w:rPr>
                <w:rFonts w:ascii="Arial" w:eastAsia="Times New Roman" w:hAnsi="Arial" w:cs="Arial"/>
                <w:color w:val="000000"/>
                <w:sz w:val="20"/>
                <w:szCs w:val="20"/>
                <w:lang w:val="es-ES" w:eastAsia="es-ES"/>
              </w:rPr>
              <w:t>0.961862</w:t>
            </w:r>
          </w:p>
        </w:tc>
        <w:tc>
          <w:tcPr>
            <w:tcW w:w="1271" w:type="dxa"/>
            <w:gridSpan w:val="2"/>
            <w:tcBorders>
              <w:top w:val="nil"/>
              <w:left w:val="nil"/>
              <w:bottom w:val="nil"/>
              <w:right w:val="nil"/>
            </w:tcBorders>
            <w:vAlign w:val="bottom"/>
          </w:tcPr>
          <w:p w:rsidR="00230AF6" w:rsidRPr="00230AF6" w:rsidRDefault="00230AF6" w:rsidP="00230AF6">
            <w:pPr>
              <w:autoSpaceDE w:val="0"/>
              <w:autoSpaceDN w:val="0"/>
              <w:adjustRightInd w:val="0"/>
              <w:spacing w:after="0" w:line="240" w:lineRule="auto"/>
              <w:ind w:right="10"/>
              <w:rPr>
                <w:rFonts w:ascii="Arial" w:eastAsia="Times New Roman" w:hAnsi="Arial" w:cs="Arial"/>
                <w:color w:val="000000"/>
                <w:sz w:val="20"/>
                <w:szCs w:val="20"/>
                <w:lang w:val="es-ES" w:eastAsia="es-ES"/>
              </w:rPr>
            </w:pPr>
            <w:r w:rsidRPr="00230AF6">
              <w:rPr>
                <w:rFonts w:ascii="Arial" w:eastAsia="Times New Roman" w:hAnsi="Arial" w:cs="Arial"/>
                <w:color w:val="000000"/>
                <w:sz w:val="20"/>
                <w:szCs w:val="20"/>
                <w:lang w:val="es-ES" w:eastAsia="es-ES"/>
              </w:rPr>
              <w:t>    S.D. dependent var</w:t>
            </w:r>
          </w:p>
        </w:tc>
        <w:tc>
          <w:tcPr>
            <w:tcW w:w="1040" w:type="dxa"/>
            <w:tcBorders>
              <w:top w:val="nil"/>
              <w:left w:val="nil"/>
              <w:bottom w:val="nil"/>
              <w:right w:val="nil"/>
            </w:tcBorders>
            <w:vAlign w:val="bottom"/>
          </w:tcPr>
          <w:p w:rsidR="00230AF6" w:rsidRPr="00230AF6" w:rsidRDefault="00230AF6" w:rsidP="00230AF6">
            <w:pPr>
              <w:autoSpaceDE w:val="0"/>
              <w:autoSpaceDN w:val="0"/>
              <w:adjustRightInd w:val="0"/>
              <w:spacing w:after="0" w:line="240" w:lineRule="auto"/>
              <w:ind w:right="10"/>
              <w:jc w:val="right"/>
              <w:rPr>
                <w:rFonts w:ascii="Arial" w:eastAsia="Times New Roman" w:hAnsi="Arial" w:cs="Arial"/>
                <w:color w:val="000000"/>
                <w:sz w:val="20"/>
                <w:szCs w:val="20"/>
                <w:lang w:val="es-ES" w:eastAsia="es-ES"/>
              </w:rPr>
            </w:pPr>
            <w:r w:rsidRPr="00230AF6">
              <w:rPr>
                <w:rFonts w:ascii="Arial" w:eastAsia="Times New Roman" w:hAnsi="Arial" w:cs="Arial"/>
                <w:color w:val="000000"/>
                <w:sz w:val="20"/>
                <w:szCs w:val="20"/>
                <w:lang w:val="es-ES" w:eastAsia="es-ES"/>
              </w:rPr>
              <w:t>148496.7</w:t>
            </w:r>
          </w:p>
        </w:tc>
      </w:tr>
      <w:tr w:rsidR="00230AF6" w:rsidRPr="00230AF6" w:rsidTr="00F27DFF">
        <w:tblPrEx>
          <w:tblCellMar>
            <w:top w:w="0" w:type="dxa"/>
            <w:bottom w:w="0" w:type="dxa"/>
          </w:tblCellMar>
        </w:tblPrEx>
        <w:trPr>
          <w:trHeight w:val="272"/>
          <w:jc w:val="center"/>
        </w:trPr>
        <w:tc>
          <w:tcPr>
            <w:tcW w:w="2165" w:type="dxa"/>
            <w:tcBorders>
              <w:top w:val="nil"/>
              <w:left w:val="nil"/>
              <w:bottom w:val="nil"/>
              <w:right w:val="nil"/>
            </w:tcBorders>
            <w:vAlign w:val="bottom"/>
          </w:tcPr>
          <w:p w:rsidR="00230AF6" w:rsidRPr="00230AF6" w:rsidRDefault="00230AF6" w:rsidP="00230AF6">
            <w:pPr>
              <w:autoSpaceDE w:val="0"/>
              <w:autoSpaceDN w:val="0"/>
              <w:adjustRightInd w:val="0"/>
              <w:spacing w:after="0" w:line="240" w:lineRule="auto"/>
              <w:rPr>
                <w:rFonts w:ascii="Arial" w:eastAsia="Times New Roman" w:hAnsi="Arial" w:cs="Arial"/>
                <w:color w:val="000000"/>
                <w:sz w:val="20"/>
                <w:szCs w:val="20"/>
                <w:lang w:val="es-ES" w:eastAsia="es-ES"/>
              </w:rPr>
            </w:pPr>
            <w:r w:rsidRPr="00230AF6">
              <w:rPr>
                <w:rFonts w:ascii="Arial" w:eastAsia="Times New Roman" w:hAnsi="Arial" w:cs="Arial"/>
                <w:color w:val="000000"/>
                <w:sz w:val="20"/>
                <w:szCs w:val="20"/>
                <w:lang w:val="es-ES" w:eastAsia="es-ES"/>
              </w:rPr>
              <w:t>S.E. of regression</w:t>
            </w:r>
          </w:p>
        </w:tc>
        <w:tc>
          <w:tcPr>
            <w:tcW w:w="1039" w:type="dxa"/>
            <w:tcBorders>
              <w:top w:val="nil"/>
              <w:left w:val="nil"/>
              <w:bottom w:val="nil"/>
              <w:right w:val="nil"/>
            </w:tcBorders>
            <w:vAlign w:val="bottom"/>
          </w:tcPr>
          <w:p w:rsidR="00230AF6" w:rsidRPr="00230AF6" w:rsidRDefault="00230AF6" w:rsidP="00230AF6">
            <w:pPr>
              <w:autoSpaceDE w:val="0"/>
              <w:autoSpaceDN w:val="0"/>
              <w:adjustRightInd w:val="0"/>
              <w:spacing w:after="0" w:line="240" w:lineRule="auto"/>
              <w:ind w:right="10"/>
              <w:jc w:val="right"/>
              <w:rPr>
                <w:rFonts w:ascii="Arial" w:eastAsia="Times New Roman" w:hAnsi="Arial" w:cs="Arial"/>
                <w:color w:val="000000"/>
                <w:sz w:val="20"/>
                <w:szCs w:val="20"/>
                <w:lang w:val="es-ES" w:eastAsia="es-ES"/>
              </w:rPr>
            </w:pPr>
            <w:r w:rsidRPr="00230AF6">
              <w:rPr>
                <w:rFonts w:ascii="Arial" w:eastAsia="Times New Roman" w:hAnsi="Arial" w:cs="Arial"/>
                <w:color w:val="000000"/>
                <w:sz w:val="20"/>
                <w:szCs w:val="20"/>
                <w:lang w:val="es-ES" w:eastAsia="es-ES"/>
              </w:rPr>
              <w:t>28999.95</w:t>
            </w:r>
          </w:p>
        </w:tc>
        <w:tc>
          <w:tcPr>
            <w:tcW w:w="1271" w:type="dxa"/>
            <w:gridSpan w:val="2"/>
            <w:tcBorders>
              <w:top w:val="nil"/>
              <w:left w:val="nil"/>
              <w:bottom w:val="nil"/>
              <w:right w:val="nil"/>
            </w:tcBorders>
            <w:vAlign w:val="bottom"/>
          </w:tcPr>
          <w:p w:rsidR="00230AF6" w:rsidRPr="00230AF6" w:rsidRDefault="00230AF6" w:rsidP="00230AF6">
            <w:pPr>
              <w:autoSpaceDE w:val="0"/>
              <w:autoSpaceDN w:val="0"/>
              <w:adjustRightInd w:val="0"/>
              <w:spacing w:after="0" w:line="240" w:lineRule="auto"/>
              <w:ind w:right="10"/>
              <w:rPr>
                <w:rFonts w:ascii="Arial" w:eastAsia="Times New Roman" w:hAnsi="Arial" w:cs="Arial"/>
                <w:color w:val="000000"/>
                <w:sz w:val="20"/>
                <w:szCs w:val="20"/>
                <w:lang w:val="es-ES" w:eastAsia="es-ES"/>
              </w:rPr>
            </w:pPr>
            <w:r w:rsidRPr="00230AF6">
              <w:rPr>
                <w:rFonts w:ascii="Arial" w:eastAsia="Times New Roman" w:hAnsi="Arial" w:cs="Arial"/>
                <w:color w:val="000000"/>
                <w:sz w:val="20"/>
                <w:szCs w:val="20"/>
                <w:lang w:val="es-ES" w:eastAsia="es-ES"/>
              </w:rPr>
              <w:t>    Akaike info criterion</w:t>
            </w:r>
          </w:p>
        </w:tc>
        <w:tc>
          <w:tcPr>
            <w:tcW w:w="1040" w:type="dxa"/>
            <w:tcBorders>
              <w:top w:val="nil"/>
              <w:left w:val="nil"/>
              <w:bottom w:val="nil"/>
              <w:right w:val="nil"/>
            </w:tcBorders>
            <w:vAlign w:val="bottom"/>
          </w:tcPr>
          <w:p w:rsidR="00230AF6" w:rsidRPr="00230AF6" w:rsidRDefault="00230AF6" w:rsidP="00230AF6">
            <w:pPr>
              <w:autoSpaceDE w:val="0"/>
              <w:autoSpaceDN w:val="0"/>
              <w:adjustRightInd w:val="0"/>
              <w:spacing w:after="0" w:line="240" w:lineRule="auto"/>
              <w:ind w:right="10"/>
              <w:jc w:val="right"/>
              <w:rPr>
                <w:rFonts w:ascii="Arial" w:eastAsia="Times New Roman" w:hAnsi="Arial" w:cs="Arial"/>
                <w:color w:val="000000"/>
                <w:sz w:val="20"/>
                <w:szCs w:val="20"/>
                <w:lang w:val="es-ES" w:eastAsia="es-ES"/>
              </w:rPr>
            </w:pPr>
            <w:r w:rsidRPr="00230AF6">
              <w:rPr>
                <w:rFonts w:ascii="Arial" w:eastAsia="Times New Roman" w:hAnsi="Arial" w:cs="Arial"/>
                <w:color w:val="000000"/>
                <w:sz w:val="20"/>
                <w:szCs w:val="20"/>
                <w:lang w:val="es-ES" w:eastAsia="es-ES"/>
              </w:rPr>
              <w:t>23.44844</w:t>
            </w:r>
          </w:p>
        </w:tc>
      </w:tr>
      <w:tr w:rsidR="00230AF6" w:rsidRPr="00230AF6" w:rsidTr="00F27DFF">
        <w:tblPrEx>
          <w:tblCellMar>
            <w:top w:w="0" w:type="dxa"/>
            <w:bottom w:w="0" w:type="dxa"/>
          </w:tblCellMar>
        </w:tblPrEx>
        <w:trPr>
          <w:trHeight w:val="272"/>
          <w:jc w:val="center"/>
        </w:trPr>
        <w:tc>
          <w:tcPr>
            <w:tcW w:w="2165" w:type="dxa"/>
            <w:tcBorders>
              <w:top w:val="nil"/>
              <w:left w:val="nil"/>
              <w:bottom w:val="nil"/>
              <w:right w:val="nil"/>
            </w:tcBorders>
            <w:vAlign w:val="bottom"/>
          </w:tcPr>
          <w:p w:rsidR="00230AF6" w:rsidRPr="00230AF6" w:rsidRDefault="00230AF6" w:rsidP="00230AF6">
            <w:pPr>
              <w:autoSpaceDE w:val="0"/>
              <w:autoSpaceDN w:val="0"/>
              <w:adjustRightInd w:val="0"/>
              <w:spacing w:after="0" w:line="240" w:lineRule="auto"/>
              <w:rPr>
                <w:rFonts w:ascii="Arial" w:eastAsia="Times New Roman" w:hAnsi="Arial" w:cs="Arial"/>
                <w:color w:val="000000"/>
                <w:sz w:val="20"/>
                <w:szCs w:val="20"/>
                <w:lang w:val="es-ES" w:eastAsia="es-ES"/>
              </w:rPr>
            </w:pPr>
            <w:r w:rsidRPr="00230AF6">
              <w:rPr>
                <w:rFonts w:ascii="Arial" w:eastAsia="Times New Roman" w:hAnsi="Arial" w:cs="Arial"/>
                <w:color w:val="000000"/>
                <w:sz w:val="20"/>
                <w:szCs w:val="20"/>
                <w:lang w:val="es-ES" w:eastAsia="es-ES"/>
              </w:rPr>
              <w:t>Sum squared resid</w:t>
            </w:r>
          </w:p>
        </w:tc>
        <w:tc>
          <w:tcPr>
            <w:tcW w:w="1039" w:type="dxa"/>
            <w:tcBorders>
              <w:top w:val="nil"/>
              <w:left w:val="nil"/>
              <w:bottom w:val="nil"/>
              <w:right w:val="nil"/>
            </w:tcBorders>
            <w:vAlign w:val="bottom"/>
          </w:tcPr>
          <w:p w:rsidR="00230AF6" w:rsidRPr="00230AF6" w:rsidRDefault="00230AF6" w:rsidP="00230AF6">
            <w:pPr>
              <w:autoSpaceDE w:val="0"/>
              <w:autoSpaceDN w:val="0"/>
              <w:adjustRightInd w:val="0"/>
              <w:spacing w:after="0" w:line="240" w:lineRule="auto"/>
              <w:ind w:right="10"/>
              <w:jc w:val="right"/>
              <w:rPr>
                <w:rFonts w:ascii="Arial" w:eastAsia="Times New Roman" w:hAnsi="Arial" w:cs="Arial"/>
                <w:color w:val="000000"/>
                <w:sz w:val="20"/>
                <w:szCs w:val="20"/>
                <w:lang w:val="es-ES" w:eastAsia="es-ES"/>
              </w:rPr>
            </w:pPr>
            <w:r w:rsidRPr="00230AF6">
              <w:rPr>
                <w:rFonts w:ascii="Arial" w:eastAsia="Times New Roman" w:hAnsi="Arial" w:cs="Arial"/>
                <w:color w:val="000000"/>
                <w:sz w:val="20"/>
                <w:szCs w:val="20"/>
                <w:lang w:val="es-ES" w:eastAsia="es-ES"/>
              </w:rPr>
              <w:t>2.52E+10</w:t>
            </w:r>
          </w:p>
        </w:tc>
        <w:tc>
          <w:tcPr>
            <w:tcW w:w="1271" w:type="dxa"/>
            <w:gridSpan w:val="2"/>
            <w:tcBorders>
              <w:top w:val="nil"/>
              <w:left w:val="nil"/>
              <w:bottom w:val="nil"/>
              <w:right w:val="nil"/>
            </w:tcBorders>
            <w:vAlign w:val="bottom"/>
          </w:tcPr>
          <w:p w:rsidR="00230AF6" w:rsidRPr="00230AF6" w:rsidRDefault="00230AF6" w:rsidP="00230AF6">
            <w:pPr>
              <w:autoSpaceDE w:val="0"/>
              <w:autoSpaceDN w:val="0"/>
              <w:adjustRightInd w:val="0"/>
              <w:spacing w:after="0" w:line="240" w:lineRule="auto"/>
              <w:ind w:right="10"/>
              <w:rPr>
                <w:rFonts w:ascii="Arial" w:eastAsia="Times New Roman" w:hAnsi="Arial" w:cs="Arial"/>
                <w:color w:val="000000"/>
                <w:sz w:val="20"/>
                <w:szCs w:val="20"/>
                <w:lang w:val="es-ES" w:eastAsia="es-ES"/>
              </w:rPr>
            </w:pPr>
            <w:r w:rsidRPr="00230AF6">
              <w:rPr>
                <w:rFonts w:ascii="Arial" w:eastAsia="Times New Roman" w:hAnsi="Arial" w:cs="Arial"/>
                <w:color w:val="000000"/>
                <w:sz w:val="20"/>
                <w:szCs w:val="20"/>
                <w:lang w:val="es-ES" w:eastAsia="es-ES"/>
              </w:rPr>
              <w:t>    Schwarz criterion</w:t>
            </w:r>
          </w:p>
        </w:tc>
        <w:tc>
          <w:tcPr>
            <w:tcW w:w="1040" w:type="dxa"/>
            <w:tcBorders>
              <w:top w:val="nil"/>
              <w:left w:val="nil"/>
              <w:bottom w:val="nil"/>
              <w:right w:val="nil"/>
            </w:tcBorders>
            <w:vAlign w:val="bottom"/>
          </w:tcPr>
          <w:p w:rsidR="00230AF6" w:rsidRPr="00230AF6" w:rsidRDefault="00230AF6" w:rsidP="00230AF6">
            <w:pPr>
              <w:autoSpaceDE w:val="0"/>
              <w:autoSpaceDN w:val="0"/>
              <w:adjustRightInd w:val="0"/>
              <w:spacing w:after="0" w:line="240" w:lineRule="auto"/>
              <w:ind w:right="10"/>
              <w:jc w:val="right"/>
              <w:rPr>
                <w:rFonts w:ascii="Arial" w:eastAsia="Times New Roman" w:hAnsi="Arial" w:cs="Arial"/>
                <w:color w:val="000000"/>
                <w:sz w:val="20"/>
                <w:szCs w:val="20"/>
                <w:lang w:val="es-ES" w:eastAsia="es-ES"/>
              </w:rPr>
            </w:pPr>
            <w:r w:rsidRPr="00230AF6">
              <w:rPr>
                <w:rFonts w:ascii="Arial" w:eastAsia="Times New Roman" w:hAnsi="Arial" w:cs="Arial"/>
                <w:color w:val="000000"/>
                <w:sz w:val="20"/>
                <w:szCs w:val="20"/>
                <w:lang w:val="es-ES" w:eastAsia="es-ES"/>
              </w:rPr>
              <w:t>23.54005</w:t>
            </w:r>
          </w:p>
        </w:tc>
      </w:tr>
      <w:tr w:rsidR="00230AF6" w:rsidRPr="00230AF6" w:rsidTr="00F27DFF">
        <w:tblPrEx>
          <w:tblCellMar>
            <w:top w:w="0" w:type="dxa"/>
            <w:bottom w:w="0" w:type="dxa"/>
          </w:tblCellMar>
        </w:tblPrEx>
        <w:trPr>
          <w:trHeight w:val="272"/>
          <w:jc w:val="center"/>
        </w:trPr>
        <w:tc>
          <w:tcPr>
            <w:tcW w:w="2165" w:type="dxa"/>
            <w:tcBorders>
              <w:top w:val="nil"/>
              <w:left w:val="nil"/>
              <w:bottom w:val="nil"/>
              <w:right w:val="nil"/>
            </w:tcBorders>
            <w:vAlign w:val="bottom"/>
          </w:tcPr>
          <w:p w:rsidR="00230AF6" w:rsidRPr="00230AF6" w:rsidRDefault="00230AF6" w:rsidP="00230AF6">
            <w:pPr>
              <w:autoSpaceDE w:val="0"/>
              <w:autoSpaceDN w:val="0"/>
              <w:adjustRightInd w:val="0"/>
              <w:spacing w:after="0" w:line="240" w:lineRule="auto"/>
              <w:rPr>
                <w:rFonts w:ascii="Arial" w:eastAsia="Times New Roman" w:hAnsi="Arial" w:cs="Arial"/>
                <w:color w:val="000000"/>
                <w:sz w:val="20"/>
                <w:szCs w:val="20"/>
                <w:lang w:val="es-ES" w:eastAsia="es-ES"/>
              </w:rPr>
            </w:pPr>
            <w:r w:rsidRPr="00230AF6">
              <w:rPr>
                <w:rFonts w:ascii="Arial" w:eastAsia="Times New Roman" w:hAnsi="Arial" w:cs="Arial"/>
                <w:color w:val="000000"/>
                <w:sz w:val="20"/>
                <w:szCs w:val="20"/>
                <w:lang w:val="es-ES" w:eastAsia="es-ES"/>
              </w:rPr>
              <w:t>Log likelihood</w:t>
            </w:r>
          </w:p>
        </w:tc>
        <w:tc>
          <w:tcPr>
            <w:tcW w:w="1039" w:type="dxa"/>
            <w:tcBorders>
              <w:top w:val="nil"/>
              <w:left w:val="nil"/>
              <w:bottom w:val="nil"/>
              <w:right w:val="nil"/>
            </w:tcBorders>
            <w:vAlign w:val="bottom"/>
          </w:tcPr>
          <w:p w:rsidR="00230AF6" w:rsidRPr="00230AF6" w:rsidRDefault="00230AF6" w:rsidP="00230AF6">
            <w:pPr>
              <w:autoSpaceDE w:val="0"/>
              <w:autoSpaceDN w:val="0"/>
              <w:adjustRightInd w:val="0"/>
              <w:spacing w:after="0" w:line="240" w:lineRule="auto"/>
              <w:ind w:right="10"/>
              <w:jc w:val="right"/>
              <w:rPr>
                <w:rFonts w:ascii="Arial" w:eastAsia="Times New Roman" w:hAnsi="Arial" w:cs="Arial"/>
                <w:color w:val="000000"/>
                <w:sz w:val="20"/>
                <w:szCs w:val="20"/>
                <w:lang w:val="es-ES" w:eastAsia="es-ES"/>
              </w:rPr>
            </w:pPr>
            <w:r w:rsidRPr="00230AF6">
              <w:rPr>
                <w:rFonts w:ascii="Arial" w:eastAsia="Times New Roman" w:hAnsi="Arial" w:cs="Arial"/>
                <w:color w:val="000000"/>
                <w:sz w:val="20"/>
                <w:szCs w:val="20"/>
                <w:lang w:val="es-ES" w:eastAsia="es-ES"/>
              </w:rPr>
              <w:t>-373.1750</w:t>
            </w:r>
          </w:p>
        </w:tc>
        <w:tc>
          <w:tcPr>
            <w:tcW w:w="1271" w:type="dxa"/>
            <w:gridSpan w:val="2"/>
            <w:tcBorders>
              <w:top w:val="nil"/>
              <w:left w:val="nil"/>
              <w:bottom w:val="nil"/>
              <w:right w:val="nil"/>
            </w:tcBorders>
            <w:vAlign w:val="bottom"/>
          </w:tcPr>
          <w:p w:rsidR="00230AF6" w:rsidRPr="00230AF6" w:rsidRDefault="00230AF6" w:rsidP="00230AF6">
            <w:pPr>
              <w:autoSpaceDE w:val="0"/>
              <w:autoSpaceDN w:val="0"/>
              <w:adjustRightInd w:val="0"/>
              <w:spacing w:after="0" w:line="240" w:lineRule="auto"/>
              <w:ind w:right="10"/>
              <w:rPr>
                <w:rFonts w:ascii="Arial" w:eastAsia="Times New Roman" w:hAnsi="Arial" w:cs="Arial"/>
                <w:color w:val="000000"/>
                <w:sz w:val="20"/>
                <w:szCs w:val="20"/>
                <w:lang w:val="es-ES" w:eastAsia="es-ES"/>
              </w:rPr>
            </w:pPr>
            <w:r w:rsidRPr="00230AF6">
              <w:rPr>
                <w:rFonts w:ascii="Arial" w:eastAsia="Times New Roman" w:hAnsi="Arial" w:cs="Arial"/>
                <w:color w:val="000000"/>
                <w:sz w:val="20"/>
                <w:szCs w:val="20"/>
                <w:lang w:val="es-ES" w:eastAsia="es-ES"/>
              </w:rPr>
              <w:t>    F-statistic</w:t>
            </w:r>
          </w:p>
        </w:tc>
        <w:tc>
          <w:tcPr>
            <w:tcW w:w="1040" w:type="dxa"/>
            <w:tcBorders>
              <w:top w:val="nil"/>
              <w:left w:val="nil"/>
              <w:bottom w:val="nil"/>
              <w:right w:val="nil"/>
            </w:tcBorders>
            <w:vAlign w:val="bottom"/>
          </w:tcPr>
          <w:p w:rsidR="00230AF6" w:rsidRPr="00230AF6" w:rsidRDefault="00230AF6" w:rsidP="00230AF6">
            <w:pPr>
              <w:autoSpaceDE w:val="0"/>
              <w:autoSpaceDN w:val="0"/>
              <w:adjustRightInd w:val="0"/>
              <w:spacing w:after="0" w:line="240" w:lineRule="auto"/>
              <w:ind w:right="10"/>
              <w:jc w:val="right"/>
              <w:rPr>
                <w:rFonts w:ascii="Arial" w:eastAsia="Times New Roman" w:hAnsi="Arial" w:cs="Arial"/>
                <w:color w:val="000000"/>
                <w:sz w:val="20"/>
                <w:szCs w:val="20"/>
                <w:lang w:val="es-ES" w:eastAsia="es-ES"/>
              </w:rPr>
            </w:pPr>
            <w:r w:rsidRPr="00230AF6">
              <w:rPr>
                <w:rFonts w:ascii="Arial" w:eastAsia="Times New Roman" w:hAnsi="Arial" w:cs="Arial"/>
                <w:color w:val="000000"/>
                <w:sz w:val="20"/>
                <w:szCs w:val="20"/>
                <w:lang w:val="es-ES" w:eastAsia="es-ES"/>
              </w:rPr>
              <w:t>782.8318</w:t>
            </w:r>
          </w:p>
        </w:tc>
      </w:tr>
      <w:tr w:rsidR="00230AF6" w:rsidRPr="00230AF6" w:rsidTr="00F27DFF">
        <w:tblPrEx>
          <w:tblCellMar>
            <w:top w:w="0" w:type="dxa"/>
            <w:bottom w:w="0" w:type="dxa"/>
          </w:tblCellMar>
        </w:tblPrEx>
        <w:trPr>
          <w:trHeight w:val="272"/>
          <w:jc w:val="center"/>
        </w:trPr>
        <w:tc>
          <w:tcPr>
            <w:tcW w:w="2165" w:type="dxa"/>
            <w:tcBorders>
              <w:top w:val="nil"/>
              <w:left w:val="nil"/>
              <w:bottom w:val="nil"/>
              <w:right w:val="nil"/>
            </w:tcBorders>
            <w:vAlign w:val="bottom"/>
          </w:tcPr>
          <w:p w:rsidR="00230AF6" w:rsidRPr="00230AF6" w:rsidRDefault="00230AF6" w:rsidP="00230AF6">
            <w:pPr>
              <w:autoSpaceDE w:val="0"/>
              <w:autoSpaceDN w:val="0"/>
              <w:adjustRightInd w:val="0"/>
              <w:spacing w:after="0" w:line="240" w:lineRule="auto"/>
              <w:rPr>
                <w:rFonts w:ascii="Arial" w:eastAsia="Times New Roman" w:hAnsi="Arial" w:cs="Arial"/>
                <w:color w:val="000000"/>
                <w:sz w:val="20"/>
                <w:szCs w:val="20"/>
                <w:lang w:val="es-ES" w:eastAsia="es-ES"/>
              </w:rPr>
            </w:pPr>
            <w:r w:rsidRPr="00230AF6">
              <w:rPr>
                <w:rFonts w:ascii="Arial" w:eastAsia="Times New Roman" w:hAnsi="Arial" w:cs="Arial"/>
                <w:color w:val="000000"/>
                <w:sz w:val="20"/>
                <w:szCs w:val="20"/>
                <w:lang w:val="es-ES" w:eastAsia="es-ES"/>
              </w:rPr>
              <w:t>Durbin-Watson stat</w:t>
            </w:r>
          </w:p>
        </w:tc>
        <w:tc>
          <w:tcPr>
            <w:tcW w:w="1039" w:type="dxa"/>
            <w:tcBorders>
              <w:top w:val="nil"/>
              <w:left w:val="nil"/>
              <w:bottom w:val="nil"/>
              <w:right w:val="nil"/>
            </w:tcBorders>
            <w:vAlign w:val="bottom"/>
          </w:tcPr>
          <w:p w:rsidR="00230AF6" w:rsidRPr="00230AF6" w:rsidRDefault="00230AF6" w:rsidP="00230AF6">
            <w:pPr>
              <w:autoSpaceDE w:val="0"/>
              <w:autoSpaceDN w:val="0"/>
              <w:adjustRightInd w:val="0"/>
              <w:spacing w:after="0" w:line="240" w:lineRule="auto"/>
              <w:ind w:right="10"/>
              <w:jc w:val="right"/>
              <w:rPr>
                <w:rFonts w:ascii="Arial" w:eastAsia="Times New Roman" w:hAnsi="Arial" w:cs="Arial"/>
                <w:color w:val="000000"/>
                <w:sz w:val="20"/>
                <w:szCs w:val="20"/>
                <w:lang w:val="es-ES" w:eastAsia="es-ES"/>
              </w:rPr>
            </w:pPr>
            <w:r w:rsidRPr="00230AF6">
              <w:rPr>
                <w:rFonts w:ascii="Arial" w:eastAsia="Times New Roman" w:hAnsi="Arial" w:cs="Arial"/>
                <w:color w:val="000000"/>
                <w:sz w:val="20"/>
                <w:szCs w:val="20"/>
                <w:lang w:val="es-ES" w:eastAsia="es-ES"/>
              </w:rPr>
              <w:t>0.503927</w:t>
            </w:r>
          </w:p>
        </w:tc>
        <w:tc>
          <w:tcPr>
            <w:tcW w:w="1271" w:type="dxa"/>
            <w:gridSpan w:val="2"/>
            <w:tcBorders>
              <w:top w:val="nil"/>
              <w:left w:val="nil"/>
              <w:bottom w:val="nil"/>
              <w:right w:val="nil"/>
            </w:tcBorders>
            <w:vAlign w:val="bottom"/>
          </w:tcPr>
          <w:p w:rsidR="00230AF6" w:rsidRPr="00230AF6" w:rsidRDefault="00230AF6" w:rsidP="00230AF6">
            <w:pPr>
              <w:autoSpaceDE w:val="0"/>
              <w:autoSpaceDN w:val="0"/>
              <w:adjustRightInd w:val="0"/>
              <w:spacing w:after="0" w:line="240" w:lineRule="auto"/>
              <w:ind w:right="10"/>
              <w:rPr>
                <w:rFonts w:ascii="Arial" w:eastAsia="Times New Roman" w:hAnsi="Arial" w:cs="Arial"/>
                <w:color w:val="000000"/>
                <w:sz w:val="20"/>
                <w:szCs w:val="20"/>
                <w:lang w:val="es-ES" w:eastAsia="es-ES"/>
              </w:rPr>
            </w:pPr>
            <w:r w:rsidRPr="00230AF6">
              <w:rPr>
                <w:rFonts w:ascii="Arial" w:eastAsia="Times New Roman" w:hAnsi="Arial" w:cs="Arial"/>
                <w:color w:val="000000"/>
                <w:sz w:val="20"/>
                <w:szCs w:val="20"/>
                <w:lang w:val="es-ES" w:eastAsia="es-ES"/>
              </w:rPr>
              <w:t>    Prob(F-statistic)</w:t>
            </w:r>
          </w:p>
        </w:tc>
        <w:tc>
          <w:tcPr>
            <w:tcW w:w="1040" w:type="dxa"/>
            <w:tcBorders>
              <w:top w:val="nil"/>
              <w:left w:val="nil"/>
              <w:bottom w:val="nil"/>
              <w:right w:val="nil"/>
            </w:tcBorders>
            <w:vAlign w:val="bottom"/>
          </w:tcPr>
          <w:p w:rsidR="00230AF6" w:rsidRPr="00230AF6" w:rsidRDefault="00230AF6" w:rsidP="00230AF6">
            <w:pPr>
              <w:autoSpaceDE w:val="0"/>
              <w:autoSpaceDN w:val="0"/>
              <w:adjustRightInd w:val="0"/>
              <w:spacing w:after="0" w:line="240" w:lineRule="auto"/>
              <w:ind w:right="10"/>
              <w:jc w:val="right"/>
              <w:rPr>
                <w:rFonts w:ascii="Arial" w:eastAsia="Times New Roman" w:hAnsi="Arial" w:cs="Arial"/>
                <w:color w:val="000000"/>
                <w:sz w:val="20"/>
                <w:szCs w:val="20"/>
                <w:lang w:val="es-ES" w:eastAsia="es-ES"/>
              </w:rPr>
            </w:pPr>
            <w:r w:rsidRPr="00230AF6">
              <w:rPr>
                <w:rFonts w:ascii="Arial" w:eastAsia="Times New Roman" w:hAnsi="Arial" w:cs="Arial"/>
                <w:color w:val="000000"/>
                <w:sz w:val="20"/>
                <w:szCs w:val="20"/>
                <w:lang w:val="es-ES" w:eastAsia="es-ES"/>
              </w:rPr>
              <w:t>0.000000</w:t>
            </w:r>
          </w:p>
        </w:tc>
      </w:tr>
      <w:tr w:rsidR="00230AF6" w:rsidRPr="00230AF6" w:rsidTr="00F27DFF">
        <w:tblPrEx>
          <w:tblCellMar>
            <w:top w:w="0" w:type="dxa"/>
            <w:bottom w:w="0" w:type="dxa"/>
          </w:tblCellMar>
        </w:tblPrEx>
        <w:trPr>
          <w:trHeight w:hRule="exact" w:val="102"/>
          <w:jc w:val="center"/>
        </w:trPr>
        <w:tc>
          <w:tcPr>
            <w:tcW w:w="2165" w:type="dxa"/>
            <w:tcBorders>
              <w:top w:val="nil"/>
              <w:left w:val="nil"/>
              <w:bottom w:val="double" w:sz="6" w:space="0" w:color="auto"/>
              <w:right w:val="nil"/>
            </w:tcBorders>
            <w:vAlign w:val="bottom"/>
          </w:tcPr>
          <w:p w:rsidR="00230AF6" w:rsidRPr="00230AF6" w:rsidRDefault="00230AF6" w:rsidP="00230AF6">
            <w:pPr>
              <w:autoSpaceDE w:val="0"/>
              <w:autoSpaceDN w:val="0"/>
              <w:adjustRightInd w:val="0"/>
              <w:spacing w:after="0" w:line="240" w:lineRule="auto"/>
              <w:jc w:val="center"/>
              <w:rPr>
                <w:rFonts w:ascii="Arial" w:eastAsia="Times New Roman" w:hAnsi="Arial" w:cs="Arial"/>
                <w:color w:val="000000"/>
                <w:sz w:val="20"/>
                <w:szCs w:val="20"/>
                <w:lang w:val="es-ES" w:eastAsia="es-ES"/>
              </w:rPr>
            </w:pPr>
          </w:p>
        </w:tc>
        <w:tc>
          <w:tcPr>
            <w:tcW w:w="1039" w:type="dxa"/>
            <w:tcBorders>
              <w:top w:val="nil"/>
              <w:left w:val="nil"/>
              <w:bottom w:val="double" w:sz="6" w:space="0" w:color="auto"/>
              <w:right w:val="nil"/>
            </w:tcBorders>
            <w:vAlign w:val="bottom"/>
          </w:tcPr>
          <w:p w:rsidR="00230AF6" w:rsidRPr="00230AF6" w:rsidRDefault="00230AF6" w:rsidP="00230AF6">
            <w:pPr>
              <w:autoSpaceDE w:val="0"/>
              <w:autoSpaceDN w:val="0"/>
              <w:adjustRightInd w:val="0"/>
              <w:spacing w:after="0" w:line="240" w:lineRule="auto"/>
              <w:jc w:val="center"/>
              <w:rPr>
                <w:rFonts w:ascii="Arial" w:eastAsia="Times New Roman" w:hAnsi="Arial" w:cs="Arial"/>
                <w:color w:val="000000"/>
                <w:sz w:val="20"/>
                <w:szCs w:val="20"/>
                <w:lang w:val="es-ES" w:eastAsia="es-ES"/>
              </w:rPr>
            </w:pPr>
          </w:p>
        </w:tc>
        <w:tc>
          <w:tcPr>
            <w:tcW w:w="1271" w:type="dxa"/>
            <w:tcBorders>
              <w:top w:val="nil"/>
              <w:left w:val="nil"/>
              <w:bottom w:val="double" w:sz="6" w:space="0" w:color="auto"/>
              <w:right w:val="nil"/>
            </w:tcBorders>
            <w:vAlign w:val="bottom"/>
          </w:tcPr>
          <w:p w:rsidR="00230AF6" w:rsidRPr="00230AF6" w:rsidRDefault="00230AF6" w:rsidP="00230AF6">
            <w:pPr>
              <w:autoSpaceDE w:val="0"/>
              <w:autoSpaceDN w:val="0"/>
              <w:adjustRightInd w:val="0"/>
              <w:spacing w:after="0" w:line="240" w:lineRule="auto"/>
              <w:jc w:val="center"/>
              <w:rPr>
                <w:rFonts w:ascii="Arial" w:eastAsia="Times New Roman" w:hAnsi="Arial" w:cs="Arial"/>
                <w:color w:val="000000"/>
                <w:sz w:val="20"/>
                <w:szCs w:val="20"/>
                <w:lang w:val="es-ES" w:eastAsia="es-ES"/>
              </w:rPr>
            </w:pPr>
          </w:p>
        </w:tc>
        <w:tc>
          <w:tcPr>
            <w:tcW w:w="1270" w:type="dxa"/>
            <w:tcBorders>
              <w:top w:val="nil"/>
              <w:left w:val="nil"/>
              <w:bottom w:val="double" w:sz="6" w:space="0" w:color="auto"/>
              <w:right w:val="nil"/>
            </w:tcBorders>
            <w:vAlign w:val="bottom"/>
          </w:tcPr>
          <w:p w:rsidR="00230AF6" w:rsidRPr="00230AF6" w:rsidRDefault="00230AF6" w:rsidP="00230AF6">
            <w:pPr>
              <w:autoSpaceDE w:val="0"/>
              <w:autoSpaceDN w:val="0"/>
              <w:adjustRightInd w:val="0"/>
              <w:spacing w:after="0" w:line="240" w:lineRule="auto"/>
              <w:jc w:val="center"/>
              <w:rPr>
                <w:rFonts w:ascii="Arial" w:eastAsia="Times New Roman" w:hAnsi="Arial" w:cs="Arial"/>
                <w:color w:val="000000"/>
                <w:sz w:val="20"/>
                <w:szCs w:val="20"/>
                <w:lang w:val="es-ES" w:eastAsia="es-ES"/>
              </w:rPr>
            </w:pPr>
          </w:p>
        </w:tc>
        <w:tc>
          <w:tcPr>
            <w:tcW w:w="1040" w:type="dxa"/>
            <w:tcBorders>
              <w:top w:val="nil"/>
              <w:left w:val="nil"/>
              <w:bottom w:val="double" w:sz="6" w:space="0" w:color="auto"/>
              <w:right w:val="nil"/>
            </w:tcBorders>
            <w:vAlign w:val="bottom"/>
          </w:tcPr>
          <w:p w:rsidR="00230AF6" w:rsidRPr="00230AF6" w:rsidRDefault="00230AF6" w:rsidP="00230AF6">
            <w:pPr>
              <w:autoSpaceDE w:val="0"/>
              <w:autoSpaceDN w:val="0"/>
              <w:adjustRightInd w:val="0"/>
              <w:spacing w:after="0" w:line="240" w:lineRule="auto"/>
              <w:jc w:val="center"/>
              <w:rPr>
                <w:rFonts w:ascii="Arial" w:eastAsia="Times New Roman" w:hAnsi="Arial" w:cs="Arial"/>
                <w:color w:val="000000"/>
                <w:sz w:val="20"/>
                <w:szCs w:val="20"/>
                <w:lang w:val="es-ES" w:eastAsia="es-ES"/>
              </w:rPr>
            </w:pPr>
          </w:p>
        </w:tc>
      </w:tr>
      <w:tr w:rsidR="00230AF6" w:rsidRPr="00230AF6" w:rsidTr="00F27DFF">
        <w:tblPrEx>
          <w:tblCellMar>
            <w:top w:w="0" w:type="dxa"/>
            <w:bottom w:w="0" w:type="dxa"/>
          </w:tblCellMar>
        </w:tblPrEx>
        <w:trPr>
          <w:trHeight w:hRule="exact" w:val="153"/>
          <w:jc w:val="center"/>
        </w:trPr>
        <w:tc>
          <w:tcPr>
            <w:tcW w:w="2165" w:type="dxa"/>
            <w:tcBorders>
              <w:top w:val="nil"/>
              <w:left w:val="nil"/>
              <w:bottom w:val="nil"/>
              <w:right w:val="nil"/>
            </w:tcBorders>
            <w:vAlign w:val="bottom"/>
          </w:tcPr>
          <w:p w:rsidR="00230AF6" w:rsidRPr="00230AF6" w:rsidRDefault="00230AF6" w:rsidP="00230AF6">
            <w:pPr>
              <w:autoSpaceDE w:val="0"/>
              <w:autoSpaceDN w:val="0"/>
              <w:adjustRightInd w:val="0"/>
              <w:spacing w:after="0" w:line="240" w:lineRule="auto"/>
              <w:jc w:val="center"/>
              <w:rPr>
                <w:rFonts w:ascii="Arial" w:eastAsia="Times New Roman" w:hAnsi="Arial" w:cs="Arial"/>
                <w:color w:val="000000"/>
                <w:sz w:val="20"/>
                <w:szCs w:val="20"/>
                <w:lang w:val="es-ES" w:eastAsia="es-ES"/>
              </w:rPr>
            </w:pPr>
          </w:p>
        </w:tc>
        <w:tc>
          <w:tcPr>
            <w:tcW w:w="1039" w:type="dxa"/>
            <w:tcBorders>
              <w:top w:val="nil"/>
              <w:left w:val="nil"/>
              <w:bottom w:val="nil"/>
              <w:right w:val="nil"/>
            </w:tcBorders>
            <w:vAlign w:val="bottom"/>
          </w:tcPr>
          <w:p w:rsidR="00230AF6" w:rsidRPr="00230AF6" w:rsidRDefault="00230AF6" w:rsidP="00230AF6">
            <w:pPr>
              <w:autoSpaceDE w:val="0"/>
              <w:autoSpaceDN w:val="0"/>
              <w:adjustRightInd w:val="0"/>
              <w:spacing w:after="0" w:line="240" w:lineRule="auto"/>
              <w:jc w:val="center"/>
              <w:rPr>
                <w:rFonts w:ascii="Arial" w:eastAsia="Times New Roman" w:hAnsi="Arial" w:cs="Arial"/>
                <w:color w:val="000000"/>
                <w:sz w:val="20"/>
                <w:szCs w:val="20"/>
                <w:lang w:val="es-ES" w:eastAsia="es-ES"/>
              </w:rPr>
            </w:pPr>
          </w:p>
        </w:tc>
        <w:tc>
          <w:tcPr>
            <w:tcW w:w="1271" w:type="dxa"/>
            <w:tcBorders>
              <w:top w:val="nil"/>
              <w:left w:val="nil"/>
              <w:bottom w:val="nil"/>
              <w:right w:val="nil"/>
            </w:tcBorders>
            <w:vAlign w:val="bottom"/>
          </w:tcPr>
          <w:p w:rsidR="00230AF6" w:rsidRPr="00230AF6" w:rsidRDefault="00230AF6" w:rsidP="00230AF6">
            <w:pPr>
              <w:autoSpaceDE w:val="0"/>
              <w:autoSpaceDN w:val="0"/>
              <w:adjustRightInd w:val="0"/>
              <w:spacing w:after="0" w:line="240" w:lineRule="auto"/>
              <w:jc w:val="center"/>
              <w:rPr>
                <w:rFonts w:ascii="Arial" w:eastAsia="Times New Roman" w:hAnsi="Arial" w:cs="Arial"/>
                <w:color w:val="000000"/>
                <w:sz w:val="20"/>
                <w:szCs w:val="20"/>
                <w:lang w:val="es-ES" w:eastAsia="es-ES"/>
              </w:rPr>
            </w:pPr>
          </w:p>
        </w:tc>
        <w:tc>
          <w:tcPr>
            <w:tcW w:w="1270" w:type="dxa"/>
            <w:tcBorders>
              <w:top w:val="nil"/>
              <w:left w:val="nil"/>
              <w:bottom w:val="nil"/>
              <w:right w:val="nil"/>
            </w:tcBorders>
            <w:vAlign w:val="bottom"/>
          </w:tcPr>
          <w:p w:rsidR="00230AF6" w:rsidRPr="00230AF6" w:rsidRDefault="00230AF6" w:rsidP="00230AF6">
            <w:pPr>
              <w:autoSpaceDE w:val="0"/>
              <w:autoSpaceDN w:val="0"/>
              <w:adjustRightInd w:val="0"/>
              <w:spacing w:after="0" w:line="240" w:lineRule="auto"/>
              <w:jc w:val="center"/>
              <w:rPr>
                <w:rFonts w:ascii="Arial" w:eastAsia="Times New Roman" w:hAnsi="Arial" w:cs="Arial"/>
                <w:color w:val="000000"/>
                <w:sz w:val="20"/>
                <w:szCs w:val="20"/>
                <w:lang w:val="es-ES" w:eastAsia="es-ES"/>
              </w:rPr>
            </w:pPr>
          </w:p>
        </w:tc>
        <w:tc>
          <w:tcPr>
            <w:tcW w:w="1040" w:type="dxa"/>
            <w:tcBorders>
              <w:top w:val="nil"/>
              <w:left w:val="nil"/>
              <w:bottom w:val="nil"/>
              <w:right w:val="nil"/>
            </w:tcBorders>
            <w:vAlign w:val="bottom"/>
          </w:tcPr>
          <w:p w:rsidR="00230AF6" w:rsidRPr="00230AF6" w:rsidRDefault="00230AF6" w:rsidP="00230AF6">
            <w:pPr>
              <w:autoSpaceDE w:val="0"/>
              <w:autoSpaceDN w:val="0"/>
              <w:adjustRightInd w:val="0"/>
              <w:spacing w:after="0" w:line="240" w:lineRule="auto"/>
              <w:jc w:val="center"/>
              <w:rPr>
                <w:rFonts w:ascii="Arial" w:eastAsia="Times New Roman" w:hAnsi="Arial" w:cs="Arial"/>
                <w:color w:val="000000"/>
                <w:sz w:val="20"/>
                <w:szCs w:val="20"/>
                <w:lang w:val="es-ES" w:eastAsia="es-ES"/>
              </w:rPr>
            </w:pPr>
          </w:p>
        </w:tc>
      </w:tr>
    </w:tbl>
    <w:p w:rsidR="0015454E" w:rsidRPr="00F27DFF" w:rsidRDefault="00230AF6" w:rsidP="008431A6">
      <w:pPr>
        <w:spacing w:line="240" w:lineRule="auto"/>
        <w:jc w:val="both"/>
        <w:rPr>
          <w:rFonts w:ascii="Arial" w:hAnsi="Arial" w:cs="Arial"/>
          <w:sz w:val="16"/>
          <w:szCs w:val="16"/>
        </w:rPr>
      </w:pPr>
      <w:r w:rsidRPr="00F27DFF">
        <w:rPr>
          <w:rFonts w:ascii="Arial" w:eastAsia="Times New Roman" w:hAnsi="Arial" w:cs="Arial"/>
          <w:sz w:val="20"/>
          <w:szCs w:val="20"/>
          <w:lang w:val="es-ES" w:eastAsia="es-ES"/>
        </w:rPr>
        <w:br/>
      </w:r>
      <w:r w:rsidR="0015454E" w:rsidRPr="00F27DFF">
        <w:rPr>
          <w:rFonts w:ascii="Arial" w:hAnsi="Arial" w:cs="Arial"/>
          <w:sz w:val="16"/>
          <w:szCs w:val="16"/>
        </w:rPr>
        <w:t>Fuente: Superintendencia de Bancos</w:t>
      </w:r>
    </w:p>
    <w:p w:rsidR="0015454E" w:rsidRPr="00F27DFF" w:rsidRDefault="0015454E" w:rsidP="008431A6">
      <w:pPr>
        <w:spacing w:line="240" w:lineRule="auto"/>
        <w:jc w:val="both"/>
        <w:rPr>
          <w:rFonts w:ascii="Arial" w:hAnsi="Arial" w:cs="Arial"/>
          <w:sz w:val="16"/>
          <w:szCs w:val="16"/>
        </w:rPr>
      </w:pPr>
      <w:r w:rsidRPr="00F27DFF">
        <w:rPr>
          <w:rFonts w:ascii="Arial" w:hAnsi="Arial" w:cs="Arial"/>
          <w:sz w:val="16"/>
          <w:szCs w:val="16"/>
        </w:rPr>
        <w:t>Elaboración: Autores</w:t>
      </w:r>
    </w:p>
    <w:p w:rsidR="0015454E" w:rsidRDefault="0015454E" w:rsidP="008431A6">
      <w:pPr>
        <w:spacing w:line="240" w:lineRule="auto"/>
        <w:ind w:firstLine="708"/>
        <w:jc w:val="both"/>
        <w:rPr>
          <w:rFonts w:ascii="Arial" w:hAnsi="Arial" w:cs="Arial"/>
        </w:rPr>
      </w:pPr>
    </w:p>
    <w:p w:rsidR="0015454E" w:rsidRPr="00230AF6" w:rsidRDefault="0015454E" w:rsidP="0015454E">
      <w:pPr>
        <w:spacing w:line="360" w:lineRule="auto"/>
        <w:ind w:firstLine="454"/>
        <w:jc w:val="both"/>
        <w:rPr>
          <w:rFonts w:ascii="Arial" w:hAnsi="Arial" w:cs="Arial"/>
          <w:sz w:val="24"/>
          <w:szCs w:val="24"/>
        </w:rPr>
      </w:pPr>
      <w:r w:rsidRPr="00230AF6">
        <w:rPr>
          <w:rFonts w:ascii="Arial" w:hAnsi="Arial" w:cs="Arial"/>
          <w:sz w:val="24"/>
          <w:szCs w:val="24"/>
        </w:rPr>
        <w:t>Volvemos a observar que los coeficientes son significativos dado que ambos rechazan la hipótesis nula que son igual a cero.</w:t>
      </w:r>
    </w:p>
    <w:p w:rsidR="00230AF6" w:rsidRPr="00230AF6" w:rsidRDefault="0015454E" w:rsidP="00F849B7">
      <w:pPr>
        <w:spacing w:line="360" w:lineRule="auto"/>
        <w:ind w:firstLine="454"/>
        <w:jc w:val="both"/>
        <w:rPr>
          <w:rFonts w:ascii="Arial" w:hAnsi="Arial" w:cs="Arial"/>
          <w:sz w:val="24"/>
          <w:szCs w:val="24"/>
        </w:rPr>
      </w:pPr>
      <w:r w:rsidRPr="00230AF6">
        <w:rPr>
          <w:rFonts w:ascii="Arial" w:hAnsi="Arial" w:cs="Arial"/>
          <w:sz w:val="24"/>
          <w:szCs w:val="24"/>
        </w:rPr>
        <w:t>Comparamos ahora el valor real de las colocaciones brutas con el proyectado volvemos a obtener un error menor al 1% dando la veracidad necesaria a nuestro modelo</w:t>
      </w:r>
      <w:r w:rsidR="00F849B7">
        <w:rPr>
          <w:rFonts w:ascii="Arial" w:hAnsi="Arial" w:cs="Arial"/>
          <w:sz w:val="24"/>
          <w:szCs w:val="24"/>
        </w:rPr>
        <w:t>.</w:t>
      </w:r>
    </w:p>
    <w:p w:rsidR="0015454E" w:rsidRPr="00991A27" w:rsidRDefault="0015454E" w:rsidP="0015454E">
      <w:pPr>
        <w:spacing w:line="360" w:lineRule="auto"/>
        <w:jc w:val="center"/>
        <w:rPr>
          <w:rFonts w:ascii="Arial" w:hAnsi="Arial" w:cs="Arial"/>
          <w:b/>
        </w:rPr>
      </w:pPr>
      <w:r w:rsidRPr="00991A27">
        <w:rPr>
          <w:rFonts w:ascii="Arial" w:hAnsi="Arial" w:cs="Arial"/>
          <w:b/>
        </w:rPr>
        <w:t>Cuadro 3.4</w:t>
      </w:r>
    </w:p>
    <w:tbl>
      <w:tblPr>
        <w:tblW w:w="4631" w:type="dxa"/>
        <w:tblInd w:w="151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70" w:type="dxa"/>
          <w:right w:w="70" w:type="dxa"/>
        </w:tblCellMar>
        <w:tblLook w:val="0000"/>
      </w:tblPr>
      <w:tblGrid>
        <w:gridCol w:w="1338"/>
        <w:gridCol w:w="1664"/>
        <w:gridCol w:w="1629"/>
      </w:tblGrid>
      <w:tr w:rsidR="0015454E" w:rsidRPr="00991A27" w:rsidTr="008431A6">
        <w:trPr>
          <w:trHeight w:val="309"/>
        </w:trPr>
        <w:tc>
          <w:tcPr>
            <w:tcW w:w="4631" w:type="dxa"/>
            <w:gridSpan w:val="3"/>
            <w:shd w:val="clear" w:color="auto" w:fill="800000"/>
            <w:noWrap/>
            <w:vAlign w:val="bottom"/>
          </w:tcPr>
          <w:p w:rsidR="0015454E" w:rsidRPr="00991A27" w:rsidRDefault="0015454E" w:rsidP="008431A6">
            <w:pPr>
              <w:spacing w:line="360" w:lineRule="auto"/>
              <w:jc w:val="center"/>
              <w:rPr>
                <w:rFonts w:ascii="Arial" w:hAnsi="Arial" w:cs="Arial"/>
                <w:b/>
                <w:bCs/>
              </w:rPr>
            </w:pPr>
            <w:r w:rsidRPr="00991A27">
              <w:rPr>
                <w:rFonts w:ascii="Arial" w:hAnsi="Arial" w:cs="Arial"/>
                <w:b/>
                <w:bCs/>
              </w:rPr>
              <w:t>Colocaciones Brutas</w:t>
            </w:r>
          </w:p>
        </w:tc>
      </w:tr>
      <w:tr w:rsidR="0015454E" w:rsidRPr="00991A27" w:rsidTr="008431A6">
        <w:trPr>
          <w:trHeight w:val="254"/>
        </w:trPr>
        <w:tc>
          <w:tcPr>
            <w:tcW w:w="1338" w:type="dxa"/>
            <w:shd w:val="clear" w:color="auto" w:fill="800000"/>
            <w:noWrap/>
            <w:vAlign w:val="bottom"/>
          </w:tcPr>
          <w:p w:rsidR="0015454E" w:rsidRPr="00991A27" w:rsidRDefault="0015454E" w:rsidP="00FC4F38">
            <w:pPr>
              <w:spacing w:line="360" w:lineRule="auto"/>
              <w:jc w:val="both"/>
              <w:rPr>
                <w:rFonts w:ascii="Arial" w:hAnsi="Arial" w:cs="Arial"/>
                <w:b/>
                <w:bCs/>
              </w:rPr>
            </w:pPr>
            <w:r w:rsidRPr="00991A27">
              <w:rPr>
                <w:rFonts w:ascii="Arial" w:hAnsi="Arial" w:cs="Arial"/>
                <w:b/>
                <w:bCs/>
              </w:rPr>
              <w:t>Real</w:t>
            </w:r>
          </w:p>
        </w:tc>
        <w:tc>
          <w:tcPr>
            <w:tcW w:w="1664" w:type="dxa"/>
            <w:shd w:val="clear" w:color="auto" w:fill="800000"/>
            <w:noWrap/>
            <w:vAlign w:val="bottom"/>
          </w:tcPr>
          <w:p w:rsidR="0015454E" w:rsidRPr="00991A27" w:rsidRDefault="0015454E" w:rsidP="00FC4F38">
            <w:pPr>
              <w:spacing w:line="360" w:lineRule="auto"/>
              <w:jc w:val="both"/>
              <w:rPr>
                <w:rFonts w:ascii="Arial" w:hAnsi="Arial" w:cs="Arial"/>
                <w:b/>
                <w:bCs/>
              </w:rPr>
            </w:pPr>
            <w:r w:rsidRPr="00991A27">
              <w:rPr>
                <w:rFonts w:ascii="Arial" w:hAnsi="Arial" w:cs="Arial"/>
                <w:b/>
                <w:bCs/>
              </w:rPr>
              <w:t>Proyectada</w:t>
            </w:r>
          </w:p>
        </w:tc>
        <w:tc>
          <w:tcPr>
            <w:tcW w:w="1629" w:type="dxa"/>
            <w:shd w:val="clear" w:color="auto" w:fill="800000"/>
            <w:noWrap/>
            <w:vAlign w:val="bottom"/>
          </w:tcPr>
          <w:p w:rsidR="0015454E" w:rsidRPr="00991A27" w:rsidRDefault="0015454E" w:rsidP="00FC4F38">
            <w:pPr>
              <w:spacing w:line="360" w:lineRule="auto"/>
              <w:jc w:val="both"/>
              <w:rPr>
                <w:rFonts w:ascii="Arial" w:hAnsi="Arial" w:cs="Arial"/>
                <w:b/>
                <w:bCs/>
              </w:rPr>
            </w:pPr>
            <w:r w:rsidRPr="00991A27">
              <w:rPr>
                <w:rFonts w:ascii="Arial" w:hAnsi="Arial" w:cs="Arial"/>
                <w:b/>
                <w:bCs/>
              </w:rPr>
              <w:t>Mg error</w:t>
            </w:r>
          </w:p>
        </w:tc>
      </w:tr>
      <w:tr w:rsidR="0015454E" w:rsidRPr="00991A27" w:rsidTr="008431A6">
        <w:trPr>
          <w:trHeight w:val="326"/>
        </w:trPr>
        <w:tc>
          <w:tcPr>
            <w:tcW w:w="1338" w:type="dxa"/>
            <w:shd w:val="clear" w:color="auto" w:fill="auto"/>
            <w:noWrap/>
            <w:vAlign w:val="bottom"/>
          </w:tcPr>
          <w:p w:rsidR="0015454E" w:rsidRPr="00991A27" w:rsidRDefault="0015454E" w:rsidP="00FC4F38">
            <w:pPr>
              <w:spacing w:line="360" w:lineRule="auto"/>
              <w:jc w:val="both"/>
              <w:rPr>
                <w:rFonts w:ascii="Arial" w:hAnsi="Arial" w:cs="Arial"/>
                <w:b/>
                <w:bCs/>
              </w:rPr>
            </w:pPr>
            <w:r w:rsidRPr="00991A27">
              <w:rPr>
                <w:rFonts w:ascii="Arial" w:hAnsi="Arial" w:cs="Arial"/>
                <w:b/>
                <w:bCs/>
              </w:rPr>
              <w:t>635198</w:t>
            </w:r>
          </w:p>
        </w:tc>
        <w:tc>
          <w:tcPr>
            <w:tcW w:w="1664" w:type="dxa"/>
            <w:shd w:val="clear" w:color="auto" w:fill="auto"/>
            <w:noWrap/>
            <w:vAlign w:val="bottom"/>
          </w:tcPr>
          <w:p w:rsidR="0015454E" w:rsidRPr="00991A27" w:rsidRDefault="0015454E" w:rsidP="00FC4F38">
            <w:pPr>
              <w:spacing w:line="360" w:lineRule="auto"/>
              <w:jc w:val="both"/>
              <w:rPr>
                <w:rFonts w:ascii="Arial" w:hAnsi="Arial" w:cs="Arial"/>
                <w:b/>
                <w:bCs/>
              </w:rPr>
            </w:pPr>
            <w:r w:rsidRPr="00991A27">
              <w:rPr>
                <w:rFonts w:ascii="Arial" w:hAnsi="Arial" w:cs="Arial"/>
                <w:b/>
                <w:bCs/>
              </w:rPr>
              <w:t>637362,9</w:t>
            </w:r>
          </w:p>
        </w:tc>
        <w:tc>
          <w:tcPr>
            <w:tcW w:w="1629" w:type="dxa"/>
            <w:shd w:val="clear" w:color="auto" w:fill="auto"/>
            <w:noWrap/>
            <w:vAlign w:val="bottom"/>
          </w:tcPr>
          <w:p w:rsidR="0015454E" w:rsidRPr="00991A27" w:rsidRDefault="0015454E" w:rsidP="00FC4F38">
            <w:pPr>
              <w:spacing w:line="360" w:lineRule="auto"/>
              <w:jc w:val="both"/>
              <w:rPr>
                <w:rFonts w:ascii="Arial" w:hAnsi="Arial" w:cs="Arial"/>
                <w:b/>
                <w:bCs/>
              </w:rPr>
            </w:pPr>
            <w:r w:rsidRPr="00991A27">
              <w:rPr>
                <w:rFonts w:ascii="Arial" w:hAnsi="Arial" w:cs="Arial"/>
                <w:b/>
                <w:bCs/>
              </w:rPr>
              <w:t>0,00339665</w:t>
            </w:r>
          </w:p>
        </w:tc>
      </w:tr>
    </w:tbl>
    <w:p w:rsidR="0015454E" w:rsidRPr="00F27DFF" w:rsidRDefault="0015454E" w:rsidP="008431A6">
      <w:pPr>
        <w:spacing w:line="240" w:lineRule="auto"/>
        <w:jc w:val="both"/>
        <w:rPr>
          <w:rFonts w:ascii="Arial" w:hAnsi="Arial" w:cs="Arial"/>
          <w:sz w:val="16"/>
          <w:szCs w:val="16"/>
        </w:rPr>
      </w:pPr>
      <w:r w:rsidRPr="00F27DFF">
        <w:rPr>
          <w:rFonts w:ascii="Arial" w:hAnsi="Arial" w:cs="Arial"/>
          <w:sz w:val="16"/>
          <w:szCs w:val="16"/>
        </w:rPr>
        <w:t>Fuente: Superintendencia de Bancos</w:t>
      </w:r>
    </w:p>
    <w:p w:rsidR="0015454E" w:rsidRPr="00F849B7" w:rsidRDefault="0015454E" w:rsidP="008431A6">
      <w:pPr>
        <w:spacing w:line="240" w:lineRule="auto"/>
        <w:jc w:val="both"/>
      </w:pPr>
      <w:r w:rsidRPr="00F27DFF">
        <w:rPr>
          <w:rFonts w:ascii="Arial" w:hAnsi="Arial" w:cs="Arial"/>
          <w:sz w:val="16"/>
          <w:szCs w:val="16"/>
        </w:rPr>
        <w:t>Elaboración: Autores</w:t>
      </w:r>
    </w:p>
    <w:p w:rsidR="0015454E" w:rsidRPr="00040153" w:rsidRDefault="0015454E" w:rsidP="0015454E">
      <w:pPr>
        <w:numPr>
          <w:ilvl w:val="2"/>
          <w:numId w:val="21"/>
        </w:numPr>
        <w:tabs>
          <w:tab w:val="clear" w:pos="1410"/>
          <w:tab w:val="num" w:pos="1080"/>
        </w:tabs>
        <w:spacing w:after="0" w:line="360" w:lineRule="auto"/>
        <w:ind w:hanging="870"/>
        <w:jc w:val="both"/>
        <w:rPr>
          <w:rFonts w:ascii="Arial" w:hAnsi="Arial" w:cs="Arial"/>
          <w:b/>
          <w:sz w:val="28"/>
          <w:szCs w:val="28"/>
        </w:rPr>
      </w:pPr>
      <w:r w:rsidRPr="00040153">
        <w:rPr>
          <w:rFonts w:ascii="Arial" w:hAnsi="Arial" w:cs="Arial"/>
          <w:b/>
          <w:sz w:val="28"/>
          <w:szCs w:val="28"/>
        </w:rPr>
        <w:lastRenderedPageBreak/>
        <w:tab/>
      </w:r>
      <w:r w:rsidR="00230AF6">
        <w:rPr>
          <w:rFonts w:ascii="Arial" w:hAnsi="Arial" w:cs="Arial"/>
          <w:b/>
          <w:sz w:val="28"/>
          <w:szCs w:val="28"/>
        </w:rPr>
        <w:t>PROYECCIÒN DE LAS DEMÀ</w:t>
      </w:r>
      <w:r w:rsidRPr="00040153">
        <w:rPr>
          <w:rFonts w:ascii="Arial" w:hAnsi="Arial" w:cs="Arial"/>
          <w:b/>
          <w:sz w:val="28"/>
          <w:szCs w:val="28"/>
        </w:rPr>
        <w:t>S CUEN</w:t>
      </w:r>
      <w:r w:rsidR="00230AF6">
        <w:rPr>
          <w:rFonts w:ascii="Arial" w:hAnsi="Arial" w:cs="Arial"/>
          <w:b/>
          <w:sz w:val="28"/>
          <w:szCs w:val="28"/>
        </w:rPr>
        <w:t xml:space="preserve">TAS NECESARIAS PARA </w:t>
      </w:r>
      <w:smartTag w:uri="urn:schemas-microsoft-com:office:smarttags" w:element="PersonName">
        <w:smartTagPr>
          <w:attr w:name="ProductID" w:val="LA VALORACIÒN"/>
        </w:smartTagPr>
        <w:r w:rsidR="00230AF6">
          <w:rPr>
            <w:rFonts w:ascii="Arial" w:hAnsi="Arial" w:cs="Arial"/>
            <w:b/>
            <w:sz w:val="28"/>
            <w:szCs w:val="28"/>
          </w:rPr>
          <w:t>LA VALORACIÒ</w:t>
        </w:r>
        <w:r w:rsidRPr="00040153">
          <w:rPr>
            <w:rFonts w:ascii="Arial" w:hAnsi="Arial" w:cs="Arial"/>
            <w:b/>
            <w:sz w:val="28"/>
            <w:szCs w:val="28"/>
          </w:rPr>
          <w:t>N</w:t>
        </w:r>
      </w:smartTag>
    </w:p>
    <w:p w:rsidR="0015454E" w:rsidRPr="00991A27" w:rsidRDefault="0015454E" w:rsidP="0015454E">
      <w:pPr>
        <w:spacing w:line="360" w:lineRule="auto"/>
        <w:ind w:left="360"/>
        <w:jc w:val="both"/>
        <w:rPr>
          <w:rFonts w:ascii="Arial" w:hAnsi="Arial" w:cs="Arial"/>
        </w:rPr>
      </w:pPr>
    </w:p>
    <w:p w:rsidR="0015454E" w:rsidRPr="00F849B7" w:rsidRDefault="0015454E" w:rsidP="00F849B7">
      <w:pPr>
        <w:spacing w:line="360" w:lineRule="auto"/>
        <w:ind w:firstLine="454"/>
        <w:jc w:val="both"/>
        <w:rPr>
          <w:rFonts w:ascii="Arial" w:hAnsi="Arial" w:cs="Arial"/>
          <w:sz w:val="24"/>
          <w:szCs w:val="24"/>
        </w:rPr>
      </w:pPr>
      <w:r w:rsidRPr="00230AF6">
        <w:rPr>
          <w:rFonts w:ascii="Arial" w:hAnsi="Arial" w:cs="Arial"/>
          <w:sz w:val="24"/>
          <w:szCs w:val="24"/>
        </w:rPr>
        <w:t>Como ya hemos explicado, las colocaciones brutas fue la única en ser proyectada mediante un modelo econométrico ya que las demás cuentas necesarias para la valoración serán proyectadas mediante ratios, los cuales fueron elaborados mediante nuestra lógica comprensión de las relaciones entre las cuentas, es decir  los datos históricos de las cuentas los relacionamos entre si para tener un promedio de esa relación y de esa manera sacar el crecimiento sostenido hacia el futuro, así:</w:t>
      </w:r>
    </w:p>
    <w:p w:rsidR="0015454E" w:rsidRPr="006D1834" w:rsidRDefault="0015454E" w:rsidP="0015454E">
      <w:pPr>
        <w:spacing w:line="360" w:lineRule="auto"/>
        <w:ind w:firstLine="708"/>
        <w:jc w:val="center"/>
        <w:rPr>
          <w:rFonts w:ascii="Arial" w:hAnsi="Arial" w:cs="Arial"/>
        </w:rPr>
      </w:pPr>
      <w:r w:rsidRPr="00991A27">
        <w:rPr>
          <w:rFonts w:ascii="Arial" w:hAnsi="Arial" w:cs="Arial"/>
          <w:b/>
        </w:rPr>
        <w:t>Tabla 3.1</w:t>
      </w:r>
    </w:p>
    <w:tbl>
      <w:tblPr>
        <w:tblW w:w="8853" w:type="dxa"/>
        <w:tblInd w:w="65" w:type="dxa"/>
        <w:tblCellMar>
          <w:left w:w="70" w:type="dxa"/>
          <w:right w:w="70" w:type="dxa"/>
        </w:tblCellMar>
        <w:tblLook w:val="0000"/>
      </w:tblPr>
      <w:tblGrid>
        <w:gridCol w:w="3175"/>
        <w:gridCol w:w="3066"/>
        <w:gridCol w:w="827"/>
        <w:gridCol w:w="1785"/>
      </w:tblGrid>
      <w:tr w:rsidR="00230AF6" w:rsidRPr="00230AF6" w:rsidTr="00D8535B">
        <w:trPr>
          <w:trHeight w:val="270"/>
        </w:trPr>
        <w:tc>
          <w:tcPr>
            <w:tcW w:w="3175" w:type="dxa"/>
            <w:tcBorders>
              <w:top w:val="single" w:sz="8" w:space="0" w:color="auto"/>
              <w:left w:val="single" w:sz="4" w:space="0" w:color="auto"/>
              <w:bottom w:val="single" w:sz="8" w:space="0" w:color="auto"/>
              <w:right w:val="single" w:sz="4" w:space="0" w:color="auto"/>
            </w:tcBorders>
            <w:shd w:val="clear" w:color="000000" w:fill="800000"/>
            <w:noWrap/>
            <w:vAlign w:val="bottom"/>
          </w:tcPr>
          <w:p w:rsidR="00230AF6" w:rsidRPr="00230AF6" w:rsidRDefault="00230AF6" w:rsidP="00230AF6">
            <w:pPr>
              <w:spacing w:after="0" w:line="240" w:lineRule="auto"/>
              <w:rPr>
                <w:rFonts w:ascii="Arial" w:eastAsia="Times New Roman" w:hAnsi="Arial" w:cs="Arial"/>
                <w:b/>
                <w:bCs/>
                <w:color w:val="FFFFFF"/>
                <w:sz w:val="16"/>
                <w:szCs w:val="16"/>
                <w:lang w:val="es-ES" w:eastAsia="es-ES"/>
              </w:rPr>
            </w:pPr>
            <w:r w:rsidRPr="00230AF6">
              <w:rPr>
                <w:rFonts w:ascii="Arial" w:eastAsia="Times New Roman" w:hAnsi="Arial" w:cs="Arial"/>
                <w:b/>
                <w:bCs/>
                <w:color w:val="FFFFFF"/>
                <w:sz w:val="16"/>
                <w:szCs w:val="16"/>
                <w:lang w:val="es-ES" w:eastAsia="es-ES"/>
              </w:rPr>
              <w:t>Cuenta a proyectar</w:t>
            </w:r>
          </w:p>
        </w:tc>
        <w:tc>
          <w:tcPr>
            <w:tcW w:w="3066" w:type="dxa"/>
            <w:tcBorders>
              <w:top w:val="single" w:sz="8" w:space="0" w:color="auto"/>
              <w:left w:val="nil"/>
              <w:bottom w:val="single" w:sz="8" w:space="0" w:color="auto"/>
              <w:right w:val="single" w:sz="4" w:space="0" w:color="auto"/>
            </w:tcBorders>
            <w:shd w:val="clear" w:color="000000" w:fill="800000"/>
            <w:noWrap/>
            <w:vAlign w:val="bottom"/>
          </w:tcPr>
          <w:p w:rsidR="00230AF6" w:rsidRPr="00230AF6" w:rsidRDefault="00230AF6" w:rsidP="00230AF6">
            <w:pPr>
              <w:spacing w:after="0" w:line="240" w:lineRule="auto"/>
              <w:jc w:val="center"/>
              <w:rPr>
                <w:rFonts w:ascii="Arial" w:eastAsia="Times New Roman" w:hAnsi="Arial" w:cs="Arial"/>
                <w:b/>
                <w:bCs/>
                <w:color w:val="FFFFFF"/>
                <w:sz w:val="16"/>
                <w:szCs w:val="16"/>
                <w:lang w:val="es-ES" w:eastAsia="es-ES"/>
              </w:rPr>
            </w:pPr>
            <w:r w:rsidRPr="00230AF6">
              <w:rPr>
                <w:rFonts w:ascii="Arial" w:eastAsia="Times New Roman" w:hAnsi="Arial" w:cs="Arial"/>
                <w:b/>
                <w:bCs/>
                <w:color w:val="FFFFFF"/>
                <w:sz w:val="16"/>
                <w:szCs w:val="16"/>
                <w:lang w:val="es-ES" w:eastAsia="es-ES"/>
              </w:rPr>
              <w:t>Ratio</w:t>
            </w:r>
          </w:p>
        </w:tc>
        <w:tc>
          <w:tcPr>
            <w:tcW w:w="827" w:type="dxa"/>
            <w:tcBorders>
              <w:top w:val="single" w:sz="8" w:space="0" w:color="auto"/>
              <w:left w:val="nil"/>
              <w:bottom w:val="single" w:sz="8" w:space="0" w:color="auto"/>
              <w:right w:val="single" w:sz="4" w:space="0" w:color="auto"/>
            </w:tcBorders>
            <w:shd w:val="clear" w:color="000000" w:fill="800000"/>
            <w:noWrap/>
            <w:vAlign w:val="bottom"/>
          </w:tcPr>
          <w:p w:rsidR="00230AF6" w:rsidRPr="00230AF6" w:rsidRDefault="00230AF6" w:rsidP="00230AF6">
            <w:pPr>
              <w:spacing w:after="0" w:line="240" w:lineRule="auto"/>
              <w:jc w:val="center"/>
              <w:rPr>
                <w:rFonts w:ascii="Arial" w:eastAsia="Times New Roman" w:hAnsi="Arial" w:cs="Arial"/>
                <w:b/>
                <w:bCs/>
                <w:color w:val="FFFFFF"/>
                <w:sz w:val="16"/>
                <w:szCs w:val="16"/>
                <w:lang w:val="es-ES" w:eastAsia="es-ES"/>
              </w:rPr>
            </w:pPr>
            <w:r w:rsidRPr="00230AF6">
              <w:rPr>
                <w:rFonts w:ascii="Arial" w:eastAsia="Times New Roman" w:hAnsi="Arial" w:cs="Arial"/>
                <w:b/>
                <w:bCs/>
                <w:color w:val="FFFFFF"/>
                <w:sz w:val="16"/>
                <w:szCs w:val="16"/>
                <w:lang w:val="es-ES" w:eastAsia="es-ES"/>
              </w:rPr>
              <w:t>Valor</w:t>
            </w:r>
          </w:p>
        </w:tc>
        <w:tc>
          <w:tcPr>
            <w:tcW w:w="1785" w:type="dxa"/>
            <w:tcBorders>
              <w:top w:val="single" w:sz="8" w:space="0" w:color="auto"/>
              <w:left w:val="nil"/>
              <w:bottom w:val="single" w:sz="8" w:space="0" w:color="auto"/>
              <w:right w:val="single" w:sz="8" w:space="0" w:color="auto"/>
            </w:tcBorders>
            <w:shd w:val="clear" w:color="000000" w:fill="800000"/>
            <w:noWrap/>
            <w:vAlign w:val="bottom"/>
          </w:tcPr>
          <w:p w:rsidR="00230AF6" w:rsidRPr="00230AF6" w:rsidRDefault="00230AF6" w:rsidP="00230AF6">
            <w:pPr>
              <w:spacing w:after="0" w:line="240" w:lineRule="auto"/>
              <w:jc w:val="center"/>
              <w:rPr>
                <w:rFonts w:ascii="Arial" w:eastAsia="Times New Roman" w:hAnsi="Arial" w:cs="Arial"/>
                <w:b/>
                <w:bCs/>
                <w:color w:val="FFFFFF"/>
                <w:sz w:val="16"/>
                <w:szCs w:val="16"/>
                <w:lang w:val="es-ES" w:eastAsia="es-ES"/>
              </w:rPr>
            </w:pPr>
            <w:r w:rsidRPr="00230AF6">
              <w:rPr>
                <w:rFonts w:ascii="Arial" w:eastAsia="Times New Roman" w:hAnsi="Arial" w:cs="Arial"/>
                <w:b/>
                <w:bCs/>
                <w:color w:val="FFFFFF"/>
                <w:sz w:val="16"/>
                <w:szCs w:val="16"/>
                <w:lang w:val="es-ES" w:eastAsia="es-ES"/>
              </w:rPr>
              <w:t>Observación</w:t>
            </w:r>
          </w:p>
        </w:tc>
      </w:tr>
      <w:tr w:rsidR="00230AF6" w:rsidRPr="00230AF6">
        <w:trPr>
          <w:trHeight w:val="270"/>
        </w:trPr>
        <w:tc>
          <w:tcPr>
            <w:tcW w:w="3175" w:type="dxa"/>
            <w:tcBorders>
              <w:top w:val="nil"/>
              <w:left w:val="single" w:sz="4" w:space="0" w:color="auto"/>
              <w:bottom w:val="single" w:sz="4" w:space="0" w:color="auto"/>
              <w:right w:val="single" w:sz="4" w:space="0" w:color="auto"/>
            </w:tcBorders>
            <w:shd w:val="clear" w:color="auto" w:fill="auto"/>
            <w:noWrap/>
            <w:vAlign w:val="bottom"/>
          </w:tcPr>
          <w:p w:rsidR="00230AF6" w:rsidRPr="00230AF6" w:rsidRDefault="00230AF6" w:rsidP="00230AF6">
            <w:pPr>
              <w:spacing w:after="0" w:line="240" w:lineRule="auto"/>
              <w:rPr>
                <w:rFonts w:ascii="Arial" w:eastAsia="Times New Roman" w:hAnsi="Arial" w:cs="Arial"/>
                <w:sz w:val="16"/>
                <w:szCs w:val="16"/>
                <w:lang w:val="es-ES" w:eastAsia="es-ES"/>
              </w:rPr>
            </w:pPr>
            <w:r w:rsidRPr="00230AF6">
              <w:rPr>
                <w:rFonts w:ascii="Arial" w:eastAsia="Times New Roman" w:hAnsi="Arial" w:cs="Arial"/>
                <w:sz w:val="16"/>
                <w:szCs w:val="16"/>
                <w:lang w:val="es-ES" w:eastAsia="es-ES"/>
              </w:rPr>
              <w:t>Fondos Disponibles</w:t>
            </w:r>
          </w:p>
        </w:tc>
        <w:tc>
          <w:tcPr>
            <w:tcW w:w="3066" w:type="dxa"/>
            <w:tcBorders>
              <w:top w:val="nil"/>
              <w:left w:val="nil"/>
              <w:bottom w:val="single" w:sz="4" w:space="0" w:color="auto"/>
              <w:right w:val="single" w:sz="4" w:space="0" w:color="auto"/>
            </w:tcBorders>
            <w:shd w:val="clear" w:color="auto" w:fill="auto"/>
            <w:noWrap/>
            <w:vAlign w:val="bottom"/>
          </w:tcPr>
          <w:p w:rsidR="00230AF6" w:rsidRPr="00230AF6" w:rsidRDefault="00230AF6" w:rsidP="00230AF6">
            <w:pPr>
              <w:spacing w:after="0" w:line="240" w:lineRule="auto"/>
              <w:jc w:val="center"/>
              <w:rPr>
                <w:rFonts w:ascii="Arial" w:eastAsia="Times New Roman" w:hAnsi="Arial" w:cs="Arial"/>
                <w:sz w:val="16"/>
                <w:szCs w:val="16"/>
                <w:lang w:val="es-ES" w:eastAsia="es-ES"/>
              </w:rPr>
            </w:pPr>
            <w:r w:rsidRPr="00230AF6">
              <w:rPr>
                <w:rFonts w:ascii="Arial" w:eastAsia="Times New Roman" w:hAnsi="Arial" w:cs="Arial"/>
                <w:sz w:val="16"/>
                <w:szCs w:val="16"/>
                <w:lang w:val="es-ES" w:eastAsia="es-ES"/>
              </w:rPr>
              <w:t>Fondos Disp/Oblig. Publico</w:t>
            </w:r>
          </w:p>
        </w:tc>
        <w:tc>
          <w:tcPr>
            <w:tcW w:w="827" w:type="dxa"/>
            <w:tcBorders>
              <w:top w:val="nil"/>
              <w:left w:val="nil"/>
              <w:bottom w:val="single" w:sz="4" w:space="0" w:color="auto"/>
              <w:right w:val="single" w:sz="4" w:space="0" w:color="auto"/>
            </w:tcBorders>
            <w:shd w:val="clear" w:color="auto" w:fill="auto"/>
            <w:noWrap/>
            <w:vAlign w:val="bottom"/>
          </w:tcPr>
          <w:p w:rsidR="00230AF6" w:rsidRPr="00230AF6" w:rsidRDefault="00230AF6" w:rsidP="00230AF6">
            <w:pPr>
              <w:spacing w:after="0" w:line="240" w:lineRule="auto"/>
              <w:jc w:val="center"/>
              <w:rPr>
                <w:rFonts w:ascii="Arial" w:eastAsia="Times New Roman" w:hAnsi="Arial" w:cs="Arial"/>
                <w:sz w:val="16"/>
                <w:szCs w:val="16"/>
                <w:lang w:val="es-ES" w:eastAsia="es-ES"/>
              </w:rPr>
            </w:pPr>
            <w:r w:rsidRPr="00230AF6">
              <w:rPr>
                <w:rFonts w:ascii="Arial" w:eastAsia="Times New Roman" w:hAnsi="Arial" w:cs="Arial"/>
                <w:sz w:val="16"/>
                <w:szCs w:val="16"/>
                <w:lang w:val="es-ES" w:eastAsia="es-ES"/>
              </w:rPr>
              <w:t>29,74%</w:t>
            </w:r>
          </w:p>
        </w:tc>
        <w:tc>
          <w:tcPr>
            <w:tcW w:w="1785" w:type="dxa"/>
            <w:tcBorders>
              <w:top w:val="nil"/>
              <w:left w:val="nil"/>
              <w:bottom w:val="single" w:sz="4" w:space="0" w:color="auto"/>
              <w:right w:val="single" w:sz="8" w:space="0" w:color="auto"/>
            </w:tcBorders>
            <w:shd w:val="clear" w:color="auto" w:fill="auto"/>
            <w:noWrap/>
            <w:vAlign w:val="bottom"/>
          </w:tcPr>
          <w:p w:rsidR="00230AF6" w:rsidRPr="00230AF6" w:rsidRDefault="00230AF6" w:rsidP="00230AF6">
            <w:pPr>
              <w:spacing w:after="0" w:line="240" w:lineRule="auto"/>
              <w:rPr>
                <w:rFonts w:ascii="Arial" w:eastAsia="Times New Roman" w:hAnsi="Arial" w:cs="Arial"/>
                <w:sz w:val="16"/>
                <w:szCs w:val="16"/>
                <w:lang w:val="es-ES" w:eastAsia="es-ES"/>
              </w:rPr>
            </w:pPr>
            <w:r w:rsidRPr="00230AF6">
              <w:rPr>
                <w:rFonts w:ascii="Arial" w:eastAsia="Times New Roman" w:hAnsi="Arial" w:cs="Arial"/>
                <w:sz w:val="16"/>
                <w:szCs w:val="16"/>
                <w:lang w:val="es-ES" w:eastAsia="es-ES"/>
              </w:rPr>
              <w:t>Ratio últimos 8 años</w:t>
            </w:r>
          </w:p>
        </w:tc>
      </w:tr>
      <w:tr w:rsidR="00230AF6" w:rsidRPr="00230AF6">
        <w:trPr>
          <w:trHeight w:val="255"/>
        </w:trPr>
        <w:tc>
          <w:tcPr>
            <w:tcW w:w="3175" w:type="dxa"/>
            <w:tcBorders>
              <w:top w:val="nil"/>
              <w:left w:val="single" w:sz="4" w:space="0" w:color="auto"/>
              <w:bottom w:val="single" w:sz="4" w:space="0" w:color="auto"/>
              <w:right w:val="single" w:sz="4" w:space="0" w:color="auto"/>
            </w:tcBorders>
            <w:shd w:val="clear" w:color="auto" w:fill="auto"/>
            <w:noWrap/>
            <w:vAlign w:val="bottom"/>
          </w:tcPr>
          <w:p w:rsidR="00230AF6" w:rsidRPr="00230AF6" w:rsidRDefault="00230AF6" w:rsidP="00230AF6">
            <w:pPr>
              <w:spacing w:after="0" w:line="240" w:lineRule="auto"/>
              <w:rPr>
                <w:rFonts w:ascii="Arial" w:eastAsia="Times New Roman" w:hAnsi="Arial" w:cs="Arial"/>
                <w:sz w:val="16"/>
                <w:szCs w:val="16"/>
                <w:lang w:val="es-ES" w:eastAsia="es-ES"/>
              </w:rPr>
            </w:pPr>
            <w:r w:rsidRPr="00230AF6">
              <w:rPr>
                <w:rFonts w:ascii="Arial" w:eastAsia="Times New Roman" w:hAnsi="Arial" w:cs="Arial"/>
                <w:sz w:val="16"/>
                <w:szCs w:val="16"/>
                <w:lang w:val="es-ES" w:eastAsia="es-ES"/>
              </w:rPr>
              <w:t>Inversiones (INV)</w:t>
            </w:r>
          </w:p>
        </w:tc>
        <w:tc>
          <w:tcPr>
            <w:tcW w:w="3066" w:type="dxa"/>
            <w:tcBorders>
              <w:top w:val="nil"/>
              <w:left w:val="nil"/>
              <w:bottom w:val="single" w:sz="4" w:space="0" w:color="auto"/>
              <w:right w:val="single" w:sz="4" w:space="0" w:color="auto"/>
            </w:tcBorders>
            <w:shd w:val="clear" w:color="auto" w:fill="auto"/>
            <w:noWrap/>
            <w:vAlign w:val="bottom"/>
          </w:tcPr>
          <w:p w:rsidR="00230AF6" w:rsidRPr="00230AF6" w:rsidRDefault="00230AF6" w:rsidP="00230AF6">
            <w:pPr>
              <w:spacing w:after="0" w:line="240" w:lineRule="auto"/>
              <w:jc w:val="center"/>
              <w:rPr>
                <w:rFonts w:ascii="Arial" w:eastAsia="Times New Roman" w:hAnsi="Arial" w:cs="Arial"/>
                <w:sz w:val="16"/>
                <w:szCs w:val="16"/>
                <w:lang w:val="es-ES" w:eastAsia="es-ES"/>
              </w:rPr>
            </w:pPr>
            <w:r w:rsidRPr="00230AF6">
              <w:rPr>
                <w:rFonts w:ascii="Arial" w:eastAsia="Times New Roman" w:hAnsi="Arial" w:cs="Arial"/>
                <w:sz w:val="16"/>
                <w:szCs w:val="16"/>
                <w:lang w:val="es-ES" w:eastAsia="es-ES"/>
              </w:rPr>
              <w:t>INV/Fondos Disponibles</w:t>
            </w:r>
          </w:p>
        </w:tc>
        <w:tc>
          <w:tcPr>
            <w:tcW w:w="827" w:type="dxa"/>
            <w:tcBorders>
              <w:top w:val="nil"/>
              <w:left w:val="nil"/>
              <w:bottom w:val="single" w:sz="4" w:space="0" w:color="auto"/>
              <w:right w:val="single" w:sz="4" w:space="0" w:color="auto"/>
            </w:tcBorders>
            <w:shd w:val="clear" w:color="auto" w:fill="auto"/>
            <w:noWrap/>
            <w:vAlign w:val="bottom"/>
          </w:tcPr>
          <w:p w:rsidR="00230AF6" w:rsidRPr="00230AF6" w:rsidRDefault="00230AF6" w:rsidP="00230AF6">
            <w:pPr>
              <w:spacing w:after="0" w:line="240" w:lineRule="auto"/>
              <w:jc w:val="center"/>
              <w:rPr>
                <w:rFonts w:ascii="Arial" w:eastAsia="Times New Roman" w:hAnsi="Arial" w:cs="Arial"/>
                <w:sz w:val="16"/>
                <w:szCs w:val="16"/>
                <w:lang w:val="es-ES" w:eastAsia="es-ES"/>
              </w:rPr>
            </w:pPr>
            <w:r w:rsidRPr="00230AF6">
              <w:rPr>
                <w:rFonts w:ascii="Arial" w:eastAsia="Times New Roman" w:hAnsi="Arial" w:cs="Arial"/>
                <w:sz w:val="16"/>
                <w:szCs w:val="16"/>
                <w:lang w:val="es-ES" w:eastAsia="es-ES"/>
              </w:rPr>
              <w:t>116,14%</w:t>
            </w:r>
          </w:p>
        </w:tc>
        <w:tc>
          <w:tcPr>
            <w:tcW w:w="1785" w:type="dxa"/>
            <w:tcBorders>
              <w:top w:val="single" w:sz="8" w:space="0" w:color="auto"/>
              <w:left w:val="nil"/>
              <w:bottom w:val="single" w:sz="4" w:space="0" w:color="auto"/>
              <w:right w:val="single" w:sz="8" w:space="0" w:color="auto"/>
            </w:tcBorders>
            <w:shd w:val="clear" w:color="auto" w:fill="auto"/>
            <w:noWrap/>
            <w:vAlign w:val="bottom"/>
          </w:tcPr>
          <w:p w:rsidR="00230AF6" w:rsidRPr="00230AF6" w:rsidRDefault="00230AF6" w:rsidP="00230AF6">
            <w:pPr>
              <w:spacing w:after="0" w:line="240" w:lineRule="auto"/>
              <w:rPr>
                <w:rFonts w:ascii="Arial" w:eastAsia="Times New Roman" w:hAnsi="Arial" w:cs="Arial"/>
                <w:sz w:val="16"/>
                <w:szCs w:val="16"/>
                <w:lang w:val="es-ES" w:eastAsia="es-ES"/>
              </w:rPr>
            </w:pPr>
            <w:r w:rsidRPr="00230AF6">
              <w:rPr>
                <w:rFonts w:ascii="Arial" w:eastAsia="Times New Roman" w:hAnsi="Arial" w:cs="Arial"/>
                <w:sz w:val="16"/>
                <w:szCs w:val="16"/>
                <w:lang w:val="es-ES" w:eastAsia="es-ES"/>
              </w:rPr>
              <w:t>Ratio últimos 8 años</w:t>
            </w:r>
          </w:p>
        </w:tc>
      </w:tr>
      <w:tr w:rsidR="00230AF6" w:rsidRPr="00230AF6">
        <w:trPr>
          <w:trHeight w:val="270"/>
        </w:trPr>
        <w:tc>
          <w:tcPr>
            <w:tcW w:w="3175" w:type="dxa"/>
            <w:tcBorders>
              <w:top w:val="nil"/>
              <w:left w:val="single" w:sz="4" w:space="0" w:color="auto"/>
              <w:bottom w:val="single" w:sz="4" w:space="0" w:color="auto"/>
              <w:right w:val="single" w:sz="4" w:space="0" w:color="auto"/>
            </w:tcBorders>
            <w:shd w:val="clear" w:color="auto" w:fill="auto"/>
            <w:noWrap/>
            <w:vAlign w:val="bottom"/>
          </w:tcPr>
          <w:p w:rsidR="00230AF6" w:rsidRPr="00230AF6" w:rsidRDefault="00230AF6" w:rsidP="00230AF6">
            <w:pPr>
              <w:spacing w:after="0" w:line="240" w:lineRule="auto"/>
              <w:rPr>
                <w:rFonts w:ascii="Arial" w:eastAsia="Times New Roman" w:hAnsi="Arial" w:cs="Arial"/>
                <w:sz w:val="16"/>
                <w:szCs w:val="16"/>
                <w:lang w:val="es-ES" w:eastAsia="es-ES"/>
              </w:rPr>
            </w:pPr>
            <w:r w:rsidRPr="00230AF6">
              <w:rPr>
                <w:rFonts w:ascii="Arial" w:eastAsia="Times New Roman" w:hAnsi="Arial" w:cs="Arial"/>
                <w:sz w:val="16"/>
                <w:szCs w:val="16"/>
                <w:lang w:val="es-ES" w:eastAsia="es-ES"/>
              </w:rPr>
              <w:t>Colocaciones Brutas (CB)</w:t>
            </w:r>
          </w:p>
        </w:tc>
        <w:tc>
          <w:tcPr>
            <w:tcW w:w="3066" w:type="dxa"/>
            <w:tcBorders>
              <w:top w:val="nil"/>
              <w:left w:val="nil"/>
              <w:bottom w:val="single" w:sz="4" w:space="0" w:color="auto"/>
              <w:right w:val="single" w:sz="4" w:space="0" w:color="auto"/>
            </w:tcBorders>
            <w:shd w:val="clear" w:color="auto" w:fill="auto"/>
            <w:noWrap/>
            <w:vAlign w:val="bottom"/>
          </w:tcPr>
          <w:p w:rsidR="00230AF6" w:rsidRPr="00230AF6" w:rsidRDefault="00230AF6" w:rsidP="00230AF6">
            <w:pPr>
              <w:spacing w:after="0" w:line="240" w:lineRule="auto"/>
              <w:jc w:val="center"/>
              <w:rPr>
                <w:rFonts w:ascii="Arial" w:eastAsia="Times New Roman" w:hAnsi="Arial" w:cs="Arial"/>
                <w:b/>
                <w:bCs/>
                <w:sz w:val="16"/>
                <w:szCs w:val="16"/>
                <w:lang w:val="es-ES" w:eastAsia="es-ES"/>
              </w:rPr>
            </w:pPr>
            <w:r w:rsidRPr="00230AF6">
              <w:rPr>
                <w:rFonts w:ascii="Arial" w:eastAsia="Times New Roman" w:hAnsi="Arial" w:cs="Arial"/>
                <w:b/>
                <w:bCs/>
                <w:sz w:val="16"/>
                <w:szCs w:val="16"/>
                <w:lang w:val="es-ES" w:eastAsia="es-ES"/>
              </w:rPr>
              <w:t xml:space="preserve">Proyección </w:t>
            </w:r>
          </w:p>
        </w:tc>
        <w:tc>
          <w:tcPr>
            <w:tcW w:w="827" w:type="dxa"/>
            <w:tcBorders>
              <w:top w:val="nil"/>
              <w:left w:val="nil"/>
              <w:bottom w:val="single" w:sz="4" w:space="0" w:color="auto"/>
              <w:right w:val="single" w:sz="4" w:space="0" w:color="auto"/>
            </w:tcBorders>
            <w:shd w:val="clear" w:color="auto" w:fill="auto"/>
            <w:noWrap/>
            <w:vAlign w:val="bottom"/>
          </w:tcPr>
          <w:p w:rsidR="00230AF6" w:rsidRPr="00230AF6" w:rsidRDefault="00230AF6" w:rsidP="00230AF6">
            <w:pPr>
              <w:spacing w:after="0" w:line="240" w:lineRule="auto"/>
              <w:jc w:val="center"/>
              <w:rPr>
                <w:rFonts w:ascii="Arial" w:eastAsia="Times New Roman" w:hAnsi="Arial" w:cs="Arial"/>
                <w:b/>
                <w:bCs/>
                <w:sz w:val="16"/>
                <w:szCs w:val="16"/>
                <w:lang w:val="es-ES" w:eastAsia="es-ES"/>
              </w:rPr>
            </w:pPr>
            <w:r w:rsidRPr="00230AF6">
              <w:rPr>
                <w:rFonts w:ascii="Arial" w:eastAsia="Times New Roman" w:hAnsi="Arial" w:cs="Arial"/>
                <w:b/>
                <w:bCs/>
                <w:sz w:val="16"/>
                <w:szCs w:val="16"/>
                <w:lang w:val="es-ES" w:eastAsia="es-ES"/>
              </w:rPr>
              <w:t> </w:t>
            </w:r>
          </w:p>
        </w:tc>
        <w:tc>
          <w:tcPr>
            <w:tcW w:w="1785" w:type="dxa"/>
            <w:tcBorders>
              <w:top w:val="nil"/>
              <w:left w:val="nil"/>
              <w:bottom w:val="single" w:sz="4" w:space="0" w:color="auto"/>
              <w:right w:val="single" w:sz="8" w:space="0" w:color="auto"/>
            </w:tcBorders>
            <w:shd w:val="clear" w:color="auto" w:fill="auto"/>
            <w:noWrap/>
            <w:vAlign w:val="bottom"/>
          </w:tcPr>
          <w:p w:rsidR="00230AF6" w:rsidRPr="00230AF6" w:rsidRDefault="00230AF6" w:rsidP="00230AF6">
            <w:pPr>
              <w:spacing w:after="0" w:line="240" w:lineRule="auto"/>
              <w:rPr>
                <w:rFonts w:ascii="Arial" w:eastAsia="Times New Roman" w:hAnsi="Arial" w:cs="Arial"/>
                <w:b/>
                <w:bCs/>
                <w:sz w:val="16"/>
                <w:szCs w:val="16"/>
                <w:lang w:val="es-ES" w:eastAsia="es-ES"/>
              </w:rPr>
            </w:pPr>
            <w:r w:rsidRPr="00230AF6">
              <w:rPr>
                <w:rFonts w:ascii="Arial" w:eastAsia="Times New Roman" w:hAnsi="Arial" w:cs="Arial"/>
                <w:b/>
                <w:bCs/>
                <w:sz w:val="16"/>
                <w:szCs w:val="16"/>
                <w:lang w:val="es-ES" w:eastAsia="es-ES"/>
              </w:rPr>
              <w:t>E-Views</w:t>
            </w:r>
          </w:p>
        </w:tc>
      </w:tr>
      <w:tr w:rsidR="00230AF6" w:rsidRPr="00230AF6">
        <w:trPr>
          <w:trHeight w:val="270"/>
        </w:trPr>
        <w:tc>
          <w:tcPr>
            <w:tcW w:w="3175" w:type="dxa"/>
            <w:tcBorders>
              <w:top w:val="nil"/>
              <w:left w:val="single" w:sz="4" w:space="0" w:color="auto"/>
              <w:bottom w:val="single" w:sz="4" w:space="0" w:color="auto"/>
              <w:right w:val="single" w:sz="4" w:space="0" w:color="auto"/>
            </w:tcBorders>
            <w:shd w:val="clear" w:color="auto" w:fill="auto"/>
            <w:noWrap/>
            <w:vAlign w:val="bottom"/>
          </w:tcPr>
          <w:p w:rsidR="00230AF6" w:rsidRPr="00230AF6" w:rsidRDefault="00230AF6" w:rsidP="00230AF6">
            <w:pPr>
              <w:spacing w:after="0" w:line="240" w:lineRule="auto"/>
              <w:rPr>
                <w:rFonts w:ascii="Arial" w:eastAsia="Times New Roman" w:hAnsi="Arial" w:cs="Arial"/>
                <w:sz w:val="16"/>
                <w:szCs w:val="16"/>
                <w:lang w:val="es-ES" w:eastAsia="es-ES"/>
              </w:rPr>
            </w:pPr>
            <w:r w:rsidRPr="00230AF6">
              <w:rPr>
                <w:rFonts w:ascii="Arial" w:eastAsia="Times New Roman" w:hAnsi="Arial" w:cs="Arial"/>
                <w:sz w:val="16"/>
                <w:szCs w:val="16"/>
                <w:lang w:val="es-ES" w:eastAsia="es-ES"/>
              </w:rPr>
              <w:t>Cartera Vencida</w:t>
            </w:r>
          </w:p>
        </w:tc>
        <w:tc>
          <w:tcPr>
            <w:tcW w:w="3066" w:type="dxa"/>
            <w:tcBorders>
              <w:top w:val="nil"/>
              <w:left w:val="nil"/>
              <w:bottom w:val="single" w:sz="4" w:space="0" w:color="auto"/>
              <w:right w:val="single" w:sz="4" w:space="0" w:color="auto"/>
            </w:tcBorders>
            <w:shd w:val="clear" w:color="auto" w:fill="auto"/>
            <w:noWrap/>
            <w:vAlign w:val="bottom"/>
          </w:tcPr>
          <w:p w:rsidR="00230AF6" w:rsidRPr="00230AF6" w:rsidRDefault="00230AF6" w:rsidP="00230AF6">
            <w:pPr>
              <w:spacing w:after="0" w:line="240" w:lineRule="auto"/>
              <w:jc w:val="center"/>
              <w:rPr>
                <w:rFonts w:ascii="Arial" w:eastAsia="Times New Roman" w:hAnsi="Arial" w:cs="Arial"/>
                <w:sz w:val="16"/>
                <w:szCs w:val="16"/>
                <w:lang w:val="es-ES" w:eastAsia="es-ES"/>
              </w:rPr>
            </w:pPr>
            <w:r w:rsidRPr="00230AF6">
              <w:rPr>
                <w:rFonts w:ascii="Arial" w:eastAsia="Times New Roman" w:hAnsi="Arial" w:cs="Arial"/>
                <w:sz w:val="16"/>
                <w:szCs w:val="16"/>
                <w:lang w:val="es-ES" w:eastAsia="es-ES"/>
              </w:rPr>
              <w:t>Cartera Vencida/CB</w:t>
            </w:r>
          </w:p>
        </w:tc>
        <w:tc>
          <w:tcPr>
            <w:tcW w:w="827" w:type="dxa"/>
            <w:tcBorders>
              <w:top w:val="nil"/>
              <w:left w:val="nil"/>
              <w:bottom w:val="single" w:sz="4" w:space="0" w:color="auto"/>
              <w:right w:val="single" w:sz="4" w:space="0" w:color="auto"/>
            </w:tcBorders>
            <w:shd w:val="clear" w:color="auto" w:fill="auto"/>
            <w:noWrap/>
            <w:vAlign w:val="bottom"/>
          </w:tcPr>
          <w:p w:rsidR="00230AF6" w:rsidRPr="00230AF6" w:rsidRDefault="00230AF6" w:rsidP="00230AF6">
            <w:pPr>
              <w:spacing w:after="0" w:line="240" w:lineRule="auto"/>
              <w:jc w:val="center"/>
              <w:rPr>
                <w:rFonts w:ascii="Arial" w:eastAsia="Times New Roman" w:hAnsi="Arial" w:cs="Arial"/>
                <w:sz w:val="16"/>
                <w:szCs w:val="16"/>
                <w:lang w:val="es-ES" w:eastAsia="es-ES"/>
              </w:rPr>
            </w:pPr>
            <w:r w:rsidRPr="00230AF6">
              <w:rPr>
                <w:rFonts w:ascii="Arial" w:eastAsia="Times New Roman" w:hAnsi="Arial" w:cs="Arial"/>
                <w:sz w:val="16"/>
                <w:szCs w:val="16"/>
                <w:lang w:val="es-ES" w:eastAsia="es-ES"/>
              </w:rPr>
              <w:t>2,05%</w:t>
            </w:r>
          </w:p>
        </w:tc>
        <w:tc>
          <w:tcPr>
            <w:tcW w:w="1785" w:type="dxa"/>
            <w:tcBorders>
              <w:top w:val="single" w:sz="8" w:space="0" w:color="auto"/>
              <w:left w:val="nil"/>
              <w:bottom w:val="single" w:sz="4" w:space="0" w:color="auto"/>
              <w:right w:val="single" w:sz="8" w:space="0" w:color="auto"/>
            </w:tcBorders>
            <w:shd w:val="clear" w:color="auto" w:fill="auto"/>
            <w:noWrap/>
            <w:vAlign w:val="bottom"/>
          </w:tcPr>
          <w:p w:rsidR="00230AF6" w:rsidRPr="00230AF6" w:rsidRDefault="00230AF6" w:rsidP="00230AF6">
            <w:pPr>
              <w:spacing w:after="0" w:line="240" w:lineRule="auto"/>
              <w:rPr>
                <w:rFonts w:ascii="Arial" w:eastAsia="Times New Roman" w:hAnsi="Arial" w:cs="Arial"/>
                <w:sz w:val="16"/>
                <w:szCs w:val="16"/>
                <w:lang w:val="es-ES" w:eastAsia="es-ES"/>
              </w:rPr>
            </w:pPr>
            <w:r w:rsidRPr="00230AF6">
              <w:rPr>
                <w:rFonts w:ascii="Arial" w:eastAsia="Times New Roman" w:hAnsi="Arial" w:cs="Arial"/>
                <w:sz w:val="16"/>
                <w:szCs w:val="16"/>
                <w:lang w:val="es-ES" w:eastAsia="es-ES"/>
              </w:rPr>
              <w:t>Ratio últimos 8 años</w:t>
            </w:r>
          </w:p>
        </w:tc>
      </w:tr>
      <w:tr w:rsidR="00230AF6" w:rsidRPr="00230AF6">
        <w:trPr>
          <w:trHeight w:val="255"/>
        </w:trPr>
        <w:tc>
          <w:tcPr>
            <w:tcW w:w="3175" w:type="dxa"/>
            <w:tcBorders>
              <w:top w:val="nil"/>
              <w:left w:val="single" w:sz="4" w:space="0" w:color="auto"/>
              <w:bottom w:val="single" w:sz="4" w:space="0" w:color="auto"/>
              <w:right w:val="single" w:sz="4" w:space="0" w:color="auto"/>
            </w:tcBorders>
            <w:shd w:val="clear" w:color="auto" w:fill="auto"/>
            <w:noWrap/>
            <w:vAlign w:val="bottom"/>
          </w:tcPr>
          <w:p w:rsidR="00230AF6" w:rsidRPr="00230AF6" w:rsidRDefault="00230AF6" w:rsidP="00230AF6">
            <w:pPr>
              <w:spacing w:after="0" w:line="240" w:lineRule="auto"/>
              <w:rPr>
                <w:rFonts w:ascii="Arial" w:eastAsia="Times New Roman" w:hAnsi="Arial" w:cs="Arial"/>
                <w:sz w:val="16"/>
                <w:szCs w:val="16"/>
                <w:lang w:val="es-ES" w:eastAsia="es-ES"/>
              </w:rPr>
            </w:pPr>
            <w:r w:rsidRPr="00230AF6">
              <w:rPr>
                <w:rFonts w:ascii="Arial" w:eastAsia="Times New Roman" w:hAnsi="Arial" w:cs="Arial"/>
                <w:sz w:val="16"/>
                <w:szCs w:val="16"/>
                <w:lang w:val="es-ES" w:eastAsia="es-ES"/>
              </w:rPr>
              <w:t>Provisiones sobre colocaciones</w:t>
            </w:r>
          </w:p>
        </w:tc>
        <w:tc>
          <w:tcPr>
            <w:tcW w:w="3066" w:type="dxa"/>
            <w:tcBorders>
              <w:top w:val="nil"/>
              <w:left w:val="nil"/>
              <w:bottom w:val="single" w:sz="4" w:space="0" w:color="auto"/>
              <w:right w:val="single" w:sz="4" w:space="0" w:color="auto"/>
            </w:tcBorders>
            <w:shd w:val="clear" w:color="auto" w:fill="auto"/>
            <w:noWrap/>
            <w:vAlign w:val="bottom"/>
          </w:tcPr>
          <w:p w:rsidR="00230AF6" w:rsidRPr="00230AF6" w:rsidRDefault="00230AF6" w:rsidP="00230AF6">
            <w:pPr>
              <w:spacing w:after="0" w:line="240" w:lineRule="auto"/>
              <w:jc w:val="center"/>
              <w:rPr>
                <w:rFonts w:ascii="Arial" w:eastAsia="Times New Roman" w:hAnsi="Arial" w:cs="Arial"/>
                <w:sz w:val="16"/>
                <w:szCs w:val="16"/>
                <w:lang w:val="es-ES" w:eastAsia="es-ES"/>
              </w:rPr>
            </w:pPr>
            <w:r w:rsidRPr="00230AF6">
              <w:rPr>
                <w:rFonts w:ascii="Arial" w:eastAsia="Times New Roman" w:hAnsi="Arial" w:cs="Arial"/>
                <w:sz w:val="16"/>
                <w:szCs w:val="16"/>
                <w:lang w:val="es-ES" w:eastAsia="es-ES"/>
              </w:rPr>
              <w:t>Provisión Activos riesgoso/Cartera vencida</w:t>
            </w:r>
          </w:p>
        </w:tc>
        <w:tc>
          <w:tcPr>
            <w:tcW w:w="827" w:type="dxa"/>
            <w:tcBorders>
              <w:top w:val="nil"/>
              <w:left w:val="nil"/>
              <w:bottom w:val="single" w:sz="4" w:space="0" w:color="auto"/>
              <w:right w:val="single" w:sz="4" w:space="0" w:color="auto"/>
            </w:tcBorders>
            <w:shd w:val="clear" w:color="auto" w:fill="auto"/>
            <w:noWrap/>
            <w:vAlign w:val="bottom"/>
          </w:tcPr>
          <w:p w:rsidR="00230AF6" w:rsidRPr="00230AF6" w:rsidRDefault="00230AF6" w:rsidP="00230AF6">
            <w:pPr>
              <w:spacing w:after="0" w:line="240" w:lineRule="auto"/>
              <w:jc w:val="center"/>
              <w:rPr>
                <w:rFonts w:ascii="Arial" w:eastAsia="Times New Roman" w:hAnsi="Arial" w:cs="Arial"/>
                <w:sz w:val="16"/>
                <w:szCs w:val="16"/>
                <w:lang w:val="es-ES" w:eastAsia="es-ES"/>
              </w:rPr>
            </w:pPr>
            <w:r w:rsidRPr="00230AF6">
              <w:rPr>
                <w:rFonts w:ascii="Arial" w:eastAsia="Times New Roman" w:hAnsi="Arial" w:cs="Arial"/>
                <w:sz w:val="16"/>
                <w:szCs w:val="16"/>
                <w:lang w:val="es-ES" w:eastAsia="es-ES"/>
              </w:rPr>
              <w:t>346,83%</w:t>
            </w:r>
          </w:p>
        </w:tc>
        <w:tc>
          <w:tcPr>
            <w:tcW w:w="1785" w:type="dxa"/>
            <w:tcBorders>
              <w:top w:val="single" w:sz="8" w:space="0" w:color="auto"/>
              <w:left w:val="nil"/>
              <w:bottom w:val="single" w:sz="4" w:space="0" w:color="auto"/>
              <w:right w:val="single" w:sz="8" w:space="0" w:color="auto"/>
            </w:tcBorders>
            <w:shd w:val="clear" w:color="auto" w:fill="auto"/>
            <w:noWrap/>
            <w:vAlign w:val="bottom"/>
          </w:tcPr>
          <w:p w:rsidR="00230AF6" w:rsidRPr="00230AF6" w:rsidRDefault="00230AF6" w:rsidP="00230AF6">
            <w:pPr>
              <w:spacing w:after="0" w:line="240" w:lineRule="auto"/>
              <w:rPr>
                <w:rFonts w:ascii="Arial" w:eastAsia="Times New Roman" w:hAnsi="Arial" w:cs="Arial"/>
                <w:sz w:val="16"/>
                <w:szCs w:val="16"/>
                <w:lang w:val="es-ES" w:eastAsia="es-ES"/>
              </w:rPr>
            </w:pPr>
            <w:r w:rsidRPr="00230AF6">
              <w:rPr>
                <w:rFonts w:ascii="Arial" w:eastAsia="Times New Roman" w:hAnsi="Arial" w:cs="Arial"/>
                <w:sz w:val="16"/>
                <w:szCs w:val="16"/>
                <w:lang w:val="es-ES" w:eastAsia="es-ES"/>
              </w:rPr>
              <w:t>Ratio últimos 8 años</w:t>
            </w:r>
          </w:p>
        </w:tc>
      </w:tr>
      <w:tr w:rsidR="00951FC3" w:rsidRPr="00230AF6">
        <w:trPr>
          <w:trHeight w:val="255"/>
        </w:trPr>
        <w:tc>
          <w:tcPr>
            <w:tcW w:w="3175" w:type="dxa"/>
            <w:tcBorders>
              <w:top w:val="nil"/>
              <w:left w:val="single" w:sz="4" w:space="0" w:color="auto"/>
              <w:bottom w:val="single" w:sz="4" w:space="0" w:color="auto"/>
              <w:right w:val="single" w:sz="4" w:space="0" w:color="auto"/>
            </w:tcBorders>
            <w:shd w:val="clear" w:color="auto" w:fill="auto"/>
            <w:noWrap/>
            <w:vAlign w:val="bottom"/>
          </w:tcPr>
          <w:p w:rsidR="00951FC3" w:rsidRPr="00230AF6" w:rsidRDefault="00951FC3" w:rsidP="00230AF6">
            <w:pPr>
              <w:spacing w:after="0" w:line="240" w:lineRule="auto"/>
              <w:rPr>
                <w:rFonts w:ascii="Arial" w:eastAsia="Times New Roman" w:hAnsi="Arial" w:cs="Arial"/>
                <w:sz w:val="16"/>
                <w:szCs w:val="16"/>
                <w:lang w:val="es-ES" w:eastAsia="es-ES"/>
              </w:rPr>
            </w:pPr>
            <w:r w:rsidRPr="00230AF6">
              <w:rPr>
                <w:rFonts w:ascii="Arial" w:eastAsia="Times New Roman" w:hAnsi="Arial" w:cs="Arial"/>
                <w:sz w:val="16"/>
                <w:szCs w:val="16"/>
                <w:lang w:val="es-ES" w:eastAsia="es-ES"/>
              </w:rPr>
              <w:t>Obligaciones con el público</w:t>
            </w:r>
          </w:p>
        </w:tc>
        <w:tc>
          <w:tcPr>
            <w:tcW w:w="3066" w:type="dxa"/>
            <w:tcBorders>
              <w:top w:val="nil"/>
              <w:left w:val="nil"/>
              <w:bottom w:val="single" w:sz="4" w:space="0" w:color="auto"/>
              <w:right w:val="single" w:sz="4" w:space="0" w:color="auto"/>
            </w:tcBorders>
            <w:shd w:val="clear" w:color="auto" w:fill="auto"/>
            <w:noWrap/>
            <w:vAlign w:val="bottom"/>
          </w:tcPr>
          <w:p w:rsidR="00951FC3" w:rsidRPr="00230AF6" w:rsidRDefault="00951FC3" w:rsidP="00230AF6">
            <w:pPr>
              <w:spacing w:after="0" w:line="240" w:lineRule="auto"/>
              <w:jc w:val="center"/>
              <w:rPr>
                <w:rFonts w:ascii="Arial" w:eastAsia="Times New Roman" w:hAnsi="Arial" w:cs="Arial"/>
                <w:sz w:val="16"/>
                <w:szCs w:val="16"/>
                <w:lang w:val="es-ES" w:eastAsia="es-ES"/>
              </w:rPr>
            </w:pPr>
            <w:r w:rsidRPr="00230AF6">
              <w:rPr>
                <w:rFonts w:ascii="Arial" w:eastAsia="Times New Roman" w:hAnsi="Arial" w:cs="Arial"/>
                <w:sz w:val="16"/>
                <w:szCs w:val="16"/>
                <w:lang w:val="es-ES" w:eastAsia="es-ES"/>
              </w:rPr>
              <w:t>Obligaciones con el público/CB</w:t>
            </w:r>
          </w:p>
        </w:tc>
        <w:tc>
          <w:tcPr>
            <w:tcW w:w="827" w:type="dxa"/>
            <w:tcBorders>
              <w:top w:val="nil"/>
              <w:left w:val="nil"/>
              <w:bottom w:val="single" w:sz="4" w:space="0" w:color="auto"/>
              <w:right w:val="single" w:sz="4" w:space="0" w:color="auto"/>
            </w:tcBorders>
            <w:shd w:val="clear" w:color="auto" w:fill="auto"/>
            <w:noWrap/>
            <w:vAlign w:val="bottom"/>
          </w:tcPr>
          <w:p w:rsidR="00951FC3" w:rsidRPr="00230AF6" w:rsidRDefault="00951FC3" w:rsidP="00230AF6">
            <w:pPr>
              <w:spacing w:after="0" w:line="240" w:lineRule="auto"/>
              <w:jc w:val="center"/>
              <w:rPr>
                <w:rFonts w:ascii="Arial" w:eastAsia="Times New Roman" w:hAnsi="Arial" w:cs="Arial"/>
                <w:sz w:val="16"/>
                <w:szCs w:val="16"/>
                <w:lang w:val="es-ES" w:eastAsia="es-ES"/>
              </w:rPr>
            </w:pPr>
            <w:r w:rsidRPr="00230AF6">
              <w:rPr>
                <w:rFonts w:ascii="Arial" w:eastAsia="Times New Roman" w:hAnsi="Arial" w:cs="Arial"/>
                <w:sz w:val="16"/>
                <w:szCs w:val="16"/>
                <w:lang w:val="es-ES" w:eastAsia="es-ES"/>
              </w:rPr>
              <w:t>137,74%</w:t>
            </w:r>
          </w:p>
        </w:tc>
        <w:tc>
          <w:tcPr>
            <w:tcW w:w="1785" w:type="dxa"/>
            <w:tcBorders>
              <w:top w:val="single" w:sz="8" w:space="0" w:color="auto"/>
              <w:left w:val="nil"/>
              <w:bottom w:val="single" w:sz="4" w:space="0" w:color="auto"/>
              <w:right w:val="single" w:sz="8" w:space="0" w:color="auto"/>
            </w:tcBorders>
            <w:shd w:val="clear" w:color="auto" w:fill="auto"/>
            <w:noWrap/>
            <w:vAlign w:val="bottom"/>
          </w:tcPr>
          <w:p w:rsidR="00951FC3" w:rsidRPr="00230AF6" w:rsidRDefault="00951FC3" w:rsidP="00230AF6">
            <w:pPr>
              <w:spacing w:after="0" w:line="240" w:lineRule="auto"/>
              <w:rPr>
                <w:rFonts w:ascii="Arial" w:eastAsia="Times New Roman" w:hAnsi="Arial" w:cs="Arial"/>
                <w:sz w:val="16"/>
                <w:szCs w:val="16"/>
                <w:lang w:val="es-ES" w:eastAsia="es-ES"/>
              </w:rPr>
            </w:pPr>
            <w:r w:rsidRPr="00230AF6">
              <w:rPr>
                <w:rFonts w:ascii="Arial" w:eastAsia="Times New Roman" w:hAnsi="Arial" w:cs="Arial"/>
                <w:sz w:val="16"/>
                <w:szCs w:val="16"/>
                <w:lang w:val="es-ES" w:eastAsia="es-ES"/>
              </w:rPr>
              <w:t>Ratio últimos 8 años</w:t>
            </w:r>
          </w:p>
        </w:tc>
      </w:tr>
      <w:tr w:rsidR="00951FC3" w:rsidRPr="00230AF6">
        <w:trPr>
          <w:trHeight w:val="270"/>
        </w:trPr>
        <w:tc>
          <w:tcPr>
            <w:tcW w:w="3175" w:type="dxa"/>
            <w:tcBorders>
              <w:top w:val="nil"/>
              <w:left w:val="single" w:sz="4" w:space="0" w:color="auto"/>
              <w:bottom w:val="single" w:sz="4" w:space="0" w:color="auto"/>
              <w:right w:val="single" w:sz="4" w:space="0" w:color="auto"/>
            </w:tcBorders>
            <w:shd w:val="clear" w:color="auto" w:fill="auto"/>
            <w:noWrap/>
            <w:vAlign w:val="bottom"/>
          </w:tcPr>
          <w:p w:rsidR="00951FC3" w:rsidRPr="00230AF6" w:rsidRDefault="00951FC3" w:rsidP="00230AF6">
            <w:pPr>
              <w:spacing w:after="0" w:line="240" w:lineRule="auto"/>
              <w:rPr>
                <w:rFonts w:ascii="Arial" w:eastAsia="Times New Roman" w:hAnsi="Arial" w:cs="Arial"/>
                <w:sz w:val="16"/>
                <w:szCs w:val="16"/>
                <w:lang w:val="es-ES" w:eastAsia="es-ES"/>
              </w:rPr>
            </w:pPr>
            <w:r w:rsidRPr="00230AF6">
              <w:rPr>
                <w:rFonts w:ascii="Arial" w:eastAsia="Times New Roman" w:hAnsi="Arial" w:cs="Arial"/>
                <w:sz w:val="16"/>
                <w:szCs w:val="16"/>
                <w:lang w:val="es-ES" w:eastAsia="es-ES"/>
              </w:rPr>
              <w:t>Otros pasivos con costos</w:t>
            </w:r>
          </w:p>
        </w:tc>
        <w:tc>
          <w:tcPr>
            <w:tcW w:w="3066" w:type="dxa"/>
            <w:tcBorders>
              <w:top w:val="nil"/>
              <w:left w:val="nil"/>
              <w:bottom w:val="single" w:sz="4" w:space="0" w:color="auto"/>
              <w:right w:val="single" w:sz="4" w:space="0" w:color="auto"/>
            </w:tcBorders>
            <w:shd w:val="clear" w:color="auto" w:fill="auto"/>
            <w:noWrap/>
            <w:vAlign w:val="bottom"/>
          </w:tcPr>
          <w:p w:rsidR="00951FC3" w:rsidRPr="00230AF6" w:rsidRDefault="00951FC3" w:rsidP="00230AF6">
            <w:pPr>
              <w:spacing w:after="0" w:line="240" w:lineRule="auto"/>
              <w:jc w:val="center"/>
              <w:rPr>
                <w:rFonts w:ascii="Arial" w:eastAsia="Times New Roman" w:hAnsi="Arial" w:cs="Arial"/>
                <w:sz w:val="16"/>
                <w:szCs w:val="16"/>
                <w:lang w:val="es-ES" w:eastAsia="es-ES"/>
              </w:rPr>
            </w:pPr>
            <w:r w:rsidRPr="00230AF6">
              <w:rPr>
                <w:rFonts w:ascii="Arial" w:eastAsia="Times New Roman" w:hAnsi="Arial" w:cs="Arial"/>
                <w:sz w:val="16"/>
                <w:szCs w:val="16"/>
                <w:lang w:val="es-ES" w:eastAsia="es-ES"/>
              </w:rPr>
              <w:t>Otros pasivos con costo/CB</w:t>
            </w:r>
          </w:p>
        </w:tc>
        <w:tc>
          <w:tcPr>
            <w:tcW w:w="827" w:type="dxa"/>
            <w:tcBorders>
              <w:top w:val="nil"/>
              <w:left w:val="nil"/>
              <w:bottom w:val="single" w:sz="4" w:space="0" w:color="auto"/>
              <w:right w:val="single" w:sz="4" w:space="0" w:color="auto"/>
            </w:tcBorders>
            <w:shd w:val="clear" w:color="auto" w:fill="auto"/>
            <w:noWrap/>
            <w:vAlign w:val="bottom"/>
          </w:tcPr>
          <w:p w:rsidR="00951FC3" w:rsidRPr="00230AF6" w:rsidRDefault="00951FC3" w:rsidP="00230AF6">
            <w:pPr>
              <w:spacing w:after="0" w:line="240" w:lineRule="auto"/>
              <w:jc w:val="center"/>
              <w:rPr>
                <w:rFonts w:ascii="Arial" w:eastAsia="Times New Roman" w:hAnsi="Arial" w:cs="Arial"/>
                <w:sz w:val="16"/>
                <w:szCs w:val="16"/>
                <w:lang w:val="es-ES" w:eastAsia="es-ES"/>
              </w:rPr>
            </w:pPr>
            <w:r w:rsidRPr="00230AF6">
              <w:rPr>
                <w:rFonts w:ascii="Arial" w:eastAsia="Times New Roman" w:hAnsi="Arial" w:cs="Arial"/>
                <w:sz w:val="16"/>
                <w:szCs w:val="16"/>
                <w:lang w:val="es-ES" w:eastAsia="es-ES"/>
              </w:rPr>
              <w:t> </w:t>
            </w:r>
          </w:p>
        </w:tc>
        <w:tc>
          <w:tcPr>
            <w:tcW w:w="1785" w:type="dxa"/>
            <w:tcBorders>
              <w:top w:val="single" w:sz="8" w:space="0" w:color="auto"/>
              <w:left w:val="nil"/>
              <w:bottom w:val="single" w:sz="4" w:space="0" w:color="auto"/>
              <w:right w:val="single" w:sz="8" w:space="0" w:color="auto"/>
            </w:tcBorders>
            <w:shd w:val="clear" w:color="auto" w:fill="auto"/>
            <w:noWrap/>
            <w:vAlign w:val="bottom"/>
          </w:tcPr>
          <w:p w:rsidR="00951FC3" w:rsidRPr="00230AF6" w:rsidRDefault="00951FC3" w:rsidP="00230AF6">
            <w:pPr>
              <w:spacing w:after="0" w:line="240" w:lineRule="auto"/>
              <w:rPr>
                <w:rFonts w:ascii="Arial" w:eastAsia="Times New Roman" w:hAnsi="Arial" w:cs="Arial"/>
                <w:sz w:val="16"/>
                <w:szCs w:val="16"/>
                <w:lang w:val="es-ES" w:eastAsia="es-ES"/>
              </w:rPr>
            </w:pPr>
            <w:r w:rsidRPr="00230AF6">
              <w:rPr>
                <w:rFonts w:ascii="Arial" w:eastAsia="Times New Roman" w:hAnsi="Arial" w:cs="Arial"/>
                <w:sz w:val="16"/>
                <w:szCs w:val="16"/>
                <w:lang w:val="es-ES" w:eastAsia="es-ES"/>
              </w:rPr>
              <w:t>Ratio últimos 8 años</w:t>
            </w:r>
          </w:p>
        </w:tc>
      </w:tr>
      <w:tr w:rsidR="00951FC3" w:rsidRPr="00230AF6">
        <w:trPr>
          <w:trHeight w:val="270"/>
        </w:trPr>
        <w:tc>
          <w:tcPr>
            <w:tcW w:w="3175" w:type="dxa"/>
            <w:tcBorders>
              <w:top w:val="nil"/>
              <w:left w:val="single" w:sz="4" w:space="0" w:color="auto"/>
              <w:bottom w:val="single" w:sz="8" w:space="0" w:color="auto"/>
              <w:right w:val="single" w:sz="4" w:space="0" w:color="auto"/>
            </w:tcBorders>
            <w:shd w:val="clear" w:color="auto" w:fill="auto"/>
            <w:noWrap/>
            <w:vAlign w:val="bottom"/>
          </w:tcPr>
          <w:p w:rsidR="00951FC3" w:rsidRPr="00230AF6" w:rsidRDefault="00951FC3" w:rsidP="00230AF6">
            <w:pPr>
              <w:spacing w:after="0" w:line="240" w:lineRule="auto"/>
              <w:rPr>
                <w:rFonts w:ascii="Arial" w:eastAsia="Times New Roman" w:hAnsi="Arial" w:cs="Arial"/>
                <w:sz w:val="16"/>
                <w:szCs w:val="16"/>
                <w:lang w:val="es-ES" w:eastAsia="es-ES"/>
              </w:rPr>
            </w:pPr>
            <w:r w:rsidRPr="00230AF6">
              <w:rPr>
                <w:rFonts w:ascii="Arial" w:eastAsia="Times New Roman" w:hAnsi="Arial" w:cs="Arial"/>
                <w:sz w:val="16"/>
                <w:szCs w:val="16"/>
                <w:lang w:val="es-ES" w:eastAsia="es-ES"/>
              </w:rPr>
              <w:t>Patrimonio cierre año anterior (post dividendos)</w:t>
            </w:r>
          </w:p>
        </w:tc>
        <w:tc>
          <w:tcPr>
            <w:tcW w:w="3066" w:type="dxa"/>
            <w:tcBorders>
              <w:top w:val="nil"/>
              <w:left w:val="nil"/>
              <w:bottom w:val="nil"/>
              <w:right w:val="single" w:sz="4" w:space="0" w:color="auto"/>
            </w:tcBorders>
            <w:shd w:val="clear" w:color="auto" w:fill="auto"/>
            <w:noWrap/>
            <w:vAlign w:val="bottom"/>
          </w:tcPr>
          <w:p w:rsidR="00951FC3" w:rsidRPr="00230AF6" w:rsidRDefault="00951FC3" w:rsidP="00230AF6">
            <w:pPr>
              <w:spacing w:after="0" w:line="240" w:lineRule="auto"/>
              <w:jc w:val="center"/>
              <w:rPr>
                <w:rFonts w:ascii="Arial" w:eastAsia="Times New Roman" w:hAnsi="Arial" w:cs="Arial"/>
                <w:sz w:val="16"/>
                <w:szCs w:val="16"/>
                <w:lang w:val="es-ES" w:eastAsia="es-ES"/>
              </w:rPr>
            </w:pPr>
            <w:r w:rsidRPr="00230AF6">
              <w:rPr>
                <w:rFonts w:ascii="Arial" w:eastAsia="Times New Roman" w:hAnsi="Arial" w:cs="Arial"/>
                <w:sz w:val="16"/>
                <w:szCs w:val="16"/>
                <w:lang w:val="es-ES" w:eastAsia="es-ES"/>
              </w:rPr>
              <w:t>$ 139.722</w:t>
            </w:r>
          </w:p>
        </w:tc>
        <w:tc>
          <w:tcPr>
            <w:tcW w:w="827" w:type="dxa"/>
            <w:tcBorders>
              <w:top w:val="nil"/>
              <w:left w:val="nil"/>
              <w:bottom w:val="single" w:sz="4" w:space="0" w:color="auto"/>
              <w:right w:val="single" w:sz="4" w:space="0" w:color="auto"/>
            </w:tcBorders>
            <w:shd w:val="clear" w:color="auto" w:fill="auto"/>
            <w:noWrap/>
            <w:vAlign w:val="bottom"/>
          </w:tcPr>
          <w:p w:rsidR="00951FC3" w:rsidRPr="00230AF6" w:rsidRDefault="00951FC3" w:rsidP="00230AF6">
            <w:pPr>
              <w:spacing w:after="0" w:line="240" w:lineRule="auto"/>
              <w:jc w:val="center"/>
              <w:rPr>
                <w:rFonts w:ascii="Arial" w:eastAsia="Times New Roman" w:hAnsi="Arial" w:cs="Arial"/>
                <w:sz w:val="16"/>
                <w:szCs w:val="16"/>
                <w:lang w:val="es-ES" w:eastAsia="es-ES"/>
              </w:rPr>
            </w:pPr>
            <w:r w:rsidRPr="00230AF6">
              <w:rPr>
                <w:rFonts w:ascii="Arial" w:eastAsia="Times New Roman" w:hAnsi="Arial" w:cs="Arial"/>
                <w:sz w:val="16"/>
                <w:szCs w:val="16"/>
                <w:lang w:val="es-ES" w:eastAsia="es-ES"/>
              </w:rPr>
              <w:t> </w:t>
            </w:r>
          </w:p>
        </w:tc>
        <w:tc>
          <w:tcPr>
            <w:tcW w:w="1785" w:type="dxa"/>
            <w:tcBorders>
              <w:top w:val="nil"/>
              <w:left w:val="nil"/>
              <w:bottom w:val="single" w:sz="4" w:space="0" w:color="auto"/>
              <w:right w:val="single" w:sz="8" w:space="0" w:color="auto"/>
            </w:tcBorders>
            <w:shd w:val="clear" w:color="auto" w:fill="auto"/>
            <w:noWrap/>
            <w:vAlign w:val="bottom"/>
          </w:tcPr>
          <w:p w:rsidR="00951FC3" w:rsidRPr="00230AF6" w:rsidRDefault="00951FC3" w:rsidP="00230AF6">
            <w:pPr>
              <w:spacing w:after="0" w:line="240" w:lineRule="auto"/>
              <w:rPr>
                <w:rFonts w:ascii="Arial" w:eastAsia="Times New Roman" w:hAnsi="Arial" w:cs="Arial"/>
                <w:sz w:val="16"/>
                <w:szCs w:val="16"/>
                <w:lang w:val="es-ES" w:eastAsia="es-ES"/>
              </w:rPr>
            </w:pPr>
            <w:r w:rsidRPr="00230AF6">
              <w:rPr>
                <w:rFonts w:ascii="Arial" w:eastAsia="Times New Roman" w:hAnsi="Arial" w:cs="Arial"/>
                <w:sz w:val="16"/>
                <w:szCs w:val="16"/>
                <w:lang w:val="es-ES" w:eastAsia="es-ES"/>
              </w:rPr>
              <w:t> </w:t>
            </w:r>
          </w:p>
        </w:tc>
      </w:tr>
      <w:tr w:rsidR="00951FC3" w:rsidRPr="00230AF6">
        <w:trPr>
          <w:trHeight w:val="255"/>
        </w:trPr>
        <w:tc>
          <w:tcPr>
            <w:tcW w:w="3175" w:type="dxa"/>
            <w:tcBorders>
              <w:top w:val="single" w:sz="8" w:space="0" w:color="auto"/>
              <w:left w:val="single" w:sz="4" w:space="0" w:color="auto"/>
              <w:bottom w:val="single" w:sz="4" w:space="0" w:color="auto"/>
              <w:right w:val="single" w:sz="4" w:space="0" w:color="auto"/>
            </w:tcBorders>
            <w:shd w:val="clear" w:color="auto" w:fill="auto"/>
            <w:noWrap/>
            <w:vAlign w:val="bottom"/>
          </w:tcPr>
          <w:p w:rsidR="00951FC3" w:rsidRPr="00230AF6" w:rsidRDefault="00951FC3" w:rsidP="00230AF6">
            <w:pPr>
              <w:spacing w:after="0" w:line="240" w:lineRule="auto"/>
              <w:rPr>
                <w:rFonts w:ascii="Arial" w:eastAsia="Times New Roman" w:hAnsi="Arial" w:cs="Arial"/>
                <w:sz w:val="16"/>
                <w:szCs w:val="16"/>
                <w:lang w:val="es-ES" w:eastAsia="es-ES"/>
              </w:rPr>
            </w:pPr>
            <w:r w:rsidRPr="00230AF6">
              <w:rPr>
                <w:rFonts w:ascii="Arial" w:eastAsia="Times New Roman" w:hAnsi="Arial" w:cs="Arial"/>
                <w:sz w:val="16"/>
                <w:szCs w:val="16"/>
                <w:lang w:val="es-ES" w:eastAsia="es-ES"/>
              </w:rPr>
              <w:t>Margen Neto de Interés</w:t>
            </w:r>
          </w:p>
        </w:tc>
        <w:tc>
          <w:tcPr>
            <w:tcW w:w="3066" w:type="dxa"/>
            <w:tcBorders>
              <w:top w:val="nil"/>
              <w:left w:val="nil"/>
              <w:bottom w:val="single" w:sz="4" w:space="0" w:color="auto"/>
              <w:right w:val="single" w:sz="4" w:space="0" w:color="auto"/>
            </w:tcBorders>
            <w:shd w:val="clear" w:color="auto" w:fill="auto"/>
            <w:noWrap/>
            <w:vAlign w:val="bottom"/>
          </w:tcPr>
          <w:p w:rsidR="00951FC3" w:rsidRPr="00230AF6" w:rsidRDefault="00951FC3" w:rsidP="00230AF6">
            <w:pPr>
              <w:spacing w:after="0" w:line="240" w:lineRule="auto"/>
              <w:jc w:val="center"/>
              <w:rPr>
                <w:rFonts w:ascii="Arial" w:eastAsia="Times New Roman" w:hAnsi="Arial" w:cs="Arial"/>
                <w:sz w:val="16"/>
                <w:szCs w:val="16"/>
                <w:lang w:val="es-ES" w:eastAsia="es-ES"/>
              </w:rPr>
            </w:pPr>
            <w:r w:rsidRPr="00230AF6">
              <w:rPr>
                <w:rFonts w:ascii="Arial" w:eastAsia="Times New Roman" w:hAnsi="Arial" w:cs="Arial"/>
                <w:sz w:val="16"/>
                <w:szCs w:val="16"/>
                <w:lang w:val="es-ES" w:eastAsia="es-ES"/>
              </w:rPr>
              <w:t>Margen de interes neto ganado/(CB+INV)</w:t>
            </w:r>
          </w:p>
        </w:tc>
        <w:tc>
          <w:tcPr>
            <w:tcW w:w="827" w:type="dxa"/>
            <w:tcBorders>
              <w:top w:val="nil"/>
              <w:left w:val="nil"/>
              <w:bottom w:val="single" w:sz="4" w:space="0" w:color="auto"/>
              <w:right w:val="single" w:sz="4" w:space="0" w:color="auto"/>
            </w:tcBorders>
            <w:shd w:val="clear" w:color="auto" w:fill="auto"/>
            <w:noWrap/>
            <w:vAlign w:val="bottom"/>
          </w:tcPr>
          <w:p w:rsidR="00951FC3" w:rsidRPr="00230AF6" w:rsidRDefault="00951FC3" w:rsidP="00230AF6">
            <w:pPr>
              <w:spacing w:after="0" w:line="240" w:lineRule="auto"/>
              <w:jc w:val="center"/>
              <w:rPr>
                <w:rFonts w:ascii="Arial" w:eastAsia="Times New Roman" w:hAnsi="Arial" w:cs="Arial"/>
                <w:sz w:val="16"/>
                <w:szCs w:val="16"/>
                <w:lang w:val="es-ES" w:eastAsia="es-ES"/>
              </w:rPr>
            </w:pPr>
            <w:r w:rsidRPr="00230AF6">
              <w:rPr>
                <w:rFonts w:ascii="Arial" w:eastAsia="Times New Roman" w:hAnsi="Arial" w:cs="Arial"/>
                <w:sz w:val="16"/>
                <w:szCs w:val="16"/>
                <w:lang w:val="es-ES" w:eastAsia="es-ES"/>
              </w:rPr>
              <w:t>6,97%</w:t>
            </w:r>
          </w:p>
        </w:tc>
        <w:tc>
          <w:tcPr>
            <w:tcW w:w="1785" w:type="dxa"/>
            <w:tcBorders>
              <w:top w:val="nil"/>
              <w:left w:val="nil"/>
              <w:bottom w:val="single" w:sz="4" w:space="0" w:color="auto"/>
              <w:right w:val="single" w:sz="8" w:space="0" w:color="auto"/>
            </w:tcBorders>
            <w:shd w:val="clear" w:color="auto" w:fill="auto"/>
            <w:noWrap/>
            <w:vAlign w:val="bottom"/>
          </w:tcPr>
          <w:p w:rsidR="00951FC3" w:rsidRPr="00230AF6" w:rsidRDefault="00951FC3" w:rsidP="00230AF6">
            <w:pPr>
              <w:spacing w:after="0" w:line="240" w:lineRule="auto"/>
              <w:rPr>
                <w:rFonts w:ascii="Arial" w:eastAsia="Times New Roman" w:hAnsi="Arial" w:cs="Arial"/>
                <w:sz w:val="16"/>
                <w:szCs w:val="16"/>
                <w:lang w:val="es-ES" w:eastAsia="es-ES"/>
              </w:rPr>
            </w:pPr>
            <w:r w:rsidRPr="00230AF6">
              <w:rPr>
                <w:rFonts w:ascii="Arial" w:eastAsia="Times New Roman" w:hAnsi="Arial" w:cs="Arial"/>
                <w:sz w:val="16"/>
                <w:szCs w:val="16"/>
                <w:lang w:val="es-ES" w:eastAsia="es-ES"/>
              </w:rPr>
              <w:t>Ratio últimos 8 años</w:t>
            </w:r>
          </w:p>
        </w:tc>
      </w:tr>
      <w:tr w:rsidR="00951FC3" w:rsidRPr="00230AF6">
        <w:trPr>
          <w:trHeight w:val="270"/>
        </w:trPr>
        <w:tc>
          <w:tcPr>
            <w:tcW w:w="3175" w:type="dxa"/>
            <w:tcBorders>
              <w:top w:val="nil"/>
              <w:left w:val="single" w:sz="4" w:space="0" w:color="auto"/>
              <w:bottom w:val="single" w:sz="4" w:space="0" w:color="auto"/>
              <w:right w:val="single" w:sz="4" w:space="0" w:color="auto"/>
            </w:tcBorders>
            <w:shd w:val="clear" w:color="auto" w:fill="auto"/>
            <w:noWrap/>
            <w:vAlign w:val="bottom"/>
          </w:tcPr>
          <w:p w:rsidR="00951FC3" w:rsidRPr="00230AF6" w:rsidRDefault="00951FC3" w:rsidP="00230AF6">
            <w:pPr>
              <w:spacing w:after="0" w:line="240" w:lineRule="auto"/>
              <w:rPr>
                <w:rFonts w:ascii="Arial" w:eastAsia="Times New Roman" w:hAnsi="Arial" w:cs="Arial"/>
                <w:sz w:val="16"/>
                <w:szCs w:val="16"/>
                <w:lang w:val="es-ES" w:eastAsia="es-ES"/>
              </w:rPr>
            </w:pPr>
            <w:r w:rsidRPr="00230AF6">
              <w:rPr>
                <w:rFonts w:ascii="Arial" w:eastAsia="Times New Roman" w:hAnsi="Arial" w:cs="Arial"/>
                <w:sz w:val="16"/>
                <w:szCs w:val="16"/>
                <w:lang w:val="es-ES" w:eastAsia="es-ES"/>
              </w:rPr>
              <w:t>Comisiones Netas</w:t>
            </w:r>
          </w:p>
        </w:tc>
        <w:tc>
          <w:tcPr>
            <w:tcW w:w="3066" w:type="dxa"/>
            <w:tcBorders>
              <w:top w:val="nil"/>
              <w:left w:val="nil"/>
              <w:bottom w:val="single" w:sz="4" w:space="0" w:color="auto"/>
              <w:right w:val="single" w:sz="4" w:space="0" w:color="auto"/>
            </w:tcBorders>
            <w:shd w:val="clear" w:color="auto" w:fill="auto"/>
            <w:noWrap/>
            <w:vAlign w:val="bottom"/>
          </w:tcPr>
          <w:p w:rsidR="00951FC3" w:rsidRPr="00230AF6" w:rsidRDefault="00951FC3" w:rsidP="00230AF6">
            <w:pPr>
              <w:spacing w:after="0" w:line="240" w:lineRule="auto"/>
              <w:jc w:val="center"/>
              <w:rPr>
                <w:rFonts w:ascii="Arial" w:eastAsia="Times New Roman" w:hAnsi="Arial" w:cs="Arial"/>
                <w:sz w:val="16"/>
                <w:szCs w:val="16"/>
                <w:lang w:val="es-ES" w:eastAsia="es-ES"/>
              </w:rPr>
            </w:pPr>
            <w:r w:rsidRPr="00230AF6">
              <w:rPr>
                <w:rFonts w:ascii="Arial" w:eastAsia="Times New Roman" w:hAnsi="Arial" w:cs="Arial"/>
                <w:sz w:val="16"/>
                <w:szCs w:val="16"/>
                <w:lang w:val="es-ES" w:eastAsia="es-ES"/>
              </w:rPr>
              <w:t>Comisiones netas/CB</w:t>
            </w:r>
          </w:p>
        </w:tc>
        <w:tc>
          <w:tcPr>
            <w:tcW w:w="827" w:type="dxa"/>
            <w:tcBorders>
              <w:top w:val="nil"/>
              <w:left w:val="nil"/>
              <w:bottom w:val="single" w:sz="4" w:space="0" w:color="auto"/>
              <w:right w:val="single" w:sz="4" w:space="0" w:color="auto"/>
            </w:tcBorders>
            <w:shd w:val="clear" w:color="auto" w:fill="auto"/>
            <w:noWrap/>
            <w:vAlign w:val="bottom"/>
          </w:tcPr>
          <w:p w:rsidR="00951FC3" w:rsidRPr="00230AF6" w:rsidRDefault="00951FC3" w:rsidP="00230AF6">
            <w:pPr>
              <w:spacing w:after="0" w:line="240" w:lineRule="auto"/>
              <w:jc w:val="center"/>
              <w:rPr>
                <w:rFonts w:ascii="Arial" w:eastAsia="Times New Roman" w:hAnsi="Arial" w:cs="Arial"/>
                <w:sz w:val="16"/>
                <w:szCs w:val="16"/>
                <w:lang w:val="es-ES" w:eastAsia="es-ES"/>
              </w:rPr>
            </w:pPr>
            <w:r w:rsidRPr="00230AF6">
              <w:rPr>
                <w:rFonts w:ascii="Arial" w:eastAsia="Times New Roman" w:hAnsi="Arial" w:cs="Arial"/>
                <w:sz w:val="16"/>
                <w:szCs w:val="16"/>
                <w:lang w:val="es-ES" w:eastAsia="es-ES"/>
              </w:rPr>
              <w:t>3,28%</w:t>
            </w:r>
          </w:p>
        </w:tc>
        <w:tc>
          <w:tcPr>
            <w:tcW w:w="1785" w:type="dxa"/>
            <w:tcBorders>
              <w:top w:val="single" w:sz="8" w:space="0" w:color="auto"/>
              <w:left w:val="nil"/>
              <w:bottom w:val="single" w:sz="4" w:space="0" w:color="auto"/>
              <w:right w:val="single" w:sz="8" w:space="0" w:color="auto"/>
            </w:tcBorders>
            <w:shd w:val="clear" w:color="auto" w:fill="auto"/>
            <w:noWrap/>
            <w:vAlign w:val="bottom"/>
          </w:tcPr>
          <w:p w:rsidR="00951FC3" w:rsidRPr="00230AF6" w:rsidRDefault="00951FC3" w:rsidP="00230AF6">
            <w:pPr>
              <w:spacing w:after="0" w:line="240" w:lineRule="auto"/>
              <w:rPr>
                <w:rFonts w:ascii="Arial" w:eastAsia="Times New Roman" w:hAnsi="Arial" w:cs="Arial"/>
                <w:sz w:val="16"/>
                <w:szCs w:val="16"/>
                <w:lang w:val="es-ES" w:eastAsia="es-ES"/>
              </w:rPr>
            </w:pPr>
            <w:r w:rsidRPr="00230AF6">
              <w:rPr>
                <w:rFonts w:ascii="Arial" w:eastAsia="Times New Roman" w:hAnsi="Arial" w:cs="Arial"/>
                <w:sz w:val="16"/>
                <w:szCs w:val="16"/>
                <w:lang w:val="es-ES" w:eastAsia="es-ES"/>
              </w:rPr>
              <w:t>Ratio últimos 8 años</w:t>
            </w:r>
          </w:p>
        </w:tc>
      </w:tr>
      <w:tr w:rsidR="00951FC3" w:rsidRPr="00230AF6">
        <w:trPr>
          <w:trHeight w:val="270"/>
        </w:trPr>
        <w:tc>
          <w:tcPr>
            <w:tcW w:w="3175" w:type="dxa"/>
            <w:tcBorders>
              <w:top w:val="nil"/>
              <w:left w:val="single" w:sz="4" w:space="0" w:color="auto"/>
              <w:bottom w:val="single" w:sz="4" w:space="0" w:color="auto"/>
              <w:right w:val="single" w:sz="4" w:space="0" w:color="auto"/>
            </w:tcBorders>
            <w:shd w:val="clear" w:color="auto" w:fill="auto"/>
            <w:noWrap/>
            <w:vAlign w:val="bottom"/>
          </w:tcPr>
          <w:p w:rsidR="00951FC3" w:rsidRPr="00230AF6" w:rsidRDefault="00951FC3" w:rsidP="00230AF6">
            <w:pPr>
              <w:spacing w:after="0" w:line="240" w:lineRule="auto"/>
              <w:rPr>
                <w:rFonts w:ascii="Arial" w:eastAsia="Times New Roman" w:hAnsi="Arial" w:cs="Arial"/>
                <w:sz w:val="16"/>
                <w:szCs w:val="16"/>
                <w:lang w:val="es-ES" w:eastAsia="es-ES"/>
              </w:rPr>
            </w:pPr>
            <w:r w:rsidRPr="00230AF6">
              <w:rPr>
                <w:rFonts w:ascii="Arial" w:eastAsia="Times New Roman" w:hAnsi="Arial" w:cs="Arial"/>
                <w:sz w:val="16"/>
                <w:szCs w:val="16"/>
                <w:lang w:val="es-ES" w:eastAsia="es-ES"/>
              </w:rPr>
              <w:t>Ingresos por servicios</w:t>
            </w:r>
          </w:p>
        </w:tc>
        <w:tc>
          <w:tcPr>
            <w:tcW w:w="3066" w:type="dxa"/>
            <w:tcBorders>
              <w:top w:val="nil"/>
              <w:left w:val="nil"/>
              <w:bottom w:val="single" w:sz="4" w:space="0" w:color="auto"/>
              <w:right w:val="single" w:sz="4" w:space="0" w:color="auto"/>
            </w:tcBorders>
            <w:shd w:val="clear" w:color="auto" w:fill="auto"/>
            <w:noWrap/>
            <w:vAlign w:val="bottom"/>
          </w:tcPr>
          <w:p w:rsidR="00951FC3" w:rsidRPr="00230AF6" w:rsidRDefault="00951FC3" w:rsidP="00230AF6">
            <w:pPr>
              <w:spacing w:after="0" w:line="240" w:lineRule="auto"/>
              <w:jc w:val="center"/>
              <w:rPr>
                <w:rFonts w:ascii="Arial" w:eastAsia="Times New Roman" w:hAnsi="Arial" w:cs="Arial"/>
                <w:sz w:val="16"/>
                <w:szCs w:val="16"/>
                <w:lang w:val="es-ES" w:eastAsia="es-ES"/>
              </w:rPr>
            </w:pPr>
            <w:r w:rsidRPr="00230AF6">
              <w:rPr>
                <w:rFonts w:ascii="Arial" w:eastAsia="Times New Roman" w:hAnsi="Arial" w:cs="Arial"/>
                <w:sz w:val="16"/>
                <w:szCs w:val="16"/>
                <w:lang w:val="es-ES" w:eastAsia="es-ES"/>
              </w:rPr>
              <w:t>Ingresos por servicios/CB</w:t>
            </w:r>
          </w:p>
        </w:tc>
        <w:tc>
          <w:tcPr>
            <w:tcW w:w="827" w:type="dxa"/>
            <w:tcBorders>
              <w:top w:val="nil"/>
              <w:left w:val="nil"/>
              <w:bottom w:val="single" w:sz="4" w:space="0" w:color="auto"/>
              <w:right w:val="single" w:sz="4" w:space="0" w:color="auto"/>
            </w:tcBorders>
            <w:shd w:val="clear" w:color="auto" w:fill="auto"/>
            <w:noWrap/>
            <w:vAlign w:val="bottom"/>
          </w:tcPr>
          <w:p w:rsidR="00951FC3" w:rsidRPr="00230AF6" w:rsidRDefault="00951FC3" w:rsidP="00230AF6">
            <w:pPr>
              <w:spacing w:after="0" w:line="240" w:lineRule="auto"/>
              <w:jc w:val="center"/>
              <w:rPr>
                <w:rFonts w:ascii="Arial" w:eastAsia="Times New Roman" w:hAnsi="Arial" w:cs="Arial"/>
                <w:sz w:val="16"/>
                <w:szCs w:val="16"/>
                <w:lang w:val="es-ES" w:eastAsia="es-ES"/>
              </w:rPr>
            </w:pPr>
            <w:r w:rsidRPr="00230AF6">
              <w:rPr>
                <w:rFonts w:ascii="Arial" w:eastAsia="Times New Roman" w:hAnsi="Arial" w:cs="Arial"/>
                <w:sz w:val="16"/>
                <w:szCs w:val="16"/>
                <w:lang w:val="es-ES" w:eastAsia="es-ES"/>
              </w:rPr>
              <w:t>1,76%</w:t>
            </w:r>
          </w:p>
        </w:tc>
        <w:tc>
          <w:tcPr>
            <w:tcW w:w="1785" w:type="dxa"/>
            <w:tcBorders>
              <w:top w:val="single" w:sz="8" w:space="0" w:color="auto"/>
              <w:left w:val="nil"/>
              <w:bottom w:val="single" w:sz="4" w:space="0" w:color="auto"/>
              <w:right w:val="single" w:sz="8" w:space="0" w:color="auto"/>
            </w:tcBorders>
            <w:shd w:val="clear" w:color="auto" w:fill="auto"/>
            <w:noWrap/>
            <w:vAlign w:val="bottom"/>
          </w:tcPr>
          <w:p w:rsidR="00951FC3" w:rsidRPr="00230AF6" w:rsidRDefault="00951FC3" w:rsidP="00230AF6">
            <w:pPr>
              <w:spacing w:after="0" w:line="240" w:lineRule="auto"/>
              <w:rPr>
                <w:rFonts w:ascii="Arial" w:eastAsia="Times New Roman" w:hAnsi="Arial" w:cs="Arial"/>
                <w:sz w:val="16"/>
                <w:szCs w:val="16"/>
                <w:lang w:val="es-ES" w:eastAsia="es-ES"/>
              </w:rPr>
            </w:pPr>
            <w:r w:rsidRPr="00230AF6">
              <w:rPr>
                <w:rFonts w:ascii="Arial" w:eastAsia="Times New Roman" w:hAnsi="Arial" w:cs="Arial"/>
                <w:sz w:val="16"/>
                <w:szCs w:val="16"/>
                <w:lang w:val="es-ES" w:eastAsia="es-ES"/>
              </w:rPr>
              <w:t>Ratio últimos 8 años</w:t>
            </w:r>
          </w:p>
        </w:tc>
      </w:tr>
      <w:tr w:rsidR="00951FC3" w:rsidRPr="00230AF6">
        <w:trPr>
          <w:trHeight w:val="270"/>
        </w:trPr>
        <w:tc>
          <w:tcPr>
            <w:tcW w:w="3175" w:type="dxa"/>
            <w:tcBorders>
              <w:top w:val="nil"/>
              <w:left w:val="single" w:sz="4" w:space="0" w:color="auto"/>
              <w:bottom w:val="single" w:sz="4" w:space="0" w:color="auto"/>
              <w:right w:val="single" w:sz="4" w:space="0" w:color="auto"/>
            </w:tcBorders>
            <w:shd w:val="clear" w:color="auto" w:fill="auto"/>
            <w:noWrap/>
            <w:vAlign w:val="bottom"/>
          </w:tcPr>
          <w:p w:rsidR="00951FC3" w:rsidRPr="00230AF6" w:rsidRDefault="00951FC3" w:rsidP="00230AF6">
            <w:pPr>
              <w:spacing w:after="0" w:line="240" w:lineRule="auto"/>
              <w:rPr>
                <w:rFonts w:ascii="Arial" w:eastAsia="Times New Roman" w:hAnsi="Arial" w:cs="Arial"/>
                <w:sz w:val="16"/>
                <w:szCs w:val="16"/>
                <w:lang w:val="es-ES" w:eastAsia="es-ES"/>
              </w:rPr>
            </w:pPr>
            <w:r w:rsidRPr="00230AF6">
              <w:rPr>
                <w:rFonts w:ascii="Arial" w:eastAsia="Times New Roman" w:hAnsi="Arial" w:cs="Arial"/>
                <w:sz w:val="16"/>
                <w:szCs w:val="16"/>
                <w:lang w:val="es-ES" w:eastAsia="es-ES"/>
              </w:rPr>
              <w:t>Gasto por Provisiones</w:t>
            </w:r>
          </w:p>
        </w:tc>
        <w:tc>
          <w:tcPr>
            <w:tcW w:w="3066" w:type="dxa"/>
            <w:tcBorders>
              <w:top w:val="nil"/>
              <w:left w:val="nil"/>
              <w:bottom w:val="single" w:sz="4" w:space="0" w:color="auto"/>
              <w:right w:val="single" w:sz="4" w:space="0" w:color="auto"/>
            </w:tcBorders>
            <w:shd w:val="clear" w:color="auto" w:fill="auto"/>
            <w:noWrap/>
            <w:vAlign w:val="bottom"/>
          </w:tcPr>
          <w:p w:rsidR="00951FC3" w:rsidRPr="00230AF6" w:rsidRDefault="00951FC3" w:rsidP="00230AF6">
            <w:pPr>
              <w:spacing w:after="0" w:line="240" w:lineRule="auto"/>
              <w:jc w:val="center"/>
              <w:rPr>
                <w:rFonts w:ascii="Arial" w:eastAsia="Times New Roman" w:hAnsi="Arial" w:cs="Arial"/>
                <w:sz w:val="16"/>
                <w:szCs w:val="16"/>
                <w:lang w:val="es-ES" w:eastAsia="es-ES"/>
              </w:rPr>
            </w:pPr>
            <w:r w:rsidRPr="00230AF6">
              <w:rPr>
                <w:rFonts w:ascii="Arial" w:eastAsia="Times New Roman" w:hAnsi="Arial" w:cs="Arial"/>
                <w:sz w:val="16"/>
                <w:szCs w:val="16"/>
                <w:lang w:val="es-ES" w:eastAsia="es-ES"/>
              </w:rPr>
              <w:t>Gastos de provisión/Cartera Vencida</w:t>
            </w:r>
          </w:p>
        </w:tc>
        <w:tc>
          <w:tcPr>
            <w:tcW w:w="827" w:type="dxa"/>
            <w:tcBorders>
              <w:top w:val="nil"/>
              <w:left w:val="nil"/>
              <w:bottom w:val="single" w:sz="4" w:space="0" w:color="auto"/>
              <w:right w:val="single" w:sz="4" w:space="0" w:color="auto"/>
            </w:tcBorders>
            <w:shd w:val="clear" w:color="auto" w:fill="auto"/>
            <w:noWrap/>
            <w:vAlign w:val="bottom"/>
          </w:tcPr>
          <w:p w:rsidR="00951FC3" w:rsidRPr="00230AF6" w:rsidRDefault="00951FC3" w:rsidP="00230AF6">
            <w:pPr>
              <w:spacing w:after="0" w:line="240" w:lineRule="auto"/>
              <w:jc w:val="center"/>
              <w:rPr>
                <w:rFonts w:ascii="Arial" w:eastAsia="Times New Roman" w:hAnsi="Arial" w:cs="Arial"/>
                <w:sz w:val="16"/>
                <w:szCs w:val="16"/>
                <w:lang w:val="es-ES" w:eastAsia="es-ES"/>
              </w:rPr>
            </w:pPr>
            <w:r w:rsidRPr="00230AF6">
              <w:rPr>
                <w:rFonts w:ascii="Arial" w:eastAsia="Times New Roman" w:hAnsi="Arial" w:cs="Arial"/>
                <w:sz w:val="16"/>
                <w:szCs w:val="16"/>
                <w:lang w:val="es-ES" w:eastAsia="es-ES"/>
              </w:rPr>
              <w:t>97,79%</w:t>
            </w:r>
          </w:p>
        </w:tc>
        <w:tc>
          <w:tcPr>
            <w:tcW w:w="1785" w:type="dxa"/>
            <w:tcBorders>
              <w:top w:val="single" w:sz="8" w:space="0" w:color="auto"/>
              <w:left w:val="nil"/>
              <w:bottom w:val="single" w:sz="4" w:space="0" w:color="auto"/>
              <w:right w:val="single" w:sz="8" w:space="0" w:color="auto"/>
            </w:tcBorders>
            <w:shd w:val="clear" w:color="auto" w:fill="auto"/>
            <w:noWrap/>
            <w:vAlign w:val="bottom"/>
          </w:tcPr>
          <w:p w:rsidR="00951FC3" w:rsidRPr="00230AF6" w:rsidRDefault="00951FC3" w:rsidP="00230AF6">
            <w:pPr>
              <w:spacing w:after="0" w:line="240" w:lineRule="auto"/>
              <w:rPr>
                <w:rFonts w:ascii="Arial" w:eastAsia="Times New Roman" w:hAnsi="Arial" w:cs="Arial"/>
                <w:sz w:val="16"/>
                <w:szCs w:val="16"/>
                <w:lang w:val="es-ES" w:eastAsia="es-ES"/>
              </w:rPr>
            </w:pPr>
            <w:r w:rsidRPr="00230AF6">
              <w:rPr>
                <w:rFonts w:ascii="Arial" w:eastAsia="Times New Roman" w:hAnsi="Arial" w:cs="Arial"/>
                <w:sz w:val="16"/>
                <w:szCs w:val="16"/>
                <w:lang w:val="es-ES" w:eastAsia="es-ES"/>
              </w:rPr>
              <w:t>Ratio últimos 8 años</w:t>
            </w:r>
          </w:p>
        </w:tc>
      </w:tr>
      <w:tr w:rsidR="00951FC3" w:rsidRPr="00230AF6">
        <w:trPr>
          <w:trHeight w:val="270"/>
        </w:trPr>
        <w:tc>
          <w:tcPr>
            <w:tcW w:w="3175" w:type="dxa"/>
            <w:tcBorders>
              <w:top w:val="nil"/>
              <w:left w:val="single" w:sz="4" w:space="0" w:color="auto"/>
              <w:bottom w:val="single" w:sz="4" w:space="0" w:color="auto"/>
              <w:right w:val="single" w:sz="4" w:space="0" w:color="auto"/>
            </w:tcBorders>
            <w:shd w:val="clear" w:color="auto" w:fill="auto"/>
            <w:noWrap/>
            <w:vAlign w:val="bottom"/>
          </w:tcPr>
          <w:p w:rsidR="00951FC3" w:rsidRPr="00230AF6" w:rsidRDefault="00951FC3" w:rsidP="00230AF6">
            <w:pPr>
              <w:spacing w:after="0" w:line="240" w:lineRule="auto"/>
              <w:rPr>
                <w:rFonts w:ascii="Arial" w:eastAsia="Times New Roman" w:hAnsi="Arial" w:cs="Arial"/>
                <w:sz w:val="16"/>
                <w:szCs w:val="16"/>
                <w:lang w:val="es-ES" w:eastAsia="es-ES"/>
              </w:rPr>
            </w:pPr>
            <w:r w:rsidRPr="00230AF6">
              <w:rPr>
                <w:rFonts w:ascii="Arial" w:eastAsia="Times New Roman" w:hAnsi="Arial" w:cs="Arial"/>
                <w:sz w:val="16"/>
                <w:szCs w:val="16"/>
                <w:lang w:val="es-ES" w:eastAsia="es-ES"/>
              </w:rPr>
              <w:t>Gasto de Operación*</w:t>
            </w:r>
          </w:p>
        </w:tc>
        <w:tc>
          <w:tcPr>
            <w:tcW w:w="3066" w:type="dxa"/>
            <w:tcBorders>
              <w:top w:val="nil"/>
              <w:left w:val="nil"/>
              <w:bottom w:val="single" w:sz="4" w:space="0" w:color="auto"/>
              <w:right w:val="single" w:sz="4" w:space="0" w:color="auto"/>
            </w:tcBorders>
            <w:shd w:val="clear" w:color="auto" w:fill="auto"/>
            <w:noWrap/>
            <w:vAlign w:val="bottom"/>
          </w:tcPr>
          <w:p w:rsidR="00951FC3" w:rsidRPr="00230AF6" w:rsidRDefault="00951FC3" w:rsidP="00230AF6">
            <w:pPr>
              <w:spacing w:after="0" w:line="240" w:lineRule="auto"/>
              <w:jc w:val="center"/>
              <w:rPr>
                <w:rFonts w:ascii="Arial" w:eastAsia="Times New Roman" w:hAnsi="Arial" w:cs="Arial"/>
                <w:sz w:val="16"/>
                <w:szCs w:val="16"/>
                <w:lang w:val="es-ES" w:eastAsia="es-ES"/>
              </w:rPr>
            </w:pPr>
            <w:r w:rsidRPr="00230AF6">
              <w:rPr>
                <w:rFonts w:ascii="Arial" w:eastAsia="Times New Roman" w:hAnsi="Arial" w:cs="Arial"/>
                <w:sz w:val="16"/>
                <w:szCs w:val="16"/>
                <w:lang w:val="es-ES" w:eastAsia="es-ES"/>
              </w:rPr>
              <w:t>G de OPER/(Com Netas+Mg de Interés Neto)</w:t>
            </w:r>
          </w:p>
        </w:tc>
        <w:tc>
          <w:tcPr>
            <w:tcW w:w="827" w:type="dxa"/>
            <w:tcBorders>
              <w:top w:val="nil"/>
              <w:left w:val="nil"/>
              <w:bottom w:val="single" w:sz="4" w:space="0" w:color="auto"/>
              <w:right w:val="single" w:sz="4" w:space="0" w:color="auto"/>
            </w:tcBorders>
            <w:shd w:val="clear" w:color="auto" w:fill="auto"/>
            <w:noWrap/>
            <w:vAlign w:val="bottom"/>
          </w:tcPr>
          <w:p w:rsidR="00951FC3" w:rsidRPr="00230AF6" w:rsidRDefault="00951FC3" w:rsidP="00230AF6">
            <w:pPr>
              <w:spacing w:after="0" w:line="240" w:lineRule="auto"/>
              <w:jc w:val="center"/>
              <w:rPr>
                <w:rFonts w:ascii="Arial" w:eastAsia="Times New Roman" w:hAnsi="Arial" w:cs="Arial"/>
                <w:sz w:val="16"/>
                <w:szCs w:val="16"/>
                <w:lang w:val="es-ES" w:eastAsia="es-ES"/>
              </w:rPr>
            </w:pPr>
            <w:r w:rsidRPr="00230AF6">
              <w:rPr>
                <w:rFonts w:ascii="Arial" w:eastAsia="Times New Roman" w:hAnsi="Arial" w:cs="Arial"/>
                <w:sz w:val="16"/>
                <w:szCs w:val="16"/>
                <w:lang w:val="es-ES" w:eastAsia="es-ES"/>
              </w:rPr>
              <w:t>85,42%</w:t>
            </w:r>
          </w:p>
        </w:tc>
        <w:tc>
          <w:tcPr>
            <w:tcW w:w="1785" w:type="dxa"/>
            <w:tcBorders>
              <w:top w:val="single" w:sz="8" w:space="0" w:color="auto"/>
              <w:left w:val="nil"/>
              <w:bottom w:val="single" w:sz="4" w:space="0" w:color="auto"/>
              <w:right w:val="single" w:sz="8" w:space="0" w:color="auto"/>
            </w:tcBorders>
            <w:shd w:val="clear" w:color="auto" w:fill="auto"/>
            <w:noWrap/>
            <w:vAlign w:val="bottom"/>
          </w:tcPr>
          <w:p w:rsidR="00951FC3" w:rsidRPr="00230AF6" w:rsidRDefault="00951FC3" w:rsidP="00230AF6">
            <w:pPr>
              <w:spacing w:after="0" w:line="240" w:lineRule="auto"/>
              <w:rPr>
                <w:rFonts w:ascii="Arial" w:eastAsia="Times New Roman" w:hAnsi="Arial" w:cs="Arial"/>
                <w:sz w:val="16"/>
                <w:szCs w:val="16"/>
                <w:lang w:val="es-ES" w:eastAsia="es-ES"/>
              </w:rPr>
            </w:pPr>
            <w:r w:rsidRPr="00230AF6">
              <w:rPr>
                <w:rFonts w:ascii="Arial" w:eastAsia="Times New Roman" w:hAnsi="Arial" w:cs="Arial"/>
                <w:sz w:val="16"/>
                <w:szCs w:val="16"/>
                <w:lang w:val="es-ES" w:eastAsia="es-ES"/>
              </w:rPr>
              <w:t>Ratio últimos 8 años</w:t>
            </w:r>
          </w:p>
        </w:tc>
      </w:tr>
      <w:tr w:rsidR="00951FC3" w:rsidRPr="00230AF6">
        <w:trPr>
          <w:trHeight w:val="270"/>
        </w:trPr>
        <w:tc>
          <w:tcPr>
            <w:tcW w:w="3175" w:type="dxa"/>
            <w:tcBorders>
              <w:top w:val="nil"/>
              <w:left w:val="single" w:sz="4" w:space="0" w:color="auto"/>
              <w:bottom w:val="single" w:sz="4" w:space="0" w:color="auto"/>
              <w:right w:val="single" w:sz="4" w:space="0" w:color="auto"/>
            </w:tcBorders>
            <w:shd w:val="clear" w:color="auto" w:fill="auto"/>
            <w:noWrap/>
            <w:vAlign w:val="bottom"/>
          </w:tcPr>
          <w:p w:rsidR="00951FC3" w:rsidRPr="00230AF6" w:rsidRDefault="00951FC3" w:rsidP="00230AF6">
            <w:pPr>
              <w:spacing w:after="0" w:line="240" w:lineRule="auto"/>
              <w:rPr>
                <w:rFonts w:ascii="Arial" w:eastAsia="Times New Roman" w:hAnsi="Arial" w:cs="Arial"/>
                <w:sz w:val="16"/>
                <w:szCs w:val="16"/>
                <w:lang w:val="es-ES" w:eastAsia="es-ES"/>
              </w:rPr>
            </w:pPr>
            <w:r w:rsidRPr="00230AF6">
              <w:rPr>
                <w:rFonts w:ascii="Arial" w:eastAsia="Times New Roman" w:hAnsi="Arial" w:cs="Arial"/>
                <w:sz w:val="16"/>
                <w:szCs w:val="16"/>
                <w:lang w:val="es-ES" w:eastAsia="es-ES"/>
              </w:rPr>
              <w:t>Otros Ingresos Netos</w:t>
            </w:r>
          </w:p>
        </w:tc>
        <w:tc>
          <w:tcPr>
            <w:tcW w:w="3066" w:type="dxa"/>
            <w:tcBorders>
              <w:top w:val="nil"/>
              <w:left w:val="nil"/>
              <w:bottom w:val="single" w:sz="4" w:space="0" w:color="auto"/>
              <w:right w:val="single" w:sz="4" w:space="0" w:color="auto"/>
            </w:tcBorders>
            <w:shd w:val="clear" w:color="auto" w:fill="auto"/>
            <w:noWrap/>
            <w:vAlign w:val="bottom"/>
          </w:tcPr>
          <w:p w:rsidR="00951FC3" w:rsidRPr="00230AF6" w:rsidRDefault="00951FC3" w:rsidP="00230AF6">
            <w:pPr>
              <w:spacing w:after="0" w:line="240" w:lineRule="auto"/>
              <w:jc w:val="center"/>
              <w:rPr>
                <w:rFonts w:ascii="Arial" w:eastAsia="Times New Roman" w:hAnsi="Arial" w:cs="Arial"/>
                <w:sz w:val="16"/>
                <w:szCs w:val="16"/>
                <w:lang w:val="es-ES" w:eastAsia="es-ES"/>
              </w:rPr>
            </w:pPr>
            <w:r w:rsidRPr="00230AF6">
              <w:rPr>
                <w:rFonts w:ascii="Arial" w:eastAsia="Times New Roman" w:hAnsi="Arial" w:cs="Arial"/>
                <w:sz w:val="16"/>
                <w:szCs w:val="16"/>
                <w:lang w:val="es-ES" w:eastAsia="es-ES"/>
              </w:rPr>
              <w:t>Otros Ingresos Netos anuales/CB</w:t>
            </w:r>
          </w:p>
        </w:tc>
        <w:tc>
          <w:tcPr>
            <w:tcW w:w="827" w:type="dxa"/>
            <w:tcBorders>
              <w:top w:val="nil"/>
              <w:left w:val="nil"/>
              <w:bottom w:val="single" w:sz="4" w:space="0" w:color="auto"/>
              <w:right w:val="single" w:sz="4" w:space="0" w:color="auto"/>
            </w:tcBorders>
            <w:shd w:val="clear" w:color="auto" w:fill="auto"/>
            <w:noWrap/>
            <w:vAlign w:val="bottom"/>
          </w:tcPr>
          <w:p w:rsidR="00951FC3" w:rsidRPr="00230AF6" w:rsidRDefault="00951FC3" w:rsidP="00230AF6">
            <w:pPr>
              <w:spacing w:after="0" w:line="240" w:lineRule="auto"/>
              <w:jc w:val="center"/>
              <w:rPr>
                <w:rFonts w:ascii="Arial" w:eastAsia="Times New Roman" w:hAnsi="Arial" w:cs="Arial"/>
                <w:sz w:val="16"/>
                <w:szCs w:val="16"/>
                <w:lang w:val="es-ES" w:eastAsia="es-ES"/>
              </w:rPr>
            </w:pPr>
            <w:r w:rsidRPr="00230AF6">
              <w:rPr>
                <w:rFonts w:ascii="Arial" w:eastAsia="Times New Roman" w:hAnsi="Arial" w:cs="Arial"/>
                <w:sz w:val="16"/>
                <w:szCs w:val="16"/>
                <w:lang w:val="es-ES" w:eastAsia="es-ES"/>
              </w:rPr>
              <w:t>2,19%</w:t>
            </w:r>
          </w:p>
        </w:tc>
        <w:tc>
          <w:tcPr>
            <w:tcW w:w="1785" w:type="dxa"/>
            <w:tcBorders>
              <w:top w:val="single" w:sz="8" w:space="0" w:color="auto"/>
              <w:left w:val="nil"/>
              <w:bottom w:val="single" w:sz="4" w:space="0" w:color="auto"/>
              <w:right w:val="single" w:sz="8" w:space="0" w:color="auto"/>
            </w:tcBorders>
            <w:shd w:val="clear" w:color="auto" w:fill="auto"/>
            <w:noWrap/>
            <w:vAlign w:val="bottom"/>
          </w:tcPr>
          <w:p w:rsidR="00951FC3" w:rsidRPr="00230AF6" w:rsidRDefault="00951FC3" w:rsidP="00230AF6">
            <w:pPr>
              <w:spacing w:after="0" w:line="240" w:lineRule="auto"/>
              <w:rPr>
                <w:rFonts w:ascii="Arial" w:eastAsia="Times New Roman" w:hAnsi="Arial" w:cs="Arial"/>
                <w:sz w:val="16"/>
                <w:szCs w:val="16"/>
                <w:lang w:val="es-ES" w:eastAsia="es-ES"/>
              </w:rPr>
            </w:pPr>
            <w:r w:rsidRPr="00230AF6">
              <w:rPr>
                <w:rFonts w:ascii="Arial" w:eastAsia="Times New Roman" w:hAnsi="Arial" w:cs="Arial"/>
                <w:sz w:val="16"/>
                <w:szCs w:val="16"/>
                <w:lang w:val="es-ES" w:eastAsia="es-ES"/>
              </w:rPr>
              <w:t>Ratio últimos 8 años</w:t>
            </w:r>
          </w:p>
        </w:tc>
      </w:tr>
      <w:tr w:rsidR="00951FC3" w:rsidRPr="00230AF6">
        <w:trPr>
          <w:trHeight w:val="270"/>
        </w:trPr>
        <w:tc>
          <w:tcPr>
            <w:tcW w:w="3175" w:type="dxa"/>
            <w:tcBorders>
              <w:top w:val="nil"/>
              <w:left w:val="single" w:sz="4" w:space="0" w:color="auto"/>
              <w:bottom w:val="single" w:sz="4" w:space="0" w:color="auto"/>
              <w:right w:val="single" w:sz="4" w:space="0" w:color="auto"/>
            </w:tcBorders>
            <w:shd w:val="clear" w:color="auto" w:fill="auto"/>
            <w:noWrap/>
            <w:vAlign w:val="bottom"/>
          </w:tcPr>
          <w:p w:rsidR="00951FC3" w:rsidRPr="00230AF6" w:rsidRDefault="00951FC3" w:rsidP="00230AF6">
            <w:pPr>
              <w:spacing w:after="0" w:line="240" w:lineRule="auto"/>
              <w:rPr>
                <w:rFonts w:ascii="Arial" w:eastAsia="Times New Roman" w:hAnsi="Arial" w:cs="Arial"/>
                <w:sz w:val="16"/>
                <w:szCs w:val="16"/>
                <w:lang w:val="es-ES" w:eastAsia="es-ES"/>
              </w:rPr>
            </w:pPr>
            <w:r w:rsidRPr="00230AF6">
              <w:rPr>
                <w:rFonts w:ascii="Arial" w:eastAsia="Times New Roman" w:hAnsi="Arial" w:cs="Arial"/>
                <w:sz w:val="16"/>
                <w:szCs w:val="16"/>
                <w:lang w:val="es-ES" w:eastAsia="es-ES"/>
              </w:rPr>
              <w:t>Utilidades financieras netas</w:t>
            </w:r>
          </w:p>
        </w:tc>
        <w:tc>
          <w:tcPr>
            <w:tcW w:w="3066" w:type="dxa"/>
            <w:tcBorders>
              <w:top w:val="nil"/>
              <w:left w:val="nil"/>
              <w:bottom w:val="single" w:sz="4" w:space="0" w:color="auto"/>
              <w:right w:val="single" w:sz="4" w:space="0" w:color="auto"/>
            </w:tcBorders>
            <w:shd w:val="clear" w:color="auto" w:fill="auto"/>
            <w:noWrap/>
            <w:vAlign w:val="bottom"/>
          </w:tcPr>
          <w:p w:rsidR="00951FC3" w:rsidRPr="00230AF6" w:rsidRDefault="00951FC3" w:rsidP="00230AF6">
            <w:pPr>
              <w:spacing w:after="0" w:line="240" w:lineRule="auto"/>
              <w:jc w:val="center"/>
              <w:rPr>
                <w:rFonts w:ascii="Arial" w:eastAsia="Times New Roman" w:hAnsi="Arial" w:cs="Arial"/>
                <w:sz w:val="16"/>
                <w:szCs w:val="16"/>
                <w:lang w:val="es-ES" w:eastAsia="es-ES"/>
              </w:rPr>
            </w:pPr>
            <w:r w:rsidRPr="00230AF6">
              <w:rPr>
                <w:rFonts w:ascii="Arial" w:eastAsia="Times New Roman" w:hAnsi="Arial" w:cs="Arial"/>
                <w:sz w:val="16"/>
                <w:szCs w:val="16"/>
                <w:lang w:val="es-ES" w:eastAsia="es-ES"/>
              </w:rPr>
              <w:t>Tasa de crecimiento *</w:t>
            </w:r>
          </w:p>
        </w:tc>
        <w:tc>
          <w:tcPr>
            <w:tcW w:w="827" w:type="dxa"/>
            <w:tcBorders>
              <w:top w:val="nil"/>
              <w:left w:val="nil"/>
              <w:bottom w:val="single" w:sz="4" w:space="0" w:color="auto"/>
              <w:right w:val="single" w:sz="4" w:space="0" w:color="auto"/>
            </w:tcBorders>
            <w:shd w:val="clear" w:color="auto" w:fill="auto"/>
            <w:noWrap/>
            <w:vAlign w:val="bottom"/>
          </w:tcPr>
          <w:p w:rsidR="00951FC3" w:rsidRPr="00230AF6" w:rsidRDefault="00951FC3" w:rsidP="00230AF6">
            <w:pPr>
              <w:spacing w:after="0" w:line="240" w:lineRule="auto"/>
              <w:jc w:val="center"/>
              <w:rPr>
                <w:rFonts w:ascii="Arial" w:eastAsia="Times New Roman" w:hAnsi="Arial" w:cs="Arial"/>
                <w:sz w:val="16"/>
                <w:szCs w:val="16"/>
                <w:lang w:val="es-ES" w:eastAsia="es-ES"/>
              </w:rPr>
            </w:pPr>
            <w:r w:rsidRPr="00230AF6">
              <w:rPr>
                <w:rFonts w:ascii="Arial" w:eastAsia="Times New Roman" w:hAnsi="Arial" w:cs="Arial"/>
                <w:sz w:val="16"/>
                <w:szCs w:val="16"/>
                <w:lang w:val="es-ES" w:eastAsia="es-ES"/>
              </w:rPr>
              <w:t>48,57%</w:t>
            </w:r>
          </w:p>
        </w:tc>
        <w:tc>
          <w:tcPr>
            <w:tcW w:w="1785" w:type="dxa"/>
            <w:tcBorders>
              <w:top w:val="nil"/>
              <w:left w:val="nil"/>
              <w:bottom w:val="single" w:sz="4" w:space="0" w:color="auto"/>
              <w:right w:val="single" w:sz="8" w:space="0" w:color="auto"/>
            </w:tcBorders>
            <w:shd w:val="clear" w:color="auto" w:fill="auto"/>
            <w:noWrap/>
            <w:vAlign w:val="bottom"/>
          </w:tcPr>
          <w:p w:rsidR="00951FC3" w:rsidRPr="00230AF6" w:rsidRDefault="00951FC3" w:rsidP="00230AF6">
            <w:pPr>
              <w:spacing w:after="0" w:line="240" w:lineRule="auto"/>
              <w:rPr>
                <w:rFonts w:ascii="Arial" w:eastAsia="Times New Roman" w:hAnsi="Arial" w:cs="Arial"/>
                <w:sz w:val="16"/>
                <w:szCs w:val="16"/>
                <w:lang w:val="es-ES" w:eastAsia="es-ES"/>
              </w:rPr>
            </w:pPr>
            <w:r w:rsidRPr="00230AF6">
              <w:rPr>
                <w:rFonts w:ascii="Arial" w:eastAsia="Times New Roman" w:hAnsi="Arial" w:cs="Arial"/>
                <w:sz w:val="16"/>
                <w:szCs w:val="16"/>
                <w:lang w:val="es-ES" w:eastAsia="es-ES"/>
              </w:rPr>
              <w:t>Ultimos dos años</w:t>
            </w:r>
          </w:p>
        </w:tc>
      </w:tr>
      <w:tr w:rsidR="00951FC3" w:rsidRPr="00230AF6">
        <w:trPr>
          <w:trHeight w:val="270"/>
        </w:trPr>
        <w:tc>
          <w:tcPr>
            <w:tcW w:w="3175" w:type="dxa"/>
            <w:tcBorders>
              <w:top w:val="nil"/>
              <w:left w:val="single" w:sz="4" w:space="0" w:color="auto"/>
              <w:bottom w:val="nil"/>
              <w:right w:val="single" w:sz="4" w:space="0" w:color="auto"/>
            </w:tcBorders>
            <w:shd w:val="clear" w:color="auto" w:fill="auto"/>
            <w:noWrap/>
            <w:vAlign w:val="bottom"/>
          </w:tcPr>
          <w:p w:rsidR="00951FC3" w:rsidRPr="00230AF6" w:rsidRDefault="00951FC3" w:rsidP="00230AF6">
            <w:pPr>
              <w:spacing w:after="0" w:line="240" w:lineRule="auto"/>
              <w:rPr>
                <w:rFonts w:ascii="Arial" w:eastAsia="Times New Roman" w:hAnsi="Arial" w:cs="Arial"/>
                <w:sz w:val="16"/>
                <w:szCs w:val="16"/>
                <w:lang w:val="es-ES" w:eastAsia="es-ES"/>
              </w:rPr>
            </w:pPr>
            <w:r w:rsidRPr="00230AF6">
              <w:rPr>
                <w:rFonts w:ascii="Arial" w:eastAsia="Times New Roman" w:hAnsi="Arial" w:cs="Arial"/>
                <w:sz w:val="16"/>
                <w:szCs w:val="16"/>
                <w:lang w:val="es-ES" w:eastAsia="es-ES"/>
              </w:rPr>
              <w:t>Utilidades financieras netas año anterior</w:t>
            </w:r>
          </w:p>
        </w:tc>
        <w:tc>
          <w:tcPr>
            <w:tcW w:w="3066" w:type="dxa"/>
            <w:tcBorders>
              <w:top w:val="nil"/>
              <w:left w:val="nil"/>
              <w:bottom w:val="nil"/>
              <w:right w:val="single" w:sz="4" w:space="0" w:color="auto"/>
            </w:tcBorders>
            <w:shd w:val="clear" w:color="auto" w:fill="auto"/>
            <w:noWrap/>
            <w:vAlign w:val="bottom"/>
          </w:tcPr>
          <w:p w:rsidR="00951FC3" w:rsidRPr="00230AF6" w:rsidRDefault="00951FC3" w:rsidP="00230AF6">
            <w:pPr>
              <w:spacing w:after="0" w:line="240" w:lineRule="auto"/>
              <w:jc w:val="center"/>
              <w:rPr>
                <w:rFonts w:ascii="Arial" w:eastAsia="Times New Roman" w:hAnsi="Arial" w:cs="Arial"/>
                <w:sz w:val="16"/>
                <w:szCs w:val="16"/>
                <w:lang w:val="es-ES" w:eastAsia="es-ES"/>
              </w:rPr>
            </w:pPr>
            <w:r w:rsidRPr="00230AF6">
              <w:rPr>
                <w:rFonts w:ascii="Arial" w:eastAsia="Times New Roman" w:hAnsi="Arial" w:cs="Arial"/>
                <w:sz w:val="16"/>
                <w:szCs w:val="16"/>
                <w:lang w:val="es-ES" w:eastAsia="es-ES"/>
              </w:rPr>
              <w:t>$ 12.081</w:t>
            </w:r>
          </w:p>
        </w:tc>
        <w:tc>
          <w:tcPr>
            <w:tcW w:w="827" w:type="dxa"/>
            <w:tcBorders>
              <w:top w:val="nil"/>
              <w:left w:val="nil"/>
              <w:bottom w:val="nil"/>
              <w:right w:val="nil"/>
            </w:tcBorders>
            <w:shd w:val="clear" w:color="auto" w:fill="auto"/>
            <w:noWrap/>
            <w:vAlign w:val="bottom"/>
          </w:tcPr>
          <w:p w:rsidR="00951FC3" w:rsidRPr="00230AF6" w:rsidRDefault="00951FC3" w:rsidP="00230AF6">
            <w:pPr>
              <w:spacing w:after="0" w:line="240" w:lineRule="auto"/>
              <w:rPr>
                <w:rFonts w:ascii="Arial" w:eastAsia="Times New Roman" w:hAnsi="Arial" w:cs="Arial"/>
                <w:sz w:val="16"/>
                <w:szCs w:val="16"/>
                <w:lang w:val="es-ES" w:eastAsia="es-ES"/>
              </w:rPr>
            </w:pPr>
          </w:p>
        </w:tc>
        <w:tc>
          <w:tcPr>
            <w:tcW w:w="1785" w:type="dxa"/>
            <w:tcBorders>
              <w:top w:val="nil"/>
              <w:left w:val="single" w:sz="4" w:space="0" w:color="auto"/>
              <w:bottom w:val="nil"/>
              <w:right w:val="single" w:sz="8" w:space="0" w:color="auto"/>
            </w:tcBorders>
            <w:shd w:val="clear" w:color="auto" w:fill="auto"/>
            <w:noWrap/>
            <w:vAlign w:val="bottom"/>
          </w:tcPr>
          <w:p w:rsidR="00951FC3" w:rsidRPr="00230AF6" w:rsidRDefault="00951FC3" w:rsidP="00230AF6">
            <w:pPr>
              <w:spacing w:after="0" w:line="240" w:lineRule="auto"/>
              <w:rPr>
                <w:rFonts w:ascii="Arial" w:eastAsia="Times New Roman" w:hAnsi="Arial" w:cs="Arial"/>
                <w:sz w:val="16"/>
                <w:szCs w:val="16"/>
                <w:lang w:val="es-ES" w:eastAsia="es-ES"/>
              </w:rPr>
            </w:pPr>
            <w:r w:rsidRPr="00230AF6">
              <w:rPr>
                <w:rFonts w:ascii="Arial" w:eastAsia="Times New Roman" w:hAnsi="Arial" w:cs="Arial"/>
                <w:sz w:val="16"/>
                <w:szCs w:val="16"/>
                <w:lang w:val="es-ES" w:eastAsia="es-ES"/>
              </w:rPr>
              <w:t> </w:t>
            </w:r>
          </w:p>
        </w:tc>
      </w:tr>
      <w:tr w:rsidR="00951FC3" w:rsidRPr="00230AF6">
        <w:trPr>
          <w:trHeight w:val="255"/>
        </w:trPr>
        <w:tc>
          <w:tcPr>
            <w:tcW w:w="3175" w:type="dxa"/>
            <w:tcBorders>
              <w:top w:val="single" w:sz="4" w:space="0" w:color="auto"/>
              <w:left w:val="single" w:sz="4" w:space="0" w:color="auto"/>
              <w:bottom w:val="single" w:sz="8" w:space="0" w:color="auto"/>
              <w:right w:val="single" w:sz="4" w:space="0" w:color="auto"/>
            </w:tcBorders>
            <w:shd w:val="clear" w:color="auto" w:fill="auto"/>
            <w:noWrap/>
            <w:vAlign w:val="bottom"/>
          </w:tcPr>
          <w:p w:rsidR="00951FC3" w:rsidRPr="00230AF6" w:rsidRDefault="00951FC3" w:rsidP="00230AF6">
            <w:pPr>
              <w:spacing w:after="0" w:line="240" w:lineRule="auto"/>
              <w:rPr>
                <w:rFonts w:ascii="Arial" w:eastAsia="Times New Roman" w:hAnsi="Arial" w:cs="Arial"/>
                <w:sz w:val="16"/>
                <w:szCs w:val="16"/>
                <w:lang w:val="es-ES" w:eastAsia="es-ES"/>
              </w:rPr>
            </w:pPr>
            <w:r w:rsidRPr="00230AF6">
              <w:rPr>
                <w:rFonts w:ascii="Arial" w:eastAsia="Times New Roman" w:hAnsi="Arial" w:cs="Arial"/>
                <w:sz w:val="16"/>
                <w:szCs w:val="16"/>
                <w:lang w:val="es-ES" w:eastAsia="es-ES"/>
              </w:rPr>
              <w:t>Impuestos y part. Trabajadores</w:t>
            </w:r>
          </w:p>
        </w:tc>
        <w:tc>
          <w:tcPr>
            <w:tcW w:w="3066" w:type="dxa"/>
            <w:tcBorders>
              <w:top w:val="single" w:sz="4" w:space="0" w:color="auto"/>
              <w:left w:val="nil"/>
              <w:bottom w:val="single" w:sz="8" w:space="0" w:color="auto"/>
              <w:right w:val="single" w:sz="4" w:space="0" w:color="auto"/>
            </w:tcBorders>
            <w:shd w:val="clear" w:color="auto" w:fill="auto"/>
            <w:noWrap/>
            <w:vAlign w:val="bottom"/>
          </w:tcPr>
          <w:p w:rsidR="00951FC3" w:rsidRPr="00230AF6" w:rsidRDefault="00951FC3" w:rsidP="00230AF6">
            <w:pPr>
              <w:spacing w:after="0" w:line="240" w:lineRule="auto"/>
              <w:jc w:val="center"/>
              <w:rPr>
                <w:rFonts w:ascii="Arial" w:eastAsia="Times New Roman" w:hAnsi="Arial" w:cs="Arial"/>
                <w:sz w:val="16"/>
                <w:szCs w:val="16"/>
                <w:lang w:val="es-ES" w:eastAsia="es-ES"/>
              </w:rPr>
            </w:pPr>
            <w:r w:rsidRPr="00230AF6">
              <w:rPr>
                <w:rFonts w:ascii="Arial" w:eastAsia="Times New Roman" w:hAnsi="Arial" w:cs="Arial"/>
                <w:sz w:val="16"/>
                <w:szCs w:val="16"/>
                <w:lang w:val="es-ES" w:eastAsia="es-ES"/>
              </w:rPr>
              <w:t>% pago de imp y part a trabaj sobre utilidades</w:t>
            </w:r>
          </w:p>
        </w:tc>
        <w:tc>
          <w:tcPr>
            <w:tcW w:w="827" w:type="dxa"/>
            <w:tcBorders>
              <w:top w:val="single" w:sz="4" w:space="0" w:color="auto"/>
              <w:left w:val="nil"/>
              <w:bottom w:val="single" w:sz="8" w:space="0" w:color="auto"/>
              <w:right w:val="single" w:sz="4" w:space="0" w:color="auto"/>
            </w:tcBorders>
            <w:shd w:val="clear" w:color="auto" w:fill="auto"/>
            <w:noWrap/>
            <w:vAlign w:val="bottom"/>
          </w:tcPr>
          <w:p w:rsidR="00951FC3" w:rsidRPr="00230AF6" w:rsidRDefault="00951FC3" w:rsidP="00230AF6">
            <w:pPr>
              <w:spacing w:after="0" w:line="240" w:lineRule="auto"/>
              <w:jc w:val="center"/>
              <w:rPr>
                <w:rFonts w:ascii="Arial" w:eastAsia="Times New Roman" w:hAnsi="Arial" w:cs="Arial"/>
                <w:sz w:val="16"/>
                <w:szCs w:val="16"/>
                <w:lang w:val="es-ES" w:eastAsia="es-ES"/>
              </w:rPr>
            </w:pPr>
            <w:r w:rsidRPr="00230AF6">
              <w:rPr>
                <w:rFonts w:ascii="Arial" w:eastAsia="Times New Roman" w:hAnsi="Arial" w:cs="Arial"/>
                <w:sz w:val="16"/>
                <w:szCs w:val="16"/>
                <w:lang w:val="es-ES" w:eastAsia="es-ES"/>
              </w:rPr>
              <w:t>29,67%</w:t>
            </w:r>
          </w:p>
        </w:tc>
        <w:tc>
          <w:tcPr>
            <w:tcW w:w="1785" w:type="dxa"/>
            <w:tcBorders>
              <w:top w:val="single" w:sz="4" w:space="0" w:color="auto"/>
              <w:left w:val="nil"/>
              <w:bottom w:val="single" w:sz="8" w:space="0" w:color="auto"/>
              <w:right w:val="single" w:sz="8" w:space="0" w:color="auto"/>
            </w:tcBorders>
            <w:shd w:val="clear" w:color="auto" w:fill="auto"/>
            <w:noWrap/>
            <w:vAlign w:val="bottom"/>
          </w:tcPr>
          <w:p w:rsidR="00951FC3" w:rsidRPr="00230AF6" w:rsidRDefault="00951FC3" w:rsidP="00230AF6">
            <w:pPr>
              <w:spacing w:after="0" w:line="240" w:lineRule="auto"/>
              <w:rPr>
                <w:rFonts w:ascii="Arial" w:eastAsia="Times New Roman" w:hAnsi="Arial" w:cs="Arial"/>
                <w:sz w:val="16"/>
                <w:szCs w:val="16"/>
                <w:lang w:val="es-ES" w:eastAsia="es-ES"/>
              </w:rPr>
            </w:pPr>
            <w:r w:rsidRPr="00230AF6">
              <w:rPr>
                <w:rFonts w:ascii="Arial" w:eastAsia="Times New Roman" w:hAnsi="Arial" w:cs="Arial"/>
                <w:sz w:val="16"/>
                <w:szCs w:val="16"/>
                <w:lang w:val="es-ES" w:eastAsia="es-ES"/>
              </w:rPr>
              <w:t>% Histórico ultimos 6 años</w:t>
            </w:r>
          </w:p>
        </w:tc>
      </w:tr>
      <w:tr w:rsidR="00951FC3" w:rsidRPr="00230AF6">
        <w:trPr>
          <w:trHeight w:val="255"/>
        </w:trPr>
        <w:tc>
          <w:tcPr>
            <w:tcW w:w="3175" w:type="dxa"/>
            <w:tcBorders>
              <w:top w:val="single" w:sz="8" w:space="0" w:color="auto"/>
              <w:left w:val="single" w:sz="8" w:space="0" w:color="auto"/>
              <w:bottom w:val="nil"/>
              <w:right w:val="nil"/>
            </w:tcBorders>
            <w:shd w:val="clear" w:color="auto" w:fill="auto"/>
            <w:noWrap/>
            <w:vAlign w:val="bottom"/>
          </w:tcPr>
          <w:p w:rsidR="00951FC3" w:rsidRPr="00230AF6" w:rsidRDefault="00951FC3" w:rsidP="00230AF6">
            <w:pPr>
              <w:spacing w:after="0" w:line="240" w:lineRule="auto"/>
              <w:rPr>
                <w:rFonts w:ascii="Arial" w:eastAsia="Times New Roman" w:hAnsi="Arial" w:cs="Arial"/>
                <w:sz w:val="16"/>
                <w:szCs w:val="16"/>
                <w:lang w:val="es-ES" w:eastAsia="es-ES"/>
              </w:rPr>
            </w:pPr>
            <w:r w:rsidRPr="00230AF6">
              <w:rPr>
                <w:rFonts w:ascii="Arial" w:eastAsia="Times New Roman" w:hAnsi="Arial" w:cs="Arial"/>
                <w:sz w:val="16"/>
                <w:szCs w:val="16"/>
                <w:lang w:val="es-ES" w:eastAsia="es-ES"/>
              </w:rPr>
              <w:t>Tasa de pago de dividendo</w:t>
            </w:r>
          </w:p>
        </w:tc>
        <w:tc>
          <w:tcPr>
            <w:tcW w:w="3066" w:type="dxa"/>
            <w:tcBorders>
              <w:top w:val="single" w:sz="8" w:space="0" w:color="auto"/>
              <w:left w:val="nil"/>
              <w:bottom w:val="nil"/>
              <w:right w:val="nil"/>
            </w:tcBorders>
            <w:shd w:val="clear" w:color="auto" w:fill="auto"/>
            <w:noWrap/>
            <w:vAlign w:val="bottom"/>
          </w:tcPr>
          <w:p w:rsidR="00951FC3" w:rsidRPr="00230AF6" w:rsidRDefault="00951FC3" w:rsidP="00230AF6">
            <w:pPr>
              <w:spacing w:after="0" w:line="240" w:lineRule="auto"/>
              <w:jc w:val="center"/>
              <w:rPr>
                <w:rFonts w:ascii="Arial" w:eastAsia="Times New Roman" w:hAnsi="Arial" w:cs="Arial"/>
                <w:sz w:val="16"/>
                <w:szCs w:val="16"/>
                <w:lang w:val="es-ES" w:eastAsia="es-ES"/>
              </w:rPr>
            </w:pPr>
            <w:r w:rsidRPr="00230AF6">
              <w:rPr>
                <w:rFonts w:ascii="Arial" w:eastAsia="Times New Roman" w:hAnsi="Arial" w:cs="Arial"/>
                <w:sz w:val="16"/>
                <w:szCs w:val="16"/>
                <w:lang w:val="es-ES" w:eastAsia="es-ES"/>
              </w:rPr>
              <w:t> </w:t>
            </w:r>
          </w:p>
        </w:tc>
        <w:tc>
          <w:tcPr>
            <w:tcW w:w="827" w:type="dxa"/>
            <w:tcBorders>
              <w:top w:val="single" w:sz="8" w:space="0" w:color="auto"/>
              <w:left w:val="nil"/>
              <w:bottom w:val="nil"/>
              <w:right w:val="nil"/>
            </w:tcBorders>
            <w:shd w:val="clear" w:color="auto" w:fill="auto"/>
            <w:noWrap/>
            <w:vAlign w:val="bottom"/>
          </w:tcPr>
          <w:p w:rsidR="00951FC3" w:rsidRPr="00230AF6" w:rsidRDefault="00951FC3" w:rsidP="00230AF6">
            <w:pPr>
              <w:spacing w:after="0" w:line="240" w:lineRule="auto"/>
              <w:jc w:val="center"/>
              <w:rPr>
                <w:rFonts w:ascii="Arial" w:eastAsia="Times New Roman" w:hAnsi="Arial" w:cs="Arial"/>
                <w:sz w:val="16"/>
                <w:szCs w:val="16"/>
                <w:lang w:val="es-ES" w:eastAsia="es-ES"/>
              </w:rPr>
            </w:pPr>
            <w:r w:rsidRPr="00230AF6">
              <w:rPr>
                <w:rFonts w:ascii="Arial" w:eastAsia="Times New Roman" w:hAnsi="Arial" w:cs="Arial"/>
                <w:sz w:val="16"/>
                <w:szCs w:val="16"/>
                <w:lang w:val="es-ES" w:eastAsia="es-ES"/>
              </w:rPr>
              <w:t>40,00%</w:t>
            </w:r>
          </w:p>
        </w:tc>
        <w:tc>
          <w:tcPr>
            <w:tcW w:w="1785" w:type="dxa"/>
            <w:tcBorders>
              <w:top w:val="single" w:sz="8" w:space="0" w:color="auto"/>
              <w:left w:val="nil"/>
              <w:bottom w:val="nil"/>
              <w:right w:val="single" w:sz="8" w:space="0" w:color="auto"/>
            </w:tcBorders>
            <w:shd w:val="clear" w:color="auto" w:fill="auto"/>
            <w:noWrap/>
            <w:vAlign w:val="bottom"/>
          </w:tcPr>
          <w:p w:rsidR="00951FC3" w:rsidRPr="00230AF6" w:rsidRDefault="00951FC3" w:rsidP="00230AF6">
            <w:pPr>
              <w:spacing w:after="0" w:line="240" w:lineRule="auto"/>
              <w:rPr>
                <w:rFonts w:ascii="Arial" w:eastAsia="Times New Roman" w:hAnsi="Arial" w:cs="Arial"/>
                <w:sz w:val="16"/>
                <w:szCs w:val="16"/>
                <w:lang w:val="es-ES" w:eastAsia="es-ES"/>
              </w:rPr>
            </w:pPr>
            <w:r w:rsidRPr="00230AF6">
              <w:rPr>
                <w:rFonts w:ascii="Arial" w:eastAsia="Times New Roman" w:hAnsi="Arial" w:cs="Arial"/>
                <w:sz w:val="16"/>
                <w:szCs w:val="16"/>
                <w:lang w:val="es-ES" w:eastAsia="es-ES"/>
              </w:rPr>
              <w:t xml:space="preserve">Histórico </w:t>
            </w:r>
          </w:p>
        </w:tc>
      </w:tr>
      <w:tr w:rsidR="00951FC3" w:rsidRPr="00230AF6">
        <w:trPr>
          <w:trHeight w:val="255"/>
        </w:trPr>
        <w:tc>
          <w:tcPr>
            <w:tcW w:w="3175" w:type="dxa"/>
            <w:tcBorders>
              <w:top w:val="nil"/>
              <w:left w:val="single" w:sz="8" w:space="0" w:color="auto"/>
              <w:bottom w:val="nil"/>
              <w:right w:val="nil"/>
            </w:tcBorders>
            <w:shd w:val="clear" w:color="auto" w:fill="auto"/>
            <w:noWrap/>
            <w:vAlign w:val="bottom"/>
          </w:tcPr>
          <w:p w:rsidR="00951FC3" w:rsidRPr="00230AF6" w:rsidRDefault="00951FC3" w:rsidP="00230AF6">
            <w:pPr>
              <w:spacing w:after="0" w:line="240" w:lineRule="auto"/>
              <w:rPr>
                <w:rFonts w:ascii="Arial" w:eastAsia="Times New Roman" w:hAnsi="Arial" w:cs="Arial"/>
                <w:sz w:val="16"/>
                <w:szCs w:val="16"/>
                <w:lang w:val="es-ES" w:eastAsia="es-ES"/>
              </w:rPr>
            </w:pPr>
            <w:r w:rsidRPr="00230AF6">
              <w:rPr>
                <w:rFonts w:ascii="Arial" w:eastAsia="Times New Roman" w:hAnsi="Arial" w:cs="Arial"/>
                <w:sz w:val="16"/>
                <w:szCs w:val="16"/>
                <w:lang w:val="es-ES" w:eastAsia="es-ES"/>
              </w:rPr>
              <w:t>Tasa de retención de Utilidades</w:t>
            </w:r>
          </w:p>
        </w:tc>
        <w:tc>
          <w:tcPr>
            <w:tcW w:w="3066" w:type="dxa"/>
            <w:tcBorders>
              <w:top w:val="nil"/>
              <w:left w:val="nil"/>
              <w:bottom w:val="nil"/>
              <w:right w:val="nil"/>
            </w:tcBorders>
            <w:shd w:val="clear" w:color="auto" w:fill="auto"/>
            <w:noWrap/>
            <w:vAlign w:val="bottom"/>
          </w:tcPr>
          <w:p w:rsidR="00951FC3" w:rsidRPr="00230AF6" w:rsidRDefault="00951FC3" w:rsidP="00230AF6">
            <w:pPr>
              <w:spacing w:after="0" w:line="240" w:lineRule="auto"/>
              <w:jc w:val="center"/>
              <w:rPr>
                <w:rFonts w:ascii="Arial" w:eastAsia="Times New Roman" w:hAnsi="Arial" w:cs="Arial"/>
                <w:sz w:val="16"/>
                <w:szCs w:val="16"/>
                <w:lang w:val="es-ES" w:eastAsia="es-ES"/>
              </w:rPr>
            </w:pPr>
          </w:p>
        </w:tc>
        <w:tc>
          <w:tcPr>
            <w:tcW w:w="827" w:type="dxa"/>
            <w:tcBorders>
              <w:top w:val="nil"/>
              <w:left w:val="nil"/>
              <w:bottom w:val="nil"/>
              <w:right w:val="single" w:sz="8" w:space="0" w:color="auto"/>
            </w:tcBorders>
            <w:shd w:val="clear" w:color="auto" w:fill="auto"/>
            <w:noWrap/>
            <w:vAlign w:val="bottom"/>
          </w:tcPr>
          <w:p w:rsidR="00951FC3" w:rsidRPr="00230AF6" w:rsidRDefault="00951FC3" w:rsidP="00230AF6">
            <w:pPr>
              <w:spacing w:after="0" w:line="240" w:lineRule="auto"/>
              <w:rPr>
                <w:rFonts w:ascii="Arial" w:eastAsia="Times New Roman" w:hAnsi="Arial" w:cs="Arial"/>
                <w:sz w:val="16"/>
                <w:szCs w:val="16"/>
                <w:lang w:val="es-ES" w:eastAsia="es-ES"/>
              </w:rPr>
            </w:pPr>
            <w:r w:rsidRPr="00230AF6">
              <w:rPr>
                <w:rFonts w:ascii="Arial" w:eastAsia="Times New Roman" w:hAnsi="Arial" w:cs="Arial"/>
                <w:sz w:val="16"/>
                <w:szCs w:val="16"/>
                <w:lang w:val="es-ES" w:eastAsia="es-ES"/>
              </w:rPr>
              <w:t> </w:t>
            </w:r>
          </w:p>
        </w:tc>
        <w:tc>
          <w:tcPr>
            <w:tcW w:w="1785" w:type="dxa"/>
            <w:noWrap/>
          </w:tcPr>
          <w:p w:rsidR="00951FC3" w:rsidRPr="00230AF6" w:rsidRDefault="00951FC3" w:rsidP="00230AF6">
            <w:pPr>
              <w:spacing w:after="0" w:line="240" w:lineRule="auto"/>
              <w:rPr>
                <w:rFonts w:ascii="Arial" w:eastAsia="Times New Roman" w:hAnsi="Arial" w:cs="Arial"/>
                <w:sz w:val="16"/>
                <w:szCs w:val="16"/>
                <w:lang w:val="es-ES" w:eastAsia="es-ES"/>
              </w:rPr>
            </w:pPr>
          </w:p>
        </w:tc>
      </w:tr>
      <w:tr w:rsidR="00951FC3" w:rsidRPr="00230AF6">
        <w:trPr>
          <w:trHeight w:val="270"/>
        </w:trPr>
        <w:tc>
          <w:tcPr>
            <w:tcW w:w="3175" w:type="dxa"/>
            <w:tcBorders>
              <w:top w:val="nil"/>
              <w:left w:val="single" w:sz="8" w:space="0" w:color="auto"/>
              <w:bottom w:val="single" w:sz="8" w:space="0" w:color="auto"/>
              <w:right w:val="nil"/>
            </w:tcBorders>
            <w:shd w:val="clear" w:color="auto" w:fill="auto"/>
            <w:noWrap/>
            <w:vAlign w:val="bottom"/>
          </w:tcPr>
          <w:p w:rsidR="00951FC3" w:rsidRPr="00230AF6" w:rsidRDefault="00951FC3" w:rsidP="00230AF6">
            <w:pPr>
              <w:spacing w:after="0" w:line="240" w:lineRule="auto"/>
              <w:rPr>
                <w:rFonts w:ascii="Arial" w:eastAsia="Times New Roman" w:hAnsi="Arial" w:cs="Arial"/>
                <w:sz w:val="16"/>
                <w:szCs w:val="16"/>
                <w:lang w:val="es-ES" w:eastAsia="es-ES"/>
              </w:rPr>
            </w:pPr>
            <w:r w:rsidRPr="00230AF6">
              <w:rPr>
                <w:rFonts w:ascii="Arial" w:eastAsia="Times New Roman" w:hAnsi="Arial" w:cs="Arial"/>
                <w:sz w:val="16"/>
                <w:szCs w:val="16"/>
                <w:lang w:val="es-ES" w:eastAsia="es-ES"/>
              </w:rPr>
              <w:t>Tasa de Crecimiento de Utilidad Neta a perpetuidad</w:t>
            </w:r>
            <w:r>
              <w:rPr>
                <w:rFonts w:ascii="Arial" w:eastAsia="Times New Roman" w:hAnsi="Arial" w:cs="Arial"/>
                <w:sz w:val="16"/>
                <w:szCs w:val="16"/>
                <w:lang w:val="es-ES" w:eastAsia="es-ES"/>
              </w:rPr>
              <w:t xml:space="preserve"> </w:t>
            </w:r>
          </w:p>
        </w:tc>
        <w:tc>
          <w:tcPr>
            <w:tcW w:w="3066" w:type="dxa"/>
            <w:tcBorders>
              <w:top w:val="nil"/>
              <w:left w:val="nil"/>
              <w:bottom w:val="single" w:sz="8" w:space="0" w:color="auto"/>
              <w:right w:val="nil"/>
            </w:tcBorders>
            <w:shd w:val="clear" w:color="auto" w:fill="auto"/>
            <w:noWrap/>
            <w:vAlign w:val="bottom"/>
          </w:tcPr>
          <w:p w:rsidR="00951FC3" w:rsidRPr="00230AF6" w:rsidRDefault="00951FC3" w:rsidP="00230AF6">
            <w:pPr>
              <w:spacing w:after="0" w:line="240" w:lineRule="auto"/>
              <w:jc w:val="center"/>
              <w:rPr>
                <w:rFonts w:ascii="Arial" w:eastAsia="Times New Roman" w:hAnsi="Arial" w:cs="Arial"/>
                <w:sz w:val="16"/>
                <w:szCs w:val="16"/>
                <w:lang w:val="es-ES" w:eastAsia="es-ES"/>
              </w:rPr>
            </w:pPr>
            <w:r>
              <w:rPr>
                <w:rFonts w:ascii="Arial" w:eastAsia="Times New Roman" w:hAnsi="Arial" w:cs="Arial"/>
                <w:sz w:val="16"/>
                <w:szCs w:val="16"/>
                <w:lang w:val="es-ES" w:eastAsia="es-ES"/>
              </w:rPr>
              <w:t xml:space="preserve">                                                               </w:t>
            </w:r>
          </w:p>
        </w:tc>
        <w:tc>
          <w:tcPr>
            <w:tcW w:w="827" w:type="dxa"/>
            <w:tcBorders>
              <w:top w:val="nil"/>
              <w:left w:val="nil"/>
              <w:bottom w:val="single" w:sz="8" w:space="0" w:color="auto"/>
              <w:right w:val="single" w:sz="8" w:space="0" w:color="auto"/>
            </w:tcBorders>
            <w:shd w:val="clear" w:color="auto" w:fill="auto"/>
            <w:noWrap/>
            <w:vAlign w:val="bottom"/>
          </w:tcPr>
          <w:p w:rsidR="00951FC3" w:rsidRPr="00230AF6" w:rsidRDefault="00951FC3" w:rsidP="00230AF6">
            <w:pPr>
              <w:spacing w:after="0" w:line="240" w:lineRule="auto"/>
              <w:rPr>
                <w:rFonts w:ascii="Arial" w:eastAsia="Times New Roman" w:hAnsi="Arial" w:cs="Arial"/>
                <w:sz w:val="16"/>
                <w:szCs w:val="16"/>
                <w:lang w:val="es-ES" w:eastAsia="es-ES"/>
              </w:rPr>
            </w:pPr>
            <w:r>
              <w:rPr>
                <w:rFonts w:ascii="Arial" w:eastAsia="Times New Roman" w:hAnsi="Arial" w:cs="Arial"/>
                <w:sz w:val="16"/>
                <w:szCs w:val="16"/>
                <w:lang w:val="es-ES" w:eastAsia="es-ES"/>
              </w:rPr>
              <w:t>12,11%</w:t>
            </w:r>
          </w:p>
        </w:tc>
        <w:tc>
          <w:tcPr>
            <w:tcW w:w="1785" w:type="dxa"/>
            <w:noWrap/>
          </w:tcPr>
          <w:p w:rsidR="00951FC3" w:rsidRPr="00230AF6" w:rsidRDefault="00951FC3" w:rsidP="00230AF6">
            <w:pPr>
              <w:spacing w:after="0" w:line="240" w:lineRule="auto"/>
              <w:rPr>
                <w:rFonts w:ascii="Arial" w:eastAsia="Times New Roman" w:hAnsi="Arial" w:cs="Arial"/>
                <w:sz w:val="16"/>
                <w:szCs w:val="16"/>
                <w:lang w:val="es-ES" w:eastAsia="es-ES"/>
              </w:rPr>
            </w:pPr>
            <w:r>
              <w:rPr>
                <w:rFonts w:ascii="Arial" w:eastAsia="Times New Roman" w:hAnsi="Arial" w:cs="Arial"/>
                <w:sz w:val="16"/>
                <w:szCs w:val="16"/>
                <w:lang w:val="es-ES" w:eastAsia="es-ES"/>
              </w:rPr>
              <w:t>g = b* ROE</w:t>
            </w:r>
          </w:p>
        </w:tc>
      </w:tr>
    </w:tbl>
    <w:p w:rsidR="0015454E" w:rsidRPr="00F27DFF" w:rsidRDefault="0015454E" w:rsidP="00D8535B">
      <w:pPr>
        <w:spacing w:line="240" w:lineRule="auto"/>
        <w:jc w:val="both"/>
        <w:rPr>
          <w:rFonts w:ascii="Arial" w:hAnsi="Arial" w:cs="Arial"/>
          <w:sz w:val="16"/>
          <w:szCs w:val="16"/>
        </w:rPr>
      </w:pPr>
      <w:r w:rsidRPr="00F27DFF">
        <w:rPr>
          <w:rFonts w:ascii="Arial" w:hAnsi="Arial" w:cs="Arial"/>
          <w:sz w:val="16"/>
          <w:szCs w:val="16"/>
        </w:rPr>
        <w:t>Fuente: Superintendencia de Bancos</w:t>
      </w:r>
    </w:p>
    <w:p w:rsidR="0015454E" w:rsidRPr="00951FC3" w:rsidRDefault="0015454E" w:rsidP="00D8535B">
      <w:pPr>
        <w:spacing w:line="240" w:lineRule="auto"/>
        <w:jc w:val="both"/>
      </w:pPr>
      <w:r w:rsidRPr="00F27DFF">
        <w:rPr>
          <w:rFonts w:ascii="Arial" w:hAnsi="Arial" w:cs="Arial"/>
          <w:sz w:val="16"/>
          <w:szCs w:val="16"/>
        </w:rPr>
        <w:t>Elaboración: Autores</w:t>
      </w:r>
    </w:p>
    <w:p w:rsidR="0015454E" w:rsidRPr="00706374" w:rsidRDefault="0015454E" w:rsidP="0015454E">
      <w:pPr>
        <w:spacing w:line="360" w:lineRule="auto"/>
        <w:ind w:firstLine="454"/>
        <w:jc w:val="both"/>
        <w:rPr>
          <w:rFonts w:ascii="Arial" w:hAnsi="Arial" w:cs="Arial"/>
          <w:sz w:val="24"/>
          <w:szCs w:val="24"/>
        </w:rPr>
      </w:pPr>
      <w:r w:rsidRPr="00706374">
        <w:rPr>
          <w:rFonts w:ascii="Arial" w:hAnsi="Arial" w:cs="Arial"/>
          <w:sz w:val="24"/>
          <w:szCs w:val="24"/>
        </w:rPr>
        <w:lastRenderedPageBreak/>
        <w:t>En la tabla de ratios presentada observamos los enlazamientos hechos y los resultados obtenidos mediante los datos históricos. Podemos observar que solo en dos cuentas no se utilizaron los datos de los 8 años disponibles, sus motivos serán explicados más adelante. A continuación veremos unos pequeños gráficos del crecimiento histórico de cada una de las cuentas.</w:t>
      </w:r>
    </w:p>
    <w:p w:rsidR="00706374" w:rsidRPr="00706374" w:rsidRDefault="00706374" w:rsidP="0015454E">
      <w:pPr>
        <w:spacing w:line="360" w:lineRule="auto"/>
        <w:jc w:val="both"/>
        <w:rPr>
          <w:rFonts w:ascii="Arial" w:hAnsi="Arial" w:cs="Arial"/>
          <w:b/>
          <w:sz w:val="24"/>
          <w:szCs w:val="24"/>
        </w:rPr>
      </w:pPr>
    </w:p>
    <w:p w:rsidR="0015454E" w:rsidRPr="00BB2594" w:rsidRDefault="0015454E" w:rsidP="0015454E">
      <w:pPr>
        <w:spacing w:line="360" w:lineRule="auto"/>
        <w:jc w:val="both"/>
        <w:rPr>
          <w:rFonts w:ascii="Arial" w:hAnsi="Arial" w:cs="Arial"/>
          <w:b/>
          <w:sz w:val="24"/>
          <w:szCs w:val="24"/>
        </w:rPr>
      </w:pPr>
      <w:r w:rsidRPr="00BB2594">
        <w:rPr>
          <w:rFonts w:ascii="Arial" w:hAnsi="Arial" w:cs="Arial"/>
          <w:b/>
          <w:sz w:val="24"/>
          <w:szCs w:val="24"/>
        </w:rPr>
        <w:t>Fondos Disponibles</w:t>
      </w:r>
    </w:p>
    <w:p w:rsidR="00706374" w:rsidRPr="00706374" w:rsidRDefault="00706374" w:rsidP="0015454E">
      <w:pPr>
        <w:spacing w:line="360" w:lineRule="auto"/>
        <w:jc w:val="both"/>
        <w:rPr>
          <w:rFonts w:ascii="Arial" w:hAnsi="Arial" w:cs="Arial"/>
        </w:rPr>
      </w:pPr>
    </w:p>
    <w:p w:rsidR="0015454E" w:rsidRPr="00991A27" w:rsidRDefault="003A24B0" w:rsidP="0015454E">
      <w:pPr>
        <w:spacing w:line="360" w:lineRule="auto"/>
        <w:jc w:val="center"/>
        <w:rPr>
          <w:rFonts w:ascii="Arial" w:hAnsi="Arial" w:cs="Arial"/>
          <w:b/>
        </w:rPr>
      </w:pPr>
      <w:r>
        <w:rPr>
          <w:rFonts w:ascii="Arial" w:hAnsi="Arial" w:cs="Arial"/>
          <w:b/>
          <w:noProof/>
          <w:lang w:val="es-ES" w:eastAsia="es-ES"/>
        </w:rPr>
        <w:drawing>
          <wp:anchor distT="0" distB="0" distL="114300" distR="114300" simplePos="0" relativeHeight="251650560" behindDoc="0" locked="0" layoutInCell="1" allowOverlap="1">
            <wp:simplePos x="0" y="0"/>
            <wp:positionH relativeFrom="column">
              <wp:posOffset>-228600</wp:posOffset>
            </wp:positionH>
            <wp:positionV relativeFrom="paragraph">
              <wp:posOffset>160020</wp:posOffset>
            </wp:positionV>
            <wp:extent cx="5257800" cy="2006600"/>
            <wp:effectExtent l="0" t="0" r="0" b="0"/>
            <wp:wrapNone/>
            <wp:docPr id="33" name="Objeto 3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anchor>
        </w:drawing>
      </w:r>
      <w:r w:rsidR="0015454E" w:rsidRPr="00991A27">
        <w:rPr>
          <w:rFonts w:ascii="Arial" w:hAnsi="Arial" w:cs="Arial"/>
          <w:b/>
        </w:rPr>
        <w:t>Gráfico 3.2</w:t>
      </w:r>
    </w:p>
    <w:p w:rsidR="0015454E" w:rsidRPr="00991A27" w:rsidRDefault="0015454E" w:rsidP="0015454E">
      <w:pPr>
        <w:spacing w:line="360" w:lineRule="auto"/>
        <w:jc w:val="both"/>
        <w:rPr>
          <w:rFonts w:ascii="Arial" w:hAnsi="Arial" w:cs="Arial"/>
          <w:b/>
        </w:rPr>
      </w:pPr>
    </w:p>
    <w:p w:rsidR="0015454E" w:rsidRPr="00991A27" w:rsidRDefault="0015454E" w:rsidP="0015454E">
      <w:pPr>
        <w:spacing w:line="360" w:lineRule="auto"/>
        <w:jc w:val="both"/>
        <w:rPr>
          <w:rFonts w:ascii="Arial" w:hAnsi="Arial" w:cs="Arial"/>
          <w:b/>
        </w:rPr>
      </w:pPr>
    </w:p>
    <w:p w:rsidR="0015454E" w:rsidRPr="00991A27" w:rsidRDefault="0015454E" w:rsidP="0015454E">
      <w:pPr>
        <w:spacing w:line="360" w:lineRule="auto"/>
        <w:jc w:val="both"/>
        <w:rPr>
          <w:rFonts w:ascii="Arial" w:hAnsi="Arial" w:cs="Arial"/>
        </w:rPr>
      </w:pPr>
    </w:p>
    <w:p w:rsidR="0015454E" w:rsidRPr="00991A27" w:rsidRDefault="0015454E" w:rsidP="0015454E">
      <w:pPr>
        <w:spacing w:line="360" w:lineRule="auto"/>
        <w:jc w:val="both"/>
        <w:rPr>
          <w:rFonts w:ascii="Arial" w:hAnsi="Arial" w:cs="Arial"/>
        </w:rPr>
      </w:pPr>
    </w:p>
    <w:p w:rsidR="0015454E" w:rsidRPr="00706374" w:rsidRDefault="0015454E" w:rsidP="00706374">
      <w:pPr>
        <w:spacing w:line="360" w:lineRule="auto"/>
        <w:jc w:val="both"/>
        <w:rPr>
          <w:rFonts w:ascii="Arial" w:hAnsi="Arial" w:cs="Arial"/>
        </w:rPr>
      </w:pPr>
      <w:r w:rsidRPr="00991A27">
        <w:rPr>
          <w:rFonts w:ascii="Arial" w:hAnsi="Arial" w:cs="Arial"/>
        </w:rPr>
        <w:t xml:space="preserve">                                                                                                                                                             </w:t>
      </w:r>
    </w:p>
    <w:p w:rsidR="0015454E" w:rsidRPr="00F27DFF" w:rsidRDefault="0015454E" w:rsidP="00706374">
      <w:pPr>
        <w:spacing w:line="240" w:lineRule="atLeast"/>
        <w:rPr>
          <w:rFonts w:ascii="Arial" w:hAnsi="Arial" w:cs="Arial"/>
          <w:sz w:val="16"/>
          <w:szCs w:val="16"/>
        </w:rPr>
      </w:pPr>
      <w:r w:rsidRPr="00F27DFF">
        <w:rPr>
          <w:rFonts w:ascii="Arial" w:hAnsi="Arial" w:cs="Arial"/>
          <w:sz w:val="16"/>
          <w:szCs w:val="16"/>
        </w:rPr>
        <w:t>Fuente: Superintendencia de Bancos</w:t>
      </w:r>
    </w:p>
    <w:p w:rsidR="0015454E" w:rsidRPr="00F27DFF" w:rsidRDefault="0015454E" w:rsidP="00706374">
      <w:pPr>
        <w:spacing w:line="240" w:lineRule="atLeast"/>
        <w:rPr>
          <w:rFonts w:ascii="Arial" w:hAnsi="Arial" w:cs="Arial"/>
        </w:rPr>
      </w:pPr>
      <w:r w:rsidRPr="00F27DFF">
        <w:rPr>
          <w:rFonts w:ascii="Arial" w:hAnsi="Arial" w:cs="Arial"/>
          <w:sz w:val="16"/>
          <w:szCs w:val="16"/>
        </w:rPr>
        <w:t>Elaboración: Autores</w:t>
      </w:r>
    </w:p>
    <w:p w:rsidR="0015454E" w:rsidRPr="00991A27" w:rsidRDefault="0015454E" w:rsidP="0015454E">
      <w:pPr>
        <w:spacing w:line="360" w:lineRule="auto"/>
        <w:ind w:firstLine="454"/>
        <w:jc w:val="both"/>
        <w:rPr>
          <w:rFonts w:ascii="Arial" w:hAnsi="Arial" w:cs="Arial"/>
        </w:rPr>
      </w:pPr>
    </w:p>
    <w:p w:rsidR="0015454E" w:rsidRPr="00706374" w:rsidRDefault="0015454E" w:rsidP="0015454E">
      <w:pPr>
        <w:spacing w:line="360" w:lineRule="auto"/>
        <w:ind w:firstLine="454"/>
        <w:jc w:val="both"/>
        <w:rPr>
          <w:rFonts w:ascii="Arial" w:hAnsi="Arial" w:cs="Arial"/>
          <w:sz w:val="24"/>
          <w:szCs w:val="24"/>
        </w:rPr>
      </w:pPr>
      <w:r w:rsidRPr="00706374">
        <w:rPr>
          <w:rFonts w:ascii="Arial" w:hAnsi="Arial" w:cs="Arial"/>
          <w:sz w:val="24"/>
          <w:szCs w:val="24"/>
        </w:rPr>
        <w:t xml:space="preserve">Esta cuenta llega a su tope máximo a mediados del 2004 para luego tener una caída pero  partir del 2006 empieza a subir nuevamente. Los motivos de estos bruscos movimientos podrían ser muchos, pero quizás el mas desequilibrante sea que, a pesar del sostenido crecimiento de las obligaciones con el público, el también muy marcado crecimiento de las inversiones más el incremento considerable también de la cartera, ha desembocado en esta irregularidad en los fondos disponibles. </w:t>
      </w:r>
    </w:p>
    <w:p w:rsidR="00706374" w:rsidRPr="00706374" w:rsidRDefault="00706374" w:rsidP="0015454E">
      <w:pPr>
        <w:spacing w:line="360" w:lineRule="auto"/>
        <w:jc w:val="both"/>
        <w:rPr>
          <w:rFonts w:ascii="Arial" w:hAnsi="Arial" w:cs="Arial"/>
          <w:sz w:val="24"/>
          <w:szCs w:val="24"/>
        </w:rPr>
      </w:pPr>
    </w:p>
    <w:p w:rsidR="00706374" w:rsidRPr="00951FC3" w:rsidRDefault="0015454E" w:rsidP="00706374">
      <w:pPr>
        <w:spacing w:line="360" w:lineRule="auto"/>
        <w:jc w:val="both"/>
        <w:rPr>
          <w:rFonts w:ascii="Arial" w:hAnsi="Arial" w:cs="Arial"/>
          <w:sz w:val="24"/>
          <w:szCs w:val="24"/>
        </w:rPr>
      </w:pPr>
      <w:r w:rsidRPr="00BB2594">
        <w:rPr>
          <w:rFonts w:ascii="Arial" w:hAnsi="Arial" w:cs="Arial"/>
          <w:b/>
          <w:sz w:val="24"/>
          <w:szCs w:val="24"/>
        </w:rPr>
        <w:lastRenderedPageBreak/>
        <w:t>Inversiones</w:t>
      </w:r>
      <w:r w:rsidRPr="00BB2594">
        <w:rPr>
          <w:rFonts w:ascii="Arial" w:hAnsi="Arial" w:cs="Arial"/>
          <w:sz w:val="24"/>
          <w:szCs w:val="24"/>
        </w:rPr>
        <w:t xml:space="preserve"> </w:t>
      </w:r>
    </w:p>
    <w:p w:rsidR="0015454E" w:rsidRDefault="003A24B0" w:rsidP="0015454E">
      <w:pPr>
        <w:spacing w:line="360" w:lineRule="auto"/>
        <w:jc w:val="center"/>
        <w:rPr>
          <w:rFonts w:ascii="Arial" w:hAnsi="Arial" w:cs="Arial"/>
          <w:b/>
        </w:rPr>
      </w:pPr>
      <w:r>
        <w:rPr>
          <w:rFonts w:ascii="Arial" w:hAnsi="Arial" w:cs="Arial"/>
          <w:b/>
          <w:noProof/>
          <w:lang w:val="es-ES" w:eastAsia="es-ES"/>
        </w:rPr>
        <w:drawing>
          <wp:anchor distT="0" distB="0" distL="114300" distR="114300" simplePos="0" relativeHeight="251651584" behindDoc="0" locked="0" layoutInCell="1" allowOverlap="1">
            <wp:simplePos x="0" y="0"/>
            <wp:positionH relativeFrom="column">
              <wp:posOffset>-69850</wp:posOffset>
            </wp:positionH>
            <wp:positionV relativeFrom="paragraph">
              <wp:posOffset>119380</wp:posOffset>
            </wp:positionV>
            <wp:extent cx="5457190" cy="1776730"/>
            <wp:effectExtent l="0" t="0" r="0" b="0"/>
            <wp:wrapNone/>
            <wp:docPr id="34" name="Objeto 3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anchor>
        </w:drawing>
      </w:r>
      <w:r w:rsidR="0015454E" w:rsidRPr="00991A27">
        <w:rPr>
          <w:rFonts w:ascii="Arial" w:hAnsi="Arial" w:cs="Arial"/>
          <w:b/>
        </w:rPr>
        <w:t>Gráfico 3.3</w:t>
      </w:r>
    </w:p>
    <w:p w:rsidR="00706374" w:rsidRDefault="00706374" w:rsidP="0015454E">
      <w:pPr>
        <w:spacing w:line="360" w:lineRule="auto"/>
        <w:jc w:val="center"/>
        <w:rPr>
          <w:rFonts w:ascii="Arial" w:hAnsi="Arial" w:cs="Arial"/>
          <w:b/>
        </w:rPr>
      </w:pPr>
    </w:p>
    <w:p w:rsidR="00706374" w:rsidRDefault="00706374" w:rsidP="0015454E">
      <w:pPr>
        <w:spacing w:line="360" w:lineRule="auto"/>
        <w:jc w:val="center"/>
        <w:rPr>
          <w:rFonts w:ascii="Arial" w:hAnsi="Arial" w:cs="Arial"/>
          <w:b/>
        </w:rPr>
      </w:pPr>
    </w:p>
    <w:p w:rsidR="00706374" w:rsidRDefault="00706374" w:rsidP="0015454E">
      <w:pPr>
        <w:spacing w:line="360" w:lineRule="auto"/>
        <w:jc w:val="center"/>
        <w:rPr>
          <w:rFonts w:ascii="Arial" w:hAnsi="Arial" w:cs="Arial"/>
          <w:b/>
        </w:rPr>
      </w:pPr>
    </w:p>
    <w:p w:rsidR="00706374" w:rsidRDefault="00706374" w:rsidP="0015454E">
      <w:pPr>
        <w:spacing w:line="360" w:lineRule="auto"/>
        <w:jc w:val="center"/>
        <w:rPr>
          <w:rFonts w:ascii="Arial" w:hAnsi="Arial" w:cs="Arial"/>
          <w:b/>
        </w:rPr>
      </w:pPr>
    </w:p>
    <w:p w:rsidR="00706374" w:rsidRDefault="00706374" w:rsidP="00706374">
      <w:pPr>
        <w:spacing w:line="240" w:lineRule="atLeast"/>
        <w:jc w:val="both"/>
        <w:rPr>
          <w:rFonts w:ascii="Arial" w:hAnsi="Arial" w:cs="Arial"/>
          <w:b/>
        </w:rPr>
      </w:pPr>
    </w:p>
    <w:p w:rsidR="0015454E" w:rsidRPr="00F27DFF" w:rsidRDefault="0015454E" w:rsidP="00951FC3">
      <w:pPr>
        <w:spacing w:line="240" w:lineRule="auto"/>
        <w:jc w:val="both"/>
        <w:rPr>
          <w:rFonts w:ascii="Arial" w:hAnsi="Arial" w:cs="Arial"/>
          <w:sz w:val="16"/>
          <w:szCs w:val="16"/>
        </w:rPr>
      </w:pPr>
      <w:r w:rsidRPr="00F27DFF">
        <w:rPr>
          <w:rFonts w:ascii="Arial" w:hAnsi="Arial" w:cs="Arial"/>
          <w:sz w:val="16"/>
          <w:szCs w:val="16"/>
        </w:rPr>
        <w:t>Fuente: Superintendencia de Bancos</w:t>
      </w:r>
    </w:p>
    <w:p w:rsidR="0015454E" w:rsidRPr="00504FF0" w:rsidRDefault="0015454E" w:rsidP="00951FC3">
      <w:pPr>
        <w:spacing w:line="240" w:lineRule="auto"/>
        <w:jc w:val="both"/>
      </w:pPr>
      <w:r w:rsidRPr="00F27DFF">
        <w:rPr>
          <w:rFonts w:ascii="Arial" w:hAnsi="Arial" w:cs="Arial"/>
          <w:sz w:val="16"/>
          <w:szCs w:val="16"/>
        </w:rPr>
        <w:t>Elaboración: Autores</w:t>
      </w:r>
    </w:p>
    <w:p w:rsidR="0015454E" w:rsidRPr="00991A27" w:rsidRDefault="0015454E" w:rsidP="0015454E">
      <w:pPr>
        <w:spacing w:line="360" w:lineRule="auto"/>
        <w:ind w:firstLine="454"/>
        <w:jc w:val="both"/>
        <w:rPr>
          <w:rFonts w:ascii="Arial" w:hAnsi="Arial" w:cs="Arial"/>
          <w:b/>
        </w:rPr>
      </w:pPr>
    </w:p>
    <w:p w:rsidR="0015454E" w:rsidRPr="00706374" w:rsidRDefault="0015454E" w:rsidP="0015454E">
      <w:pPr>
        <w:spacing w:line="360" w:lineRule="auto"/>
        <w:ind w:firstLine="454"/>
        <w:jc w:val="both"/>
        <w:rPr>
          <w:rFonts w:ascii="Arial" w:hAnsi="Arial" w:cs="Arial"/>
          <w:sz w:val="24"/>
          <w:szCs w:val="24"/>
        </w:rPr>
      </w:pPr>
      <w:r w:rsidRPr="00706374">
        <w:rPr>
          <w:rFonts w:ascii="Arial" w:hAnsi="Arial" w:cs="Arial"/>
          <w:sz w:val="24"/>
          <w:szCs w:val="24"/>
        </w:rPr>
        <w:t>Esta cuenta tuvo un crecimiento parejo hasta el año 2004 en que su crecimiento se disparó hasta mediados del 2006, momento en que volvió a crecer mas o menos de la manera en que lo venia haciendo.</w:t>
      </w:r>
      <w:r w:rsidRPr="00706374">
        <w:rPr>
          <w:rFonts w:ascii="Arial" w:hAnsi="Arial" w:cs="Arial"/>
          <w:b/>
          <w:sz w:val="24"/>
          <w:szCs w:val="24"/>
        </w:rPr>
        <w:t xml:space="preserve"> </w:t>
      </w:r>
      <w:r w:rsidRPr="00706374">
        <w:rPr>
          <w:rFonts w:ascii="Arial" w:hAnsi="Arial" w:cs="Arial"/>
          <w:sz w:val="24"/>
          <w:szCs w:val="24"/>
        </w:rPr>
        <w:t xml:space="preserve">Desde el año 2004 se intentó establecer una política de inversión elevada debido al pico alto en los fondos disponibles. Luego con la normalización de los fondos disponibles vino también la vuelta a lo normal de las inversiones. </w:t>
      </w:r>
    </w:p>
    <w:p w:rsidR="00706374" w:rsidRDefault="00706374" w:rsidP="00951FC3">
      <w:pPr>
        <w:spacing w:line="360" w:lineRule="auto"/>
        <w:jc w:val="both"/>
        <w:rPr>
          <w:rFonts w:ascii="Arial" w:hAnsi="Arial" w:cs="Arial"/>
          <w:b/>
        </w:rPr>
      </w:pPr>
    </w:p>
    <w:p w:rsidR="00951FC3" w:rsidRDefault="00951FC3" w:rsidP="00951FC3">
      <w:pPr>
        <w:spacing w:line="360" w:lineRule="auto"/>
        <w:jc w:val="both"/>
        <w:rPr>
          <w:rFonts w:ascii="Arial" w:hAnsi="Arial" w:cs="Arial"/>
          <w:b/>
        </w:rPr>
      </w:pPr>
    </w:p>
    <w:p w:rsidR="00951FC3" w:rsidRDefault="00951FC3" w:rsidP="00951FC3">
      <w:pPr>
        <w:spacing w:line="360" w:lineRule="auto"/>
        <w:jc w:val="both"/>
        <w:rPr>
          <w:rFonts w:ascii="Arial" w:hAnsi="Arial" w:cs="Arial"/>
          <w:b/>
        </w:rPr>
      </w:pPr>
    </w:p>
    <w:p w:rsidR="00951FC3" w:rsidRDefault="00951FC3" w:rsidP="00951FC3">
      <w:pPr>
        <w:spacing w:line="360" w:lineRule="auto"/>
        <w:jc w:val="both"/>
        <w:rPr>
          <w:rFonts w:ascii="Arial" w:hAnsi="Arial" w:cs="Arial"/>
          <w:b/>
        </w:rPr>
      </w:pPr>
    </w:p>
    <w:p w:rsidR="00951FC3" w:rsidRDefault="00951FC3" w:rsidP="00951FC3">
      <w:pPr>
        <w:spacing w:line="360" w:lineRule="auto"/>
        <w:jc w:val="both"/>
        <w:rPr>
          <w:rFonts w:ascii="Arial" w:hAnsi="Arial" w:cs="Arial"/>
          <w:b/>
        </w:rPr>
      </w:pPr>
    </w:p>
    <w:p w:rsidR="00951FC3" w:rsidRDefault="00951FC3" w:rsidP="00951FC3">
      <w:pPr>
        <w:spacing w:line="360" w:lineRule="auto"/>
        <w:jc w:val="both"/>
        <w:rPr>
          <w:rFonts w:ascii="Arial" w:hAnsi="Arial" w:cs="Arial"/>
          <w:b/>
        </w:rPr>
      </w:pPr>
    </w:p>
    <w:p w:rsidR="00951FC3" w:rsidRDefault="00951FC3" w:rsidP="00951FC3">
      <w:pPr>
        <w:spacing w:line="360" w:lineRule="auto"/>
        <w:jc w:val="both"/>
        <w:rPr>
          <w:rFonts w:ascii="Arial" w:hAnsi="Arial" w:cs="Arial"/>
          <w:b/>
        </w:rPr>
      </w:pPr>
    </w:p>
    <w:p w:rsidR="00951FC3" w:rsidRDefault="00951FC3" w:rsidP="00951FC3">
      <w:pPr>
        <w:spacing w:line="360" w:lineRule="auto"/>
        <w:jc w:val="both"/>
        <w:rPr>
          <w:rFonts w:ascii="Arial" w:hAnsi="Arial" w:cs="Arial"/>
          <w:b/>
        </w:rPr>
      </w:pPr>
    </w:p>
    <w:p w:rsidR="0015454E" w:rsidRPr="00BB2594" w:rsidRDefault="0015454E" w:rsidP="0015454E">
      <w:pPr>
        <w:spacing w:line="360" w:lineRule="auto"/>
        <w:jc w:val="both"/>
        <w:rPr>
          <w:rFonts w:ascii="Arial" w:hAnsi="Arial" w:cs="Arial"/>
          <w:b/>
          <w:sz w:val="24"/>
          <w:szCs w:val="24"/>
        </w:rPr>
      </w:pPr>
      <w:r w:rsidRPr="00BB2594">
        <w:rPr>
          <w:rFonts w:ascii="Arial" w:hAnsi="Arial" w:cs="Arial"/>
          <w:b/>
          <w:sz w:val="24"/>
          <w:szCs w:val="24"/>
        </w:rPr>
        <w:lastRenderedPageBreak/>
        <w:t>Cartera Vencida</w:t>
      </w:r>
    </w:p>
    <w:p w:rsidR="0015454E" w:rsidRDefault="003A24B0" w:rsidP="0015454E">
      <w:pPr>
        <w:spacing w:line="360" w:lineRule="auto"/>
        <w:jc w:val="center"/>
        <w:rPr>
          <w:rFonts w:ascii="Arial" w:hAnsi="Arial" w:cs="Arial"/>
          <w:b/>
        </w:rPr>
      </w:pPr>
      <w:r>
        <w:rPr>
          <w:rFonts w:ascii="Arial" w:hAnsi="Arial" w:cs="Arial"/>
          <w:noProof/>
          <w:lang w:val="es-ES" w:eastAsia="es-ES"/>
        </w:rPr>
        <w:drawing>
          <wp:anchor distT="0" distB="0" distL="114300" distR="114300" simplePos="0" relativeHeight="251652608" behindDoc="0" locked="0" layoutInCell="1" allowOverlap="1">
            <wp:simplePos x="0" y="0"/>
            <wp:positionH relativeFrom="column">
              <wp:posOffset>-342900</wp:posOffset>
            </wp:positionH>
            <wp:positionV relativeFrom="paragraph">
              <wp:posOffset>141605</wp:posOffset>
            </wp:positionV>
            <wp:extent cx="5721350" cy="2110740"/>
            <wp:effectExtent l="0" t="0" r="0" b="635"/>
            <wp:wrapNone/>
            <wp:docPr id="35" name="Objeto 3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anchor>
        </w:drawing>
      </w:r>
      <w:r w:rsidR="0015454E" w:rsidRPr="00991A27">
        <w:rPr>
          <w:rFonts w:ascii="Arial" w:hAnsi="Arial" w:cs="Arial"/>
          <w:b/>
        </w:rPr>
        <w:t>Gráfico 3.4</w:t>
      </w:r>
    </w:p>
    <w:p w:rsidR="00951FC3" w:rsidRPr="00991A27" w:rsidRDefault="00951FC3" w:rsidP="0015454E">
      <w:pPr>
        <w:spacing w:line="360" w:lineRule="auto"/>
        <w:jc w:val="center"/>
        <w:rPr>
          <w:rFonts w:ascii="Arial" w:hAnsi="Arial" w:cs="Arial"/>
          <w:b/>
        </w:rPr>
      </w:pPr>
    </w:p>
    <w:p w:rsidR="0015454E" w:rsidRPr="00991A27" w:rsidRDefault="0015454E" w:rsidP="0015454E">
      <w:pPr>
        <w:spacing w:line="360" w:lineRule="auto"/>
        <w:jc w:val="both"/>
        <w:rPr>
          <w:rFonts w:ascii="Arial" w:hAnsi="Arial" w:cs="Arial"/>
          <w:b/>
        </w:rPr>
      </w:pPr>
    </w:p>
    <w:p w:rsidR="0015454E" w:rsidRPr="00991A27" w:rsidRDefault="0015454E" w:rsidP="0015454E">
      <w:pPr>
        <w:spacing w:line="360" w:lineRule="auto"/>
        <w:jc w:val="both"/>
        <w:rPr>
          <w:rFonts w:ascii="Arial" w:hAnsi="Arial" w:cs="Arial"/>
        </w:rPr>
      </w:pPr>
    </w:p>
    <w:p w:rsidR="0015454E" w:rsidRPr="00991A27" w:rsidRDefault="0015454E" w:rsidP="0015454E">
      <w:pPr>
        <w:spacing w:line="360" w:lineRule="auto"/>
        <w:jc w:val="both"/>
        <w:rPr>
          <w:rFonts w:ascii="Arial" w:hAnsi="Arial" w:cs="Arial"/>
        </w:rPr>
      </w:pPr>
    </w:p>
    <w:p w:rsidR="0015454E" w:rsidRDefault="0015454E" w:rsidP="0015454E">
      <w:pPr>
        <w:spacing w:line="360" w:lineRule="auto"/>
        <w:jc w:val="both"/>
        <w:rPr>
          <w:rFonts w:ascii="Arial" w:hAnsi="Arial" w:cs="Arial"/>
        </w:rPr>
      </w:pPr>
    </w:p>
    <w:p w:rsidR="00951FC3" w:rsidRDefault="00951FC3" w:rsidP="00706374">
      <w:pPr>
        <w:spacing w:line="240" w:lineRule="atLeast"/>
        <w:jc w:val="both"/>
        <w:rPr>
          <w:b/>
          <w:sz w:val="16"/>
          <w:szCs w:val="16"/>
        </w:rPr>
      </w:pPr>
    </w:p>
    <w:p w:rsidR="0015454E" w:rsidRPr="00F27DFF" w:rsidRDefault="0015454E" w:rsidP="00D8535B">
      <w:pPr>
        <w:spacing w:line="240" w:lineRule="auto"/>
        <w:jc w:val="both"/>
        <w:rPr>
          <w:rFonts w:ascii="Arial" w:hAnsi="Arial" w:cs="Arial"/>
          <w:sz w:val="16"/>
          <w:szCs w:val="16"/>
        </w:rPr>
      </w:pPr>
      <w:r w:rsidRPr="00F27DFF">
        <w:rPr>
          <w:rFonts w:ascii="Arial" w:hAnsi="Arial" w:cs="Arial"/>
          <w:sz w:val="16"/>
          <w:szCs w:val="16"/>
        </w:rPr>
        <w:t>Fuente: Superintendencia de Bancos</w:t>
      </w:r>
    </w:p>
    <w:p w:rsidR="0015454E" w:rsidRPr="00F27DFF" w:rsidRDefault="0015454E" w:rsidP="00D8535B">
      <w:pPr>
        <w:spacing w:line="240" w:lineRule="auto"/>
        <w:jc w:val="both"/>
        <w:rPr>
          <w:rFonts w:ascii="Arial" w:hAnsi="Arial" w:cs="Arial"/>
        </w:rPr>
      </w:pPr>
      <w:r w:rsidRPr="00F27DFF">
        <w:rPr>
          <w:rFonts w:ascii="Arial" w:hAnsi="Arial" w:cs="Arial"/>
          <w:sz w:val="16"/>
          <w:szCs w:val="16"/>
        </w:rPr>
        <w:t>Elaboración: Autores</w:t>
      </w:r>
    </w:p>
    <w:p w:rsidR="00706374" w:rsidRDefault="00706374" w:rsidP="0015454E">
      <w:pPr>
        <w:spacing w:line="360" w:lineRule="auto"/>
        <w:ind w:firstLine="454"/>
        <w:jc w:val="both"/>
        <w:rPr>
          <w:rFonts w:ascii="Arial" w:hAnsi="Arial" w:cs="Arial"/>
        </w:rPr>
      </w:pPr>
    </w:p>
    <w:p w:rsidR="0015454E" w:rsidRPr="00706374" w:rsidRDefault="0015454E" w:rsidP="0015454E">
      <w:pPr>
        <w:spacing w:line="360" w:lineRule="auto"/>
        <w:ind w:firstLine="454"/>
        <w:jc w:val="both"/>
        <w:rPr>
          <w:sz w:val="24"/>
          <w:szCs w:val="24"/>
        </w:rPr>
      </w:pPr>
      <w:r w:rsidRPr="00706374">
        <w:rPr>
          <w:rFonts w:ascii="Arial" w:hAnsi="Arial" w:cs="Arial"/>
          <w:sz w:val="24"/>
          <w:szCs w:val="24"/>
        </w:rPr>
        <w:t xml:space="preserve">Esta cuenta nos muestra una gran mejoría en el análisis de créditos y en la gestión de cobro, viendo sobre todo la gran disminución de la cartera vencida desde mediados del 2005 hasta acá. </w:t>
      </w:r>
    </w:p>
    <w:p w:rsidR="0015454E" w:rsidRPr="00BB2594" w:rsidRDefault="0015454E" w:rsidP="0015454E">
      <w:pPr>
        <w:spacing w:line="360" w:lineRule="auto"/>
        <w:jc w:val="both"/>
        <w:rPr>
          <w:rFonts w:ascii="Arial" w:hAnsi="Arial" w:cs="Arial"/>
          <w:sz w:val="24"/>
          <w:szCs w:val="24"/>
        </w:rPr>
      </w:pPr>
    </w:p>
    <w:p w:rsidR="0015454E" w:rsidRPr="00BB2594" w:rsidRDefault="0015454E" w:rsidP="0015454E">
      <w:pPr>
        <w:spacing w:line="360" w:lineRule="auto"/>
        <w:jc w:val="both"/>
        <w:rPr>
          <w:rFonts w:ascii="Arial" w:hAnsi="Arial" w:cs="Arial"/>
          <w:b/>
          <w:sz w:val="24"/>
          <w:szCs w:val="24"/>
        </w:rPr>
      </w:pPr>
      <w:r w:rsidRPr="00BB2594">
        <w:rPr>
          <w:rFonts w:ascii="Arial" w:hAnsi="Arial" w:cs="Arial"/>
          <w:b/>
          <w:sz w:val="24"/>
          <w:szCs w:val="24"/>
        </w:rPr>
        <w:t>Provisiones sobre colocaciones</w:t>
      </w:r>
    </w:p>
    <w:p w:rsidR="0015454E" w:rsidRDefault="003A24B0" w:rsidP="0015454E">
      <w:pPr>
        <w:spacing w:line="360" w:lineRule="auto"/>
        <w:jc w:val="center"/>
        <w:rPr>
          <w:rFonts w:ascii="Arial" w:hAnsi="Arial" w:cs="Arial"/>
          <w:b/>
        </w:rPr>
      </w:pPr>
      <w:r>
        <w:rPr>
          <w:rFonts w:ascii="Arial" w:hAnsi="Arial" w:cs="Arial"/>
          <w:noProof/>
          <w:lang w:val="es-ES" w:eastAsia="es-ES"/>
        </w:rPr>
        <w:drawing>
          <wp:anchor distT="0" distB="0" distL="114300" distR="114300" simplePos="0" relativeHeight="251653632" behindDoc="0" locked="0" layoutInCell="1" allowOverlap="1">
            <wp:simplePos x="0" y="0"/>
            <wp:positionH relativeFrom="column">
              <wp:posOffset>-114300</wp:posOffset>
            </wp:positionH>
            <wp:positionV relativeFrom="paragraph">
              <wp:posOffset>217170</wp:posOffset>
            </wp:positionV>
            <wp:extent cx="5486400" cy="1943100"/>
            <wp:effectExtent l="0" t="0" r="0" b="0"/>
            <wp:wrapNone/>
            <wp:docPr id="36" name="Objeto 3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anchor>
        </w:drawing>
      </w:r>
      <w:r w:rsidR="0015454E">
        <w:rPr>
          <w:rFonts w:ascii="Arial" w:hAnsi="Arial" w:cs="Arial"/>
          <w:b/>
        </w:rPr>
        <w:t>Grá</w:t>
      </w:r>
      <w:r w:rsidR="0015454E" w:rsidRPr="00991A27">
        <w:rPr>
          <w:rFonts w:ascii="Arial" w:hAnsi="Arial" w:cs="Arial"/>
          <w:b/>
        </w:rPr>
        <w:t>fico 3.5</w:t>
      </w:r>
    </w:p>
    <w:p w:rsidR="0015454E" w:rsidRPr="00965629" w:rsidRDefault="0015454E" w:rsidP="0015454E">
      <w:pPr>
        <w:spacing w:line="360" w:lineRule="auto"/>
        <w:jc w:val="both"/>
        <w:rPr>
          <w:rFonts w:ascii="Arial" w:hAnsi="Arial" w:cs="Arial"/>
          <w:b/>
        </w:rPr>
      </w:pPr>
    </w:p>
    <w:p w:rsidR="0015454E" w:rsidRPr="00991A27" w:rsidRDefault="0015454E" w:rsidP="0015454E">
      <w:pPr>
        <w:spacing w:line="360" w:lineRule="auto"/>
        <w:jc w:val="both"/>
        <w:rPr>
          <w:rFonts w:ascii="Arial" w:hAnsi="Arial" w:cs="Arial"/>
        </w:rPr>
      </w:pPr>
    </w:p>
    <w:p w:rsidR="0015454E" w:rsidRPr="00991A27" w:rsidRDefault="0015454E" w:rsidP="0015454E">
      <w:pPr>
        <w:spacing w:line="360" w:lineRule="auto"/>
        <w:jc w:val="both"/>
        <w:rPr>
          <w:rFonts w:ascii="Arial" w:hAnsi="Arial" w:cs="Arial"/>
        </w:rPr>
      </w:pPr>
    </w:p>
    <w:p w:rsidR="0015454E" w:rsidRPr="00991A27" w:rsidRDefault="0015454E" w:rsidP="0015454E">
      <w:pPr>
        <w:spacing w:line="360" w:lineRule="auto"/>
        <w:jc w:val="both"/>
        <w:rPr>
          <w:rFonts w:ascii="Arial" w:hAnsi="Arial" w:cs="Arial"/>
        </w:rPr>
      </w:pPr>
    </w:p>
    <w:p w:rsidR="0015454E" w:rsidRPr="00991A27" w:rsidRDefault="0015454E" w:rsidP="00706374">
      <w:pPr>
        <w:spacing w:line="240" w:lineRule="atLeast"/>
        <w:jc w:val="both"/>
        <w:rPr>
          <w:rFonts w:ascii="Arial" w:hAnsi="Arial" w:cs="Arial"/>
        </w:rPr>
      </w:pPr>
    </w:p>
    <w:p w:rsidR="0015454E" w:rsidRPr="00F27DFF" w:rsidRDefault="0015454E" w:rsidP="00706374">
      <w:pPr>
        <w:spacing w:line="240" w:lineRule="atLeast"/>
        <w:jc w:val="both"/>
        <w:rPr>
          <w:rFonts w:ascii="Arial" w:hAnsi="Arial" w:cs="Arial"/>
          <w:sz w:val="16"/>
          <w:szCs w:val="16"/>
        </w:rPr>
      </w:pPr>
      <w:r w:rsidRPr="00F27DFF">
        <w:rPr>
          <w:rFonts w:ascii="Arial" w:hAnsi="Arial" w:cs="Arial"/>
          <w:sz w:val="16"/>
          <w:szCs w:val="16"/>
        </w:rPr>
        <w:t>Fuente: Superintendencia de Bancos</w:t>
      </w:r>
    </w:p>
    <w:p w:rsidR="0015454E" w:rsidRPr="00F27DFF" w:rsidRDefault="0015454E" w:rsidP="00951FC3">
      <w:pPr>
        <w:spacing w:line="240" w:lineRule="atLeast"/>
        <w:jc w:val="both"/>
        <w:rPr>
          <w:rFonts w:ascii="Arial" w:hAnsi="Arial" w:cs="Arial"/>
        </w:rPr>
      </w:pPr>
      <w:r w:rsidRPr="00F27DFF">
        <w:rPr>
          <w:rFonts w:ascii="Arial" w:hAnsi="Arial" w:cs="Arial"/>
          <w:sz w:val="16"/>
          <w:szCs w:val="16"/>
        </w:rPr>
        <w:t>Elaboración: Autores</w:t>
      </w:r>
    </w:p>
    <w:p w:rsidR="0015454E" w:rsidRPr="00706374" w:rsidRDefault="0015454E" w:rsidP="0015454E">
      <w:pPr>
        <w:spacing w:line="360" w:lineRule="auto"/>
        <w:ind w:firstLine="454"/>
        <w:jc w:val="both"/>
        <w:rPr>
          <w:rFonts w:ascii="Arial" w:hAnsi="Arial" w:cs="Arial"/>
          <w:sz w:val="24"/>
          <w:szCs w:val="24"/>
        </w:rPr>
      </w:pPr>
      <w:r w:rsidRPr="00706374">
        <w:rPr>
          <w:rFonts w:ascii="Arial" w:hAnsi="Arial" w:cs="Arial"/>
          <w:sz w:val="24"/>
          <w:szCs w:val="24"/>
        </w:rPr>
        <w:lastRenderedPageBreak/>
        <w:t>Dado que las provisiones se toman en base a la cartera vencida, esta no es más que un reflejo de dicha cuenta, es por eso que aquí también podemos ver una notable disminución desde mediados del año 2005 hasta finales del 2007.</w:t>
      </w:r>
    </w:p>
    <w:p w:rsidR="0015454E" w:rsidRPr="00706374" w:rsidRDefault="0015454E" w:rsidP="0015454E">
      <w:pPr>
        <w:spacing w:line="360" w:lineRule="auto"/>
        <w:jc w:val="both"/>
        <w:rPr>
          <w:rFonts w:ascii="Arial" w:hAnsi="Arial" w:cs="Arial"/>
          <w:sz w:val="24"/>
          <w:szCs w:val="24"/>
        </w:rPr>
      </w:pPr>
    </w:p>
    <w:p w:rsidR="0015454E" w:rsidRPr="00BB2594" w:rsidRDefault="0015454E" w:rsidP="0015454E">
      <w:pPr>
        <w:spacing w:line="360" w:lineRule="auto"/>
        <w:jc w:val="both"/>
        <w:rPr>
          <w:rFonts w:ascii="Arial" w:hAnsi="Arial" w:cs="Arial"/>
          <w:sz w:val="24"/>
          <w:szCs w:val="24"/>
        </w:rPr>
      </w:pPr>
      <w:r w:rsidRPr="00BB2594">
        <w:rPr>
          <w:rFonts w:ascii="Arial" w:hAnsi="Arial" w:cs="Arial"/>
          <w:b/>
          <w:sz w:val="24"/>
          <w:szCs w:val="24"/>
        </w:rPr>
        <w:t xml:space="preserve">Obligaciones con el público </w:t>
      </w:r>
    </w:p>
    <w:p w:rsidR="0015454E" w:rsidRPr="00991A27" w:rsidRDefault="003A24B0" w:rsidP="0015454E">
      <w:pPr>
        <w:spacing w:line="360" w:lineRule="auto"/>
        <w:jc w:val="center"/>
        <w:rPr>
          <w:rFonts w:ascii="Arial" w:hAnsi="Arial" w:cs="Arial"/>
        </w:rPr>
      </w:pPr>
      <w:r>
        <w:rPr>
          <w:rFonts w:ascii="Arial" w:hAnsi="Arial" w:cs="Arial"/>
          <w:noProof/>
          <w:lang w:val="es-ES" w:eastAsia="es-ES"/>
        </w:rPr>
        <w:drawing>
          <wp:anchor distT="0" distB="0" distL="114300" distR="114300" simplePos="0" relativeHeight="251654656" behindDoc="0" locked="0" layoutInCell="1" allowOverlap="1">
            <wp:simplePos x="0" y="0"/>
            <wp:positionH relativeFrom="column">
              <wp:posOffset>-228600</wp:posOffset>
            </wp:positionH>
            <wp:positionV relativeFrom="paragraph">
              <wp:posOffset>114300</wp:posOffset>
            </wp:positionV>
            <wp:extent cx="5886450" cy="2057400"/>
            <wp:effectExtent l="0" t="0" r="0" b="0"/>
            <wp:wrapNone/>
            <wp:docPr id="37" name="Objeto 3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anchor>
        </w:drawing>
      </w:r>
      <w:r w:rsidR="0015454E" w:rsidRPr="00991A27">
        <w:rPr>
          <w:rFonts w:ascii="Arial" w:hAnsi="Arial" w:cs="Arial"/>
          <w:b/>
        </w:rPr>
        <w:t>Gráfico 3.6</w:t>
      </w:r>
    </w:p>
    <w:p w:rsidR="0015454E" w:rsidRPr="00991A27" w:rsidRDefault="0015454E" w:rsidP="0015454E">
      <w:pPr>
        <w:spacing w:line="360" w:lineRule="auto"/>
        <w:jc w:val="both"/>
        <w:rPr>
          <w:rFonts w:ascii="Arial" w:hAnsi="Arial" w:cs="Arial"/>
        </w:rPr>
      </w:pPr>
    </w:p>
    <w:p w:rsidR="0015454E" w:rsidRPr="00991A27" w:rsidRDefault="0015454E" w:rsidP="0015454E">
      <w:pPr>
        <w:spacing w:line="360" w:lineRule="auto"/>
        <w:jc w:val="both"/>
        <w:rPr>
          <w:rFonts w:ascii="Arial" w:hAnsi="Arial" w:cs="Arial"/>
        </w:rPr>
      </w:pPr>
    </w:p>
    <w:p w:rsidR="0015454E" w:rsidRPr="00991A27" w:rsidRDefault="0015454E" w:rsidP="0015454E">
      <w:pPr>
        <w:spacing w:line="360" w:lineRule="auto"/>
        <w:jc w:val="both"/>
        <w:rPr>
          <w:rFonts w:ascii="Arial" w:hAnsi="Arial" w:cs="Arial"/>
        </w:rPr>
      </w:pPr>
    </w:p>
    <w:p w:rsidR="0015454E" w:rsidRPr="00991A27" w:rsidRDefault="0015454E" w:rsidP="0015454E">
      <w:pPr>
        <w:spacing w:line="360" w:lineRule="auto"/>
        <w:jc w:val="both"/>
        <w:rPr>
          <w:rFonts w:ascii="Arial" w:hAnsi="Arial" w:cs="Arial"/>
        </w:rPr>
      </w:pPr>
    </w:p>
    <w:p w:rsidR="0015454E" w:rsidRPr="00991A27" w:rsidRDefault="0015454E" w:rsidP="0015454E">
      <w:pPr>
        <w:spacing w:line="360" w:lineRule="auto"/>
        <w:jc w:val="both"/>
        <w:rPr>
          <w:rFonts w:ascii="Arial" w:hAnsi="Arial" w:cs="Arial"/>
        </w:rPr>
      </w:pPr>
    </w:p>
    <w:p w:rsidR="0015454E" w:rsidRPr="00F27DFF" w:rsidRDefault="0015454E" w:rsidP="00706374">
      <w:pPr>
        <w:spacing w:line="240" w:lineRule="atLeast"/>
        <w:jc w:val="both"/>
        <w:rPr>
          <w:rFonts w:ascii="Arial" w:hAnsi="Arial" w:cs="Arial"/>
          <w:sz w:val="16"/>
          <w:szCs w:val="16"/>
        </w:rPr>
      </w:pPr>
      <w:r w:rsidRPr="00F27DFF">
        <w:rPr>
          <w:rFonts w:ascii="Arial" w:hAnsi="Arial" w:cs="Arial"/>
          <w:sz w:val="16"/>
          <w:szCs w:val="16"/>
        </w:rPr>
        <w:t>Fuente: Superintendencia de Bancos</w:t>
      </w:r>
    </w:p>
    <w:p w:rsidR="0015454E" w:rsidRPr="00F27DFF" w:rsidRDefault="0015454E" w:rsidP="00706374">
      <w:pPr>
        <w:spacing w:line="240" w:lineRule="atLeast"/>
        <w:jc w:val="both"/>
        <w:rPr>
          <w:rFonts w:ascii="Arial" w:hAnsi="Arial" w:cs="Arial"/>
        </w:rPr>
      </w:pPr>
      <w:r w:rsidRPr="00F27DFF">
        <w:rPr>
          <w:rFonts w:ascii="Arial" w:hAnsi="Arial" w:cs="Arial"/>
          <w:sz w:val="16"/>
          <w:szCs w:val="16"/>
        </w:rPr>
        <w:t>Elaboración: Autores</w:t>
      </w:r>
    </w:p>
    <w:p w:rsidR="0015454E" w:rsidRPr="00991A27" w:rsidRDefault="0015454E" w:rsidP="0015454E">
      <w:pPr>
        <w:spacing w:line="360" w:lineRule="auto"/>
        <w:jc w:val="both"/>
        <w:rPr>
          <w:rFonts w:ascii="Arial" w:hAnsi="Arial" w:cs="Arial"/>
        </w:rPr>
      </w:pPr>
    </w:p>
    <w:p w:rsidR="0015454E" w:rsidRPr="00706374" w:rsidRDefault="0015454E" w:rsidP="0015454E">
      <w:pPr>
        <w:spacing w:line="360" w:lineRule="auto"/>
        <w:ind w:firstLine="454"/>
        <w:jc w:val="both"/>
        <w:rPr>
          <w:rFonts w:ascii="Arial" w:hAnsi="Arial" w:cs="Arial"/>
          <w:sz w:val="24"/>
          <w:szCs w:val="24"/>
        </w:rPr>
      </w:pPr>
      <w:r w:rsidRPr="00706374">
        <w:rPr>
          <w:rFonts w:ascii="Arial" w:hAnsi="Arial" w:cs="Arial"/>
          <w:sz w:val="24"/>
          <w:szCs w:val="24"/>
        </w:rPr>
        <w:t>Para lograr aumentar como se han aumentado las colocaciones (entrega de créditos sobre todo) es necesario también aumentar en gran magnitud las captaciones, es decir las obligaciones con el público. Esto explica el gran crecimiento que tuvo esta cuenta.</w:t>
      </w:r>
    </w:p>
    <w:p w:rsidR="0015454E" w:rsidRPr="00706374" w:rsidRDefault="0015454E" w:rsidP="0015454E">
      <w:pPr>
        <w:spacing w:line="360" w:lineRule="auto"/>
        <w:ind w:firstLine="454"/>
        <w:jc w:val="both"/>
        <w:rPr>
          <w:rFonts w:ascii="Arial" w:hAnsi="Arial" w:cs="Arial"/>
          <w:sz w:val="24"/>
          <w:szCs w:val="24"/>
        </w:rPr>
      </w:pPr>
    </w:p>
    <w:p w:rsidR="0015454E" w:rsidRPr="00706374" w:rsidRDefault="0015454E" w:rsidP="0015454E">
      <w:pPr>
        <w:spacing w:line="360" w:lineRule="auto"/>
        <w:ind w:firstLine="454"/>
        <w:jc w:val="both"/>
        <w:rPr>
          <w:rFonts w:ascii="Arial" w:hAnsi="Arial" w:cs="Arial"/>
          <w:sz w:val="24"/>
          <w:szCs w:val="24"/>
        </w:rPr>
      </w:pPr>
      <w:r w:rsidRPr="00706374">
        <w:rPr>
          <w:rFonts w:ascii="Arial" w:hAnsi="Arial" w:cs="Arial"/>
          <w:sz w:val="24"/>
          <w:szCs w:val="24"/>
        </w:rPr>
        <w:t>Las cuentas que hemos mostrado hasta ahora son cuentas del Balance que nos sirven para ayudar a calcular las cuentas más importantes del Estado de Resultados. A continuación también mostramos los gráficos de dichas cuentas:</w:t>
      </w:r>
    </w:p>
    <w:p w:rsidR="00706374" w:rsidRDefault="00706374" w:rsidP="0015454E">
      <w:pPr>
        <w:spacing w:line="360" w:lineRule="auto"/>
        <w:jc w:val="both"/>
        <w:rPr>
          <w:rFonts w:ascii="Arial" w:hAnsi="Arial" w:cs="Arial"/>
          <w:b/>
        </w:rPr>
      </w:pPr>
    </w:p>
    <w:p w:rsidR="0015454E" w:rsidRPr="00BB2594" w:rsidRDefault="0015454E" w:rsidP="0015454E">
      <w:pPr>
        <w:spacing w:line="360" w:lineRule="auto"/>
        <w:jc w:val="both"/>
        <w:rPr>
          <w:rFonts w:ascii="Arial" w:hAnsi="Arial" w:cs="Arial"/>
          <w:b/>
          <w:sz w:val="24"/>
          <w:szCs w:val="24"/>
        </w:rPr>
      </w:pPr>
      <w:r w:rsidRPr="00BB2594">
        <w:rPr>
          <w:rFonts w:ascii="Arial" w:hAnsi="Arial" w:cs="Arial"/>
          <w:b/>
          <w:sz w:val="24"/>
          <w:szCs w:val="24"/>
        </w:rPr>
        <w:lastRenderedPageBreak/>
        <w:t xml:space="preserve">Margen Neto de Interés </w:t>
      </w:r>
    </w:p>
    <w:p w:rsidR="0015454E" w:rsidRPr="00991A27" w:rsidRDefault="0015454E" w:rsidP="0015454E">
      <w:pPr>
        <w:spacing w:line="360" w:lineRule="auto"/>
        <w:jc w:val="both"/>
        <w:rPr>
          <w:rFonts w:ascii="Arial" w:hAnsi="Arial" w:cs="Arial"/>
          <w:b/>
        </w:rPr>
      </w:pPr>
    </w:p>
    <w:p w:rsidR="0015454E" w:rsidRPr="00991A27" w:rsidRDefault="003A24B0" w:rsidP="0015454E">
      <w:pPr>
        <w:spacing w:line="360" w:lineRule="auto"/>
        <w:jc w:val="center"/>
        <w:rPr>
          <w:rFonts w:ascii="Arial" w:hAnsi="Arial" w:cs="Arial"/>
          <w:b/>
        </w:rPr>
      </w:pPr>
      <w:r>
        <w:rPr>
          <w:rFonts w:ascii="Arial" w:hAnsi="Arial" w:cs="Arial"/>
          <w:noProof/>
          <w:lang w:val="es-ES" w:eastAsia="es-ES"/>
        </w:rPr>
        <w:drawing>
          <wp:anchor distT="0" distB="0" distL="114300" distR="114300" simplePos="0" relativeHeight="251655680" behindDoc="0" locked="0" layoutInCell="1" allowOverlap="1">
            <wp:simplePos x="0" y="0"/>
            <wp:positionH relativeFrom="column">
              <wp:posOffset>-114300</wp:posOffset>
            </wp:positionH>
            <wp:positionV relativeFrom="paragraph">
              <wp:posOffset>114300</wp:posOffset>
            </wp:positionV>
            <wp:extent cx="5886450" cy="1825625"/>
            <wp:effectExtent l="0" t="0" r="0" b="635"/>
            <wp:wrapNone/>
            <wp:docPr id="38" name="Objeto 3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anchor>
        </w:drawing>
      </w:r>
      <w:r w:rsidR="0015454E" w:rsidRPr="00991A27">
        <w:rPr>
          <w:rFonts w:ascii="Arial" w:hAnsi="Arial" w:cs="Arial"/>
          <w:b/>
        </w:rPr>
        <w:t>Gráfico 3.7</w:t>
      </w:r>
    </w:p>
    <w:p w:rsidR="0015454E" w:rsidRPr="00991A27" w:rsidRDefault="0015454E" w:rsidP="0015454E">
      <w:pPr>
        <w:spacing w:line="360" w:lineRule="auto"/>
        <w:jc w:val="both"/>
        <w:rPr>
          <w:rFonts w:ascii="Arial" w:hAnsi="Arial" w:cs="Arial"/>
          <w:b/>
        </w:rPr>
      </w:pPr>
    </w:p>
    <w:p w:rsidR="0015454E" w:rsidRPr="00991A27" w:rsidRDefault="0015454E" w:rsidP="0015454E">
      <w:pPr>
        <w:spacing w:line="360" w:lineRule="auto"/>
        <w:jc w:val="both"/>
        <w:rPr>
          <w:rFonts w:ascii="Arial" w:hAnsi="Arial" w:cs="Arial"/>
        </w:rPr>
      </w:pPr>
    </w:p>
    <w:p w:rsidR="0015454E" w:rsidRPr="00991A27" w:rsidRDefault="0015454E" w:rsidP="0015454E">
      <w:pPr>
        <w:spacing w:line="360" w:lineRule="auto"/>
        <w:jc w:val="both"/>
        <w:rPr>
          <w:rFonts w:ascii="Arial" w:hAnsi="Arial" w:cs="Arial"/>
        </w:rPr>
      </w:pPr>
    </w:p>
    <w:p w:rsidR="0015454E" w:rsidRPr="00991A27" w:rsidRDefault="0015454E" w:rsidP="0015454E">
      <w:pPr>
        <w:spacing w:line="360" w:lineRule="auto"/>
        <w:jc w:val="both"/>
        <w:rPr>
          <w:rFonts w:ascii="Arial" w:hAnsi="Arial" w:cs="Arial"/>
        </w:rPr>
      </w:pPr>
    </w:p>
    <w:p w:rsidR="0015454E" w:rsidRPr="00F27DFF" w:rsidRDefault="0015454E" w:rsidP="00706374">
      <w:pPr>
        <w:spacing w:line="240" w:lineRule="atLeast"/>
        <w:jc w:val="both"/>
        <w:rPr>
          <w:rFonts w:ascii="Arial" w:hAnsi="Arial" w:cs="Arial"/>
          <w:b/>
          <w:sz w:val="16"/>
          <w:szCs w:val="16"/>
        </w:rPr>
      </w:pPr>
    </w:p>
    <w:p w:rsidR="0015454E" w:rsidRPr="00F27DFF" w:rsidRDefault="0015454E" w:rsidP="00706374">
      <w:pPr>
        <w:spacing w:line="240" w:lineRule="atLeast"/>
        <w:jc w:val="both"/>
        <w:rPr>
          <w:rFonts w:ascii="Arial" w:hAnsi="Arial" w:cs="Arial"/>
          <w:sz w:val="16"/>
          <w:szCs w:val="16"/>
        </w:rPr>
      </w:pPr>
      <w:r w:rsidRPr="00F27DFF">
        <w:rPr>
          <w:rFonts w:ascii="Arial" w:hAnsi="Arial" w:cs="Arial"/>
          <w:sz w:val="16"/>
          <w:szCs w:val="16"/>
        </w:rPr>
        <w:t>Fuente: Superintendencia de Bancos</w:t>
      </w:r>
    </w:p>
    <w:p w:rsidR="0015454E" w:rsidRPr="00F27DFF" w:rsidRDefault="0015454E" w:rsidP="00706374">
      <w:pPr>
        <w:spacing w:line="240" w:lineRule="atLeast"/>
        <w:jc w:val="both"/>
        <w:rPr>
          <w:rFonts w:ascii="Arial" w:hAnsi="Arial" w:cs="Arial"/>
        </w:rPr>
      </w:pPr>
      <w:r w:rsidRPr="00F27DFF">
        <w:rPr>
          <w:rFonts w:ascii="Arial" w:hAnsi="Arial" w:cs="Arial"/>
          <w:sz w:val="16"/>
          <w:szCs w:val="16"/>
        </w:rPr>
        <w:t>Elaboración: Autores</w:t>
      </w:r>
    </w:p>
    <w:p w:rsidR="0015454E" w:rsidRPr="00991A27" w:rsidRDefault="0015454E" w:rsidP="0015454E">
      <w:pPr>
        <w:spacing w:line="360" w:lineRule="auto"/>
        <w:ind w:firstLine="454"/>
        <w:jc w:val="both"/>
        <w:rPr>
          <w:rFonts w:ascii="Arial" w:hAnsi="Arial" w:cs="Arial"/>
        </w:rPr>
      </w:pPr>
    </w:p>
    <w:p w:rsidR="0015454E" w:rsidRPr="00991A27" w:rsidRDefault="0015454E" w:rsidP="0015454E">
      <w:pPr>
        <w:spacing w:line="360" w:lineRule="auto"/>
        <w:ind w:firstLine="454"/>
        <w:jc w:val="both"/>
        <w:rPr>
          <w:rFonts w:ascii="Arial" w:hAnsi="Arial" w:cs="Arial"/>
        </w:rPr>
      </w:pPr>
      <w:r w:rsidRPr="00706374">
        <w:rPr>
          <w:rFonts w:ascii="Arial" w:hAnsi="Arial" w:cs="Arial"/>
          <w:sz w:val="24"/>
          <w:szCs w:val="24"/>
        </w:rPr>
        <w:t>Como podemos observar el margen neto financiero ha estado en constante crecimiento excepto en el lapso desde el 2002 hasta el 2004, luego de esto volvió a crecer incluso a un ritmo un poco mayor</w:t>
      </w:r>
      <w:r w:rsidRPr="00991A27">
        <w:rPr>
          <w:rFonts w:ascii="Arial" w:hAnsi="Arial" w:cs="Arial"/>
        </w:rPr>
        <w:t>.</w:t>
      </w:r>
    </w:p>
    <w:p w:rsidR="0015454E" w:rsidRPr="00991A27" w:rsidRDefault="0015454E" w:rsidP="0015454E">
      <w:pPr>
        <w:spacing w:line="360" w:lineRule="auto"/>
        <w:jc w:val="both"/>
        <w:rPr>
          <w:rFonts w:ascii="Arial" w:hAnsi="Arial" w:cs="Arial"/>
        </w:rPr>
      </w:pPr>
    </w:p>
    <w:p w:rsidR="0015454E" w:rsidRPr="00BB2594" w:rsidRDefault="0015454E" w:rsidP="0015454E">
      <w:pPr>
        <w:spacing w:line="360" w:lineRule="auto"/>
        <w:jc w:val="both"/>
        <w:rPr>
          <w:rFonts w:ascii="Arial" w:hAnsi="Arial" w:cs="Arial"/>
          <w:b/>
          <w:sz w:val="24"/>
          <w:szCs w:val="24"/>
        </w:rPr>
      </w:pPr>
      <w:r w:rsidRPr="00BB2594">
        <w:rPr>
          <w:rFonts w:ascii="Arial" w:hAnsi="Arial" w:cs="Arial"/>
          <w:b/>
          <w:sz w:val="24"/>
          <w:szCs w:val="24"/>
        </w:rPr>
        <w:t>Comisiones Netas</w:t>
      </w:r>
    </w:p>
    <w:p w:rsidR="0015454E" w:rsidRPr="00991A27" w:rsidRDefault="003A24B0" w:rsidP="0015454E">
      <w:pPr>
        <w:spacing w:line="360" w:lineRule="auto"/>
        <w:jc w:val="center"/>
        <w:rPr>
          <w:rFonts w:ascii="Arial" w:hAnsi="Arial" w:cs="Arial"/>
          <w:b/>
        </w:rPr>
      </w:pPr>
      <w:r>
        <w:rPr>
          <w:rFonts w:ascii="Arial" w:hAnsi="Arial" w:cs="Arial"/>
          <w:noProof/>
          <w:lang w:val="es-ES" w:eastAsia="es-ES"/>
        </w:rPr>
        <w:drawing>
          <wp:anchor distT="0" distB="0" distL="114300" distR="114300" simplePos="0" relativeHeight="251656704" behindDoc="0" locked="0" layoutInCell="1" allowOverlap="1">
            <wp:simplePos x="0" y="0"/>
            <wp:positionH relativeFrom="column">
              <wp:posOffset>-114300</wp:posOffset>
            </wp:positionH>
            <wp:positionV relativeFrom="paragraph">
              <wp:posOffset>111125</wp:posOffset>
            </wp:positionV>
            <wp:extent cx="5886450" cy="1828800"/>
            <wp:effectExtent l="0" t="0" r="0" b="635"/>
            <wp:wrapNone/>
            <wp:docPr id="39" name="Objeto 39"/>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anchor>
        </w:drawing>
      </w:r>
      <w:r w:rsidR="0015454E" w:rsidRPr="00991A27">
        <w:rPr>
          <w:rFonts w:ascii="Arial" w:hAnsi="Arial" w:cs="Arial"/>
          <w:b/>
        </w:rPr>
        <w:t>Gráfico 3.8</w:t>
      </w:r>
    </w:p>
    <w:p w:rsidR="0015454E" w:rsidRPr="00991A27" w:rsidRDefault="0015454E" w:rsidP="0015454E">
      <w:pPr>
        <w:spacing w:line="360" w:lineRule="auto"/>
        <w:jc w:val="both"/>
        <w:rPr>
          <w:rFonts w:ascii="Arial" w:hAnsi="Arial" w:cs="Arial"/>
        </w:rPr>
      </w:pPr>
    </w:p>
    <w:p w:rsidR="0015454E" w:rsidRPr="00991A27" w:rsidRDefault="0015454E" w:rsidP="0015454E">
      <w:pPr>
        <w:spacing w:line="360" w:lineRule="auto"/>
        <w:jc w:val="both"/>
        <w:rPr>
          <w:rFonts w:ascii="Arial" w:hAnsi="Arial" w:cs="Arial"/>
        </w:rPr>
      </w:pPr>
    </w:p>
    <w:p w:rsidR="0015454E" w:rsidRPr="00991A27" w:rsidRDefault="0015454E" w:rsidP="0015454E">
      <w:pPr>
        <w:spacing w:line="360" w:lineRule="auto"/>
        <w:jc w:val="both"/>
        <w:rPr>
          <w:rFonts w:ascii="Arial" w:hAnsi="Arial" w:cs="Arial"/>
        </w:rPr>
      </w:pPr>
    </w:p>
    <w:p w:rsidR="0015454E" w:rsidRPr="00991A27" w:rsidRDefault="0015454E" w:rsidP="0015454E">
      <w:pPr>
        <w:spacing w:line="360" w:lineRule="auto"/>
        <w:jc w:val="both"/>
        <w:rPr>
          <w:rFonts w:ascii="Arial" w:hAnsi="Arial" w:cs="Arial"/>
        </w:rPr>
      </w:pPr>
    </w:p>
    <w:p w:rsidR="0015454E" w:rsidRPr="000C522A" w:rsidRDefault="0015454E" w:rsidP="00706374">
      <w:pPr>
        <w:spacing w:line="240" w:lineRule="atLeast"/>
        <w:jc w:val="both"/>
        <w:rPr>
          <w:sz w:val="16"/>
          <w:szCs w:val="16"/>
        </w:rPr>
      </w:pPr>
    </w:p>
    <w:p w:rsidR="0015454E" w:rsidRPr="00F27DFF" w:rsidRDefault="0015454E" w:rsidP="00F27DFF">
      <w:pPr>
        <w:spacing w:line="240" w:lineRule="auto"/>
        <w:jc w:val="both"/>
        <w:rPr>
          <w:rFonts w:ascii="Arial" w:hAnsi="Arial" w:cs="Arial"/>
          <w:sz w:val="16"/>
          <w:szCs w:val="16"/>
        </w:rPr>
      </w:pPr>
      <w:r w:rsidRPr="00F27DFF">
        <w:rPr>
          <w:rFonts w:ascii="Arial" w:hAnsi="Arial" w:cs="Arial"/>
          <w:sz w:val="16"/>
          <w:szCs w:val="16"/>
        </w:rPr>
        <w:t>Fuente: Superintendencia de Bancos</w:t>
      </w:r>
    </w:p>
    <w:p w:rsidR="0015454E" w:rsidRPr="00F27DFF" w:rsidRDefault="0015454E" w:rsidP="00F27DFF">
      <w:pPr>
        <w:spacing w:line="240" w:lineRule="auto"/>
        <w:jc w:val="both"/>
        <w:rPr>
          <w:rFonts w:ascii="Arial" w:hAnsi="Arial" w:cs="Arial"/>
        </w:rPr>
      </w:pPr>
      <w:r w:rsidRPr="00F27DFF">
        <w:rPr>
          <w:rFonts w:ascii="Arial" w:hAnsi="Arial" w:cs="Arial"/>
          <w:sz w:val="16"/>
          <w:szCs w:val="16"/>
        </w:rPr>
        <w:t>Elaboración: Autores</w:t>
      </w:r>
    </w:p>
    <w:p w:rsidR="0015454E" w:rsidRPr="00991A27" w:rsidRDefault="0015454E" w:rsidP="0015454E">
      <w:pPr>
        <w:spacing w:line="360" w:lineRule="auto"/>
        <w:ind w:firstLine="454"/>
        <w:jc w:val="both"/>
        <w:rPr>
          <w:rFonts w:ascii="Arial" w:hAnsi="Arial" w:cs="Arial"/>
        </w:rPr>
      </w:pPr>
      <w:r w:rsidRPr="00706374">
        <w:rPr>
          <w:rFonts w:ascii="Arial" w:hAnsi="Arial" w:cs="Arial"/>
          <w:sz w:val="24"/>
          <w:szCs w:val="24"/>
        </w:rPr>
        <w:lastRenderedPageBreak/>
        <w:t>Esta cuenta experimentó uno de los mas acentuados crecimientos, hasta comienzos del año 2007 donde se vio afectada por los cambios en la regulaciones por parte del Gobierno central</w:t>
      </w:r>
      <w:r w:rsidRPr="00991A27">
        <w:rPr>
          <w:rFonts w:ascii="Arial" w:hAnsi="Arial" w:cs="Arial"/>
        </w:rPr>
        <w:t>.</w:t>
      </w:r>
    </w:p>
    <w:p w:rsidR="0015454E" w:rsidRPr="00991A27" w:rsidRDefault="0015454E" w:rsidP="0015454E">
      <w:pPr>
        <w:spacing w:line="360" w:lineRule="auto"/>
        <w:jc w:val="both"/>
        <w:rPr>
          <w:rFonts w:ascii="Arial" w:hAnsi="Arial" w:cs="Arial"/>
        </w:rPr>
      </w:pPr>
    </w:p>
    <w:p w:rsidR="0015454E" w:rsidRPr="00BB2594" w:rsidRDefault="0015454E" w:rsidP="0015454E">
      <w:pPr>
        <w:spacing w:line="360" w:lineRule="auto"/>
        <w:jc w:val="both"/>
        <w:rPr>
          <w:rFonts w:ascii="Arial" w:hAnsi="Arial" w:cs="Arial"/>
          <w:b/>
          <w:sz w:val="24"/>
          <w:szCs w:val="24"/>
        </w:rPr>
      </w:pPr>
      <w:r w:rsidRPr="00BB2594">
        <w:rPr>
          <w:rFonts w:ascii="Arial" w:hAnsi="Arial" w:cs="Arial"/>
          <w:b/>
          <w:sz w:val="24"/>
          <w:szCs w:val="24"/>
        </w:rPr>
        <w:t>Ingresos por Servicios</w:t>
      </w:r>
    </w:p>
    <w:p w:rsidR="0015454E" w:rsidRPr="00991A27" w:rsidRDefault="003A24B0" w:rsidP="0015454E">
      <w:pPr>
        <w:spacing w:line="360" w:lineRule="auto"/>
        <w:jc w:val="center"/>
        <w:rPr>
          <w:rFonts w:ascii="Arial" w:hAnsi="Arial" w:cs="Arial"/>
          <w:b/>
        </w:rPr>
      </w:pPr>
      <w:r>
        <w:rPr>
          <w:rFonts w:ascii="Arial" w:hAnsi="Arial" w:cs="Arial"/>
          <w:noProof/>
          <w:lang w:val="es-ES" w:eastAsia="es-ES"/>
        </w:rPr>
        <w:drawing>
          <wp:anchor distT="0" distB="0" distL="114300" distR="114300" simplePos="0" relativeHeight="251657728" behindDoc="0" locked="0" layoutInCell="1" allowOverlap="1">
            <wp:simplePos x="0" y="0"/>
            <wp:positionH relativeFrom="column">
              <wp:posOffset>-228600</wp:posOffset>
            </wp:positionH>
            <wp:positionV relativeFrom="paragraph">
              <wp:posOffset>114300</wp:posOffset>
            </wp:positionV>
            <wp:extent cx="5886450" cy="1714500"/>
            <wp:effectExtent l="0" t="0" r="0" b="0"/>
            <wp:wrapNone/>
            <wp:docPr id="40" name="Objeto 4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anchor>
        </w:drawing>
      </w:r>
      <w:r w:rsidR="0015454E" w:rsidRPr="00991A27">
        <w:rPr>
          <w:rFonts w:ascii="Arial" w:hAnsi="Arial" w:cs="Arial"/>
          <w:b/>
        </w:rPr>
        <w:t>Gráfico 3.9</w:t>
      </w:r>
    </w:p>
    <w:p w:rsidR="0015454E" w:rsidRPr="00991A27" w:rsidRDefault="0015454E" w:rsidP="0015454E">
      <w:pPr>
        <w:spacing w:line="360" w:lineRule="auto"/>
        <w:jc w:val="both"/>
        <w:rPr>
          <w:rFonts w:ascii="Arial" w:hAnsi="Arial" w:cs="Arial"/>
        </w:rPr>
      </w:pPr>
    </w:p>
    <w:p w:rsidR="0015454E" w:rsidRPr="00991A27" w:rsidRDefault="0015454E" w:rsidP="0015454E">
      <w:pPr>
        <w:spacing w:line="360" w:lineRule="auto"/>
        <w:jc w:val="both"/>
        <w:rPr>
          <w:rFonts w:ascii="Arial" w:hAnsi="Arial" w:cs="Arial"/>
        </w:rPr>
      </w:pPr>
    </w:p>
    <w:p w:rsidR="0015454E" w:rsidRPr="00991A27" w:rsidRDefault="0015454E" w:rsidP="0015454E">
      <w:pPr>
        <w:spacing w:line="360" w:lineRule="auto"/>
        <w:jc w:val="both"/>
        <w:rPr>
          <w:rFonts w:ascii="Arial" w:hAnsi="Arial" w:cs="Arial"/>
        </w:rPr>
      </w:pPr>
    </w:p>
    <w:p w:rsidR="0015454E" w:rsidRPr="00991A27" w:rsidRDefault="0015454E" w:rsidP="0015454E">
      <w:pPr>
        <w:spacing w:line="360" w:lineRule="auto"/>
        <w:jc w:val="both"/>
        <w:rPr>
          <w:rFonts w:ascii="Arial" w:hAnsi="Arial" w:cs="Arial"/>
        </w:rPr>
      </w:pPr>
    </w:p>
    <w:p w:rsidR="0015454E" w:rsidRPr="00F27DFF" w:rsidRDefault="0015454E" w:rsidP="00F27DFF">
      <w:pPr>
        <w:spacing w:line="240" w:lineRule="auto"/>
        <w:jc w:val="both"/>
        <w:rPr>
          <w:rFonts w:ascii="Arial" w:hAnsi="Arial" w:cs="Arial"/>
          <w:sz w:val="16"/>
          <w:szCs w:val="16"/>
        </w:rPr>
      </w:pPr>
      <w:r w:rsidRPr="00F27DFF">
        <w:rPr>
          <w:rFonts w:ascii="Arial" w:hAnsi="Arial" w:cs="Arial"/>
          <w:sz w:val="16"/>
          <w:szCs w:val="16"/>
        </w:rPr>
        <w:t>Fuente: Superintendencia de Bancos</w:t>
      </w:r>
    </w:p>
    <w:p w:rsidR="0015454E" w:rsidRPr="00F27DFF" w:rsidRDefault="0015454E" w:rsidP="00F27DFF">
      <w:pPr>
        <w:spacing w:line="240" w:lineRule="auto"/>
        <w:jc w:val="both"/>
        <w:rPr>
          <w:rFonts w:ascii="Arial" w:hAnsi="Arial" w:cs="Arial"/>
        </w:rPr>
      </w:pPr>
      <w:r w:rsidRPr="00F27DFF">
        <w:rPr>
          <w:rFonts w:ascii="Arial" w:hAnsi="Arial" w:cs="Arial"/>
          <w:sz w:val="16"/>
          <w:szCs w:val="16"/>
        </w:rPr>
        <w:t>Elaboración: Autores</w:t>
      </w:r>
    </w:p>
    <w:p w:rsidR="0015454E" w:rsidRPr="00991A27" w:rsidRDefault="0015454E" w:rsidP="0015454E">
      <w:pPr>
        <w:spacing w:line="360" w:lineRule="auto"/>
        <w:jc w:val="both"/>
        <w:rPr>
          <w:rFonts w:ascii="Arial" w:hAnsi="Arial" w:cs="Arial"/>
        </w:rPr>
      </w:pPr>
    </w:p>
    <w:p w:rsidR="0015454E" w:rsidRPr="00706374" w:rsidRDefault="0015454E" w:rsidP="0015454E">
      <w:pPr>
        <w:spacing w:line="360" w:lineRule="auto"/>
        <w:ind w:firstLine="454"/>
        <w:jc w:val="both"/>
        <w:rPr>
          <w:rFonts w:ascii="Arial" w:hAnsi="Arial" w:cs="Arial"/>
          <w:sz w:val="24"/>
          <w:szCs w:val="24"/>
        </w:rPr>
      </w:pPr>
      <w:r w:rsidRPr="00706374">
        <w:rPr>
          <w:rFonts w:ascii="Arial" w:hAnsi="Arial" w:cs="Arial"/>
          <w:sz w:val="24"/>
          <w:szCs w:val="24"/>
        </w:rPr>
        <w:t>Con esta cuenta sucede algo muy similar a lo ocurrido con las comisiones netas excepto por la caída de los ingresos por servicios desde el año 2001 hasta el 2002, pero luego de eso estos también experimenta un gran alza finales del 2006, donde ya se comenzaba a especular con las medidas que finamente fueron anunciadas por el Gobierno.</w:t>
      </w:r>
    </w:p>
    <w:p w:rsidR="0015454E" w:rsidRDefault="0015454E" w:rsidP="0015454E">
      <w:pPr>
        <w:spacing w:line="360" w:lineRule="auto"/>
        <w:jc w:val="both"/>
        <w:rPr>
          <w:rFonts w:ascii="Arial" w:hAnsi="Arial" w:cs="Arial"/>
          <w:sz w:val="24"/>
          <w:szCs w:val="24"/>
        </w:rPr>
      </w:pPr>
    </w:p>
    <w:p w:rsidR="00706374" w:rsidRDefault="00706374" w:rsidP="0015454E">
      <w:pPr>
        <w:spacing w:line="360" w:lineRule="auto"/>
        <w:jc w:val="both"/>
        <w:rPr>
          <w:rFonts w:ascii="Arial" w:hAnsi="Arial" w:cs="Arial"/>
          <w:sz w:val="24"/>
          <w:szCs w:val="24"/>
        </w:rPr>
      </w:pPr>
    </w:p>
    <w:p w:rsidR="00706374" w:rsidRDefault="00706374" w:rsidP="0015454E">
      <w:pPr>
        <w:spacing w:line="360" w:lineRule="auto"/>
        <w:jc w:val="both"/>
        <w:rPr>
          <w:rFonts w:ascii="Arial" w:hAnsi="Arial" w:cs="Arial"/>
          <w:sz w:val="24"/>
          <w:szCs w:val="24"/>
        </w:rPr>
      </w:pPr>
    </w:p>
    <w:p w:rsidR="00706374" w:rsidRDefault="00706374" w:rsidP="0015454E">
      <w:pPr>
        <w:spacing w:line="360" w:lineRule="auto"/>
        <w:jc w:val="both"/>
        <w:rPr>
          <w:rFonts w:ascii="Arial" w:hAnsi="Arial" w:cs="Arial"/>
          <w:sz w:val="24"/>
          <w:szCs w:val="24"/>
        </w:rPr>
      </w:pPr>
    </w:p>
    <w:p w:rsidR="00706374" w:rsidRDefault="00706374" w:rsidP="0015454E">
      <w:pPr>
        <w:spacing w:line="360" w:lineRule="auto"/>
        <w:jc w:val="both"/>
        <w:rPr>
          <w:rFonts w:ascii="Arial" w:hAnsi="Arial" w:cs="Arial"/>
          <w:sz w:val="24"/>
          <w:szCs w:val="24"/>
        </w:rPr>
      </w:pPr>
    </w:p>
    <w:p w:rsidR="00706374" w:rsidRPr="00706374" w:rsidRDefault="00706374" w:rsidP="0015454E">
      <w:pPr>
        <w:spacing w:line="360" w:lineRule="auto"/>
        <w:jc w:val="both"/>
        <w:rPr>
          <w:rFonts w:ascii="Arial" w:hAnsi="Arial" w:cs="Arial"/>
          <w:sz w:val="24"/>
          <w:szCs w:val="24"/>
        </w:rPr>
      </w:pPr>
    </w:p>
    <w:p w:rsidR="0015454E" w:rsidRPr="00951FC3" w:rsidRDefault="0015454E" w:rsidP="0015454E">
      <w:pPr>
        <w:spacing w:line="360" w:lineRule="auto"/>
        <w:jc w:val="both"/>
        <w:rPr>
          <w:rFonts w:ascii="Arial" w:hAnsi="Arial" w:cs="Arial"/>
          <w:b/>
          <w:sz w:val="24"/>
          <w:szCs w:val="24"/>
        </w:rPr>
      </w:pPr>
      <w:r w:rsidRPr="00BB2594">
        <w:rPr>
          <w:rFonts w:ascii="Arial" w:hAnsi="Arial" w:cs="Arial"/>
          <w:b/>
          <w:sz w:val="24"/>
          <w:szCs w:val="24"/>
        </w:rPr>
        <w:lastRenderedPageBreak/>
        <w:t>Gastos por Provisión</w:t>
      </w:r>
    </w:p>
    <w:p w:rsidR="0015454E" w:rsidRPr="00991A27" w:rsidRDefault="003A24B0" w:rsidP="0015454E">
      <w:pPr>
        <w:spacing w:line="360" w:lineRule="auto"/>
        <w:jc w:val="center"/>
        <w:rPr>
          <w:rFonts w:ascii="Arial" w:hAnsi="Arial" w:cs="Arial"/>
          <w:b/>
        </w:rPr>
      </w:pPr>
      <w:r>
        <w:rPr>
          <w:rFonts w:ascii="Arial" w:hAnsi="Arial" w:cs="Arial"/>
          <w:noProof/>
          <w:lang w:val="es-ES" w:eastAsia="es-ES"/>
        </w:rPr>
        <w:drawing>
          <wp:anchor distT="0" distB="0" distL="114300" distR="114300" simplePos="0" relativeHeight="251658752" behindDoc="0" locked="0" layoutInCell="1" allowOverlap="1">
            <wp:simplePos x="0" y="0"/>
            <wp:positionH relativeFrom="column">
              <wp:posOffset>69850</wp:posOffset>
            </wp:positionH>
            <wp:positionV relativeFrom="paragraph">
              <wp:posOffset>130175</wp:posOffset>
            </wp:positionV>
            <wp:extent cx="5588000" cy="1955165"/>
            <wp:effectExtent l="0" t="635" r="0" b="0"/>
            <wp:wrapNone/>
            <wp:docPr id="41" name="Objeto 4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anchor>
        </w:drawing>
      </w:r>
      <w:r w:rsidR="0015454E" w:rsidRPr="00991A27">
        <w:rPr>
          <w:rFonts w:ascii="Arial" w:hAnsi="Arial" w:cs="Arial"/>
          <w:b/>
        </w:rPr>
        <w:t>Gráfico3.10</w:t>
      </w:r>
    </w:p>
    <w:p w:rsidR="0015454E" w:rsidRPr="00991A27" w:rsidRDefault="0015454E" w:rsidP="0015454E">
      <w:pPr>
        <w:spacing w:line="360" w:lineRule="auto"/>
        <w:jc w:val="both"/>
        <w:rPr>
          <w:rFonts w:ascii="Arial" w:hAnsi="Arial" w:cs="Arial"/>
        </w:rPr>
      </w:pPr>
    </w:p>
    <w:p w:rsidR="0015454E" w:rsidRPr="00991A27" w:rsidRDefault="0015454E" w:rsidP="0015454E">
      <w:pPr>
        <w:spacing w:line="360" w:lineRule="auto"/>
        <w:jc w:val="both"/>
        <w:rPr>
          <w:rFonts w:ascii="Arial" w:hAnsi="Arial" w:cs="Arial"/>
        </w:rPr>
      </w:pPr>
      <w:r w:rsidRPr="00991A27">
        <w:rPr>
          <w:rFonts w:ascii="Arial" w:hAnsi="Arial" w:cs="Arial"/>
        </w:rPr>
        <w:tab/>
      </w:r>
      <w:r w:rsidRPr="00991A27">
        <w:rPr>
          <w:rFonts w:ascii="Arial" w:hAnsi="Arial" w:cs="Arial"/>
        </w:rPr>
        <w:tab/>
      </w:r>
      <w:r w:rsidRPr="00991A27">
        <w:rPr>
          <w:rFonts w:ascii="Arial" w:hAnsi="Arial" w:cs="Arial"/>
        </w:rPr>
        <w:tab/>
      </w:r>
      <w:r w:rsidRPr="00991A27">
        <w:rPr>
          <w:rFonts w:ascii="Arial" w:hAnsi="Arial" w:cs="Arial"/>
        </w:rPr>
        <w:tab/>
      </w:r>
      <w:r w:rsidRPr="00991A27">
        <w:rPr>
          <w:rFonts w:ascii="Arial" w:hAnsi="Arial" w:cs="Arial"/>
        </w:rPr>
        <w:tab/>
      </w:r>
      <w:r w:rsidRPr="00991A27">
        <w:rPr>
          <w:rFonts w:ascii="Arial" w:hAnsi="Arial" w:cs="Arial"/>
        </w:rPr>
        <w:tab/>
      </w:r>
      <w:r w:rsidRPr="00991A27">
        <w:rPr>
          <w:rFonts w:ascii="Arial" w:hAnsi="Arial" w:cs="Arial"/>
        </w:rPr>
        <w:tab/>
      </w:r>
      <w:r w:rsidRPr="00991A27">
        <w:rPr>
          <w:rFonts w:ascii="Arial" w:hAnsi="Arial" w:cs="Arial"/>
        </w:rPr>
        <w:tab/>
      </w:r>
      <w:r w:rsidRPr="00991A27">
        <w:rPr>
          <w:rFonts w:ascii="Arial" w:hAnsi="Arial" w:cs="Arial"/>
        </w:rPr>
        <w:tab/>
      </w:r>
      <w:r w:rsidRPr="00991A27">
        <w:rPr>
          <w:rFonts w:ascii="Arial" w:hAnsi="Arial" w:cs="Arial"/>
        </w:rPr>
        <w:tab/>
      </w:r>
      <w:r w:rsidRPr="00991A27">
        <w:rPr>
          <w:rFonts w:ascii="Arial" w:hAnsi="Arial" w:cs="Arial"/>
        </w:rPr>
        <w:tab/>
      </w:r>
      <w:r w:rsidRPr="00991A27">
        <w:rPr>
          <w:rFonts w:ascii="Arial" w:hAnsi="Arial" w:cs="Arial"/>
        </w:rPr>
        <w:tab/>
      </w:r>
      <w:r w:rsidRPr="00991A27">
        <w:rPr>
          <w:rFonts w:ascii="Arial" w:hAnsi="Arial" w:cs="Arial"/>
        </w:rPr>
        <w:tab/>
      </w:r>
    </w:p>
    <w:p w:rsidR="0015454E" w:rsidRDefault="0015454E" w:rsidP="0015454E">
      <w:pPr>
        <w:spacing w:line="360" w:lineRule="auto"/>
        <w:jc w:val="both"/>
        <w:rPr>
          <w:rFonts w:ascii="Arial" w:hAnsi="Arial" w:cs="Arial"/>
        </w:rPr>
      </w:pPr>
    </w:p>
    <w:p w:rsidR="00F27DFF" w:rsidRPr="00991A27" w:rsidRDefault="00F27DFF" w:rsidP="00F27DFF">
      <w:pPr>
        <w:spacing w:line="360" w:lineRule="auto"/>
        <w:jc w:val="both"/>
        <w:rPr>
          <w:rFonts w:ascii="Arial" w:hAnsi="Arial" w:cs="Arial"/>
        </w:rPr>
      </w:pPr>
    </w:p>
    <w:p w:rsidR="0015454E" w:rsidRPr="00F27DFF" w:rsidRDefault="0015454E" w:rsidP="00F27DFF">
      <w:pPr>
        <w:spacing w:line="240" w:lineRule="auto"/>
        <w:jc w:val="both"/>
        <w:rPr>
          <w:rFonts w:ascii="Arial" w:hAnsi="Arial" w:cs="Arial"/>
          <w:sz w:val="16"/>
          <w:szCs w:val="16"/>
        </w:rPr>
      </w:pPr>
      <w:r w:rsidRPr="00F27DFF">
        <w:rPr>
          <w:rFonts w:ascii="Arial" w:hAnsi="Arial" w:cs="Arial"/>
          <w:sz w:val="16"/>
          <w:szCs w:val="16"/>
        </w:rPr>
        <w:t>Fuente: Superintendencia de Bancos</w:t>
      </w:r>
    </w:p>
    <w:p w:rsidR="0015454E" w:rsidRPr="00F27DFF" w:rsidRDefault="0015454E" w:rsidP="00F27DFF">
      <w:pPr>
        <w:spacing w:line="240" w:lineRule="auto"/>
        <w:jc w:val="both"/>
        <w:rPr>
          <w:rFonts w:ascii="Arial" w:hAnsi="Arial" w:cs="Arial"/>
        </w:rPr>
      </w:pPr>
      <w:r w:rsidRPr="00F27DFF">
        <w:rPr>
          <w:rFonts w:ascii="Arial" w:hAnsi="Arial" w:cs="Arial"/>
          <w:sz w:val="16"/>
          <w:szCs w:val="16"/>
        </w:rPr>
        <w:t>Elaboración: Autores</w:t>
      </w:r>
    </w:p>
    <w:p w:rsidR="0015454E" w:rsidRDefault="0015454E" w:rsidP="0015454E">
      <w:pPr>
        <w:spacing w:line="360" w:lineRule="auto"/>
        <w:jc w:val="both"/>
        <w:rPr>
          <w:rFonts w:ascii="Arial" w:hAnsi="Arial" w:cs="Arial"/>
        </w:rPr>
      </w:pPr>
    </w:p>
    <w:p w:rsidR="0015454E" w:rsidRPr="00991A27" w:rsidRDefault="0015454E" w:rsidP="0015454E">
      <w:pPr>
        <w:spacing w:line="360" w:lineRule="auto"/>
        <w:ind w:firstLine="454"/>
        <w:jc w:val="both"/>
        <w:rPr>
          <w:rFonts w:ascii="Arial" w:hAnsi="Arial" w:cs="Arial"/>
        </w:rPr>
      </w:pPr>
      <w:r w:rsidRPr="00BB2594">
        <w:rPr>
          <w:rFonts w:ascii="Arial" w:hAnsi="Arial" w:cs="Arial"/>
          <w:sz w:val="24"/>
          <w:szCs w:val="24"/>
        </w:rPr>
        <w:t>Irónicamente aunque tanto el rubro de Cartera Neta como las provisiones sobre activos riesgosos han disminuido, los gastos por provisión presentan un aumento bastante significativo. En realidad la lógica daría a pensar todo lo contrario y esto incita a creer que algo esta fallando en la  asignación de estos gastos</w:t>
      </w:r>
      <w:r w:rsidRPr="00991A27">
        <w:rPr>
          <w:rFonts w:ascii="Arial" w:hAnsi="Arial" w:cs="Arial"/>
        </w:rPr>
        <w:t>.</w:t>
      </w:r>
    </w:p>
    <w:p w:rsidR="0015454E" w:rsidRPr="00991A27" w:rsidRDefault="0015454E" w:rsidP="0015454E">
      <w:pPr>
        <w:spacing w:line="360" w:lineRule="auto"/>
        <w:jc w:val="both"/>
        <w:rPr>
          <w:rFonts w:ascii="Arial" w:hAnsi="Arial" w:cs="Arial"/>
        </w:rPr>
      </w:pPr>
    </w:p>
    <w:p w:rsidR="00706374" w:rsidRPr="00951FC3" w:rsidRDefault="0015454E" w:rsidP="00951FC3">
      <w:pPr>
        <w:spacing w:line="360" w:lineRule="auto"/>
        <w:jc w:val="both"/>
        <w:rPr>
          <w:rFonts w:ascii="Arial" w:hAnsi="Arial" w:cs="Arial"/>
          <w:b/>
          <w:sz w:val="24"/>
          <w:szCs w:val="24"/>
        </w:rPr>
      </w:pPr>
      <w:r w:rsidRPr="00BB2594">
        <w:rPr>
          <w:rFonts w:ascii="Arial" w:hAnsi="Arial" w:cs="Arial"/>
          <w:b/>
          <w:sz w:val="24"/>
          <w:szCs w:val="24"/>
        </w:rPr>
        <w:t xml:space="preserve">Gastos de Operación </w:t>
      </w:r>
    </w:p>
    <w:p w:rsidR="0015454E" w:rsidRPr="00991A27" w:rsidRDefault="003A24B0" w:rsidP="0015454E">
      <w:pPr>
        <w:spacing w:line="360" w:lineRule="auto"/>
        <w:jc w:val="center"/>
        <w:rPr>
          <w:rFonts w:ascii="Arial" w:hAnsi="Arial" w:cs="Arial"/>
          <w:b/>
        </w:rPr>
      </w:pPr>
      <w:r>
        <w:rPr>
          <w:rFonts w:ascii="Arial" w:hAnsi="Arial" w:cs="Arial"/>
          <w:noProof/>
          <w:lang w:val="es-ES" w:eastAsia="es-ES"/>
        </w:rPr>
        <w:drawing>
          <wp:anchor distT="0" distB="0" distL="114300" distR="114300" simplePos="0" relativeHeight="251659776" behindDoc="0" locked="0" layoutInCell="1" allowOverlap="1">
            <wp:simplePos x="0" y="0"/>
            <wp:positionH relativeFrom="column">
              <wp:posOffset>69850</wp:posOffset>
            </wp:positionH>
            <wp:positionV relativeFrom="paragraph">
              <wp:posOffset>171450</wp:posOffset>
            </wp:positionV>
            <wp:extent cx="5700395" cy="2100580"/>
            <wp:effectExtent l="0" t="0" r="0" b="0"/>
            <wp:wrapNone/>
            <wp:docPr id="42" name="Objeto 4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anchor>
        </w:drawing>
      </w:r>
      <w:r w:rsidR="0015454E" w:rsidRPr="00991A27">
        <w:rPr>
          <w:rFonts w:ascii="Arial" w:hAnsi="Arial" w:cs="Arial"/>
          <w:b/>
        </w:rPr>
        <w:t>Gráfico 3.11</w:t>
      </w:r>
    </w:p>
    <w:p w:rsidR="0015454E" w:rsidRPr="00991A27" w:rsidRDefault="0015454E" w:rsidP="0015454E">
      <w:pPr>
        <w:spacing w:line="360" w:lineRule="auto"/>
        <w:jc w:val="both"/>
        <w:rPr>
          <w:rFonts w:ascii="Arial" w:hAnsi="Arial" w:cs="Arial"/>
        </w:rPr>
      </w:pPr>
    </w:p>
    <w:p w:rsidR="0015454E" w:rsidRPr="00991A27" w:rsidRDefault="0015454E" w:rsidP="0015454E">
      <w:pPr>
        <w:spacing w:line="360" w:lineRule="auto"/>
        <w:jc w:val="both"/>
        <w:rPr>
          <w:rFonts w:ascii="Arial" w:hAnsi="Arial" w:cs="Arial"/>
        </w:rPr>
      </w:pPr>
    </w:p>
    <w:p w:rsidR="0015454E" w:rsidRPr="00991A27" w:rsidRDefault="0015454E" w:rsidP="0015454E">
      <w:pPr>
        <w:spacing w:line="360" w:lineRule="auto"/>
        <w:jc w:val="both"/>
        <w:rPr>
          <w:rFonts w:ascii="Arial" w:hAnsi="Arial" w:cs="Arial"/>
        </w:rPr>
      </w:pPr>
    </w:p>
    <w:p w:rsidR="00BB2594" w:rsidRDefault="00BB2594" w:rsidP="0015454E">
      <w:pPr>
        <w:spacing w:line="360" w:lineRule="auto"/>
        <w:jc w:val="both"/>
        <w:rPr>
          <w:rFonts w:ascii="Arial" w:hAnsi="Arial" w:cs="Arial"/>
        </w:rPr>
      </w:pPr>
    </w:p>
    <w:p w:rsidR="00382E2B" w:rsidRDefault="00382E2B" w:rsidP="0015454E">
      <w:pPr>
        <w:spacing w:line="360" w:lineRule="auto"/>
        <w:jc w:val="both"/>
        <w:rPr>
          <w:rFonts w:ascii="Arial" w:hAnsi="Arial" w:cs="Arial"/>
        </w:rPr>
      </w:pPr>
    </w:p>
    <w:p w:rsidR="00382E2B" w:rsidRPr="00F27DFF" w:rsidRDefault="0015454E" w:rsidP="00F27DFF">
      <w:pPr>
        <w:spacing w:line="240" w:lineRule="auto"/>
        <w:jc w:val="both"/>
        <w:rPr>
          <w:rFonts w:ascii="Arial" w:hAnsi="Arial" w:cs="Arial"/>
          <w:sz w:val="16"/>
          <w:szCs w:val="16"/>
        </w:rPr>
      </w:pPr>
      <w:r w:rsidRPr="00F27DFF">
        <w:rPr>
          <w:rFonts w:ascii="Arial" w:hAnsi="Arial" w:cs="Arial"/>
          <w:sz w:val="16"/>
          <w:szCs w:val="16"/>
        </w:rPr>
        <w:t>Fuente: Superintendencia de Bancos</w:t>
      </w:r>
    </w:p>
    <w:p w:rsidR="0015454E" w:rsidRDefault="0015454E" w:rsidP="00F27DFF">
      <w:pPr>
        <w:spacing w:line="240" w:lineRule="auto"/>
        <w:jc w:val="both"/>
        <w:rPr>
          <w:sz w:val="16"/>
          <w:szCs w:val="16"/>
        </w:rPr>
      </w:pPr>
      <w:r w:rsidRPr="00F27DFF">
        <w:rPr>
          <w:rFonts w:ascii="Arial" w:hAnsi="Arial" w:cs="Arial"/>
          <w:sz w:val="16"/>
          <w:szCs w:val="16"/>
        </w:rPr>
        <w:t>Elaboración: Autores</w:t>
      </w:r>
    </w:p>
    <w:p w:rsidR="0015454E" w:rsidRPr="00BB2594" w:rsidRDefault="0015454E" w:rsidP="0015454E">
      <w:pPr>
        <w:spacing w:line="360" w:lineRule="auto"/>
        <w:ind w:firstLine="454"/>
        <w:jc w:val="both"/>
        <w:rPr>
          <w:rFonts w:ascii="Arial" w:hAnsi="Arial" w:cs="Arial"/>
          <w:sz w:val="24"/>
          <w:szCs w:val="24"/>
        </w:rPr>
      </w:pPr>
      <w:r w:rsidRPr="00BB2594">
        <w:rPr>
          <w:rFonts w:ascii="Arial" w:hAnsi="Arial" w:cs="Arial"/>
          <w:sz w:val="24"/>
          <w:szCs w:val="24"/>
        </w:rPr>
        <w:lastRenderedPageBreak/>
        <w:t>Los gastos de operación experimentaron un enorme crecimiento, lo cual debería estar dentro de lo previsible debido al crecimiento tanto de las operaciones como del costo de las mismas.</w:t>
      </w:r>
    </w:p>
    <w:p w:rsidR="0015454E" w:rsidRPr="00BB2594" w:rsidRDefault="0015454E" w:rsidP="0015454E">
      <w:pPr>
        <w:spacing w:line="360" w:lineRule="auto"/>
        <w:jc w:val="both"/>
        <w:rPr>
          <w:rFonts w:ascii="Arial" w:hAnsi="Arial" w:cs="Arial"/>
          <w:sz w:val="24"/>
          <w:szCs w:val="24"/>
        </w:rPr>
      </w:pPr>
    </w:p>
    <w:p w:rsidR="00BB2594" w:rsidRPr="00FC5E55" w:rsidRDefault="0015454E" w:rsidP="00FC5E55">
      <w:pPr>
        <w:spacing w:line="360" w:lineRule="auto"/>
        <w:jc w:val="both"/>
        <w:rPr>
          <w:rFonts w:ascii="Arial" w:hAnsi="Arial" w:cs="Arial"/>
          <w:b/>
          <w:sz w:val="24"/>
          <w:szCs w:val="24"/>
        </w:rPr>
      </w:pPr>
      <w:r w:rsidRPr="00BB2594">
        <w:rPr>
          <w:rFonts w:ascii="Arial" w:hAnsi="Arial" w:cs="Arial"/>
          <w:b/>
          <w:sz w:val="24"/>
          <w:szCs w:val="24"/>
        </w:rPr>
        <w:t>Otros Ingresos Netos</w:t>
      </w:r>
    </w:p>
    <w:p w:rsidR="0015454E" w:rsidRPr="00991A27" w:rsidRDefault="003A24B0" w:rsidP="0015454E">
      <w:pPr>
        <w:spacing w:line="360" w:lineRule="auto"/>
        <w:jc w:val="center"/>
        <w:rPr>
          <w:rFonts w:ascii="Arial" w:hAnsi="Arial" w:cs="Arial"/>
          <w:b/>
        </w:rPr>
      </w:pPr>
      <w:r>
        <w:rPr>
          <w:rFonts w:ascii="Arial" w:hAnsi="Arial" w:cs="Arial"/>
          <w:noProof/>
          <w:lang w:val="es-ES" w:eastAsia="es-ES"/>
        </w:rPr>
        <w:drawing>
          <wp:anchor distT="0" distB="0" distL="114300" distR="114300" simplePos="0" relativeHeight="251660800" behindDoc="0" locked="0" layoutInCell="1" allowOverlap="1">
            <wp:simplePos x="0" y="0"/>
            <wp:positionH relativeFrom="column">
              <wp:posOffset>-228600</wp:posOffset>
            </wp:positionH>
            <wp:positionV relativeFrom="paragraph">
              <wp:posOffset>114300</wp:posOffset>
            </wp:positionV>
            <wp:extent cx="5886450" cy="2058035"/>
            <wp:effectExtent l="0" t="0" r="0" b="0"/>
            <wp:wrapNone/>
            <wp:docPr id="43" name="Objeto 4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anchor>
        </w:drawing>
      </w:r>
      <w:r w:rsidR="0015454E" w:rsidRPr="00991A27">
        <w:rPr>
          <w:rFonts w:ascii="Arial" w:hAnsi="Arial" w:cs="Arial"/>
          <w:b/>
        </w:rPr>
        <w:t>Gráfico 3.12</w:t>
      </w:r>
    </w:p>
    <w:p w:rsidR="0015454E" w:rsidRPr="00991A27" w:rsidRDefault="0015454E" w:rsidP="0015454E">
      <w:pPr>
        <w:spacing w:line="360" w:lineRule="auto"/>
        <w:jc w:val="both"/>
        <w:rPr>
          <w:rFonts w:ascii="Arial" w:hAnsi="Arial" w:cs="Arial"/>
          <w:b/>
        </w:rPr>
      </w:pPr>
    </w:p>
    <w:p w:rsidR="0015454E" w:rsidRPr="00991A27" w:rsidRDefault="0015454E" w:rsidP="0015454E">
      <w:pPr>
        <w:spacing w:line="360" w:lineRule="auto"/>
        <w:jc w:val="both"/>
        <w:rPr>
          <w:rFonts w:ascii="Arial" w:hAnsi="Arial" w:cs="Arial"/>
          <w:b/>
        </w:rPr>
      </w:pPr>
    </w:p>
    <w:p w:rsidR="0015454E" w:rsidRPr="00991A27" w:rsidRDefault="0015454E" w:rsidP="0015454E">
      <w:pPr>
        <w:spacing w:line="360" w:lineRule="auto"/>
        <w:jc w:val="both"/>
        <w:rPr>
          <w:rFonts w:ascii="Arial" w:hAnsi="Arial" w:cs="Arial"/>
          <w:b/>
        </w:rPr>
      </w:pPr>
    </w:p>
    <w:p w:rsidR="0015454E" w:rsidRPr="00991A27" w:rsidRDefault="0015454E" w:rsidP="0015454E">
      <w:pPr>
        <w:spacing w:line="360" w:lineRule="auto"/>
        <w:jc w:val="both"/>
        <w:rPr>
          <w:rFonts w:ascii="Arial" w:hAnsi="Arial" w:cs="Arial"/>
          <w:b/>
        </w:rPr>
      </w:pPr>
    </w:p>
    <w:p w:rsidR="0015454E" w:rsidRPr="00991A27" w:rsidRDefault="0015454E" w:rsidP="0015454E">
      <w:pPr>
        <w:spacing w:line="360" w:lineRule="auto"/>
        <w:jc w:val="both"/>
        <w:rPr>
          <w:rFonts w:ascii="Arial" w:hAnsi="Arial" w:cs="Arial"/>
          <w:b/>
        </w:rPr>
      </w:pPr>
    </w:p>
    <w:p w:rsidR="0015454E" w:rsidRPr="00F27DFF" w:rsidRDefault="0015454E" w:rsidP="00F27DFF">
      <w:pPr>
        <w:spacing w:line="240" w:lineRule="auto"/>
        <w:jc w:val="both"/>
        <w:rPr>
          <w:rFonts w:ascii="Arial" w:hAnsi="Arial" w:cs="Arial"/>
          <w:sz w:val="16"/>
          <w:szCs w:val="16"/>
        </w:rPr>
      </w:pPr>
      <w:r w:rsidRPr="00F27DFF">
        <w:rPr>
          <w:rFonts w:ascii="Arial" w:hAnsi="Arial" w:cs="Arial"/>
          <w:sz w:val="16"/>
          <w:szCs w:val="16"/>
        </w:rPr>
        <w:t>Fuente: Superintendencia de Bancos</w:t>
      </w:r>
    </w:p>
    <w:p w:rsidR="00BB2594" w:rsidRPr="00FC5E55" w:rsidRDefault="0015454E" w:rsidP="00F27DFF">
      <w:pPr>
        <w:spacing w:line="240" w:lineRule="auto"/>
        <w:jc w:val="both"/>
        <w:rPr>
          <w:sz w:val="16"/>
          <w:szCs w:val="16"/>
        </w:rPr>
      </w:pPr>
      <w:r w:rsidRPr="00F27DFF">
        <w:rPr>
          <w:rFonts w:ascii="Arial" w:hAnsi="Arial" w:cs="Arial"/>
          <w:sz w:val="16"/>
          <w:szCs w:val="16"/>
        </w:rPr>
        <w:t>Elaboración: Autores</w:t>
      </w:r>
    </w:p>
    <w:p w:rsidR="00382E2B" w:rsidRDefault="00382E2B" w:rsidP="0015454E">
      <w:pPr>
        <w:spacing w:line="360" w:lineRule="auto"/>
        <w:ind w:firstLine="454"/>
        <w:jc w:val="both"/>
        <w:rPr>
          <w:rFonts w:ascii="Arial" w:hAnsi="Arial" w:cs="Arial"/>
          <w:sz w:val="24"/>
          <w:szCs w:val="24"/>
        </w:rPr>
      </w:pPr>
    </w:p>
    <w:p w:rsidR="0015454E" w:rsidRPr="00BB2594" w:rsidRDefault="0015454E" w:rsidP="0015454E">
      <w:pPr>
        <w:spacing w:line="360" w:lineRule="auto"/>
        <w:ind w:firstLine="454"/>
        <w:jc w:val="both"/>
        <w:rPr>
          <w:rFonts w:ascii="Arial" w:hAnsi="Arial" w:cs="Arial"/>
          <w:sz w:val="24"/>
          <w:szCs w:val="24"/>
        </w:rPr>
      </w:pPr>
      <w:r w:rsidRPr="00BB2594">
        <w:rPr>
          <w:rFonts w:ascii="Arial" w:hAnsi="Arial" w:cs="Arial"/>
          <w:sz w:val="24"/>
          <w:szCs w:val="24"/>
        </w:rPr>
        <w:t>Si nos fijamos detenidamente podremos observar que esta cuenta tiene un comportamiento inverso al de las Comisiones Netas y a los Ingresos por Servicios, debido a que la regulación en estos dos últimos da pie a que se creen otras fuentes de ingresos para el banco, las cuales están enmarcadas en esta cuenta de otros ingresos netos.</w:t>
      </w:r>
    </w:p>
    <w:p w:rsidR="0015454E" w:rsidRDefault="0015454E" w:rsidP="0015454E">
      <w:pPr>
        <w:spacing w:line="360" w:lineRule="auto"/>
        <w:jc w:val="both"/>
        <w:rPr>
          <w:rFonts w:ascii="Arial" w:hAnsi="Arial" w:cs="Arial"/>
          <w:sz w:val="24"/>
          <w:szCs w:val="24"/>
        </w:rPr>
      </w:pPr>
    </w:p>
    <w:p w:rsidR="00382E2B" w:rsidRDefault="00382E2B" w:rsidP="0015454E">
      <w:pPr>
        <w:spacing w:line="360" w:lineRule="auto"/>
        <w:jc w:val="both"/>
        <w:rPr>
          <w:rFonts w:ascii="Arial" w:hAnsi="Arial" w:cs="Arial"/>
          <w:sz w:val="24"/>
          <w:szCs w:val="24"/>
        </w:rPr>
      </w:pPr>
    </w:p>
    <w:p w:rsidR="00382E2B" w:rsidRDefault="00382E2B" w:rsidP="0015454E">
      <w:pPr>
        <w:spacing w:line="360" w:lineRule="auto"/>
        <w:jc w:val="both"/>
        <w:rPr>
          <w:rFonts w:ascii="Arial" w:hAnsi="Arial" w:cs="Arial"/>
          <w:sz w:val="24"/>
          <w:szCs w:val="24"/>
        </w:rPr>
      </w:pPr>
    </w:p>
    <w:p w:rsidR="00382E2B" w:rsidRDefault="00382E2B" w:rsidP="0015454E">
      <w:pPr>
        <w:spacing w:line="360" w:lineRule="auto"/>
        <w:jc w:val="both"/>
        <w:rPr>
          <w:rFonts w:ascii="Arial" w:hAnsi="Arial" w:cs="Arial"/>
          <w:sz w:val="24"/>
          <w:szCs w:val="24"/>
        </w:rPr>
      </w:pPr>
    </w:p>
    <w:p w:rsidR="00382E2B" w:rsidRPr="00BB2594" w:rsidRDefault="00382E2B" w:rsidP="0015454E">
      <w:pPr>
        <w:spacing w:line="360" w:lineRule="auto"/>
        <w:jc w:val="both"/>
        <w:rPr>
          <w:rFonts w:ascii="Arial" w:hAnsi="Arial" w:cs="Arial"/>
          <w:sz w:val="24"/>
          <w:szCs w:val="24"/>
        </w:rPr>
      </w:pPr>
    </w:p>
    <w:p w:rsidR="00BB2594" w:rsidRPr="00FC5E55" w:rsidRDefault="0015454E" w:rsidP="0015454E">
      <w:pPr>
        <w:spacing w:line="360" w:lineRule="auto"/>
        <w:jc w:val="both"/>
        <w:rPr>
          <w:rFonts w:ascii="Arial" w:hAnsi="Arial" w:cs="Arial"/>
          <w:b/>
          <w:sz w:val="24"/>
          <w:szCs w:val="24"/>
        </w:rPr>
      </w:pPr>
      <w:r w:rsidRPr="00BB2594">
        <w:rPr>
          <w:rFonts w:ascii="Arial" w:hAnsi="Arial" w:cs="Arial"/>
          <w:b/>
          <w:sz w:val="24"/>
          <w:szCs w:val="24"/>
        </w:rPr>
        <w:lastRenderedPageBreak/>
        <w:t>Utilidades Financieras Netas</w:t>
      </w:r>
    </w:p>
    <w:p w:rsidR="0015454E" w:rsidRPr="00991A27" w:rsidRDefault="003A24B0" w:rsidP="0015454E">
      <w:pPr>
        <w:spacing w:line="360" w:lineRule="auto"/>
        <w:jc w:val="center"/>
        <w:rPr>
          <w:rFonts w:ascii="Arial" w:hAnsi="Arial" w:cs="Arial"/>
          <w:b/>
        </w:rPr>
      </w:pPr>
      <w:r>
        <w:rPr>
          <w:rFonts w:ascii="Arial" w:hAnsi="Arial" w:cs="Arial"/>
          <w:noProof/>
          <w:lang w:val="es-ES" w:eastAsia="es-ES"/>
        </w:rPr>
        <w:drawing>
          <wp:anchor distT="0" distB="0" distL="114300" distR="114300" simplePos="0" relativeHeight="251661824" behindDoc="0" locked="0" layoutInCell="1" allowOverlap="1">
            <wp:simplePos x="0" y="0"/>
            <wp:positionH relativeFrom="column">
              <wp:posOffset>-139700</wp:posOffset>
            </wp:positionH>
            <wp:positionV relativeFrom="paragraph">
              <wp:posOffset>67310</wp:posOffset>
            </wp:positionV>
            <wp:extent cx="5886450" cy="2057400"/>
            <wp:effectExtent l="0" t="0" r="0" b="0"/>
            <wp:wrapNone/>
            <wp:docPr id="44" name="Objeto 4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anchor>
        </w:drawing>
      </w:r>
      <w:r w:rsidR="0015454E" w:rsidRPr="00991A27">
        <w:rPr>
          <w:rFonts w:ascii="Arial" w:hAnsi="Arial" w:cs="Arial"/>
          <w:b/>
        </w:rPr>
        <w:t>Gráfico 3.13</w:t>
      </w:r>
    </w:p>
    <w:p w:rsidR="0015454E" w:rsidRPr="00991A27" w:rsidRDefault="0015454E" w:rsidP="0015454E">
      <w:pPr>
        <w:spacing w:line="360" w:lineRule="auto"/>
        <w:jc w:val="both"/>
        <w:rPr>
          <w:rFonts w:ascii="Arial" w:hAnsi="Arial" w:cs="Arial"/>
        </w:rPr>
      </w:pPr>
    </w:p>
    <w:p w:rsidR="0015454E" w:rsidRPr="00991A27" w:rsidRDefault="0015454E" w:rsidP="0015454E">
      <w:pPr>
        <w:spacing w:line="360" w:lineRule="auto"/>
        <w:jc w:val="both"/>
        <w:rPr>
          <w:rFonts w:ascii="Arial" w:hAnsi="Arial" w:cs="Arial"/>
        </w:rPr>
      </w:pPr>
      <w:r w:rsidRPr="00991A27">
        <w:rPr>
          <w:rFonts w:ascii="Arial" w:hAnsi="Arial" w:cs="Arial"/>
        </w:rPr>
        <w:tab/>
      </w:r>
      <w:r w:rsidRPr="00991A27">
        <w:rPr>
          <w:rFonts w:ascii="Arial" w:hAnsi="Arial" w:cs="Arial"/>
        </w:rPr>
        <w:tab/>
      </w:r>
      <w:r w:rsidRPr="00991A27">
        <w:rPr>
          <w:rFonts w:ascii="Arial" w:hAnsi="Arial" w:cs="Arial"/>
        </w:rPr>
        <w:tab/>
      </w:r>
      <w:r w:rsidRPr="00991A27">
        <w:rPr>
          <w:rFonts w:ascii="Arial" w:hAnsi="Arial" w:cs="Arial"/>
        </w:rPr>
        <w:tab/>
      </w:r>
      <w:r w:rsidRPr="00991A27">
        <w:rPr>
          <w:rFonts w:ascii="Arial" w:hAnsi="Arial" w:cs="Arial"/>
        </w:rPr>
        <w:tab/>
      </w:r>
      <w:r w:rsidRPr="00991A27">
        <w:rPr>
          <w:rFonts w:ascii="Arial" w:hAnsi="Arial" w:cs="Arial"/>
        </w:rPr>
        <w:tab/>
      </w:r>
      <w:r w:rsidRPr="00991A27">
        <w:rPr>
          <w:rFonts w:ascii="Arial" w:hAnsi="Arial" w:cs="Arial"/>
        </w:rPr>
        <w:tab/>
      </w:r>
      <w:r w:rsidRPr="00991A27">
        <w:rPr>
          <w:rFonts w:ascii="Arial" w:hAnsi="Arial" w:cs="Arial"/>
        </w:rPr>
        <w:tab/>
      </w:r>
      <w:r w:rsidRPr="00991A27">
        <w:rPr>
          <w:rFonts w:ascii="Arial" w:hAnsi="Arial" w:cs="Arial"/>
        </w:rPr>
        <w:tab/>
      </w:r>
      <w:r w:rsidRPr="00991A27">
        <w:rPr>
          <w:rFonts w:ascii="Arial" w:hAnsi="Arial" w:cs="Arial"/>
        </w:rPr>
        <w:tab/>
      </w:r>
      <w:r w:rsidRPr="00991A27">
        <w:rPr>
          <w:rFonts w:ascii="Arial" w:hAnsi="Arial" w:cs="Arial"/>
        </w:rPr>
        <w:tab/>
      </w:r>
      <w:r w:rsidRPr="00991A27">
        <w:rPr>
          <w:rFonts w:ascii="Arial" w:hAnsi="Arial" w:cs="Arial"/>
        </w:rPr>
        <w:tab/>
      </w:r>
      <w:r w:rsidRPr="00991A27">
        <w:rPr>
          <w:rFonts w:ascii="Arial" w:hAnsi="Arial" w:cs="Arial"/>
        </w:rPr>
        <w:tab/>
      </w:r>
      <w:r w:rsidRPr="00991A27">
        <w:rPr>
          <w:rFonts w:ascii="Arial" w:hAnsi="Arial" w:cs="Arial"/>
        </w:rPr>
        <w:tab/>
      </w:r>
    </w:p>
    <w:p w:rsidR="0015454E" w:rsidRPr="00991A27" w:rsidRDefault="0015454E" w:rsidP="00F27DFF">
      <w:pPr>
        <w:spacing w:line="480" w:lineRule="auto"/>
        <w:jc w:val="both"/>
        <w:rPr>
          <w:rFonts w:ascii="Arial" w:hAnsi="Arial" w:cs="Arial"/>
        </w:rPr>
      </w:pPr>
    </w:p>
    <w:p w:rsidR="00F27DFF" w:rsidRDefault="00F27DFF" w:rsidP="00F27DFF">
      <w:pPr>
        <w:spacing w:line="240" w:lineRule="auto"/>
        <w:jc w:val="both"/>
        <w:rPr>
          <w:rFonts w:ascii="Arial" w:hAnsi="Arial" w:cs="Arial"/>
        </w:rPr>
      </w:pPr>
    </w:p>
    <w:p w:rsidR="0015454E" w:rsidRPr="00F27DFF" w:rsidRDefault="0015454E" w:rsidP="00F27DFF">
      <w:pPr>
        <w:spacing w:line="240" w:lineRule="auto"/>
        <w:jc w:val="both"/>
        <w:rPr>
          <w:rFonts w:ascii="Arial" w:hAnsi="Arial" w:cs="Arial"/>
          <w:sz w:val="16"/>
          <w:szCs w:val="16"/>
        </w:rPr>
      </w:pPr>
      <w:r w:rsidRPr="00F27DFF">
        <w:rPr>
          <w:rFonts w:ascii="Arial" w:hAnsi="Arial" w:cs="Arial"/>
          <w:sz w:val="16"/>
          <w:szCs w:val="16"/>
        </w:rPr>
        <w:t>Fuente: Superintendencia de Bancos</w:t>
      </w:r>
    </w:p>
    <w:p w:rsidR="0015454E" w:rsidRPr="00F27DFF" w:rsidRDefault="0015454E" w:rsidP="00F27DFF">
      <w:pPr>
        <w:spacing w:line="240" w:lineRule="auto"/>
        <w:jc w:val="both"/>
        <w:rPr>
          <w:rFonts w:ascii="Arial" w:hAnsi="Arial" w:cs="Arial"/>
        </w:rPr>
      </w:pPr>
      <w:r w:rsidRPr="00F27DFF">
        <w:rPr>
          <w:rFonts w:ascii="Arial" w:hAnsi="Arial" w:cs="Arial"/>
          <w:sz w:val="16"/>
          <w:szCs w:val="16"/>
        </w:rPr>
        <w:t>Elaboración: Autores</w:t>
      </w:r>
    </w:p>
    <w:p w:rsidR="0015454E" w:rsidRPr="00BB2594" w:rsidRDefault="0015454E" w:rsidP="00F27DFF">
      <w:pPr>
        <w:spacing w:line="240" w:lineRule="auto"/>
        <w:jc w:val="both"/>
        <w:rPr>
          <w:rFonts w:ascii="Arial" w:hAnsi="Arial" w:cs="Arial"/>
          <w:sz w:val="24"/>
          <w:szCs w:val="24"/>
        </w:rPr>
      </w:pPr>
    </w:p>
    <w:p w:rsidR="0015454E" w:rsidRPr="00BB2594" w:rsidRDefault="0015454E" w:rsidP="0015454E">
      <w:pPr>
        <w:spacing w:line="360" w:lineRule="auto"/>
        <w:ind w:firstLine="454"/>
        <w:jc w:val="both"/>
        <w:rPr>
          <w:rFonts w:ascii="Arial" w:hAnsi="Arial" w:cs="Arial"/>
          <w:sz w:val="24"/>
          <w:szCs w:val="24"/>
        </w:rPr>
      </w:pPr>
      <w:r w:rsidRPr="00BB2594">
        <w:rPr>
          <w:rFonts w:ascii="Arial" w:hAnsi="Arial" w:cs="Arial"/>
          <w:sz w:val="24"/>
          <w:szCs w:val="24"/>
        </w:rPr>
        <w:t>Para la valoración solo fueron tomados los dos últimos años de esta cuenta debido a que según nuestro criterio, la tendencia a un crecimiento cercano a cero desde el año 2002 hasta el año 2005 fueron aún secuelas de la crisis económica de la que nuestro país fue presa, la cual desembocó en la dolarización.</w:t>
      </w:r>
    </w:p>
    <w:p w:rsidR="00FC5E55" w:rsidRPr="00BB2594" w:rsidRDefault="00FC5E55" w:rsidP="0015454E">
      <w:pPr>
        <w:spacing w:line="360" w:lineRule="auto"/>
        <w:jc w:val="both"/>
        <w:rPr>
          <w:rFonts w:ascii="Arial" w:hAnsi="Arial" w:cs="Arial"/>
          <w:sz w:val="24"/>
          <w:szCs w:val="24"/>
        </w:rPr>
      </w:pPr>
    </w:p>
    <w:p w:rsidR="00FC5E55" w:rsidRPr="00FC5E55" w:rsidRDefault="0015454E" w:rsidP="0015454E">
      <w:pPr>
        <w:spacing w:line="360" w:lineRule="auto"/>
        <w:jc w:val="both"/>
        <w:rPr>
          <w:rFonts w:ascii="Arial" w:hAnsi="Arial" w:cs="Arial"/>
          <w:b/>
          <w:sz w:val="24"/>
          <w:szCs w:val="24"/>
        </w:rPr>
      </w:pPr>
      <w:r w:rsidRPr="00BB2594">
        <w:rPr>
          <w:rFonts w:ascii="Arial" w:hAnsi="Arial" w:cs="Arial"/>
          <w:b/>
          <w:sz w:val="24"/>
          <w:szCs w:val="24"/>
        </w:rPr>
        <w:t>Impuestos y Participación a Trabajadores</w:t>
      </w:r>
    </w:p>
    <w:p w:rsidR="0015454E" w:rsidRPr="00991A27" w:rsidRDefault="003A24B0" w:rsidP="0015454E">
      <w:pPr>
        <w:spacing w:line="360" w:lineRule="auto"/>
        <w:jc w:val="center"/>
        <w:rPr>
          <w:rFonts w:ascii="Arial" w:hAnsi="Arial" w:cs="Arial"/>
          <w:b/>
        </w:rPr>
      </w:pPr>
      <w:r>
        <w:rPr>
          <w:rFonts w:ascii="Arial" w:hAnsi="Arial" w:cs="Arial"/>
          <w:noProof/>
          <w:lang w:val="es-ES" w:eastAsia="es-ES"/>
        </w:rPr>
        <w:drawing>
          <wp:anchor distT="0" distB="0" distL="114300" distR="114300" simplePos="0" relativeHeight="251662848" behindDoc="0" locked="0" layoutInCell="1" allowOverlap="1">
            <wp:simplePos x="0" y="0"/>
            <wp:positionH relativeFrom="column">
              <wp:posOffset>69850</wp:posOffset>
            </wp:positionH>
            <wp:positionV relativeFrom="paragraph">
              <wp:posOffset>137160</wp:posOffset>
            </wp:positionV>
            <wp:extent cx="5702300" cy="1993265"/>
            <wp:effectExtent l="0" t="0" r="0" b="635"/>
            <wp:wrapNone/>
            <wp:docPr id="45" name="Objeto 4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anchor>
        </w:drawing>
      </w:r>
      <w:r w:rsidR="0015454E" w:rsidRPr="00991A27">
        <w:rPr>
          <w:rFonts w:ascii="Arial" w:hAnsi="Arial" w:cs="Arial"/>
          <w:b/>
        </w:rPr>
        <w:t>Gráfico 3.14</w:t>
      </w:r>
    </w:p>
    <w:p w:rsidR="0015454E" w:rsidRPr="00991A27" w:rsidRDefault="0015454E" w:rsidP="0015454E">
      <w:pPr>
        <w:spacing w:line="360" w:lineRule="auto"/>
        <w:jc w:val="both"/>
        <w:rPr>
          <w:rFonts w:ascii="Arial" w:hAnsi="Arial" w:cs="Arial"/>
          <w:b/>
        </w:rPr>
      </w:pPr>
    </w:p>
    <w:p w:rsidR="0015454E" w:rsidRPr="00991A27" w:rsidRDefault="0015454E" w:rsidP="0015454E">
      <w:pPr>
        <w:spacing w:line="360" w:lineRule="auto"/>
        <w:jc w:val="both"/>
        <w:rPr>
          <w:rFonts w:ascii="Arial" w:hAnsi="Arial" w:cs="Arial"/>
        </w:rPr>
      </w:pPr>
    </w:p>
    <w:p w:rsidR="0015454E" w:rsidRPr="00991A27" w:rsidRDefault="0015454E" w:rsidP="0015454E">
      <w:pPr>
        <w:spacing w:line="360" w:lineRule="auto"/>
        <w:jc w:val="both"/>
        <w:rPr>
          <w:rFonts w:ascii="Arial" w:hAnsi="Arial" w:cs="Arial"/>
        </w:rPr>
      </w:pPr>
    </w:p>
    <w:p w:rsidR="0015454E" w:rsidRPr="00991A27" w:rsidRDefault="0015454E" w:rsidP="0015454E">
      <w:pPr>
        <w:spacing w:line="360" w:lineRule="auto"/>
        <w:jc w:val="both"/>
        <w:rPr>
          <w:rFonts w:ascii="Arial" w:hAnsi="Arial" w:cs="Arial"/>
        </w:rPr>
      </w:pPr>
    </w:p>
    <w:p w:rsidR="0015454E" w:rsidRPr="00991A27" w:rsidRDefault="0015454E" w:rsidP="0015454E">
      <w:pPr>
        <w:spacing w:line="360" w:lineRule="auto"/>
        <w:jc w:val="both"/>
        <w:rPr>
          <w:rFonts w:ascii="Arial" w:hAnsi="Arial" w:cs="Arial"/>
        </w:rPr>
      </w:pPr>
    </w:p>
    <w:p w:rsidR="00382E2B" w:rsidRPr="00F27DFF" w:rsidRDefault="0015454E" w:rsidP="00F27DFF">
      <w:pPr>
        <w:spacing w:line="240" w:lineRule="auto"/>
        <w:jc w:val="both"/>
        <w:rPr>
          <w:rFonts w:ascii="Arial" w:hAnsi="Arial" w:cs="Arial"/>
          <w:sz w:val="16"/>
          <w:szCs w:val="16"/>
        </w:rPr>
      </w:pPr>
      <w:r w:rsidRPr="00F27DFF">
        <w:rPr>
          <w:rFonts w:ascii="Arial" w:hAnsi="Arial" w:cs="Arial"/>
          <w:sz w:val="16"/>
          <w:szCs w:val="16"/>
        </w:rPr>
        <w:t>Fuente: Superintendencia de Bancos</w:t>
      </w:r>
    </w:p>
    <w:p w:rsidR="0015454E" w:rsidRPr="00382E2B" w:rsidRDefault="0015454E" w:rsidP="00F27DFF">
      <w:pPr>
        <w:spacing w:line="240" w:lineRule="auto"/>
        <w:jc w:val="both"/>
        <w:rPr>
          <w:sz w:val="16"/>
          <w:szCs w:val="16"/>
        </w:rPr>
      </w:pPr>
      <w:r w:rsidRPr="00F27DFF">
        <w:rPr>
          <w:rFonts w:ascii="Arial" w:hAnsi="Arial" w:cs="Arial"/>
          <w:sz w:val="16"/>
          <w:szCs w:val="16"/>
        </w:rPr>
        <w:t>Elaboración: Autores</w:t>
      </w:r>
    </w:p>
    <w:p w:rsidR="0015454E" w:rsidRPr="00BB2594" w:rsidRDefault="0015454E" w:rsidP="0015454E">
      <w:pPr>
        <w:spacing w:line="360" w:lineRule="auto"/>
        <w:ind w:firstLine="454"/>
        <w:jc w:val="both"/>
        <w:rPr>
          <w:rFonts w:ascii="Arial" w:hAnsi="Arial" w:cs="Arial"/>
          <w:sz w:val="24"/>
          <w:szCs w:val="24"/>
        </w:rPr>
      </w:pPr>
      <w:r w:rsidRPr="00BB2594">
        <w:rPr>
          <w:rFonts w:ascii="Arial" w:hAnsi="Arial" w:cs="Arial"/>
          <w:sz w:val="24"/>
          <w:szCs w:val="24"/>
        </w:rPr>
        <w:lastRenderedPageBreak/>
        <w:t>Esta fue la otra cuenta en la que no fueron utilizados los datos de todos los 8 años existentes. Se utilizaron los datos de 6 años debido a que en los boletines financieros de los años 2000 y 2001 no aparece este rubro dentro del Estado de Resultados.</w:t>
      </w:r>
    </w:p>
    <w:p w:rsidR="0015454E" w:rsidRPr="00BB2594" w:rsidRDefault="0015454E" w:rsidP="0015454E">
      <w:pPr>
        <w:spacing w:line="360" w:lineRule="auto"/>
        <w:jc w:val="both"/>
        <w:rPr>
          <w:rFonts w:ascii="Arial" w:hAnsi="Arial" w:cs="Arial"/>
          <w:sz w:val="24"/>
          <w:szCs w:val="24"/>
        </w:rPr>
      </w:pPr>
    </w:p>
    <w:p w:rsidR="0015454E" w:rsidRPr="00BB2594" w:rsidRDefault="0015454E" w:rsidP="00382E2B">
      <w:pPr>
        <w:numPr>
          <w:ilvl w:val="1"/>
          <w:numId w:val="21"/>
        </w:numPr>
        <w:tabs>
          <w:tab w:val="clear" w:pos="1230"/>
          <w:tab w:val="num" w:pos="1100"/>
        </w:tabs>
        <w:spacing w:after="0" w:line="360" w:lineRule="auto"/>
        <w:jc w:val="both"/>
        <w:rPr>
          <w:rFonts w:ascii="Arial" w:hAnsi="Arial" w:cs="Arial"/>
          <w:b/>
          <w:sz w:val="28"/>
          <w:szCs w:val="28"/>
        </w:rPr>
      </w:pPr>
      <w:r w:rsidRPr="00BB2594">
        <w:rPr>
          <w:rFonts w:ascii="Arial" w:hAnsi="Arial" w:cs="Arial"/>
          <w:b/>
          <w:sz w:val="28"/>
          <w:szCs w:val="28"/>
        </w:rPr>
        <w:t xml:space="preserve">CÁLCULO DE </w:t>
      </w:r>
      <w:smartTag w:uri="urn:schemas-microsoft-com:office:smarttags" w:element="PersonName">
        <w:smartTagPr>
          <w:attr w:name="ProductID" w:val="LA VALORACIÓN DE"/>
        </w:smartTagPr>
        <w:r w:rsidRPr="00BB2594">
          <w:rPr>
            <w:rFonts w:ascii="Arial" w:hAnsi="Arial" w:cs="Arial"/>
            <w:b/>
            <w:sz w:val="28"/>
            <w:szCs w:val="28"/>
          </w:rPr>
          <w:t>LA VALORACIÓN DE</w:t>
        </w:r>
      </w:smartTag>
      <w:r w:rsidRPr="00BB2594">
        <w:rPr>
          <w:rFonts w:ascii="Arial" w:hAnsi="Arial" w:cs="Arial"/>
          <w:b/>
          <w:sz w:val="28"/>
          <w:szCs w:val="28"/>
        </w:rPr>
        <w:t xml:space="preserve"> PRODUBANCO</w:t>
      </w:r>
    </w:p>
    <w:p w:rsidR="0015454E" w:rsidRPr="00BB2594" w:rsidRDefault="0015454E" w:rsidP="0015454E">
      <w:pPr>
        <w:spacing w:line="360" w:lineRule="auto"/>
        <w:jc w:val="both"/>
        <w:rPr>
          <w:rFonts w:ascii="Arial" w:hAnsi="Arial" w:cs="Arial"/>
          <w:b/>
          <w:sz w:val="28"/>
          <w:szCs w:val="28"/>
        </w:rPr>
      </w:pPr>
    </w:p>
    <w:p w:rsidR="0015454E" w:rsidRPr="00BB2594" w:rsidRDefault="00382E2B" w:rsidP="0015454E">
      <w:pPr>
        <w:spacing w:line="360" w:lineRule="auto"/>
        <w:jc w:val="both"/>
        <w:rPr>
          <w:rFonts w:ascii="Arial" w:hAnsi="Arial" w:cs="Arial"/>
          <w:b/>
          <w:sz w:val="28"/>
          <w:szCs w:val="28"/>
        </w:rPr>
      </w:pPr>
      <w:r>
        <w:rPr>
          <w:rFonts w:ascii="Arial" w:hAnsi="Arial" w:cs="Arial"/>
          <w:b/>
          <w:sz w:val="28"/>
          <w:szCs w:val="28"/>
        </w:rPr>
        <w:t xml:space="preserve">  3.2.1    </w:t>
      </w:r>
      <w:r w:rsidR="0015454E" w:rsidRPr="00BB2594">
        <w:rPr>
          <w:rFonts w:ascii="Arial" w:hAnsi="Arial" w:cs="Arial"/>
          <w:b/>
          <w:sz w:val="28"/>
          <w:szCs w:val="28"/>
        </w:rPr>
        <w:t xml:space="preserve">PROYECCIÓN DEL ESTADO DE RESULTADOS Y </w:t>
      </w:r>
      <w:r>
        <w:rPr>
          <w:rFonts w:ascii="Arial" w:hAnsi="Arial" w:cs="Arial"/>
          <w:b/>
          <w:sz w:val="28"/>
          <w:szCs w:val="28"/>
        </w:rPr>
        <w:tab/>
      </w:r>
      <w:r>
        <w:rPr>
          <w:rFonts w:ascii="Arial" w:hAnsi="Arial" w:cs="Arial"/>
          <w:b/>
          <w:sz w:val="28"/>
          <w:szCs w:val="28"/>
        </w:rPr>
        <w:tab/>
        <w:t xml:space="preserve">     </w:t>
      </w:r>
      <w:r w:rsidR="0015454E" w:rsidRPr="00BB2594">
        <w:rPr>
          <w:rFonts w:ascii="Arial" w:hAnsi="Arial" w:cs="Arial"/>
          <w:b/>
          <w:sz w:val="28"/>
          <w:szCs w:val="28"/>
        </w:rPr>
        <w:t>CÁLCULO</w:t>
      </w:r>
      <w:r w:rsidR="00BB2594">
        <w:rPr>
          <w:rFonts w:ascii="Arial" w:hAnsi="Arial" w:cs="Arial"/>
          <w:b/>
          <w:sz w:val="28"/>
          <w:szCs w:val="28"/>
        </w:rPr>
        <w:t xml:space="preserve"> </w:t>
      </w:r>
      <w:r w:rsidR="0015454E" w:rsidRPr="00BB2594">
        <w:rPr>
          <w:rFonts w:ascii="Arial" w:hAnsi="Arial" w:cs="Arial"/>
          <w:b/>
          <w:sz w:val="28"/>
          <w:szCs w:val="28"/>
        </w:rPr>
        <w:t xml:space="preserve">DEL EXCESO DE RETORNOS PARA LOS </w:t>
      </w:r>
      <w:r>
        <w:rPr>
          <w:rFonts w:ascii="Arial" w:hAnsi="Arial" w:cs="Arial"/>
          <w:b/>
          <w:sz w:val="28"/>
          <w:szCs w:val="28"/>
        </w:rPr>
        <w:tab/>
        <w:t xml:space="preserve">     </w:t>
      </w:r>
      <w:r w:rsidR="0015454E" w:rsidRPr="00BB2594">
        <w:rPr>
          <w:rFonts w:ascii="Arial" w:hAnsi="Arial" w:cs="Arial"/>
          <w:b/>
          <w:sz w:val="28"/>
          <w:szCs w:val="28"/>
        </w:rPr>
        <w:t>ACCIONISTAS</w:t>
      </w:r>
    </w:p>
    <w:p w:rsidR="0015454E" w:rsidRPr="00991A27" w:rsidRDefault="0015454E" w:rsidP="0015454E">
      <w:pPr>
        <w:spacing w:line="360" w:lineRule="auto"/>
        <w:ind w:firstLine="454"/>
        <w:jc w:val="both"/>
        <w:rPr>
          <w:rFonts w:ascii="Arial" w:hAnsi="Arial" w:cs="Arial"/>
        </w:rPr>
      </w:pPr>
    </w:p>
    <w:p w:rsidR="00BB2594" w:rsidRDefault="0015454E" w:rsidP="00FC5E55">
      <w:pPr>
        <w:spacing w:line="360" w:lineRule="auto"/>
        <w:ind w:firstLine="454"/>
        <w:jc w:val="both"/>
        <w:rPr>
          <w:rFonts w:ascii="Arial" w:hAnsi="Arial" w:cs="Arial"/>
          <w:b/>
          <w:sz w:val="24"/>
          <w:szCs w:val="24"/>
        </w:rPr>
      </w:pPr>
      <w:r w:rsidRPr="00BB2594">
        <w:rPr>
          <w:rFonts w:ascii="Arial" w:hAnsi="Arial" w:cs="Arial"/>
          <w:sz w:val="24"/>
          <w:szCs w:val="24"/>
        </w:rPr>
        <w:t>Para calcular el exceso de retornos primero debemos proyectar el Estado de Resultados lo cual será posible porque ya tenemos la proyección de las principales cuentas de este.</w:t>
      </w:r>
      <w:r w:rsidRPr="00BB2594">
        <w:rPr>
          <w:rFonts w:ascii="Arial" w:hAnsi="Arial" w:cs="Arial"/>
          <w:b/>
          <w:sz w:val="24"/>
          <w:szCs w:val="24"/>
        </w:rPr>
        <w:t xml:space="preserve"> </w:t>
      </w:r>
      <w:r w:rsidRPr="00BB2594">
        <w:rPr>
          <w:rFonts w:ascii="Arial" w:hAnsi="Arial" w:cs="Arial"/>
          <w:sz w:val="24"/>
          <w:szCs w:val="24"/>
        </w:rPr>
        <w:t>Así, a continuación presentamos la proyección del Estado de Resultados:</w:t>
      </w:r>
      <w:r w:rsidRPr="00BB2594">
        <w:rPr>
          <w:rFonts w:ascii="Arial" w:hAnsi="Arial" w:cs="Arial"/>
          <w:b/>
          <w:sz w:val="24"/>
          <w:szCs w:val="24"/>
        </w:rPr>
        <w:t xml:space="preserve">   </w:t>
      </w:r>
    </w:p>
    <w:p w:rsidR="00E0414C" w:rsidRDefault="00E0414C" w:rsidP="00FC5E55">
      <w:pPr>
        <w:spacing w:line="360" w:lineRule="auto"/>
        <w:ind w:firstLine="454"/>
        <w:jc w:val="both"/>
        <w:rPr>
          <w:rFonts w:ascii="Arial" w:hAnsi="Arial" w:cs="Arial"/>
          <w:b/>
          <w:sz w:val="24"/>
          <w:szCs w:val="24"/>
        </w:rPr>
      </w:pPr>
    </w:p>
    <w:p w:rsidR="00E0414C" w:rsidRDefault="00E0414C" w:rsidP="00FC5E55">
      <w:pPr>
        <w:spacing w:line="360" w:lineRule="auto"/>
        <w:ind w:firstLine="454"/>
        <w:jc w:val="both"/>
        <w:rPr>
          <w:rFonts w:ascii="Arial" w:hAnsi="Arial" w:cs="Arial"/>
          <w:b/>
          <w:sz w:val="24"/>
          <w:szCs w:val="24"/>
        </w:rPr>
      </w:pPr>
    </w:p>
    <w:p w:rsidR="00E0414C" w:rsidRDefault="00E0414C" w:rsidP="00FC5E55">
      <w:pPr>
        <w:spacing w:line="360" w:lineRule="auto"/>
        <w:ind w:firstLine="454"/>
        <w:jc w:val="both"/>
        <w:rPr>
          <w:rFonts w:ascii="Arial" w:hAnsi="Arial" w:cs="Arial"/>
          <w:b/>
          <w:sz w:val="24"/>
          <w:szCs w:val="24"/>
        </w:rPr>
      </w:pPr>
    </w:p>
    <w:p w:rsidR="00E0414C" w:rsidRDefault="00E0414C" w:rsidP="00FC5E55">
      <w:pPr>
        <w:spacing w:line="360" w:lineRule="auto"/>
        <w:ind w:firstLine="454"/>
        <w:jc w:val="both"/>
        <w:rPr>
          <w:rFonts w:ascii="Arial" w:hAnsi="Arial" w:cs="Arial"/>
          <w:b/>
          <w:sz w:val="24"/>
          <w:szCs w:val="24"/>
        </w:rPr>
      </w:pPr>
    </w:p>
    <w:p w:rsidR="00E0414C" w:rsidRDefault="00E0414C" w:rsidP="00FC5E55">
      <w:pPr>
        <w:spacing w:line="360" w:lineRule="auto"/>
        <w:ind w:firstLine="454"/>
        <w:jc w:val="both"/>
        <w:rPr>
          <w:rFonts w:ascii="Arial" w:hAnsi="Arial" w:cs="Arial"/>
          <w:b/>
          <w:sz w:val="24"/>
          <w:szCs w:val="24"/>
        </w:rPr>
      </w:pPr>
    </w:p>
    <w:p w:rsidR="00E0414C" w:rsidRDefault="00E0414C" w:rsidP="00FC5E55">
      <w:pPr>
        <w:spacing w:line="360" w:lineRule="auto"/>
        <w:ind w:firstLine="454"/>
        <w:jc w:val="both"/>
        <w:rPr>
          <w:rFonts w:ascii="Arial" w:hAnsi="Arial" w:cs="Arial"/>
          <w:b/>
          <w:sz w:val="24"/>
          <w:szCs w:val="24"/>
        </w:rPr>
      </w:pPr>
    </w:p>
    <w:p w:rsidR="00E0414C" w:rsidRDefault="00E0414C" w:rsidP="00FC5E55">
      <w:pPr>
        <w:spacing w:line="360" w:lineRule="auto"/>
        <w:ind w:firstLine="454"/>
        <w:jc w:val="both"/>
        <w:rPr>
          <w:rFonts w:ascii="Arial" w:hAnsi="Arial" w:cs="Arial"/>
          <w:b/>
          <w:sz w:val="24"/>
          <w:szCs w:val="24"/>
        </w:rPr>
      </w:pPr>
    </w:p>
    <w:p w:rsidR="00E0414C" w:rsidRPr="00FC5E55" w:rsidRDefault="00E0414C" w:rsidP="00FC5E55">
      <w:pPr>
        <w:spacing w:line="360" w:lineRule="auto"/>
        <w:ind w:firstLine="454"/>
        <w:jc w:val="both"/>
        <w:rPr>
          <w:rFonts w:ascii="Arial" w:hAnsi="Arial" w:cs="Arial"/>
          <w:b/>
          <w:sz w:val="24"/>
          <w:szCs w:val="24"/>
        </w:rPr>
      </w:pPr>
    </w:p>
    <w:p w:rsidR="0015454E" w:rsidRPr="00991A27" w:rsidRDefault="0015454E" w:rsidP="0015454E">
      <w:pPr>
        <w:spacing w:line="360" w:lineRule="auto"/>
        <w:jc w:val="center"/>
        <w:rPr>
          <w:rFonts w:ascii="Arial" w:hAnsi="Arial" w:cs="Arial"/>
          <w:b/>
        </w:rPr>
      </w:pPr>
      <w:r w:rsidRPr="00991A27">
        <w:rPr>
          <w:rFonts w:ascii="Arial" w:hAnsi="Arial" w:cs="Arial"/>
          <w:b/>
        </w:rPr>
        <w:lastRenderedPageBreak/>
        <w:t>Cuadro 3.5</w:t>
      </w:r>
    </w:p>
    <w:p w:rsidR="0015454E" w:rsidRPr="00991A27" w:rsidRDefault="0015454E" w:rsidP="00D8535B">
      <w:pPr>
        <w:spacing w:line="360" w:lineRule="auto"/>
        <w:jc w:val="center"/>
        <w:rPr>
          <w:rFonts w:ascii="Arial" w:hAnsi="Arial" w:cs="Arial"/>
          <w:b/>
        </w:rPr>
      </w:pPr>
      <w:r w:rsidRPr="00991A27">
        <w:rPr>
          <w:rFonts w:ascii="Arial" w:hAnsi="Arial" w:cs="Arial"/>
          <w:b/>
        </w:rPr>
        <w:t>Estado de Resultados</w:t>
      </w:r>
    </w:p>
    <w:tbl>
      <w:tblPr>
        <w:tblW w:w="9267" w:type="dxa"/>
        <w:tblInd w:w="70" w:type="dxa"/>
        <w:tblCellMar>
          <w:left w:w="70" w:type="dxa"/>
          <w:right w:w="70" w:type="dxa"/>
        </w:tblCellMar>
        <w:tblLook w:val="0000"/>
      </w:tblPr>
      <w:tblGrid>
        <w:gridCol w:w="3439"/>
        <w:gridCol w:w="999"/>
        <w:gridCol w:w="941"/>
        <w:gridCol w:w="941"/>
        <w:gridCol w:w="941"/>
        <w:gridCol w:w="941"/>
        <w:gridCol w:w="1065"/>
      </w:tblGrid>
      <w:tr w:rsidR="0015454E" w:rsidTr="00D8535B">
        <w:trPr>
          <w:trHeight w:val="255"/>
        </w:trPr>
        <w:tc>
          <w:tcPr>
            <w:tcW w:w="3439" w:type="dxa"/>
            <w:tcBorders>
              <w:top w:val="nil"/>
              <w:left w:val="nil"/>
              <w:bottom w:val="nil"/>
              <w:right w:val="nil"/>
            </w:tcBorders>
            <w:shd w:val="clear" w:color="auto" w:fill="800000"/>
            <w:noWrap/>
            <w:vAlign w:val="bottom"/>
          </w:tcPr>
          <w:p w:rsidR="0015454E" w:rsidRDefault="0015454E" w:rsidP="00FC4F38">
            <w:pPr>
              <w:spacing w:line="360" w:lineRule="auto"/>
              <w:jc w:val="both"/>
              <w:rPr>
                <w:rFonts w:ascii="Arial" w:hAnsi="Arial" w:cs="Arial"/>
                <w:sz w:val="16"/>
                <w:szCs w:val="16"/>
              </w:rPr>
            </w:pPr>
          </w:p>
        </w:tc>
        <w:tc>
          <w:tcPr>
            <w:tcW w:w="999" w:type="dxa"/>
            <w:tcBorders>
              <w:top w:val="nil"/>
              <w:left w:val="nil"/>
              <w:bottom w:val="nil"/>
              <w:right w:val="nil"/>
            </w:tcBorders>
            <w:shd w:val="clear" w:color="auto" w:fill="800000"/>
            <w:noWrap/>
            <w:vAlign w:val="bottom"/>
          </w:tcPr>
          <w:p w:rsidR="0015454E" w:rsidRDefault="0015454E" w:rsidP="00FC4F38">
            <w:pPr>
              <w:spacing w:line="360" w:lineRule="auto"/>
              <w:jc w:val="both"/>
              <w:rPr>
                <w:rFonts w:ascii="Arial" w:hAnsi="Arial" w:cs="Arial"/>
                <w:b/>
                <w:bCs/>
                <w:sz w:val="16"/>
                <w:szCs w:val="16"/>
              </w:rPr>
            </w:pPr>
            <w:r>
              <w:rPr>
                <w:rFonts w:ascii="Arial" w:hAnsi="Arial" w:cs="Arial"/>
                <w:b/>
                <w:bCs/>
                <w:sz w:val="16"/>
                <w:szCs w:val="16"/>
              </w:rPr>
              <w:t>2008</w:t>
            </w:r>
          </w:p>
        </w:tc>
        <w:tc>
          <w:tcPr>
            <w:tcW w:w="941" w:type="dxa"/>
            <w:tcBorders>
              <w:top w:val="nil"/>
              <w:left w:val="nil"/>
              <w:bottom w:val="nil"/>
              <w:right w:val="nil"/>
            </w:tcBorders>
            <w:shd w:val="clear" w:color="auto" w:fill="800000"/>
            <w:noWrap/>
            <w:vAlign w:val="bottom"/>
          </w:tcPr>
          <w:p w:rsidR="0015454E" w:rsidRDefault="0015454E" w:rsidP="00FC4F38">
            <w:pPr>
              <w:spacing w:line="360" w:lineRule="auto"/>
              <w:jc w:val="both"/>
              <w:rPr>
                <w:rFonts w:ascii="Arial" w:hAnsi="Arial" w:cs="Arial"/>
                <w:b/>
                <w:bCs/>
                <w:sz w:val="16"/>
                <w:szCs w:val="16"/>
              </w:rPr>
            </w:pPr>
            <w:r>
              <w:rPr>
                <w:rFonts w:ascii="Arial" w:hAnsi="Arial" w:cs="Arial"/>
                <w:b/>
                <w:bCs/>
                <w:sz w:val="16"/>
                <w:szCs w:val="16"/>
              </w:rPr>
              <w:t>2009</w:t>
            </w:r>
          </w:p>
        </w:tc>
        <w:tc>
          <w:tcPr>
            <w:tcW w:w="941" w:type="dxa"/>
            <w:tcBorders>
              <w:top w:val="nil"/>
              <w:left w:val="nil"/>
              <w:bottom w:val="nil"/>
              <w:right w:val="nil"/>
            </w:tcBorders>
            <w:shd w:val="clear" w:color="auto" w:fill="800000"/>
            <w:noWrap/>
            <w:vAlign w:val="bottom"/>
          </w:tcPr>
          <w:p w:rsidR="0015454E" w:rsidRDefault="0015454E" w:rsidP="00FC4F38">
            <w:pPr>
              <w:spacing w:line="360" w:lineRule="auto"/>
              <w:jc w:val="both"/>
              <w:rPr>
                <w:rFonts w:ascii="Arial" w:hAnsi="Arial" w:cs="Arial"/>
                <w:b/>
                <w:bCs/>
                <w:sz w:val="16"/>
                <w:szCs w:val="16"/>
              </w:rPr>
            </w:pPr>
            <w:r>
              <w:rPr>
                <w:rFonts w:ascii="Arial" w:hAnsi="Arial" w:cs="Arial"/>
                <w:b/>
                <w:bCs/>
                <w:sz w:val="16"/>
                <w:szCs w:val="16"/>
              </w:rPr>
              <w:t>2010</w:t>
            </w:r>
          </w:p>
        </w:tc>
        <w:tc>
          <w:tcPr>
            <w:tcW w:w="941" w:type="dxa"/>
            <w:tcBorders>
              <w:top w:val="nil"/>
              <w:left w:val="nil"/>
              <w:bottom w:val="nil"/>
              <w:right w:val="nil"/>
            </w:tcBorders>
            <w:shd w:val="clear" w:color="auto" w:fill="800000"/>
            <w:noWrap/>
            <w:vAlign w:val="bottom"/>
          </w:tcPr>
          <w:p w:rsidR="0015454E" w:rsidRDefault="0015454E" w:rsidP="00FC4F38">
            <w:pPr>
              <w:spacing w:line="360" w:lineRule="auto"/>
              <w:jc w:val="both"/>
              <w:rPr>
                <w:rFonts w:ascii="Arial" w:hAnsi="Arial" w:cs="Arial"/>
                <w:b/>
                <w:bCs/>
                <w:sz w:val="16"/>
                <w:szCs w:val="16"/>
              </w:rPr>
            </w:pPr>
            <w:r>
              <w:rPr>
                <w:rFonts w:ascii="Arial" w:hAnsi="Arial" w:cs="Arial"/>
                <w:b/>
                <w:bCs/>
                <w:sz w:val="16"/>
                <w:szCs w:val="16"/>
              </w:rPr>
              <w:t>2011</w:t>
            </w:r>
          </w:p>
        </w:tc>
        <w:tc>
          <w:tcPr>
            <w:tcW w:w="941" w:type="dxa"/>
            <w:tcBorders>
              <w:top w:val="nil"/>
              <w:left w:val="nil"/>
              <w:bottom w:val="nil"/>
              <w:right w:val="nil"/>
            </w:tcBorders>
            <w:shd w:val="clear" w:color="auto" w:fill="800000"/>
            <w:noWrap/>
            <w:vAlign w:val="bottom"/>
          </w:tcPr>
          <w:p w:rsidR="0015454E" w:rsidRDefault="0015454E" w:rsidP="00FC4F38">
            <w:pPr>
              <w:spacing w:line="360" w:lineRule="auto"/>
              <w:jc w:val="both"/>
              <w:rPr>
                <w:rFonts w:ascii="Arial" w:hAnsi="Arial" w:cs="Arial"/>
                <w:b/>
                <w:bCs/>
                <w:sz w:val="16"/>
                <w:szCs w:val="16"/>
              </w:rPr>
            </w:pPr>
            <w:r>
              <w:rPr>
                <w:rFonts w:ascii="Arial" w:hAnsi="Arial" w:cs="Arial"/>
                <w:b/>
                <w:bCs/>
                <w:sz w:val="16"/>
                <w:szCs w:val="16"/>
              </w:rPr>
              <w:t>2012</w:t>
            </w:r>
          </w:p>
        </w:tc>
        <w:tc>
          <w:tcPr>
            <w:tcW w:w="1065" w:type="dxa"/>
            <w:tcBorders>
              <w:top w:val="nil"/>
              <w:left w:val="nil"/>
              <w:bottom w:val="nil"/>
              <w:right w:val="nil"/>
            </w:tcBorders>
            <w:shd w:val="clear" w:color="auto" w:fill="800000"/>
            <w:noWrap/>
            <w:vAlign w:val="bottom"/>
          </w:tcPr>
          <w:p w:rsidR="0015454E" w:rsidRDefault="0015454E" w:rsidP="00FC4F38">
            <w:pPr>
              <w:spacing w:line="360" w:lineRule="auto"/>
              <w:jc w:val="both"/>
              <w:rPr>
                <w:rFonts w:ascii="Arial" w:hAnsi="Arial" w:cs="Arial"/>
                <w:b/>
                <w:bCs/>
                <w:sz w:val="16"/>
                <w:szCs w:val="16"/>
              </w:rPr>
            </w:pPr>
            <w:r>
              <w:rPr>
                <w:rFonts w:ascii="Arial" w:hAnsi="Arial" w:cs="Arial"/>
                <w:b/>
                <w:bCs/>
                <w:sz w:val="16"/>
                <w:szCs w:val="16"/>
              </w:rPr>
              <w:t>Perpetuidad</w:t>
            </w:r>
          </w:p>
        </w:tc>
      </w:tr>
      <w:tr w:rsidR="0015454E">
        <w:trPr>
          <w:trHeight w:val="255"/>
        </w:trPr>
        <w:tc>
          <w:tcPr>
            <w:tcW w:w="3439"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6"/>
                <w:szCs w:val="16"/>
              </w:rPr>
            </w:pPr>
            <w:r>
              <w:rPr>
                <w:rFonts w:ascii="Arial" w:hAnsi="Arial" w:cs="Arial"/>
                <w:sz w:val="16"/>
                <w:szCs w:val="16"/>
              </w:rPr>
              <w:t>Margen Financiero Neto</w:t>
            </w:r>
          </w:p>
        </w:tc>
        <w:tc>
          <w:tcPr>
            <w:tcW w:w="999"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6"/>
                <w:szCs w:val="16"/>
              </w:rPr>
            </w:pPr>
            <w:r>
              <w:rPr>
                <w:rFonts w:ascii="Arial" w:hAnsi="Arial" w:cs="Arial"/>
                <w:sz w:val="16"/>
                <w:szCs w:val="16"/>
              </w:rPr>
              <w:t>71.939,60</w:t>
            </w:r>
          </w:p>
        </w:tc>
        <w:tc>
          <w:tcPr>
            <w:tcW w:w="941"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6"/>
                <w:szCs w:val="16"/>
              </w:rPr>
            </w:pPr>
            <w:r>
              <w:rPr>
                <w:rFonts w:ascii="Arial" w:hAnsi="Arial" w:cs="Arial"/>
                <w:sz w:val="16"/>
                <w:szCs w:val="16"/>
              </w:rPr>
              <w:t>78.330,30</w:t>
            </w:r>
          </w:p>
        </w:tc>
        <w:tc>
          <w:tcPr>
            <w:tcW w:w="941"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6"/>
                <w:szCs w:val="16"/>
              </w:rPr>
            </w:pPr>
            <w:r>
              <w:rPr>
                <w:rFonts w:ascii="Arial" w:hAnsi="Arial" w:cs="Arial"/>
                <w:sz w:val="16"/>
                <w:szCs w:val="16"/>
              </w:rPr>
              <w:t>84.720,99</w:t>
            </w:r>
          </w:p>
        </w:tc>
        <w:tc>
          <w:tcPr>
            <w:tcW w:w="941"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6"/>
                <w:szCs w:val="16"/>
              </w:rPr>
            </w:pPr>
            <w:r>
              <w:rPr>
                <w:rFonts w:ascii="Arial" w:hAnsi="Arial" w:cs="Arial"/>
                <w:sz w:val="16"/>
                <w:szCs w:val="16"/>
              </w:rPr>
              <w:t>91.111,68</w:t>
            </w:r>
          </w:p>
        </w:tc>
        <w:tc>
          <w:tcPr>
            <w:tcW w:w="941"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6"/>
                <w:szCs w:val="16"/>
              </w:rPr>
            </w:pPr>
            <w:r>
              <w:rPr>
                <w:rFonts w:ascii="Arial" w:hAnsi="Arial" w:cs="Arial"/>
                <w:sz w:val="16"/>
                <w:szCs w:val="16"/>
              </w:rPr>
              <w:t>97.502,37</w:t>
            </w:r>
          </w:p>
        </w:tc>
        <w:tc>
          <w:tcPr>
            <w:tcW w:w="1065"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6"/>
                <w:szCs w:val="16"/>
              </w:rPr>
            </w:pPr>
          </w:p>
        </w:tc>
      </w:tr>
      <w:tr w:rsidR="0015454E">
        <w:trPr>
          <w:trHeight w:val="255"/>
        </w:trPr>
        <w:tc>
          <w:tcPr>
            <w:tcW w:w="3439"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6"/>
                <w:szCs w:val="16"/>
              </w:rPr>
            </w:pPr>
            <w:r>
              <w:rPr>
                <w:rFonts w:ascii="Arial" w:hAnsi="Arial" w:cs="Arial"/>
                <w:sz w:val="16"/>
                <w:szCs w:val="16"/>
              </w:rPr>
              <w:t>Comisiones Netas</w:t>
            </w:r>
          </w:p>
        </w:tc>
        <w:tc>
          <w:tcPr>
            <w:tcW w:w="999"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6"/>
                <w:szCs w:val="16"/>
              </w:rPr>
            </w:pPr>
            <w:r>
              <w:rPr>
                <w:rFonts w:ascii="Arial" w:hAnsi="Arial" w:cs="Arial"/>
                <w:sz w:val="16"/>
                <w:szCs w:val="16"/>
              </w:rPr>
              <w:t>22.947,41</w:t>
            </w:r>
          </w:p>
        </w:tc>
        <w:tc>
          <w:tcPr>
            <w:tcW w:w="941"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6"/>
                <w:szCs w:val="16"/>
              </w:rPr>
            </w:pPr>
            <w:r>
              <w:rPr>
                <w:rFonts w:ascii="Arial" w:hAnsi="Arial" w:cs="Arial"/>
                <w:sz w:val="16"/>
                <w:szCs w:val="16"/>
              </w:rPr>
              <w:t>24.985,93</w:t>
            </w:r>
          </w:p>
        </w:tc>
        <w:tc>
          <w:tcPr>
            <w:tcW w:w="941"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6"/>
                <w:szCs w:val="16"/>
              </w:rPr>
            </w:pPr>
            <w:r>
              <w:rPr>
                <w:rFonts w:ascii="Arial" w:hAnsi="Arial" w:cs="Arial"/>
                <w:sz w:val="16"/>
                <w:szCs w:val="16"/>
              </w:rPr>
              <w:t>27.024,44</w:t>
            </w:r>
          </w:p>
        </w:tc>
        <w:tc>
          <w:tcPr>
            <w:tcW w:w="941"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6"/>
                <w:szCs w:val="16"/>
              </w:rPr>
            </w:pPr>
            <w:r>
              <w:rPr>
                <w:rFonts w:ascii="Arial" w:hAnsi="Arial" w:cs="Arial"/>
                <w:sz w:val="16"/>
                <w:szCs w:val="16"/>
              </w:rPr>
              <w:t>29.062,96</w:t>
            </w:r>
          </w:p>
        </w:tc>
        <w:tc>
          <w:tcPr>
            <w:tcW w:w="941"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6"/>
                <w:szCs w:val="16"/>
              </w:rPr>
            </w:pPr>
            <w:r>
              <w:rPr>
                <w:rFonts w:ascii="Arial" w:hAnsi="Arial" w:cs="Arial"/>
                <w:sz w:val="16"/>
                <w:szCs w:val="16"/>
              </w:rPr>
              <w:t>31.101,47</w:t>
            </w:r>
          </w:p>
        </w:tc>
        <w:tc>
          <w:tcPr>
            <w:tcW w:w="1065"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6"/>
                <w:szCs w:val="16"/>
              </w:rPr>
            </w:pPr>
          </w:p>
        </w:tc>
      </w:tr>
      <w:tr w:rsidR="0015454E">
        <w:trPr>
          <w:trHeight w:val="255"/>
        </w:trPr>
        <w:tc>
          <w:tcPr>
            <w:tcW w:w="3439"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6"/>
                <w:szCs w:val="16"/>
              </w:rPr>
            </w:pPr>
            <w:r>
              <w:rPr>
                <w:rFonts w:ascii="Arial" w:hAnsi="Arial" w:cs="Arial"/>
                <w:sz w:val="16"/>
                <w:szCs w:val="16"/>
              </w:rPr>
              <w:t>Ingresos por Servicios</w:t>
            </w:r>
          </w:p>
        </w:tc>
        <w:tc>
          <w:tcPr>
            <w:tcW w:w="999"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6"/>
                <w:szCs w:val="16"/>
              </w:rPr>
            </w:pPr>
            <w:r>
              <w:rPr>
                <w:rFonts w:ascii="Arial" w:hAnsi="Arial" w:cs="Arial"/>
                <w:sz w:val="16"/>
                <w:szCs w:val="16"/>
              </w:rPr>
              <w:t>12.330,78</w:t>
            </w:r>
          </w:p>
        </w:tc>
        <w:tc>
          <w:tcPr>
            <w:tcW w:w="941"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6"/>
                <w:szCs w:val="16"/>
              </w:rPr>
            </w:pPr>
            <w:r>
              <w:rPr>
                <w:rFonts w:ascii="Arial" w:hAnsi="Arial" w:cs="Arial"/>
                <w:sz w:val="16"/>
                <w:szCs w:val="16"/>
              </w:rPr>
              <w:t>13.426,17</w:t>
            </w:r>
          </w:p>
        </w:tc>
        <w:tc>
          <w:tcPr>
            <w:tcW w:w="941"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6"/>
                <w:szCs w:val="16"/>
              </w:rPr>
            </w:pPr>
            <w:r>
              <w:rPr>
                <w:rFonts w:ascii="Arial" w:hAnsi="Arial" w:cs="Arial"/>
                <w:sz w:val="16"/>
                <w:szCs w:val="16"/>
              </w:rPr>
              <w:t>14.521,56</w:t>
            </w:r>
          </w:p>
        </w:tc>
        <w:tc>
          <w:tcPr>
            <w:tcW w:w="941"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6"/>
                <w:szCs w:val="16"/>
              </w:rPr>
            </w:pPr>
            <w:r>
              <w:rPr>
                <w:rFonts w:ascii="Arial" w:hAnsi="Arial" w:cs="Arial"/>
                <w:sz w:val="16"/>
                <w:szCs w:val="16"/>
              </w:rPr>
              <w:t>15.616,96</w:t>
            </w:r>
          </w:p>
        </w:tc>
        <w:tc>
          <w:tcPr>
            <w:tcW w:w="941"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6"/>
                <w:szCs w:val="16"/>
              </w:rPr>
            </w:pPr>
            <w:r>
              <w:rPr>
                <w:rFonts w:ascii="Arial" w:hAnsi="Arial" w:cs="Arial"/>
                <w:sz w:val="16"/>
                <w:szCs w:val="16"/>
              </w:rPr>
              <w:t>16.712,35</w:t>
            </w:r>
          </w:p>
        </w:tc>
        <w:tc>
          <w:tcPr>
            <w:tcW w:w="1065"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6"/>
                <w:szCs w:val="16"/>
              </w:rPr>
            </w:pPr>
          </w:p>
        </w:tc>
      </w:tr>
      <w:tr w:rsidR="0015454E">
        <w:trPr>
          <w:trHeight w:val="255"/>
        </w:trPr>
        <w:tc>
          <w:tcPr>
            <w:tcW w:w="3439"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6"/>
                <w:szCs w:val="16"/>
              </w:rPr>
            </w:pPr>
            <w:r>
              <w:rPr>
                <w:rFonts w:ascii="Arial" w:hAnsi="Arial" w:cs="Arial"/>
                <w:sz w:val="16"/>
                <w:szCs w:val="16"/>
              </w:rPr>
              <w:t>Utilidades financieras Netas</w:t>
            </w:r>
          </w:p>
        </w:tc>
        <w:tc>
          <w:tcPr>
            <w:tcW w:w="999"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6"/>
                <w:szCs w:val="16"/>
              </w:rPr>
            </w:pPr>
            <w:r>
              <w:rPr>
                <w:rFonts w:ascii="Arial" w:hAnsi="Arial" w:cs="Arial"/>
                <w:sz w:val="16"/>
                <w:szCs w:val="16"/>
              </w:rPr>
              <w:t>17.948,20</w:t>
            </w:r>
          </w:p>
        </w:tc>
        <w:tc>
          <w:tcPr>
            <w:tcW w:w="941"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6"/>
                <w:szCs w:val="16"/>
              </w:rPr>
            </w:pPr>
            <w:r>
              <w:rPr>
                <w:rFonts w:ascii="Arial" w:hAnsi="Arial" w:cs="Arial"/>
                <w:sz w:val="16"/>
                <w:szCs w:val="16"/>
              </w:rPr>
              <w:t>26.664,83</w:t>
            </w:r>
          </w:p>
        </w:tc>
        <w:tc>
          <w:tcPr>
            <w:tcW w:w="941"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6"/>
                <w:szCs w:val="16"/>
              </w:rPr>
            </w:pPr>
            <w:r>
              <w:rPr>
                <w:rFonts w:ascii="Arial" w:hAnsi="Arial" w:cs="Arial"/>
                <w:sz w:val="16"/>
                <w:szCs w:val="16"/>
              </w:rPr>
              <w:t>39.614,75</w:t>
            </w:r>
          </w:p>
        </w:tc>
        <w:tc>
          <w:tcPr>
            <w:tcW w:w="941"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6"/>
                <w:szCs w:val="16"/>
              </w:rPr>
            </w:pPr>
            <w:r>
              <w:rPr>
                <w:rFonts w:ascii="Arial" w:hAnsi="Arial" w:cs="Arial"/>
                <w:sz w:val="16"/>
                <w:szCs w:val="16"/>
              </w:rPr>
              <w:t>58.853,85</w:t>
            </w:r>
          </w:p>
        </w:tc>
        <w:tc>
          <w:tcPr>
            <w:tcW w:w="941"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6"/>
                <w:szCs w:val="16"/>
              </w:rPr>
            </w:pPr>
            <w:r>
              <w:rPr>
                <w:rFonts w:ascii="Arial" w:hAnsi="Arial" w:cs="Arial"/>
                <w:sz w:val="16"/>
                <w:szCs w:val="16"/>
              </w:rPr>
              <w:t>87.436,53</w:t>
            </w:r>
          </w:p>
        </w:tc>
        <w:tc>
          <w:tcPr>
            <w:tcW w:w="1065"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6"/>
                <w:szCs w:val="16"/>
              </w:rPr>
            </w:pPr>
          </w:p>
        </w:tc>
      </w:tr>
      <w:tr w:rsidR="0015454E">
        <w:trPr>
          <w:trHeight w:val="255"/>
        </w:trPr>
        <w:tc>
          <w:tcPr>
            <w:tcW w:w="3439" w:type="dxa"/>
            <w:tcBorders>
              <w:top w:val="nil"/>
              <w:left w:val="nil"/>
              <w:bottom w:val="nil"/>
              <w:right w:val="nil"/>
            </w:tcBorders>
            <w:shd w:val="clear" w:color="000000" w:fill="D8D8D8"/>
            <w:noWrap/>
            <w:vAlign w:val="bottom"/>
          </w:tcPr>
          <w:p w:rsidR="0015454E" w:rsidRDefault="0015454E" w:rsidP="00FC4F38">
            <w:pPr>
              <w:spacing w:line="360" w:lineRule="auto"/>
              <w:jc w:val="both"/>
              <w:rPr>
                <w:rFonts w:ascii="Arial" w:hAnsi="Arial" w:cs="Arial"/>
                <w:b/>
                <w:bCs/>
                <w:sz w:val="16"/>
                <w:szCs w:val="16"/>
              </w:rPr>
            </w:pPr>
            <w:r>
              <w:rPr>
                <w:rFonts w:ascii="Arial" w:hAnsi="Arial" w:cs="Arial"/>
                <w:b/>
                <w:bCs/>
                <w:sz w:val="16"/>
                <w:szCs w:val="16"/>
              </w:rPr>
              <w:t>MARGEN BRUTO FINANCIERO</w:t>
            </w:r>
          </w:p>
        </w:tc>
        <w:tc>
          <w:tcPr>
            <w:tcW w:w="999" w:type="dxa"/>
            <w:tcBorders>
              <w:top w:val="nil"/>
              <w:left w:val="nil"/>
              <w:bottom w:val="nil"/>
              <w:right w:val="nil"/>
            </w:tcBorders>
            <w:shd w:val="clear" w:color="000000" w:fill="D8D8D8"/>
            <w:noWrap/>
            <w:vAlign w:val="bottom"/>
          </w:tcPr>
          <w:p w:rsidR="0015454E" w:rsidRDefault="0015454E" w:rsidP="00FC4F38">
            <w:pPr>
              <w:spacing w:line="360" w:lineRule="auto"/>
              <w:jc w:val="both"/>
              <w:rPr>
                <w:rFonts w:ascii="Arial" w:hAnsi="Arial" w:cs="Arial"/>
                <w:b/>
                <w:bCs/>
                <w:sz w:val="16"/>
                <w:szCs w:val="16"/>
              </w:rPr>
            </w:pPr>
            <w:r>
              <w:rPr>
                <w:rFonts w:ascii="Arial" w:hAnsi="Arial" w:cs="Arial"/>
                <w:b/>
                <w:bCs/>
                <w:sz w:val="16"/>
                <w:szCs w:val="16"/>
              </w:rPr>
              <w:t>125.166,00</w:t>
            </w:r>
          </w:p>
        </w:tc>
        <w:tc>
          <w:tcPr>
            <w:tcW w:w="941" w:type="dxa"/>
            <w:tcBorders>
              <w:top w:val="nil"/>
              <w:left w:val="nil"/>
              <w:bottom w:val="nil"/>
              <w:right w:val="nil"/>
            </w:tcBorders>
            <w:shd w:val="clear" w:color="000000" w:fill="D8D8D8"/>
            <w:noWrap/>
            <w:vAlign w:val="bottom"/>
          </w:tcPr>
          <w:p w:rsidR="0015454E" w:rsidRDefault="0015454E" w:rsidP="00FC4F38">
            <w:pPr>
              <w:spacing w:line="360" w:lineRule="auto"/>
              <w:jc w:val="both"/>
              <w:rPr>
                <w:rFonts w:ascii="Arial" w:hAnsi="Arial" w:cs="Arial"/>
                <w:b/>
                <w:bCs/>
                <w:sz w:val="16"/>
                <w:szCs w:val="16"/>
              </w:rPr>
            </w:pPr>
            <w:r>
              <w:rPr>
                <w:rFonts w:ascii="Arial" w:hAnsi="Arial" w:cs="Arial"/>
                <w:b/>
                <w:bCs/>
                <w:sz w:val="16"/>
                <w:szCs w:val="16"/>
              </w:rPr>
              <w:t>143.407,23</w:t>
            </w:r>
          </w:p>
        </w:tc>
        <w:tc>
          <w:tcPr>
            <w:tcW w:w="941" w:type="dxa"/>
            <w:tcBorders>
              <w:top w:val="nil"/>
              <w:left w:val="nil"/>
              <w:bottom w:val="nil"/>
              <w:right w:val="nil"/>
            </w:tcBorders>
            <w:shd w:val="clear" w:color="000000" w:fill="D8D8D8"/>
            <w:noWrap/>
            <w:vAlign w:val="bottom"/>
          </w:tcPr>
          <w:p w:rsidR="0015454E" w:rsidRDefault="0015454E" w:rsidP="00FC4F38">
            <w:pPr>
              <w:spacing w:line="360" w:lineRule="auto"/>
              <w:jc w:val="both"/>
              <w:rPr>
                <w:rFonts w:ascii="Arial" w:hAnsi="Arial" w:cs="Arial"/>
                <w:b/>
                <w:bCs/>
                <w:sz w:val="16"/>
                <w:szCs w:val="16"/>
              </w:rPr>
            </w:pPr>
            <w:r>
              <w:rPr>
                <w:rFonts w:ascii="Arial" w:hAnsi="Arial" w:cs="Arial"/>
                <w:b/>
                <w:bCs/>
                <w:sz w:val="16"/>
                <w:szCs w:val="16"/>
              </w:rPr>
              <w:t>165.881,74</w:t>
            </w:r>
          </w:p>
        </w:tc>
        <w:tc>
          <w:tcPr>
            <w:tcW w:w="941" w:type="dxa"/>
            <w:tcBorders>
              <w:top w:val="nil"/>
              <w:left w:val="nil"/>
              <w:bottom w:val="nil"/>
              <w:right w:val="nil"/>
            </w:tcBorders>
            <w:shd w:val="clear" w:color="000000" w:fill="D8D8D8"/>
            <w:noWrap/>
            <w:vAlign w:val="bottom"/>
          </w:tcPr>
          <w:p w:rsidR="0015454E" w:rsidRDefault="0015454E" w:rsidP="00FC4F38">
            <w:pPr>
              <w:spacing w:line="360" w:lineRule="auto"/>
              <w:jc w:val="both"/>
              <w:rPr>
                <w:rFonts w:ascii="Arial" w:hAnsi="Arial" w:cs="Arial"/>
                <w:b/>
                <w:bCs/>
                <w:sz w:val="16"/>
                <w:szCs w:val="16"/>
              </w:rPr>
            </w:pPr>
            <w:r>
              <w:rPr>
                <w:rFonts w:ascii="Arial" w:hAnsi="Arial" w:cs="Arial"/>
                <w:b/>
                <w:bCs/>
                <w:sz w:val="16"/>
                <w:szCs w:val="16"/>
              </w:rPr>
              <w:t>194.645,45</w:t>
            </w:r>
          </w:p>
        </w:tc>
        <w:tc>
          <w:tcPr>
            <w:tcW w:w="941" w:type="dxa"/>
            <w:tcBorders>
              <w:top w:val="nil"/>
              <w:left w:val="nil"/>
              <w:bottom w:val="nil"/>
              <w:right w:val="nil"/>
            </w:tcBorders>
            <w:shd w:val="clear" w:color="000000" w:fill="D8D8D8"/>
            <w:noWrap/>
            <w:vAlign w:val="bottom"/>
          </w:tcPr>
          <w:p w:rsidR="0015454E" w:rsidRDefault="0015454E" w:rsidP="00FC4F38">
            <w:pPr>
              <w:spacing w:line="360" w:lineRule="auto"/>
              <w:jc w:val="both"/>
              <w:rPr>
                <w:rFonts w:ascii="Arial" w:hAnsi="Arial" w:cs="Arial"/>
                <w:b/>
                <w:bCs/>
                <w:sz w:val="16"/>
                <w:szCs w:val="16"/>
              </w:rPr>
            </w:pPr>
            <w:r>
              <w:rPr>
                <w:rFonts w:ascii="Arial" w:hAnsi="Arial" w:cs="Arial"/>
                <w:b/>
                <w:bCs/>
                <w:sz w:val="16"/>
                <w:szCs w:val="16"/>
              </w:rPr>
              <w:t>232.752,72</w:t>
            </w:r>
          </w:p>
        </w:tc>
        <w:tc>
          <w:tcPr>
            <w:tcW w:w="1065"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6"/>
                <w:szCs w:val="16"/>
              </w:rPr>
            </w:pPr>
          </w:p>
        </w:tc>
      </w:tr>
      <w:tr w:rsidR="0015454E">
        <w:trPr>
          <w:trHeight w:val="255"/>
        </w:trPr>
        <w:tc>
          <w:tcPr>
            <w:tcW w:w="3439"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6"/>
                <w:szCs w:val="16"/>
              </w:rPr>
            </w:pPr>
            <w:r>
              <w:rPr>
                <w:rFonts w:ascii="Arial" w:hAnsi="Arial" w:cs="Arial"/>
                <w:sz w:val="16"/>
                <w:szCs w:val="16"/>
              </w:rPr>
              <w:t>Provisiones</w:t>
            </w:r>
          </w:p>
        </w:tc>
        <w:tc>
          <w:tcPr>
            <w:tcW w:w="999"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6"/>
                <w:szCs w:val="16"/>
              </w:rPr>
            </w:pPr>
            <w:r>
              <w:rPr>
                <w:rFonts w:ascii="Arial" w:hAnsi="Arial" w:cs="Arial"/>
                <w:sz w:val="16"/>
                <w:szCs w:val="16"/>
              </w:rPr>
              <w:t>14.020,93</w:t>
            </w:r>
          </w:p>
        </w:tc>
        <w:tc>
          <w:tcPr>
            <w:tcW w:w="941"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6"/>
                <w:szCs w:val="16"/>
              </w:rPr>
            </w:pPr>
            <w:r>
              <w:rPr>
                <w:rFonts w:ascii="Arial" w:hAnsi="Arial" w:cs="Arial"/>
                <w:sz w:val="16"/>
                <w:szCs w:val="16"/>
              </w:rPr>
              <w:t>15.266,47</w:t>
            </w:r>
          </w:p>
        </w:tc>
        <w:tc>
          <w:tcPr>
            <w:tcW w:w="941"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6"/>
                <w:szCs w:val="16"/>
              </w:rPr>
            </w:pPr>
            <w:r>
              <w:rPr>
                <w:rFonts w:ascii="Arial" w:hAnsi="Arial" w:cs="Arial"/>
                <w:sz w:val="16"/>
                <w:szCs w:val="16"/>
              </w:rPr>
              <w:t>16.512,00</w:t>
            </w:r>
          </w:p>
        </w:tc>
        <w:tc>
          <w:tcPr>
            <w:tcW w:w="941"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6"/>
                <w:szCs w:val="16"/>
              </w:rPr>
            </w:pPr>
            <w:r>
              <w:rPr>
                <w:rFonts w:ascii="Arial" w:hAnsi="Arial" w:cs="Arial"/>
                <w:sz w:val="16"/>
                <w:szCs w:val="16"/>
              </w:rPr>
              <w:t>17.757,54</w:t>
            </w:r>
          </w:p>
        </w:tc>
        <w:tc>
          <w:tcPr>
            <w:tcW w:w="941"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6"/>
                <w:szCs w:val="16"/>
              </w:rPr>
            </w:pPr>
            <w:r>
              <w:rPr>
                <w:rFonts w:ascii="Arial" w:hAnsi="Arial" w:cs="Arial"/>
                <w:sz w:val="16"/>
                <w:szCs w:val="16"/>
              </w:rPr>
              <w:t>19.003,08</w:t>
            </w:r>
          </w:p>
        </w:tc>
        <w:tc>
          <w:tcPr>
            <w:tcW w:w="1065"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6"/>
                <w:szCs w:val="16"/>
              </w:rPr>
            </w:pPr>
          </w:p>
        </w:tc>
      </w:tr>
      <w:tr w:rsidR="0015454E">
        <w:trPr>
          <w:trHeight w:val="255"/>
        </w:trPr>
        <w:tc>
          <w:tcPr>
            <w:tcW w:w="3439" w:type="dxa"/>
            <w:tcBorders>
              <w:top w:val="nil"/>
              <w:left w:val="nil"/>
              <w:bottom w:val="nil"/>
              <w:right w:val="nil"/>
            </w:tcBorders>
            <w:shd w:val="clear" w:color="000000" w:fill="D8D8D8"/>
            <w:noWrap/>
            <w:vAlign w:val="bottom"/>
          </w:tcPr>
          <w:p w:rsidR="0015454E" w:rsidRDefault="0015454E" w:rsidP="00FC4F38">
            <w:pPr>
              <w:spacing w:line="360" w:lineRule="auto"/>
              <w:jc w:val="both"/>
              <w:rPr>
                <w:rFonts w:ascii="Arial" w:hAnsi="Arial" w:cs="Arial"/>
                <w:b/>
                <w:bCs/>
                <w:sz w:val="16"/>
                <w:szCs w:val="16"/>
              </w:rPr>
            </w:pPr>
            <w:r>
              <w:rPr>
                <w:rFonts w:ascii="Arial" w:hAnsi="Arial" w:cs="Arial"/>
                <w:b/>
                <w:bCs/>
                <w:sz w:val="16"/>
                <w:szCs w:val="16"/>
              </w:rPr>
              <w:t>MARGEN NETO FINANCIERO</w:t>
            </w:r>
          </w:p>
        </w:tc>
        <w:tc>
          <w:tcPr>
            <w:tcW w:w="999" w:type="dxa"/>
            <w:tcBorders>
              <w:top w:val="nil"/>
              <w:left w:val="nil"/>
              <w:bottom w:val="nil"/>
              <w:right w:val="nil"/>
            </w:tcBorders>
            <w:shd w:val="clear" w:color="000000" w:fill="D8D8D8"/>
            <w:noWrap/>
            <w:vAlign w:val="bottom"/>
          </w:tcPr>
          <w:p w:rsidR="0015454E" w:rsidRDefault="0015454E" w:rsidP="00FC4F38">
            <w:pPr>
              <w:spacing w:line="360" w:lineRule="auto"/>
              <w:jc w:val="both"/>
              <w:rPr>
                <w:rFonts w:ascii="Arial" w:hAnsi="Arial" w:cs="Arial"/>
                <w:b/>
                <w:bCs/>
                <w:sz w:val="16"/>
                <w:szCs w:val="16"/>
              </w:rPr>
            </w:pPr>
            <w:r>
              <w:rPr>
                <w:rFonts w:ascii="Arial" w:hAnsi="Arial" w:cs="Arial"/>
                <w:b/>
                <w:bCs/>
                <w:sz w:val="16"/>
                <w:szCs w:val="16"/>
              </w:rPr>
              <w:t>111.145,07</w:t>
            </w:r>
          </w:p>
        </w:tc>
        <w:tc>
          <w:tcPr>
            <w:tcW w:w="941" w:type="dxa"/>
            <w:tcBorders>
              <w:top w:val="nil"/>
              <w:left w:val="nil"/>
              <w:bottom w:val="nil"/>
              <w:right w:val="nil"/>
            </w:tcBorders>
            <w:shd w:val="clear" w:color="000000" w:fill="D8D8D8"/>
            <w:noWrap/>
            <w:vAlign w:val="bottom"/>
          </w:tcPr>
          <w:p w:rsidR="0015454E" w:rsidRDefault="0015454E" w:rsidP="00FC4F38">
            <w:pPr>
              <w:spacing w:line="360" w:lineRule="auto"/>
              <w:jc w:val="both"/>
              <w:rPr>
                <w:rFonts w:ascii="Arial" w:hAnsi="Arial" w:cs="Arial"/>
                <w:b/>
                <w:bCs/>
                <w:sz w:val="16"/>
                <w:szCs w:val="16"/>
              </w:rPr>
            </w:pPr>
            <w:r>
              <w:rPr>
                <w:rFonts w:ascii="Arial" w:hAnsi="Arial" w:cs="Arial"/>
                <w:b/>
                <w:bCs/>
                <w:sz w:val="16"/>
                <w:szCs w:val="16"/>
              </w:rPr>
              <w:t>128.140,76</w:t>
            </w:r>
          </w:p>
        </w:tc>
        <w:tc>
          <w:tcPr>
            <w:tcW w:w="941" w:type="dxa"/>
            <w:tcBorders>
              <w:top w:val="nil"/>
              <w:left w:val="nil"/>
              <w:bottom w:val="nil"/>
              <w:right w:val="nil"/>
            </w:tcBorders>
            <w:shd w:val="clear" w:color="000000" w:fill="D8D8D8"/>
            <w:noWrap/>
            <w:vAlign w:val="bottom"/>
          </w:tcPr>
          <w:p w:rsidR="0015454E" w:rsidRDefault="0015454E" w:rsidP="00FC4F38">
            <w:pPr>
              <w:spacing w:line="360" w:lineRule="auto"/>
              <w:jc w:val="both"/>
              <w:rPr>
                <w:rFonts w:ascii="Arial" w:hAnsi="Arial" w:cs="Arial"/>
                <w:b/>
                <w:bCs/>
                <w:sz w:val="16"/>
                <w:szCs w:val="16"/>
              </w:rPr>
            </w:pPr>
            <w:r>
              <w:rPr>
                <w:rFonts w:ascii="Arial" w:hAnsi="Arial" w:cs="Arial"/>
                <w:b/>
                <w:bCs/>
                <w:sz w:val="16"/>
                <w:szCs w:val="16"/>
              </w:rPr>
              <w:t>149.369,74</w:t>
            </w:r>
          </w:p>
        </w:tc>
        <w:tc>
          <w:tcPr>
            <w:tcW w:w="941" w:type="dxa"/>
            <w:tcBorders>
              <w:top w:val="nil"/>
              <w:left w:val="nil"/>
              <w:bottom w:val="nil"/>
              <w:right w:val="nil"/>
            </w:tcBorders>
            <w:shd w:val="clear" w:color="000000" w:fill="D8D8D8"/>
            <w:noWrap/>
            <w:vAlign w:val="bottom"/>
          </w:tcPr>
          <w:p w:rsidR="0015454E" w:rsidRDefault="0015454E" w:rsidP="00FC4F38">
            <w:pPr>
              <w:spacing w:line="360" w:lineRule="auto"/>
              <w:jc w:val="both"/>
              <w:rPr>
                <w:rFonts w:ascii="Arial" w:hAnsi="Arial" w:cs="Arial"/>
                <w:b/>
                <w:bCs/>
                <w:sz w:val="16"/>
                <w:szCs w:val="16"/>
              </w:rPr>
            </w:pPr>
            <w:r>
              <w:rPr>
                <w:rFonts w:ascii="Arial" w:hAnsi="Arial" w:cs="Arial"/>
                <w:b/>
                <w:bCs/>
                <w:sz w:val="16"/>
                <w:szCs w:val="16"/>
              </w:rPr>
              <w:t>176.887,91</w:t>
            </w:r>
          </w:p>
        </w:tc>
        <w:tc>
          <w:tcPr>
            <w:tcW w:w="941" w:type="dxa"/>
            <w:tcBorders>
              <w:top w:val="nil"/>
              <w:left w:val="nil"/>
              <w:bottom w:val="nil"/>
              <w:right w:val="nil"/>
            </w:tcBorders>
            <w:shd w:val="clear" w:color="000000" w:fill="D8D8D8"/>
            <w:noWrap/>
            <w:vAlign w:val="bottom"/>
          </w:tcPr>
          <w:p w:rsidR="0015454E" w:rsidRDefault="0015454E" w:rsidP="00FC4F38">
            <w:pPr>
              <w:spacing w:line="360" w:lineRule="auto"/>
              <w:jc w:val="both"/>
              <w:rPr>
                <w:rFonts w:ascii="Arial" w:hAnsi="Arial" w:cs="Arial"/>
                <w:b/>
                <w:bCs/>
                <w:sz w:val="16"/>
                <w:szCs w:val="16"/>
              </w:rPr>
            </w:pPr>
            <w:r>
              <w:rPr>
                <w:rFonts w:ascii="Arial" w:hAnsi="Arial" w:cs="Arial"/>
                <w:b/>
                <w:bCs/>
                <w:sz w:val="16"/>
                <w:szCs w:val="16"/>
              </w:rPr>
              <w:t>213.749,64</w:t>
            </w:r>
          </w:p>
        </w:tc>
        <w:tc>
          <w:tcPr>
            <w:tcW w:w="1065"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6"/>
                <w:szCs w:val="16"/>
              </w:rPr>
            </w:pPr>
          </w:p>
        </w:tc>
      </w:tr>
      <w:tr w:rsidR="0015454E">
        <w:trPr>
          <w:trHeight w:val="255"/>
        </w:trPr>
        <w:tc>
          <w:tcPr>
            <w:tcW w:w="3439"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6"/>
                <w:szCs w:val="16"/>
              </w:rPr>
            </w:pPr>
            <w:r>
              <w:rPr>
                <w:rFonts w:ascii="Arial" w:hAnsi="Arial" w:cs="Arial"/>
                <w:sz w:val="16"/>
                <w:szCs w:val="16"/>
              </w:rPr>
              <w:t>Gastos Operacionales</w:t>
            </w:r>
          </w:p>
        </w:tc>
        <w:tc>
          <w:tcPr>
            <w:tcW w:w="999"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6"/>
                <w:szCs w:val="16"/>
              </w:rPr>
            </w:pPr>
            <w:r>
              <w:rPr>
                <w:rFonts w:ascii="Arial" w:hAnsi="Arial" w:cs="Arial"/>
                <w:sz w:val="16"/>
                <w:szCs w:val="16"/>
              </w:rPr>
              <w:t>81.049,12</w:t>
            </w:r>
          </w:p>
        </w:tc>
        <w:tc>
          <w:tcPr>
            <w:tcW w:w="941"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6"/>
                <w:szCs w:val="16"/>
              </w:rPr>
            </w:pPr>
            <w:r>
              <w:rPr>
                <w:rFonts w:ascii="Arial" w:hAnsi="Arial" w:cs="Arial"/>
                <w:sz w:val="16"/>
                <w:szCs w:val="16"/>
              </w:rPr>
              <w:t>88.249,05</w:t>
            </w:r>
          </w:p>
        </w:tc>
        <w:tc>
          <w:tcPr>
            <w:tcW w:w="941"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6"/>
                <w:szCs w:val="16"/>
              </w:rPr>
            </w:pPr>
            <w:r>
              <w:rPr>
                <w:rFonts w:ascii="Arial" w:hAnsi="Arial" w:cs="Arial"/>
                <w:sz w:val="16"/>
                <w:szCs w:val="16"/>
              </w:rPr>
              <w:t>95.448,97</w:t>
            </w:r>
          </w:p>
        </w:tc>
        <w:tc>
          <w:tcPr>
            <w:tcW w:w="941"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6"/>
                <w:szCs w:val="16"/>
              </w:rPr>
            </w:pPr>
            <w:r>
              <w:rPr>
                <w:rFonts w:ascii="Arial" w:hAnsi="Arial" w:cs="Arial"/>
                <w:sz w:val="16"/>
                <w:szCs w:val="16"/>
              </w:rPr>
              <w:t>102.648,90</w:t>
            </w:r>
          </w:p>
        </w:tc>
        <w:tc>
          <w:tcPr>
            <w:tcW w:w="941"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6"/>
                <w:szCs w:val="16"/>
              </w:rPr>
            </w:pPr>
            <w:r>
              <w:rPr>
                <w:rFonts w:ascii="Arial" w:hAnsi="Arial" w:cs="Arial"/>
                <w:sz w:val="16"/>
                <w:szCs w:val="16"/>
              </w:rPr>
              <w:t>109.848,83</w:t>
            </w:r>
          </w:p>
        </w:tc>
        <w:tc>
          <w:tcPr>
            <w:tcW w:w="1065"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6"/>
                <w:szCs w:val="16"/>
              </w:rPr>
            </w:pPr>
          </w:p>
        </w:tc>
      </w:tr>
      <w:tr w:rsidR="0015454E">
        <w:trPr>
          <w:trHeight w:val="255"/>
        </w:trPr>
        <w:tc>
          <w:tcPr>
            <w:tcW w:w="3439" w:type="dxa"/>
            <w:tcBorders>
              <w:top w:val="nil"/>
              <w:left w:val="nil"/>
              <w:bottom w:val="nil"/>
              <w:right w:val="nil"/>
            </w:tcBorders>
            <w:shd w:val="clear" w:color="000000" w:fill="D8D8D8"/>
            <w:noWrap/>
            <w:vAlign w:val="bottom"/>
          </w:tcPr>
          <w:p w:rsidR="0015454E" w:rsidRDefault="0015454E" w:rsidP="00FC4F38">
            <w:pPr>
              <w:spacing w:line="360" w:lineRule="auto"/>
              <w:jc w:val="both"/>
              <w:rPr>
                <w:rFonts w:ascii="Arial" w:hAnsi="Arial" w:cs="Arial"/>
                <w:b/>
                <w:bCs/>
                <w:sz w:val="16"/>
                <w:szCs w:val="16"/>
              </w:rPr>
            </w:pPr>
            <w:r>
              <w:rPr>
                <w:rFonts w:ascii="Arial" w:hAnsi="Arial" w:cs="Arial"/>
                <w:b/>
                <w:bCs/>
                <w:sz w:val="16"/>
                <w:szCs w:val="16"/>
              </w:rPr>
              <w:t>MARGEN DE INTERMEDIACION</w:t>
            </w:r>
          </w:p>
        </w:tc>
        <w:tc>
          <w:tcPr>
            <w:tcW w:w="999" w:type="dxa"/>
            <w:tcBorders>
              <w:top w:val="nil"/>
              <w:left w:val="nil"/>
              <w:bottom w:val="nil"/>
              <w:right w:val="nil"/>
            </w:tcBorders>
            <w:shd w:val="clear" w:color="000000" w:fill="D8D8D8"/>
            <w:noWrap/>
            <w:vAlign w:val="bottom"/>
          </w:tcPr>
          <w:p w:rsidR="0015454E" w:rsidRDefault="0015454E" w:rsidP="00FC4F38">
            <w:pPr>
              <w:spacing w:line="360" w:lineRule="auto"/>
              <w:jc w:val="both"/>
              <w:rPr>
                <w:rFonts w:ascii="Arial" w:hAnsi="Arial" w:cs="Arial"/>
                <w:b/>
                <w:bCs/>
                <w:sz w:val="16"/>
                <w:szCs w:val="16"/>
              </w:rPr>
            </w:pPr>
            <w:r>
              <w:rPr>
                <w:rFonts w:ascii="Arial" w:hAnsi="Arial" w:cs="Arial"/>
                <w:b/>
                <w:bCs/>
                <w:sz w:val="16"/>
                <w:szCs w:val="16"/>
              </w:rPr>
              <w:t>30.095,95</w:t>
            </w:r>
          </w:p>
        </w:tc>
        <w:tc>
          <w:tcPr>
            <w:tcW w:w="941" w:type="dxa"/>
            <w:tcBorders>
              <w:top w:val="nil"/>
              <w:left w:val="nil"/>
              <w:bottom w:val="nil"/>
              <w:right w:val="nil"/>
            </w:tcBorders>
            <w:shd w:val="clear" w:color="000000" w:fill="D8D8D8"/>
            <w:noWrap/>
            <w:vAlign w:val="bottom"/>
          </w:tcPr>
          <w:p w:rsidR="0015454E" w:rsidRDefault="0015454E" w:rsidP="00FC4F38">
            <w:pPr>
              <w:spacing w:line="360" w:lineRule="auto"/>
              <w:jc w:val="both"/>
              <w:rPr>
                <w:rFonts w:ascii="Arial" w:hAnsi="Arial" w:cs="Arial"/>
                <w:b/>
                <w:bCs/>
                <w:sz w:val="16"/>
                <w:szCs w:val="16"/>
              </w:rPr>
            </w:pPr>
            <w:r>
              <w:rPr>
                <w:rFonts w:ascii="Arial" w:hAnsi="Arial" w:cs="Arial"/>
                <w:b/>
                <w:bCs/>
                <w:sz w:val="16"/>
                <w:szCs w:val="16"/>
              </w:rPr>
              <w:t>39.891,72</w:t>
            </w:r>
          </w:p>
        </w:tc>
        <w:tc>
          <w:tcPr>
            <w:tcW w:w="941" w:type="dxa"/>
            <w:tcBorders>
              <w:top w:val="nil"/>
              <w:left w:val="nil"/>
              <w:bottom w:val="nil"/>
              <w:right w:val="nil"/>
            </w:tcBorders>
            <w:shd w:val="clear" w:color="000000" w:fill="D8D8D8"/>
            <w:noWrap/>
            <w:vAlign w:val="bottom"/>
          </w:tcPr>
          <w:p w:rsidR="0015454E" w:rsidRDefault="0015454E" w:rsidP="00FC4F38">
            <w:pPr>
              <w:spacing w:line="360" w:lineRule="auto"/>
              <w:jc w:val="both"/>
              <w:rPr>
                <w:rFonts w:ascii="Arial" w:hAnsi="Arial" w:cs="Arial"/>
                <w:b/>
                <w:bCs/>
                <w:sz w:val="16"/>
                <w:szCs w:val="16"/>
              </w:rPr>
            </w:pPr>
            <w:r>
              <w:rPr>
                <w:rFonts w:ascii="Arial" w:hAnsi="Arial" w:cs="Arial"/>
                <w:b/>
                <w:bCs/>
                <w:sz w:val="16"/>
                <w:szCs w:val="16"/>
              </w:rPr>
              <w:t>53.920,76</w:t>
            </w:r>
          </w:p>
        </w:tc>
        <w:tc>
          <w:tcPr>
            <w:tcW w:w="941" w:type="dxa"/>
            <w:tcBorders>
              <w:top w:val="nil"/>
              <w:left w:val="nil"/>
              <w:bottom w:val="nil"/>
              <w:right w:val="nil"/>
            </w:tcBorders>
            <w:shd w:val="clear" w:color="000000" w:fill="D8D8D8"/>
            <w:noWrap/>
            <w:vAlign w:val="bottom"/>
          </w:tcPr>
          <w:p w:rsidR="0015454E" w:rsidRDefault="0015454E" w:rsidP="00FC4F38">
            <w:pPr>
              <w:spacing w:line="360" w:lineRule="auto"/>
              <w:jc w:val="both"/>
              <w:rPr>
                <w:rFonts w:ascii="Arial" w:hAnsi="Arial" w:cs="Arial"/>
                <w:b/>
                <w:bCs/>
                <w:sz w:val="16"/>
                <w:szCs w:val="16"/>
              </w:rPr>
            </w:pPr>
            <w:r>
              <w:rPr>
                <w:rFonts w:ascii="Arial" w:hAnsi="Arial" w:cs="Arial"/>
                <w:b/>
                <w:bCs/>
                <w:sz w:val="16"/>
                <w:szCs w:val="16"/>
              </w:rPr>
              <w:t>74.239,00</w:t>
            </w:r>
          </w:p>
        </w:tc>
        <w:tc>
          <w:tcPr>
            <w:tcW w:w="941" w:type="dxa"/>
            <w:tcBorders>
              <w:top w:val="nil"/>
              <w:left w:val="nil"/>
              <w:bottom w:val="nil"/>
              <w:right w:val="nil"/>
            </w:tcBorders>
            <w:shd w:val="clear" w:color="000000" w:fill="D8D8D8"/>
            <w:noWrap/>
            <w:vAlign w:val="bottom"/>
          </w:tcPr>
          <w:p w:rsidR="0015454E" w:rsidRDefault="0015454E" w:rsidP="00FC4F38">
            <w:pPr>
              <w:spacing w:line="360" w:lineRule="auto"/>
              <w:jc w:val="both"/>
              <w:rPr>
                <w:rFonts w:ascii="Arial" w:hAnsi="Arial" w:cs="Arial"/>
                <w:b/>
                <w:bCs/>
                <w:sz w:val="16"/>
                <w:szCs w:val="16"/>
              </w:rPr>
            </w:pPr>
            <w:r>
              <w:rPr>
                <w:rFonts w:ascii="Arial" w:hAnsi="Arial" w:cs="Arial"/>
                <w:b/>
                <w:bCs/>
                <w:sz w:val="16"/>
                <w:szCs w:val="16"/>
              </w:rPr>
              <w:t>103.900,81</w:t>
            </w:r>
          </w:p>
        </w:tc>
        <w:tc>
          <w:tcPr>
            <w:tcW w:w="1065"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6"/>
                <w:szCs w:val="16"/>
              </w:rPr>
            </w:pPr>
          </w:p>
        </w:tc>
      </w:tr>
      <w:tr w:rsidR="0015454E">
        <w:trPr>
          <w:trHeight w:val="255"/>
        </w:trPr>
        <w:tc>
          <w:tcPr>
            <w:tcW w:w="3439"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6"/>
                <w:szCs w:val="16"/>
              </w:rPr>
            </w:pPr>
            <w:r>
              <w:rPr>
                <w:rFonts w:ascii="Arial" w:hAnsi="Arial" w:cs="Arial"/>
                <w:sz w:val="16"/>
                <w:szCs w:val="16"/>
              </w:rPr>
              <w:t>Otros Ingresos Netos</w:t>
            </w:r>
          </w:p>
        </w:tc>
        <w:tc>
          <w:tcPr>
            <w:tcW w:w="999"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6"/>
                <w:szCs w:val="16"/>
              </w:rPr>
            </w:pPr>
            <w:r>
              <w:rPr>
                <w:rFonts w:ascii="Arial" w:hAnsi="Arial" w:cs="Arial"/>
                <w:sz w:val="16"/>
                <w:szCs w:val="16"/>
              </w:rPr>
              <w:t>15.321,26</w:t>
            </w:r>
          </w:p>
        </w:tc>
        <w:tc>
          <w:tcPr>
            <w:tcW w:w="941"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6"/>
                <w:szCs w:val="16"/>
              </w:rPr>
            </w:pPr>
            <w:r>
              <w:rPr>
                <w:rFonts w:ascii="Arial" w:hAnsi="Arial" w:cs="Arial"/>
                <w:sz w:val="16"/>
                <w:szCs w:val="16"/>
              </w:rPr>
              <w:t>16.682,32</w:t>
            </w:r>
          </w:p>
        </w:tc>
        <w:tc>
          <w:tcPr>
            <w:tcW w:w="941"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6"/>
                <w:szCs w:val="16"/>
              </w:rPr>
            </w:pPr>
            <w:r>
              <w:rPr>
                <w:rFonts w:ascii="Arial" w:hAnsi="Arial" w:cs="Arial"/>
                <w:sz w:val="16"/>
                <w:szCs w:val="16"/>
              </w:rPr>
              <w:t>18.043,37</w:t>
            </w:r>
          </w:p>
        </w:tc>
        <w:tc>
          <w:tcPr>
            <w:tcW w:w="941"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6"/>
                <w:szCs w:val="16"/>
              </w:rPr>
            </w:pPr>
            <w:r>
              <w:rPr>
                <w:rFonts w:ascii="Arial" w:hAnsi="Arial" w:cs="Arial"/>
                <w:sz w:val="16"/>
                <w:szCs w:val="16"/>
              </w:rPr>
              <w:t>19.404,42</w:t>
            </w:r>
          </w:p>
        </w:tc>
        <w:tc>
          <w:tcPr>
            <w:tcW w:w="941"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6"/>
                <w:szCs w:val="16"/>
              </w:rPr>
            </w:pPr>
            <w:r>
              <w:rPr>
                <w:rFonts w:ascii="Arial" w:hAnsi="Arial" w:cs="Arial"/>
                <w:sz w:val="16"/>
                <w:szCs w:val="16"/>
              </w:rPr>
              <w:t>20.765,47</w:t>
            </w:r>
          </w:p>
        </w:tc>
        <w:tc>
          <w:tcPr>
            <w:tcW w:w="1065"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6"/>
                <w:szCs w:val="16"/>
              </w:rPr>
            </w:pPr>
          </w:p>
        </w:tc>
      </w:tr>
      <w:tr w:rsidR="0015454E">
        <w:trPr>
          <w:trHeight w:val="255"/>
        </w:trPr>
        <w:tc>
          <w:tcPr>
            <w:tcW w:w="3439" w:type="dxa"/>
            <w:tcBorders>
              <w:top w:val="nil"/>
              <w:left w:val="nil"/>
              <w:bottom w:val="nil"/>
              <w:right w:val="nil"/>
            </w:tcBorders>
            <w:shd w:val="clear" w:color="000000" w:fill="D8D8D8"/>
            <w:noWrap/>
            <w:vAlign w:val="bottom"/>
          </w:tcPr>
          <w:p w:rsidR="0015454E" w:rsidRDefault="0015454E" w:rsidP="00FC4F38">
            <w:pPr>
              <w:spacing w:line="360" w:lineRule="auto"/>
              <w:jc w:val="both"/>
              <w:rPr>
                <w:rFonts w:ascii="Arial" w:hAnsi="Arial" w:cs="Arial"/>
                <w:b/>
                <w:bCs/>
                <w:sz w:val="16"/>
                <w:szCs w:val="16"/>
              </w:rPr>
            </w:pPr>
            <w:r>
              <w:rPr>
                <w:rFonts w:ascii="Arial" w:hAnsi="Arial" w:cs="Arial"/>
                <w:b/>
                <w:bCs/>
                <w:sz w:val="16"/>
                <w:szCs w:val="16"/>
              </w:rPr>
              <w:t>GANANCIA O PERDIDA ANTES DE IMPUESTOS</w:t>
            </w:r>
          </w:p>
        </w:tc>
        <w:tc>
          <w:tcPr>
            <w:tcW w:w="999" w:type="dxa"/>
            <w:tcBorders>
              <w:top w:val="nil"/>
              <w:left w:val="nil"/>
              <w:bottom w:val="nil"/>
              <w:right w:val="nil"/>
            </w:tcBorders>
            <w:shd w:val="clear" w:color="000000" w:fill="D8D8D8"/>
            <w:noWrap/>
            <w:vAlign w:val="bottom"/>
          </w:tcPr>
          <w:p w:rsidR="0015454E" w:rsidRDefault="0015454E" w:rsidP="00FC4F38">
            <w:pPr>
              <w:spacing w:line="360" w:lineRule="auto"/>
              <w:jc w:val="both"/>
              <w:rPr>
                <w:rFonts w:ascii="Arial" w:hAnsi="Arial" w:cs="Arial"/>
                <w:b/>
                <w:bCs/>
                <w:sz w:val="16"/>
                <w:szCs w:val="16"/>
              </w:rPr>
            </w:pPr>
            <w:r>
              <w:rPr>
                <w:rFonts w:ascii="Arial" w:hAnsi="Arial" w:cs="Arial"/>
                <w:b/>
                <w:bCs/>
                <w:sz w:val="16"/>
                <w:szCs w:val="16"/>
              </w:rPr>
              <w:t>45.417,21</w:t>
            </w:r>
          </w:p>
        </w:tc>
        <w:tc>
          <w:tcPr>
            <w:tcW w:w="941" w:type="dxa"/>
            <w:tcBorders>
              <w:top w:val="nil"/>
              <w:left w:val="nil"/>
              <w:bottom w:val="nil"/>
              <w:right w:val="nil"/>
            </w:tcBorders>
            <w:shd w:val="clear" w:color="000000" w:fill="D8D8D8"/>
            <w:noWrap/>
            <w:vAlign w:val="bottom"/>
          </w:tcPr>
          <w:p w:rsidR="0015454E" w:rsidRDefault="0015454E" w:rsidP="00FC4F38">
            <w:pPr>
              <w:spacing w:line="360" w:lineRule="auto"/>
              <w:jc w:val="both"/>
              <w:rPr>
                <w:rFonts w:ascii="Arial" w:hAnsi="Arial" w:cs="Arial"/>
                <w:b/>
                <w:bCs/>
                <w:sz w:val="16"/>
                <w:szCs w:val="16"/>
              </w:rPr>
            </w:pPr>
            <w:r>
              <w:rPr>
                <w:rFonts w:ascii="Arial" w:hAnsi="Arial" w:cs="Arial"/>
                <w:b/>
                <w:bCs/>
                <w:sz w:val="16"/>
                <w:szCs w:val="16"/>
              </w:rPr>
              <w:t>56.574,03</w:t>
            </w:r>
          </w:p>
        </w:tc>
        <w:tc>
          <w:tcPr>
            <w:tcW w:w="941" w:type="dxa"/>
            <w:tcBorders>
              <w:top w:val="nil"/>
              <w:left w:val="nil"/>
              <w:bottom w:val="nil"/>
              <w:right w:val="nil"/>
            </w:tcBorders>
            <w:shd w:val="clear" w:color="000000" w:fill="D8D8D8"/>
            <w:noWrap/>
            <w:vAlign w:val="bottom"/>
          </w:tcPr>
          <w:p w:rsidR="0015454E" w:rsidRDefault="0015454E" w:rsidP="00FC4F38">
            <w:pPr>
              <w:spacing w:line="360" w:lineRule="auto"/>
              <w:jc w:val="both"/>
              <w:rPr>
                <w:rFonts w:ascii="Arial" w:hAnsi="Arial" w:cs="Arial"/>
                <w:b/>
                <w:bCs/>
                <w:sz w:val="16"/>
                <w:szCs w:val="16"/>
              </w:rPr>
            </w:pPr>
            <w:r>
              <w:rPr>
                <w:rFonts w:ascii="Arial" w:hAnsi="Arial" w:cs="Arial"/>
                <w:b/>
                <w:bCs/>
                <w:sz w:val="16"/>
                <w:szCs w:val="16"/>
              </w:rPr>
              <w:t>71.964,13</w:t>
            </w:r>
          </w:p>
        </w:tc>
        <w:tc>
          <w:tcPr>
            <w:tcW w:w="941" w:type="dxa"/>
            <w:tcBorders>
              <w:top w:val="nil"/>
              <w:left w:val="nil"/>
              <w:bottom w:val="nil"/>
              <w:right w:val="nil"/>
            </w:tcBorders>
            <w:shd w:val="clear" w:color="000000" w:fill="D8D8D8"/>
            <w:noWrap/>
            <w:vAlign w:val="bottom"/>
          </w:tcPr>
          <w:p w:rsidR="0015454E" w:rsidRDefault="0015454E" w:rsidP="00FC4F38">
            <w:pPr>
              <w:spacing w:line="360" w:lineRule="auto"/>
              <w:jc w:val="both"/>
              <w:rPr>
                <w:rFonts w:ascii="Arial" w:hAnsi="Arial" w:cs="Arial"/>
                <w:b/>
                <w:bCs/>
                <w:sz w:val="16"/>
                <w:szCs w:val="16"/>
              </w:rPr>
            </w:pPr>
            <w:r>
              <w:rPr>
                <w:rFonts w:ascii="Arial" w:hAnsi="Arial" w:cs="Arial"/>
                <w:b/>
                <w:bCs/>
                <w:sz w:val="16"/>
                <w:szCs w:val="16"/>
              </w:rPr>
              <w:t>93.643,42</w:t>
            </w:r>
          </w:p>
        </w:tc>
        <w:tc>
          <w:tcPr>
            <w:tcW w:w="941" w:type="dxa"/>
            <w:tcBorders>
              <w:top w:val="nil"/>
              <w:left w:val="nil"/>
              <w:bottom w:val="nil"/>
              <w:right w:val="nil"/>
            </w:tcBorders>
            <w:shd w:val="clear" w:color="000000" w:fill="D8D8D8"/>
            <w:noWrap/>
            <w:vAlign w:val="bottom"/>
          </w:tcPr>
          <w:p w:rsidR="0015454E" w:rsidRDefault="0015454E" w:rsidP="00FC4F38">
            <w:pPr>
              <w:spacing w:line="360" w:lineRule="auto"/>
              <w:jc w:val="both"/>
              <w:rPr>
                <w:rFonts w:ascii="Arial" w:hAnsi="Arial" w:cs="Arial"/>
                <w:b/>
                <w:bCs/>
                <w:sz w:val="16"/>
                <w:szCs w:val="16"/>
              </w:rPr>
            </w:pPr>
            <w:r>
              <w:rPr>
                <w:rFonts w:ascii="Arial" w:hAnsi="Arial" w:cs="Arial"/>
                <w:b/>
                <w:bCs/>
                <w:sz w:val="16"/>
                <w:szCs w:val="16"/>
              </w:rPr>
              <w:t>124.666,28</w:t>
            </w:r>
          </w:p>
        </w:tc>
        <w:tc>
          <w:tcPr>
            <w:tcW w:w="1065"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6"/>
                <w:szCs w:val="16"/>
              </w:rPr>
            </w:pPr>
          </w:p>
        </w:tc>
      </w:tr>
      <w:tr w:rsidR="0015454E">
        <w:trPr>
          <w:trHeight w:val="255"/>
        </w:trPr>
        <w:tc>
          <w:tcPr>
            <w:tcW w:w="3439"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6"/>
                <w:szCs w:val="16"/>
              </w:rPr>
            </w:pPr>
            <w:r>
              <w:rPr>
                <w:rFonts w:ascii="Arial" w:hAnsi="Arial" w:cs="Arial"/>
                <w:sz w:val="16"/>
                <w:szCs w:val="16"/>
              </w:rPr>
              <w:t>Impuestos y Participación a empleados</w:t>
            </w:r>
          </w:p>
        </w:tc>
        <w:tc>
          <w:tcPr>
            <w:tcW w:w="999"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6"/>
                <w:szCs w:val="16"/>
              </w:rPr>
            </w:pPr>
            <w:r>
              <w:rPr>
                <w:rFonts w:ascii="Arial" w:hAnsi="Arial" w:cs="Arial"/>
                <w:sz w:val="16"/>
                <w:szCs w:val="16"/>
              </w:rPr>
              <w:t>13.473,70</w:t>
            </w:r>
          </w:p>
        </w:tc>
        <w:tc>
          <w:tcPr>
            <w:tcW w:w="941"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6"/>
                <w:szCs w:val="16"/>
              </w:rPr>
            </w:pPr>
            <w:r>
              <w:rPr>
                <w:rFonts w:ascii="Arial" w:hAnsi="Arial" w:cs="Arial"/>
                <w:sz w:val="16"/>
                <w:szCs w:val="16"/>
              </w:rPr>
              <w:t>16.783,54</w:t>
            </w:r>
          </w:p>
        </w:tc>
        <w:tc>
          <w:tcPr>
            <w:tcW w:w="941"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6"/>
                <w:szCs w:val="16"/>
              </w:rPr>
            </w:pPr>
            <w:r>
              <w:rPr>
                <w:rFonts w:ascii="Arial" w:hAnsi="Arial" w:cs="Arial"/>
                <w:sz w:val="16"/>
                <w:szCs w:val="16"/>
              </w:rPr>
              <w:t>21.349,24</w:t>
            </w:r>
          </w:p>
        </w:tc>
        <w:tc>
          <w:tcPr>
            <w:tcW w:w="941"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6"/>
                <w:szCs w:val="16"/>
              </w:rPr>
            </w:pPr>
            <w:r>
              <w:rPr>
                <w:rFonts w:ascii="Arial" w:hAnsi="Arial" w:cs="Arial"/>
                <w:sz w:val="16"/>
                <w:szCs w:val="16"/>
              </w:rPr>
              <w:t>27.780,73</w:t>
            </w:r>
          </w:p>
        </w:tc>
        <w:tc>
          <w:tcPr>
            <w:tcW w:w="941"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6"/>
                <w:szCs w:val="16"/>
              </w:rPr>
            </w:pPr>
            <w:r>
              <w:rPr>
                <w:rFonts w:ascii="Arial" w:hAnsi="Arial" w:cs="Arial"/>
                <w:sz w:val="16"/>
                <w:szCs w:val="16"/>
              </w:rPr>
              <w:t>36.984,13</w:t>
            </w:r>
          </w:p>
        </w:tc>
        <w:tc>
          <w:tcPr>
            <w:tcW w:w="1065"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6"/>
                <w:szCs w:val="16"/>
              </w:rPr>
            </w:pPr>
          </w:p>
        </w:tc>
      </w:tr>
      <w:tr w:rsidR="0015454E">
        <w:trPr>
          <w:trHeight w:val="255"/>
        </w:trPr>
        <w:tc>
          <w:tcPr>
            <w:tcW w:w="3439" w:type="dxa"/>
            <w:tcBorders>
              <w:top w:val="nil"/>
              <w:left w:val="nil"/>
              <w:bottom w:val="nil"/>
              <w:right w:val="nil"/>
            </w:tcBorders>
            <w:shd w:val="clear" w:color="000000" w:fill="C5D9F1"/>
            <w:noWrap/>
            <w:vAlign w:val="bottom"/>
          </w:tcPr>
          <w:p w:rsidR="0015454E" w:rsidRDefault="0015454E" w:rsidP="00FC4F38">
            <w:pPr>
              <w:spacing w:line="360" w:lineRule="auto"/>
              <w:jc w:val="both"/>
              <w:rPr>
                <w:rFonts w:ascii="Arial" w:hAnsi="Arial" w:cs="Arial"/>
                <w:b/>
                <w:bCs/>
                <w:sz w:val="16"/>
                <w:szCs w:val="16"/>
              </w:rPr>
            </w:pPr>
            <w:r>
              <w:rPr>
                <w:rFonts w:ascii="Arial" w:hAnsi="Arial" w:cs="Arial"/>
                <w:b/>
                <w:bCs/>
                <w:sz w:val="16"/>
                <w:szCs w:val="16"/>
              </w:rPr>
              <w:t>GANANCIA O PERDIDAD DEL EJERCICIO</w:t>
            </w:r>
          </w:p>
        </w:tc>
        <w:tc>
          <w:tcPr>
            <w:tcW w:w="999" w:type="dxa"/>
            <w:tcBorders>
              <w:top w:val="nil"/>
              <w:left w:val="nil"/>
              <w:bottom w:val="nil"/>
              <w:right w:val="nil"/>
            </w:tcBorders>
            <w:shd w:val="clear" w:color="000000" w:fill="C5D9F1"/>
            <w:noWrap/>
            <w:vAlign w:val="bottom"/>
          </w:tcPr>
          <w:p w:rsidR="0015454E" w:rsidRDefault="0015454E" w:rsidP="00FC4F38">
            <w:pPr>
              <w:spacing w:line="360" w:lineRule="auto"/>
              <w:jc w:val="both"/>
              <w:rPr>
                <w:rFonts w:ascii="Arial" w:hAnsi="Arial" w:cs="Arial"/>
                <w:b/>
                <w:bCs/>
                <w:sz w:val="16"/>
                <w:szCs w:val="16"/>
              </w:rPr>
            </w:pPr>
            <w:r>
              <w:rPr>
                <w:rFonts w:ascii="Arial" w:hAnsi="Arial" w:cs="Arial"/>
                <w:b/>
                <w:bCs/>
                <w:sz w:val="16"/>
                <w:szCs w:val="16"/>
              </w:rPr>
              <w:t>31.943,51</w:t>
            </w:r>
          </w:p>
        </w:tc>
        <w:tc>
          <w:tcPr>
            <w:tcW w:w="941" w:type="dxa"/>
            <w:tcBorders>
              <w:top w:val="nil"/>
              <w:left w:val="nil"/>
              <w:bottom w:val="nil"/>
              <w:right w:val="nil"/>
            </w:tcBorders>
            <w:shd w:val="clear" w:color="000000" w:fill="C5D9F1"/>
            <w:noWrap/>
            <w:vAlign w:val="bottom"/>
          </w:tcPr>
          <w:p w:rsidR="0015454E" w:rsidRDefault="0015454E" w:rsidP="00FC4F38">
            <w:pPr>
              <w:spacing w:line="360" w:lineRule="auto"/>
              <w:jc w:val="both"/>
              <w:rPr>
                <w:rFonts w:ascii="Arial" w:hAnsi="Arial" w:cs="Arial"/>
                <w:b/>
                <w:bCs/>
                <w:sz w:val="16"/>
                <w:szCs w:val="16"/>
              </w:rPr>
            </w:pPr>
            <w:r>
              <w:rPr>
                <w:rFonts w:ascii="Arial" w:hAnsi="Arial" w:cs="Arial"/>
                <w:b/>
                <w:bCs/>
                <w:sz w:val="16"/>
                <w:szCs w:val="16"/>
              </w:rPr>
              <w:t>39.790,49</w:t>
            </w:r>
          </w:p>
        </w:tc>
        <w:tc>
          <w:tcPr>
            <w:tcW w:w="941" w:type="dxa"/>
            <w:tcBorders>
              <w:top w:val="nil"/>
              <w:left w:val="nil"/>
              <w:bottom w:val="nil"/>
              <w:right w:val="nil"/>
            </w:tcBorders>
            <w:shd w:val="clear" w:color="000000" w:fill="C5D9F1"/>
            <w:noWrap/>
            <w:vAlign w:val="bottom"/>
          </w:tcPr>
          <w:p w:rsidR="0015454E" w:rsidRDefault="0015454E" w:rsidP="00FC4F38">
            <w:pPr>
              <w:spacing w:line="360" w:lineRule="auto"/>
              <w:jc w:val="both"/>
              <w:rPr>
                <w:rFonts w:ascii="Arial" w:hAnsi="Arial" w:cs="Arial"/>
                <w:b/>
                <w:bCs/>
                <w:sz w:val="16"/>
                <w:szCs w:val="16"/>
              </w:rPr>
            </w:pPr>
            <w:r>
              <w:rPr>
                <w:rFonts w:ascii="Arial" w:hAnsi="Arial" w:cs="Arial"/>
                <w:b/>
                <w:bCs/>
                <w:sz w:val="16"/>
                <w:szCs w:val="16"/>
              </w:rPr>
              <w:t>50.614,89</w:t>
            </w:r>
          </w:p>
        </w:tc>
        <w:tc>
          <w:tcPr>
            <w:tcW w:w="941" w:type="dxa"/>
            <w:tcBorders>
              <w:top w:val="nil"/>
              <w:left w:val="nil"/>
              <w:bottom w:val="nil"/>
              <w:right w:val="nil"/>
            </w:tcBorders>
            <w:shd w:val="clear" w:color="000000" w:fill="C5D9F1"/>
            <w:noWrap/>
            <w:vAlign w:val="bottom"/>
          </w:tcPr>
          <w:p w:rsidR="0015454E" w:rsidRDefault="0015454E" w:rsidP="00FC4F38">
            <w:pPr>
              <w:spacing w:line="360" w:lineRule="auto"/>
              <w:jc w:val="both"/>
              <w:rPr>
                <w:rFonts w:ascii="Arial" w:hAnsi="Arial" w:cs="Arial"/>
                <w:b/>
                <w:bCs/>
                <w:sz w:val="16"/>
                <w:szCs w:val="16"/>
              </w:rPr>
            </w:pPr>
            <w:r>
              <w:rPr>
                <w:rFonts w:ascii="Arial" w:hAnsi="Arial" w:cs="Arial"/>
                <w:b/>
                <w:bCs/>
                <w:sz w:val="16"/>
                <w:szCs w:val="16"/>
              </w:rPr>
              <w:t>65.862,69</w:t>
            </w:r>
          </w:p>
        </w:tc>
        <w:tc>
          <w:tcPr>
            <w:tcW w:w="941" w:type="dxa"/>
            <w:tcBorders>
              <w:top w:val="nil"/>
              <w:left w:val="nil"/>
              <w:bottom w:val="nil"/>
              <w:right w:val="nil"/>
            </w:tcBorders>
            <w:shd w:val="clear" w:color="000000" w:fill="C5D9F1"/>
            <w:noWrap/>
            <w:vAlign w:val="bottom"/>
          </w:tcPr>
          <w:p w:rsidR="0015454E" w:rsidRDefault="0015454E" w:rsidP="00FC4F38">
            <w:pPr>
              <w:spacing w:line="360" w:lineRule="auto"/>
              <w:jc w:val="both"/>
              <w:rPr>
                <w:rFonts w:ascii="Arial" w:hAnsi="Arial" w:cs="Arial"/>
                <w:b/>
                <w:bCs/>
                <w:sz w:val="16"/>
                <w:szCs w:val="16"/>
              </w:rPr>
            </w:pPr>
            <w:r>
              <w:rPr>
                <w:rFonts w:ascii="Arial" w:hAnsi="Arial" w:cs="Arial"/>
                <w:b/>
                <w:bCs/>
                <w:sz w:val="16"/>
                <w:szCs w:val="16"/>
              </w:rPr>
              <w:t>87.682,16</w:t>
            </w:r>
          </w:p>
        </w:tc>
        <w:tc>
          <w:tcPr>
            <w:tcW w:w="1065" w:type="dxa"/>
            <w:tcBorders>
              <w:top w:val="nil"/>
              <w:left w:val="nil"/>
              <w:bottom w:val="nil"/>
              <w:right w:val="nil"/>
            </w:tcBorders>
            <w:shd w:val="clear" w:color="000000" w:fill="C5D9F1"/>
            <w:noWrap/>
            <w:vAlign w:val="bottom"/>
          </w:tcPr>
          <w:p w:rsidR="0015454E" w:rsidRDefault="0015454E" w:rsidP="00FC4F38">
            <w:pPr>
              <w:spacing w:line="360" w:lineRule="auto"/>
              <w:jc w:val="both"/>
              <w:rPr>
                <w:rFonts w:ascii="Arial" w:hAnsi="Arial" w:cs="Arial"/>
                <w:b/>
                <w:bCs/>
                <w:sz w:val="16"/>
                <w:szCs w:val="16"/>
              </w:rPr>
            </w:pPr>
            <w:r>
              <w:rPr>
                <w:rFonts w:ascii="Arial" w:hAnsi="Arial" w:cs="Arial"/>
                <w:b/>
                <w:bCs/>
                <w:sz w:val="16"/>
                <w:szCs w:val="16"/>
              </w:rPr>
              <w:t>98.303</w:t>
            </w:r>
          </w:p>
        </w:tc>
      </w:tr>
    </w:tbl>
    <w:p w:rsidR="0015454E" w:rsidRPr="00F27DFF" w:rsidRDefault="0015454E" w:rsidP="0015454E">
      <w:pPr>
        <w:spacing w:line="360" w:lineRule="auto"/>
        <w:jc w:val="right"/>
        <w:rPr>
          <w:rFonts w:ascii="Arial" w:hAnsi="Arial" w:cs="Arial"/>
          <w:sz w:val="12"/>
          <w:szCs w:val="12"/>
        </w:rPr>
      </w:pPr>
      <w:r w:rsidRPr="00F27DFF">
        <w:rPr>
          <w:rFonts w:ascii="Arial" w:hAnsi="Arial" w:cs="Arial"/>
          <w:sz w:val="12"/>
          <w:szCs w:val="12"/>
        </w:rPr>
        <w:t>* En  miles de dólares</w:t>
      </w:r>
    </w:p>
    <w:p w:rsidR="0015454E" w:rsidRPr="00054A95" w:rsidRDefault="0015454E" w:rsidP="00F27DFF">
      <w:pPr>
        <w:spacing w:line="240" w:lineRule="auto"/>
        <w:rPr>
          <w:rFonts w:ascii="Arial" w:hAnsi="Arial" w:cs="Arial"/>
          <w:sz w:val="16"/>
          <w:szCs w:val="16"/>
        </w:rPr>
      </w:pPr>
      <w:r w:rsidRPr="00054A95">
        <w:rPr>
          <w:rFonts w:ascii="Arial" w:hAnsi="Arial" w:cs="Arial"/>
          <w:sz w:val="16"/>
          <w:szCs w:val="16"/>
        </w:rPr>
        <w:t>Fuente: Datos Proyectados por los autores</w:t>
      </w:r>
    </w:p>
    <w:p w:rsidR="0015454E" w:rsidRPr="00054A95" w:rsidRDefault="0015454E" w:rsidP="00F27DFF">
      <w:pPr>
        <w:spacing w:line="240" w:lineRule="auto"/>
        <w:rPr>
          <w:rFonts w:ascii="Arial" w:hAnsi="Arial" w:cs="Arial"/>
          <w:sz w:val="16"/>
          <w:szCs w:val="16"/>
        </w:rPr>
      </w:pPr>
      <w:r w:rsidRPr="00054A95">
        <w:rPr>
          <w:rFonts w:ascii="Arial" w:hAnsi="Arial" w:cs="Arial"/>
          <w:sz w:val="16"/>
          <w:szCs w:val="16"/>
        </w:rPr>
        <w:t>Elaboración: Autores</w:t>
      </w:r>
    </w:p>
    <w:p w:rsidR="0015454E" w:rsidRPr="00991A27" w:rsidRDefault="0015454E" w:rsidP="0015454E">
      <w:pPr>
        <w:spacing w:line="360" w:lineRule="auto"/>
        <w:ind w:firstLine="708"/>
        <w:jc w:val="both"/>
        <w:rPr>
          <w:rFonts w:ascii="Arial" w:hAnsi="Arial" w:cs="Arial"/>
        </w:rPr>
      </w:pPr>
    </w:p>
    <w:p w:rsidR="0015454E" w:rsidRPr="00BB2594" w:rsidRDefault="0015454E" w:rsidP="0015454E">
      <w:pPr>
        <w:spacing w:line="360" w:lineRule="auto"/>
        <w:ind w:firstLine="454"/>
        <w:jc w:val="both"/>
        <w:rPr>
          <w:rFonts w:ascii="Arial" w:hAnsi="Arial" w:cs="Arial"/>
          <w:sz w:val="24"/>
          <w:szCs w:val="24"/>
        </w:rPr>
      </w:pPr>
      <w:r w:rsidRPr="00BB2594">
        <w:rPr>
          <w:rFonts w:ascii="Arial" w:hAnsi="Arial" w:cs="Arial"/>
          <w:sz w:val="24"/>
          <w:szCs w:val="24"/>
        </w:rPr>
        <w:t xml:space="preserve">Hemos proyectado el Estado de Resultados por el espacio de 5 años (2008 – 2012) más un año adicional que servirá para calcular la perpetuidad. </w:t>
      </w:r>
    </w:p>
    <w:p w:rsidR="0015454E" w:rsidRPr="00BB2594" w:rsidRDefault="0015454E" w:rsidP="0015454E">
      <w:pPr>
        <w:spacing w:line="360" w:lineRule="auto"/>
        <w:ind w:firstLine="708"/>
        <w:jc w:val="both"/>
        <w:rPr>
          <w:rFonts w:ascii="Arial" w:hAnsi="Arial" w:cs="Arial"/>
          <w:sz w:val="24"/>
          <w:szCs w:val="24"/>
        </w:rPr>
      </w:pPr>
    </w:p>
    <w:p w:rsidR="0015454E" w:rsidRPr="00BB2594" w:rsidRDefault="0015454E" w:rsidP="0015454E">
      <w:pPr>
        <w:spacing w:line="360" w:lineRule="auto"/>
        <w:ind w:firstLine="454"/>
        <w:jc w:val="both"/>
        <w:rPr>
          <w:rFonts w:ascii="Arial" w:hAnsi="Arial" w:cs="Arial"/>
          <w:sz w:val="24"/>
          <w:szCs w:val="24"/>
        </w:rPr>
      </w:pPr>
      <w:r w:rsidRPr="00BB2594">
        <w:rPr>
          <w:rFonts w:ascii="Arial" w:hAnsi="Arial" w:cs="Arial"/>
          <w:sz w:val="24"/>
          <w:szCs w:val="24"/>
        </w:rPr>
        <w:t xml:space="preserve">Se establece además una tasa de pago de dividendos del 40% (lo que se ha venido pagando). En la segunda etapa, es decir en la perpetuidad, decidimos no cambiar la tasa de pago de dividendos debido a que según </w:t>
      </w:r>
      <w:r w:rsidRPr="00BB2594">
        <w:rPr>
          <w:rFonts w:ascii="Arial" w:hAnsi="Arial" w:cs="Arial"/>
          <w:sz w:val="24"/>
          <w:szCs w:val="24"/>
        </w:rPr>
        <w:lastRenderedPageBreak/>
        <w:t>nuestro criterio en este país difícilmente se las entidades financieras llegan a alcanzar una etapa de total y plena madurez. Dicho esto la tasa de pago de dividendos utilizada siempre será el 40%.</w:t>
      </w:r>
    </w:p>
    <w:p w:rsidR="0015454E" w:rsidRPr="00BB2594" w:rsidRDefault="0015454E" w:rsidP="0015454E">
      <w:pPr>
        <w:spacing w:line="360" w:lineRule="auto"/>
        <w:ind w:firstLine="708"/>
        <w:jc w:val="both"/>
        <w:rPr>
          <w:rFonts w:ascii="Arial" w:hAnsi="Arial" w:cs="Arial"/>
          <w:sz w:val="24"/>
          <w:szCs w:val="24"/>
        </w:rPr>
      </w:pPr>
    </w:p>
    <w:p w:rsidR="0015454E" w:rsidRPr="00BB2594" w:rsidRDefault="0015454E" w:rsidP="0015454E">
      <w:pPr>
        <w:spacing w:line="360" w:lineRule="auto"/>
        <w:ind w:firstLine="454"/>
        <w:jc w:val="both"/>
        <w:rPr>
          <w:rFonts w:ascii="Arial" w:hAnsi="Arial" w:cs="Arial"/>
          <w:sz w:val="24"/>
          <w:szCs w:val="24"/>
        </w:rPr>
      </w:pPr>
      <w:r w:rsidRPr="00BB2594">
        <w:rPr>
          <w:rFonts w:ascii="Arial" w:hAnsi="Arial" w:cs="Arial"/>
          <w:sz w:val="24"/>
          <w:szCs w:val="24"/>
        </w:rPr>
        <w:t>Para calcular la tasa de crecimiento perpetuo se utilizó la siguiente fórmula:</w:t>
      </w:r>
    </w:p>
    <w:p w:rsidR="0015454E" w:rsidRPr="00BB2594" w:rsidRDefault="0015454E" w:rsidP="0015454E">
      <w:pPr>
        <w:spacing w:line="360" w:lineRule="auto"/>
        <w:jc w:val="both"/>
        <w:rPr>
          <w:rFonts w:ascii="Arial" w:hAnsi="Arial" w:cs="Arial"/>
          <w:sz w:val="24"/>
          <w:szCs w:val="24"/>
        </w:rPr>
      </w:pPr>
    </w:p>
    <w:p w:rsidR="0015454E" w:rsidRPr="00BB2594" w:rsidRDefault="0015454E" w:rsidP="0015454E">
      <w:pPr>
        <w:spacing w:line="360" w:lineRule="auto"/>
        <w:jc w:val="both"/>
        <w:rPr>
          <w:rFonts w:ascii="Arial" w:hAnsi="Arial" w:cs="Arial"/>
          <w:sz w:val="24"/>
          <w:szCs w:val="24"/>
        </w:rPr>
      </w:pPr>
      <w:r w:rsidRPr="00BB2594">
        <w:rPr>
          <w:rFonts w:ascii="Arial" w:hAnsi="Arial" w:cs="Arial"/>
          <w:sz w:val="24"/>
          <w:szCs w:val="24"/>
        </w:rPr>
        <w:tab/>
        <w:t>g = b * ROE</w:t>
      </w:r>
    </w:p>
    <w:p w:rsidR="0015454E" w:rsidRPr="00BB2594" w:rsidRDefault="0015454E" w:rsidP="0015454E">
      <w:pPr>
        <w:spacing w:line="360" w:lineRule="auto"/>
        <w:jc w:val="both"/>
        <w:rPr>
          <w:rFonts w:ascii="Arial" w:hAnsi="Arial" w:cs="Arial"/>
          <w:sz w:val="24"/>
          <w:szCs w:val="24"/>
        </w:rPr>
      </w:pPr>
    </w:p>
    <w:p w:rsidR="0015454E" w:rsidRPr="00BB2594" w:rsidRDefault="0015454E" w:rsidP="0015454E">
      <w:pPr>
        <w:spacing w:line="360" w:lineRule="auto"/>
        <w:jc w:val="both"/>
        <w:rPr>
          <w:rFonts w:ascii="Arial" w:hAnsi="Arial" w:cs="Arial"/>
          <w:sz w:val="24"/>
          <w:szCs w:val="24"/>
        </w:rPr>
      </w:pPr>
      <w:r w:rsidRPr="00BB2594">
        <w:rPr>
          <w:rFonts w:ascii="Arial" w:hAnsi="Arial" w:cs="Arial"/>
          <w:sz w:val="24"/>
          <w:szCs w:val="24"/>
        </w:rPr>
        <w:t>Donde:</w:t>
      </w:r>
    </w:p>
    <w:p w:rsidR="0015454E" w:rsidRPr="00BB2594" w:rsidRDefault="0015454E" w:rsidP="0015454E">
      <w:pPr>
        <w:spacing w:line="360" w:lineRule="auto"/>
        <w:jc w:val="both"/>
        <w:rPr>
          <w:rFonts w:ascii="Arial" w:hAnsi="Arial" w:cs="Arial"/>
          <w:sz w:val="24"/>
          <w:szCs w:val="24"/>
        </w:rPr>
      </w:pPr>
    </w:p>
    <w:p w:rsidR="0015454E" w:rsidRPr="00BB2594" w:rsidRDefault="0015454E" w:rsidP="0015454E">
      <w:pPr>
        <w:spacing w:line="360" w:lineRule="auto"/>
        <w:jc w:val="both"/>
        <w:rPr>
          <w:rFonts w:ascii="Arial" w:hAnsi="Arial" w:cs="Arial"/>
          <w:sz w:val="24"/>
          <w:szCs w:val="24"/>
        </w:rPr>
      </w:pPr>
      <w:r w:rsidRPr="00BB2594">
        <w:rPr>
          <w:rFonts w:ascii="Arial" w:hAnsi="Arial" w:cs="Arial"/>
          <w:sz w:val="24"/>
          <w:szCs w:val="24"/>
        </w:rPr>
        <w:tab/>
        <w:t>g = Tasa de crecimiento a perpetuidad</w:t>
      </w:r>
    </w:p>
    <w:p w:rsidR="0015454E" w:rsidRPr="00BB2594" w:rsidRDefault="0015454E" w:rsidP="0015454E">
      <w:pPr>
        <w:spacing w:line="360" w:lineRule="auto"/>
        <w:jc w:val="both"/>
        <w:rPr>
          <w:rFonts w:ascii="Arial" w:hAnsi="Arial" w:cs="Arial"/>
          <w:sz w:val="24"/>
          <w:szCs w:val="24"/>
        </w:rPr>
      </w:pPr>
      <w:r w:rsidRPr="00BB2594">
        <w:rPr>
          <w:rFonts w:ascii="Arial" w:hAnsi="Arial" w:cs="Arial"/>
          <w:sz w:val="24"/>
          <w:szCs w:val="24"/>
        </w:rPr>
        <w:tab/>
      </w:r>
    </w:p>
    <w:p w:rsidR="0015454E" w:rsidRPr="00BB2594" w:rsidRDefault="0015454E" w:rsidP="0015454E">
      <w:pPr>
        <w:spacing w:line="360" w:lineRule="auto"/>
        <w:ind w:firstLine="708"/>
        <w:jc w:val="both"/>
        <w:rPr>
          <w:rFonts w:ascii="Arial" w:hAnsi="Arial" w:cs="Arial"/>
          <w:sz w:val="24"/>
          <w:szCs w:val="24"/>
        </w:rPr>
      </w:pPr>
      <w:r w:rsidRPr="00BB2594">
        <w:rPr>
          <w:rFonts w:ascii="Arial" w:hAnsi="Arial" w:cs="Arial"/>
          <w:sz w:val="24"/>
          <w:szCs w:val="24"/>
        </w:rPr>
        <w:t>b = Tasa de retención de utilidades a perpetuidad</w:t>
      </w:r>
    </w:p>
    <w:p w:rsidR="0015454E" w:rsidRPr="00BB2594" w:rsidRDefault="0015454E" w:rsidP="0015454E">
      <w:pPr>
        <w:spacing w:line="360" w:lineRule="auto"/>
        <w:ind w:firstLine="708"/>
        <w:jc w:val="both"/>
        <w:rPr>
          <w:rFonts w:ascii="Arial" w:hAnsi="Arial" w:cs="Arial"/>
          <w:sz w:val="24"/>
          <w:szCs w:val="24"/>
        </w:rPr>
      </w:pPr>
    </w:p>
    <w:p w:rsidR="0015454E" w:rsidRPr="00BB2594" w:rsidRDefault="0015454E" w:rsidP="0015454E">
      <w:pPr>
        <w:spacing w:line="360" w:lineRule="auto"/>
        <w:ind w:firstLine="708"/>
        <w:jc w:val="both"/>
        <w:rPr>
          <w:rFonts w:ascii="Arial" w:hAnsi="Arial" w:cs="Arial"/>
          <w:sz w:val="24"/>
          <w:szCs w:val="24"/>
        </w:rPr>
      </w:pPr>
      <w:r w:rsidRPr="00BB2594">
        <w:rPr>
          <w:rFonts w:ascii="Arial" w:hAnsi="Arial" w:cs="Arial"/>
          <w:sz w:val="24"/>
          <w:szCs w:val="24"/>
        </w:rPr>
        <w:t>ROE = Rentabilidad sobre el patrimonio (Return on Equity)</w:t>
      </w:r>
    </w:p>
    <w:p w:rsidR="0015454E" w:rsidRPr="00BB2594" w:rsidRDefault="0015454E" w:rsidP="0015454E">
      <w:pPr>
        <w:spacing w:line="360" w:lineRule="auto"/>
        <w:ind w:firstLine="708"/>
        <w:jc w:val="both"/>
        <w:rPr>
          <w:rFonts w:ascii="Arial" w:hAnsi="Arial" w:cs="Arial"/>
          <w:sz w:val="24"/>
          <w:szCs w:val="24"/>
        </w:rPr>
      </w:pPr>
    </w:p>
    <w:p w:rsidR="0015454E" w:rsidRPr="00BB2594" w:rsidRDefault="0015454E" w:rsidP="0015454E">
      <w:pPr>
        <w:spacing w:line="360" w:lineRule="auto"/>
        <w:ind w:firstLine="454"/>
        <w:jc w:val="both"/>
        <w:rPr>
          <w:rFonts w:ascii="Arial" w:hAnsi="Arial" w:cs="Arial"/>
          <w:sz w:val="24"/>
          <w:szCs w:val="24"/>
        </w:rPr>
      </w:pPr>
      <w:r w:rsidRPr="00BB2594">
        <w:rPr>
          <w:rFonts w:ascii="Arial" w:hAnsi="Arial" w:cs="Arial"/>
          <w:sz w:val="24"/>
          <w:szCs w:val="24"/>
        </w:rPr>
        <w:t>Tenemos nosotros un valor de 20,19% para el ROE en la perpetuidad que multiplicado por nuestra tasa de retención de utilidades del 60%, nos da un valor de 12,1123%. Decidimos utilizar este valor exacto sin redondeos ni aproximaciones.</w:t>
      </w:r>
    </w:p>
    <w:p w:rsidR="00BB2594" w:rsidRDefault="00BB2594" w:rsidP="0015454E">
      <w:pPr>
        <w:spacing w:line="360" w:lineRule="auto"/>
        <w:ind w:firstLine="708"/>
        <w:jc w:val="both"/>
        <w:rPr>
          <w:rFonts w:ascii="Arial" w:hAnsi="Arial" w:cs="Arial"/>
          <w:b/>
          <w:sz w:val="28"/>
          <w:szCs w:val="28"/>
        </w:rPr>
      </w:pPr>
    </w:p>
    <w:p w:rsidR="00E0414C" w:rsidRDefault="00E0414C" w:rsidP="0015454E">
      <w:pPr>
        <w:spacing w:line="360" w:lineRule="auto"/>
        <w:ind w:firstLine="708"/>
        <w:jc w:val="both"/>
        <w:rPr>
          <w:rFonts w:ascii="Arial" w:hAnsi="Arial" w:cs="Arial"/>
          <w:b/>
          <w:sz w:val="28"/>
          <w:szCs w:val="28"/>
        </w:rPr>
      </w:pPr>
    </w:p>
    <w:p w:rsidR="0015454E" w:rsidRPr="00040153" w:rsidRDefault="0015454E" w:rsidP="0015454E">
      <w:pPr>
        <w:spacing w:line="360" w:lineRule="auto"/>
        <w:ind w:firstLine="708"/>
        <w:jc w:val="both"/>
        <w:rPr>
          <w:rFonts w:ascii="Arial" w:hAnsi="Arial" w:cs="Arial"/>
          <w:b/>
          <w:sz w:val="28"/>
          <w:szCs w:val="28"/>
        </w:rPr>
      </w:pPr>
      <w:r w:rsidRPr="00040153">
        <w:rPr>
          <w:rFonts w:ascii="Arial" w:hAnsi="Arial" w:cs="Arial"/>
          <w:b/>
          <w:sz w:val="28"/>
          <w:szCs w:val="28"/>
        </w:rPr>
        <w:lastRenderedPageBreak/>
        <w:t>REQUERIMIENTOS DEL PATRIMONIO</w:t>
      </w:r>
    </w:p>
    <w:p w:rsidR="0015454E" w:rsidRPr="00991A27" w:rsidRDefault="0015454E" w:rsidP="0015454E">
      <w:pPr>
        <w:spacing w:line="360" w:lineRule="auto"/>
        <w:jc w:val="both"/>
        <w:rPr>
          <w:rFonts w:ascii="Arial" w:hAnsi="Arial" w:cs="Arial"/>
        </w:rPr>
      </w:pPr>
    </w:p>
    <w:p w:rsidR="0015454E" w:rsidRPr="00BB2594" w:rsidRDefault="0015454E" w:rsidP="0015454E">
      <w:pPr>
        <w:spacing w:line="360" w:lineRule="auto"/>
        <w:ind w:firstLine="454"/>
        <w:jc w:val="both"/>
        <w:rPr>
          <w:rFonts w:ascii="Arial" w:hAnsi="Arial" w:cs="Arial"/>
          <w:sz w:val="24"/>
          <w:szCs w:val="24"/>
        </w:rPr>
      </w:pPr>
      <w:r w:rsidRPr="00BB2594">
        <w:rPr>
          <w:rFonts w:ascii="Arial" w:hAnsi="Arial" w:cs="Arial"/>
          <w:sz w:val="24"/>
          <w:szCs w:val="24"/>
        </w:rPr>
        <w:t>Con el objetivo de mantener constantemente su solvencia, las instituciones financieras del Ecuador sobre la base de los estados financieros consolidados, están obligadas  a mantener en todo el tiempo un nivel mínimo de patrimonio técnico total  equivalente al nueve por ciento de la suma de los activos y contingentes ponderados por riesgo.</w:t>
      </w:r>
    </w:p>
    <w:p w:rsidR="0015454E" w:rsidRDefault="0015454E" w:rsidP="0015454E">
      <w:pPr>
        <w:spacing w:line="360" w:lineRule="auto"/>
        <w:jc w:val="center"/>
        <w:rPr>
          <w:rFonts w:ascii="Arial" w:hAnsi="Arial" w:cs="Arial"/>
          <w:b/>
        </w:rPr>
      </w:pPr>
    </w:p>
    <w:p w:rsidR="0015454E" w:rsidRPr="00991A27" w:rsidRDefault="0015454E" w:rsidP="0015454E">
      <w:pPr>
        <w:spacing w:line="360" w:lineRule="auto"/>
        <w:jc w:val="center"/>
        <w:rPr>
          <w:rFonts w:ascii="Arial" w:hAnsi="Arial" w:cs="Arial"/>
          <w:b/>
        </w:rPr>
      </w:pPr>
      <w:r w:rsidRPr="00991A27">
        <w:rPr>
          <w:rFonts w:ascii="Arial" w:hAnsi="Arial" w:cs="Arial"/>
          <w:b/>
        </w:rPr>
        <w:t>Cuadro 3.6</w:t>
      </w:r>
    </w:p>
    <w:tbl>
      <w:tblPr>
        <w:tblpPr w:leftFromText="141" w:rightFromText="141" w:vertAnchor="text" w:horzAnchor="margin" w:tblpXSpec="center" w:tblpY="170"/>
        <w:tblW w:w="3600" w:type="dxa"/>
        <w:tblBorders>
          <w:top w:val="single" w:sz="8" w:space="0" w:color="auto"/>
          <w:left w:val="single" w:sz="8" w:space="0" w:color="auto"/>
          <w:bottom w:val="single" w:sz="8" w:space="0" w:color="auto"/>
          <w:right w:val="single" w:sz="8" w:space="0" w:color="auto"/>
        </w:tblBorders>
        <w:tblCellMar>
          <w:left w:w="70" w:type="dxa"/>
          <w:right w:w="70" w:type="dxa"/>
        </w:tblCellMar>
        <w:tblLook w:val="0000"/>
      </w:tblPr>
      <w:tblGrid>
        <w:gridCol w:w="2248"/>
        <w:gridCol w:w="1352"/>
      </w:tblGrid>
      <w:tr w:rsidR="0015454E" w:rsidRPr="00F27DFF" w:rsidTr="00F27DFF">
        <w:trPr>
          <w:trHeight w:val="255"/>
        </w:trPr>
        <w:tc>
          <w:tcPr>
            <w:tcW w:w="2248" w:type="dxa"/>
            <w:tcBorders>
              <w:top w:val="single" w:sz="8" w:space="0" w:color="auto"/>
              <w:bottom w:val="nil"/>
            </w:tcBorders>
            <w:shd w:val="clear" w:color="auto" w:fill="800000"/>
            <w:noWrap/>
            <w:vAlign w:val="bottom"/>
          </w:tcPr>
          <w:p w:rsidR="0015454E" w:rsidRPr="00F27DFF" w:rsidRDefault="0015454E" w:rsidP="00FC4F38">
            <w:pPr>
              <w:spacing w:line="360" w:lineRule="auto"/>
              <w:jc w:val="both"/>
              <w:rPr>
                <w:rFonts w:ascii="Arial" w:hAnsi="Arial" w:cs="Arial"/>
                <w:b/>
                <w:bCs/>
                <w:sz w:val="16"/>
                <w:szCs w:val="16"/>
              </w:rPr>
            </w:pPr>
            <w:r w:rsidRPr="00F27DFF">
              <w:rPr>
                <w:rFonts w:ascii="Arial" w:hAnsi="Arial" w:cs="Arial"/>
                <w:b/>
                <w:bCs/>
                <w:sz w:val="16"/>
                <w:szCs w:val="16"/>
              </w:rPr>
              <w:t>Act pond por riesgo</w:t>
            </w:r>
          </w:p>
        </w:tc>
        <w:tc>
          <w:tcPr>
            <w:tcW w:w="1352" w:type="dxa"/>
            <w:tcBorders>
              <w:top w:val="single" w:sz="8" w:space="0" w:color="auto"/>
              <w:bottom w:val="nil"/>
            </w:tcBorders>
            <w:shd w:val="clear" w:color="auto" w:fill="800000"/>
            <w:noWrap/>
            <w:vAlign w:val="bottom"/>
          </w:tcPr>
          <w:p w:rsidR="0015454E" w:rsidRPr="00F27DFF" w:rsidRDefault="00F27DFF" w:rsidP="00FC4F38">
            <w:pPr>
              <w:spacing w:line="360" w:lineRule="auto"/>
              <w:jc w:val="both"/>
              <w:rPr>
                <w:rFonts w:ascii="Arial" w:hAnsi="Arial" w:cs="Arial"/>
                <w:b/>
                <w:bCs/>
                <w:sz w:val="16"/>
                <w:szCs w:val="16"/>
              </w:rPr>
            </w:pPr>
            <w:r w:rsidRPr="00F27DFF">
              <w:rPr>
                <w:rFonts w:ascii="Arial" w:hAnsi="Arial" w:cs="Arial"/>
                <w:b/>
                <w:bCs/>
                <w:sz w:val="16"/>
                <w:szCs w:val="16"/>
              </w:rPr>
              <w:t>Ponderación</w:t>
            </w:r>
          </w:p>
        </w:tc>
      </w:tr>
      <w:tr w:rsidR="0015454E" w:rsidRPr="00F27DFF" w:rsidTr="00F27DFF">
        <w:trPr>
          <w:trHeight w:val="255"/>
        </w:trPr>
        <w:tc>
          <w:tcPr>
            <w:tcW w:w="2248" w:type="dxa"/>
            <w:tcBorders>
              <w:top w:val="nil"/>
            </w:tcBorders>
            <w:shd w:val="clear" w:color="auto" w:fill="auto"/>
            <w:noWrap/>
            <w:vAlign w:val="bottom"/>
          </w:tcPr>
          <w:p w:rsidR="0015454E" w:rsidRPr="00F27DFF" w:rsidRDefault="0015454E" w:rsidP="00FC4F38">
            <w:pPr>
              <w:spacing w:line="360" w:lineRule="auto"/>
              <w:jc w:val="both"/>
              <w:rPr>
                <w:rFonts w:ascii="Arial" w:hAnsi="Arial" w:cs="Arial"/>
                <w:sz w:val="16"/>
                <w:szCs w:val="16"/>
              </w:rPr>
            </w:pPr>
            <w:r w:rsidRPr="00F27DFF">
              <w:rPr>
                <w:rFonts w:ascii="Arial" w:hAnsi="Arial" w:cs="Arial"/>
                <w:sz w:val="16"/>
                <w:szCs w:val="16"/>
              </w:rPr>
              <w:t>Fondos Disponibles</w:t>
            </w:r>
          </w:p>
        </w:tc>
        <w:tc>
          <w:tcPr>
            <w:tcW w:w="1352" w:type="dxa"/>
            <w:tcBorders>
              <w:top w:val="nil"/>
            </w:tcBorders>
            <w:shd w:val="clear" w:color="auto" w:fill="auto"/>
            <w:noWrap/>
            <w:vAlign w:val="bottom"/>
          </w:tcPr>
          <w:p w:rsidR="0015454E" w:rsidRPr="00F27DFF" w:rsidRDefault="0015454E" w:rsidP="00FC4F38">
            <w:pPr>
              <w:spacing w:line="360" w:lineRule="auto"/>
              <w:jc w:val="both"/>
              <w:rPr>
                <w:rFonts w:ascii="Arial" w:hAnsi="Arial" w:cs="Arial"/>
                <w:sz w:val="16"/>
                <w:szCs w:val="16"/>
              </w:rPr>
            </w:pPr>
            <w:r w:rsidRPr="00F27DFF">
              <w:rPr>
                <w:rFonts w:ascii="Arial" w:hAnsi="Arial" w:cs="Arial"/>
                <w:sz w:val="16"/>
                <w:szCs w:val="16"/>
              </w:rPr>
              <w:t>0</w:t>
            </w:r>
          </w:p>
        </w:tc>
      </w:tr>
      <w:tr w:rsidR="0015454E" w:rsidRPr="00F27DFF" w:rsidTr="00F27DFF">
        <w:trPr>
          <w:trHeight w:val="255"/>
        </w:trPr>
        <w:tc>
          <w:tcPr>
            <w:tcW w:w="2248" w:type="dxa"/>
            <w:shd w:val="clear" w:color="auto" w:fill="auto"/>
            <w:noWrap/>
            <w:vAlign w:val="bottom"/>
          </w:tcPr>
          <w:p w:rsidR="0015454E" w:rsidRPr="00F27DFF" w:rsidRDefault="0015454E" w:rsidP="00FC4F38">
            <w:pPr>
              <w:spacing w:line="360" w:lineRule="auto"/>
              <w:jc w:val="both"/>
              <w:rPr>
                <w:rFonts w:ascii="Arial" w:hAnsi="Arial" w:cs="Arial"/>
                <w:sz w:val="16"/>
                <w:szCs w:val="16"/>
              </w:rPr>
            </w:pPr>
            <w:r w:rsidRPr="00F27DFF">
              <w:rPr>
                <w:rFonts w:ascii="Arial" w:hAnsi="Arial" w:cs="Arial"/>
                <w:sz w:val="16"/>
                <w:szCs w:val="16"/>
              </w:rPr>
              <w:t>Inversiones</w:t>
            </w:r>
          </w:p>
        </w:tc>
        <w:tc>
          <w:tcPr>
            <w:tcW w:w="1352" w:type="dxa"/>
            <w:shd w:val="clear" w:color="auto" w:fill="auto"/>
            <w:noWrap/>
            <w:vAlign w:val="bottom"/>
          </w:tcPr>
          <w:p w:rsidR="0015454E" w:rsidRPr="00F27DFF" w:rsidRDefault="0015454E" w:rsidP="00FC4F38">
            <w:pPr>
              <w:spacing w:line="360" w:lineRule="auto"/>
              <w:jc w:val="both"/>
              <w:rPr>
                <w:rFonts w:ascii="Arial" w:hAnsi="Arial" w:cs="Arial"/>
                <w:sz w:val="16"/>
                <w:szCs w:val="16"/>
              </w:rPr>
            </w:pPr>
            <w:r w:rsidRPr="00F27DFF">
              <w:rPr>
                <w:rFonts w:ascii="Arial" w:hAnsi="Arial" w:cs="Arial"/>
                <w:sz w:val="16"/>
                <w:szCs w:val="16"/>
              </w:rPr>
              <w:t>0,25</w:t>
            </w:r>
          </w:p>
        </w:tc>
      </w:tr>
      <w:tr w:rsidR="0015454E" w:rsidRPr="00F27DFF" w:rsidTr="00F27DFF">
        <w:trPr>
          <w:trHeight w:val="255"/>
        </w:trPr>
        <w:tc>
          <w:tcPr>
            <w:tcW w:w="2248" w:type="dxa"/>
            <w:shd w:val="clear" w:color="auto" w:fill="auto"/>
            <w:noWrap/>
            <w:vAlign w:val="bottom"/>
          </w:tcPr>
          <w:p w:rsidR="0015454E" w:rsidRPr="00F27DFF" w:rsidRDefault="0015454E" w:rsidP="00FC4F38">
            <w:pPr>
              <w:spacing w:line="360" w:lineRule="auto"/>
              <w:jc w:val="both"/>
              <w:rPr>
                <w:rFonts w:ascii="Arial" w:hAnsi="Arial" w:cs="Arial"/>
                <w:sz w:val="16"/>
                <w:szCs w:val="16"/>
              </w:rPr>
            </w:pPr>
            <w:r w:rsidRPr="00F27DFF">
              <w:rPr>
                <w:rFonts w:ascii="Arial" w:hAnsi="Arial" w:cs="Arial"/>
                <w:sz w:val="16"/>
                <w:szCs w:val="16"/>
              </w:rPr>
              <w:t>Cartera de Crédito</w:t>
            </w:r>
          </w:p>
        </w:tc>
        <w:tc>
          <w:tcPr>
            <w:tcW w:w="1352" w:type="dxa"/>
            <w:shd w:val="clear" w:color="auto" w:fill="auto"/>
            <w:noWrap/>
            <w:vAlign w:val="bottom"/>
          </w:tcPr>
          <w:p w:rsidR="0015454E" w:rsidRPr="00F27DFF" w:rsidRDefault="0015454E" w:rsidP="00FC4F38">
            <w:pPr>
              <w:spacing w:line="360" w:lineRule="auto"/>
              <w:jc w:val="both"/>
              <w:rPr>
                <w:rFonts w:ascii="Arial" w:hAnsi="Arial" w:cs="Arial"/>
                <w:sz w:val="16"/>
                <w:szCs w:val="16"/>
              </w:rPr>
            </w:pPr>
            <w:r w:rsidRPr="00F27DFF">
              <w:rPr>
                <w:rFonts w:ascii="Arial" w:hAnsi="Arial" w:cs="Arial"/>
                <w:sz w:val="16"/>
                <w:szCs w:val="16"/>
              </w:rPr>
              <w:t>1</w:t>
            </w:r>
          </w:p>
        </w:tc>
      </w:tr>
      <w:tr w:rsidR="0015454E" w:rsidRPr="00F27DFF" w:rsidTr="00F27DFF">
        <w:trPr>
          <w:trHeight w:val="255"/>
        </w:trPr>
        <w:tc>
          <w:tcPr>
            <w:tcW w:w="2248" w:type="dxa"/>
            <w:shd w:val="clear" w:color="auto" w:fill="auto"/>
            <w:noWrap/>
            <w:vAlign w:val="bottom"/>
          </w:tcPr>
          <w:p w:rsidR="0015454E" w:rsidRPr="00F27DFF" w:rsidRDefault="0015454E" w:rsidP="00FC4F38">
            <w:pPr>
              <w:spacing w:line="360" w:lineRule="auto"/>
              <w:jc w:val="both"/>
              <w:rPr>
                <w:rFonts w:ascii="Arial" w:hAnsi="Arial" w:cs="Arial"/>
                <w:sz w:val="16"/>
                <w:szCs w:val="16"/>
              </w:rPr>
            </w:pPr>
            <w:r w:rsidRPr="00F27DFF">
              <w:rPr>
                <w:rFonts w:ascii="Arial" w:hAnsi="Arial" w:cs="Arial"/>
                <w:sz w:val="16"/>
                <w:szCs w:val="16"/>
              </w:rPr>
              <w:t>Cartera Vencida</w:t>
            </w:r>
          </w:p>
        </w:tc>
        <w:tc>
          <w:tcPr>
            <w:tcW w:w="1352" w:type="dxa"/>
            <w:shd w:val="clear" w:color="auto" w:fill="auto"/>
            <w:noWrap/>
            <w:vAlign w:val="bottom"/>
          </w:tcPr>
          <w:p w:rsidR="0015454E" w:rsidRPr="00F27DFF" w:rsidRDefault="0015454E" w:rsidP="00FC4F38">
            <w:pPr>
              <w:spacing w:line="360" w:lineRule="auto"/>
              <w:jc w:val="both"/>
              <w:rPr>
                <w:rFonts w:ascii="Arial" w:hAnsi="Arial" w:cs="Arial"/>
                <w:sz w:val="16"/>
                <w:szCs w:val="16"/>
              </w:rPr>
            </w:pPr>
            <w:r w:rsidRPr="00F27DFF">
              <w:rPr>
                <w:rFonts w:ascii="Arial" w:hAnsi="Arial" w:cs="Arial"/>
                <w:sz w:val="16"/>
                <w:szCs w:val="16"/>
              </w:rPr>
              <w:t>1</w:t>
            </w:r>
          </w:p>
        </w:tc>
      </w:tr>
      <w:tr w:rsidR="0015454E" w:rsidRPr="00F27DFF" w:rsidTr="00F27DFF">
        <w:trPr>
          <w:trHeight w:val="255"/>
        </w:trPr>
        <w:tc>
          <w:tcPr>
            <w:tcW w:w="2248" w:type="dxa"/>
            <w:shd w:val="clear" w:color="auto" w:fill="auto"/>
            <w:noWrap/>
            <w:vAlign w:val="bottom"/>
          </w:tcPr>
          <w:p w:rsidR="0015454E" w:rsidRPr="00F27DFF" w:rsidRDefault="0015454E" w:rsidP="00FC4F38">
            <w:pPr>
              <w:spacing w:line="360" w:lineRule="auto"/>
              <w:jc w:val="both"/>
              <w:rPr>
                <w:rFonts w:ascii="Arial" w:hAnsi="Arial" w:cs="Arial"/>
                <w:sz w:val="16"/>
                <w:szCs w:val="16"/>
              </w:rPr>
            </w:pPr>
            <w:r w:rsidRPr="00F27DFF">
              <w:rPr>
                <w:rFonts w:ascii="Arial" w:hAnsi="Arial" w:cs="Arial"/>
                <w:sz w:val="16"/>
                <w:szCs w:val="16"/>
              </w:rPr>
              <w:t xml:space="preserve">Cartera Comercial </w:t>
            </w:r>
          </w:p>
        </w:tc>
        <w:tc>
          <w:tcPr>
            <w:tcW w:w="1352" w:type="dxa"/>
            <w:shd w:val="clear" w:color="auto" w:fill="auto"/>
            <w:noWrap/>
            <w:vAlign w:val="bottom"/>
          </w:tcPr>
          <w:p w:rsidR="0015454E" w:rsidRPr="00F27DFF" w:rsidRDefault="0015454E" w:rsidP="00FC4F38">
            <w:pPr>
              <w:spacing w:line="360" w:lineRule="auto"/>
              <w:jc w:val="both"/>
              <w:rPr>
                <w:rFonts w:ascii="Arial" w:hAnsi="Arial" w:cs="Arial"/>
                <w:sz w:val="16"/>
                <w:szCs w:val="16"/>
              </w:rPr>
            </w:pPr>
            <w:r w:rsidRPr="00F27DFF">
              <w:rPr>
                <w:rFonts w:ascii="Arial" w:hAnsi="Arial" w:cs="Arial"/>
                <w:sz w:val="16"/>
                <w:szCs w:val="16"/>
              </w:rPr>
              <w:t>1</w:t>
            </w:r>
          </w:p>
        </w:tc>
      </w:tr>
      <w:tr w:rsidR="0015454E" w:rsidRPr="00F27DFF" w:rsidTr="00F27DFF">
        <w:trPr>
          <w:trHeight w:val="255"/>
        </w:trPr>
        <w:tc>
          <w:tcPr>
            <w:tcW w:w="2248" w:type="dxa"/>
            <w:shd w:val="clear" w:color="auto" w:fill="auto"/>
            <w:noWrap/>
            <w:vAlign w:val="bottom"/>
          </w:tcPr>
          <w:p w:rsidR="0015454E" w:rsidRPr="00F27DFF" w:rsidRDefault="0015454E" w:rsidP="00FC4F38">
            <w:pPr>
              <w:spacing w:line="360" w:lineRule="auto"/>
              <w:jc w:val="both"/>
              <w:rPr>
                <w:rFonts w:ascii="Arial" w:hAnsi="Arial" w:cs="Arial"/>
                <w:sz w:val="16"/>
                <w:szCs w:val="16"/>
              </w:rPr>
            </w:pPr>
            <w:r w:rsidRPr="00F27DFF">
              <w:rPr>
                <w:rFonts w:ascii="Arial" w:hAnsi="Arial" w:cs="Arial"/>
                <w:sz w:val="16"/>
                <w:szCs w:val="16"/>
              </w:rPr>
              <w:t>Cartera de Consumo</w:t>
            </w:r>
          </w:p>
        </w:tc>
        <w:tc>
          <w:tcPr>
            <w:tcW w:w="1352" w:type="dxa"/>
            <w:shd w:val="clear" w:color="auto" w:fill="auto"/>
            <w:noWrap/>
            <w:vAlign w:val="bottom"/>
          </w:tcPr>
          <w:p w:rsidR="0015454E" w:rsidRPr="00F27DFF" w:rsidRDefault="0015454E" w:rsidP="00FC4F38">
            <w:pPr>
              <w:spacing w:line="360" w:lineRule="auto"/>
              <w:jc w:val="both"/>
              <w:rPr>
                <w:rFonts w:ascii="Arial" w:hAnsi="Arial" w:cs="Arial"/>
                <w:sz w:val="16"/>
                <w:szCs w:val="16"/>
              </w:rPr>
            </w:pPr>
            <w:r w:rsidRPr="00F27DFF">
              <w:rPr>
                <w:rFonts w:ascii="Arial" w:hAnsi="Arial" w:cs="Arial"/>
                <w:sz w:val="16"/>
                <w:szCs w:val="16"/>
              </w:rPr>
              <w:t>1</w:t>
            </w:r>
          </w:p>
        </w:tc>
      </w:tr>
      <w:tr w:rsidR="0015454E" w:rsidRPr="00F27DFF" w:rsidTr="00F27DFF">
        <w:trPr>
          <w:trHeight w:val="255"/>
        </w:trPr>
        <w:tc>
          <w:tcPr>
            <w:tcW w:w="2248" w:type="dxa"/>
            <w:shd w:val="clear" w:color="auto" w:fill="auto"/>
            <w:noWrap/>
            <w:vAlign w:val="bottom"/>
          </w:tcPr>
          <w:p w:rsidR="0015454E" w:rsidRPr="00F27DFF" w:rsidRDefault="0015454E" w:rsidP="00FC4F38">
            <w:pPr>
              <w:spacing w:line="360" w:lineRule="auto"/>
              <w:jc w:val="both"/>
              <w:rPr>
                <w:rFonts w:ascii="Arial" w:hAnsi="Arial" w:cs="Arial"/>
                <w:sz w:val="16"/>
                <w:szCs w:val="16"/>
              </w:rPr>
            </w:pPr>
            <w:r w:rsidRPr="00F27DFF">
              <w:rPr>
                <w:rFonts w:ascii="Arial" w:hAnsi="Arial" w:cs="Arial"/>
                <w:sz w:val="16"/>
                <w:szCs w:val="16"/>
              </w:rPr>
              <w:t>Cartera de Vivienda</w:t>
            </w:r>
          </w:p>
        </w:tc>
        <w:tc>
          <w:tcPr>
            <w:tcW w:w="1352" w:type="dxa"/>
            <w:shd w:val="clear" w:color="auto" w:fill="auto"/>
            <w:noWrap/>
            <w:vAlign w:val="bottom"/>
          </w:tcPr>
          <w:p w:rsidR="0015454E" w:rsidRPr="00F27DFF" w:rsidRDefault="0015454E" w:rsidP="00FC4F38">
            <w:pPr>
              <w:spacing w:line="360" w:lineRule="auto"/>
              <w:jc w:val="both"/>
              <w:rPr>
                <w:rFonts w:ascii="Arial" w:hAnsi="Arial" w:cs="Arial"/>
                <w:sz w:val="16"/>
                <w:szCs w:val="16"/>
              </w:rPr>
            </w:pPr>
            <w:r w:rsidRPr="00F27DFF">
              <w:rPr>
                <w:rFonts w:ascii="Arial" w:hAnsi="Arial" w:cs="Arial"/>
                <w:sz w:val="16"/>
                <w:szCs w:val="16"/>
              </w:rPr>
              <w:t>0,5</w:t>
            </w:r>
          </w:p>
        </w:tc>
      </w:tr>
      <w:tr w:rsidR="0015454E" w:rsidRPr="00F27DFF" w:rsidTr="00F27DFF">
        <w:trPr>
          <w:trHeight w:val="255"/>
        </w:trPr>
        <w:tc>
          <w:tcPr>
            <w:tcW w:w="2248" w:type="dxa"/>
            <w:shd w:val="clear" w:color="auto" w:fill="auto"/>
            <w:noWrap/>
            <w:vAlign w:val="bottom"/>
          </w:tcPr>
          <w:p w:rsidR="0015454E" w:rsidRPr="00F27DFF" w:rsidRDefault="0015454E" w:rsidP="00FC4F38">
            <w:pPr>
              <w:spacing w:line="360" w:lineRule="auto"/>
              <w:jc w:val="both"/>
              <w:rPr>
                <w:rFonts w:ascii="Arial" w:hAnsi="Arial" w:cs="Arial"/>
                <w:sz w:val="16"/>
                <w:szCs w:val="16"/>
              </w:rPr>
            </w:pPr>
            <w:r w:rsidRPr="00F27DFF">
              <w:rPr>
                <w:rFonts w:ascii="Arial" w:hAnsi="Arial" w:cs="Arial"/>
                <w:sz w:val="16"/>
                <w:szCs w:val="16"/>
              </w:rPr>
              <w:t>Cartera de Microemp.</w:t>
            </w:r>
          </w:p>
        </w:tc>
        <w:tc>
          <w:tcPr>
            <w:tcW w:w="1352" w:type="dxa"/>
            <w:shd w:val="clear" w:color="auto" w:fill="auto"/>
            <w:noWrap/>
            <w:vAlign w:val="bottom"/>
          </w:tcPr>
          <w:p w:rsidR="0015454E" w:rsidRPr="00F27DFF" w:rsidRDefault="0015454E" w:rsidP="00FC4F38">
            <w:pPr>
              <w:spacing w:line="360" w:lineRule="auto"/>
              <w:jc w:val="both"/>
              <w:rPr>
                <w:rFonts w:ascii="Arial" w:hAnsi="Arial" w:cs="Arial"/>
                <w:sz w:val="16"/>
                <w:szCs w:val="16"/>
              </w:rPr>
            </w:pPr>
            <w:r w:rsidRPr="00F27DFF">
              <w:rPr>
                <w:rFonts w:ascii="Arial" w:hAnsi="Arial" w:cs="Arial"/>
                <w:sz w:val="16"/>
                <w:szCs w:val="16"/>
              </w:rPr>
              <w:t>1</w:t>
            </w:r>
          </w:p>
        </w:tc>
      </w:tr>
      <w:tr w:rsidR="0015454E" w:rsidRPr="00F27DFF" w:rsidTr="00F27DFF">
        <w:trPr>
          <w:trHeight w:val="255"/>
        </w:trPr>
        <w:tc>
          <w:tcPr>
            <w:tcW w:w="2248" w:type="dxa"/>
            <w:shd w:val="clear" w:color="auto" w:fill="auto"/>
            <w:noWrap/>
            <w:vAlign w:val="bottom"/>
          </w:tcPr>
          <w:p w:rsidR="0015454E" w:rsidRPr="00F27DFF" w:rsidRDefault="0015454E" w:rsidP="00FC4F38">
            <w:pPr>
              <w:spacing w:line="360" w:lineRule="auto"/>
              <w:jc w:val="both"/>
              <w:rPr>
                <w:rFonts w:ascii="Arial" w:hAnsi="Arial" w:cs="Arial"/>
                <w:sz w:val="16"/>
                <w:szCs w:val="16"/>
              </w:rPr>
            </w:pPr>
            <w:r w:rsidRPr="00F27DFF">
              <w:rPr>
                <w:rFonts w:ascii="Arial" w:hAnsi="Arial" w:cs="Arial"/>
                <w:sz w:val="16"/>
                <w:szCs w:val="16"/>
              </w:rPr>
              <w:t>Propiedades y Equipos</w:t>
            </w:r>
          </w:p>
        </w:tc>
        <w:tc>
          <w:tcPr>
            <w:tcW w:w="1352" w:type="dxa"/>
            <w:shd w:val="clear" w:color="auto" w:fill="auto"/>
            <w:noWrap/>
            <w:vAlign w:val="bottom"/>
          </w:tcPr>
          <w:p w:rsidR="0015454E" w:rsidRPr="00F27DFF" w:rsidRDefault="0015454E" w:rsidP="00FC4F38">
            <w:pPr>
              <w:spacing w:line="360" w:lineRule="auto"/>
              <w:jc w:val="both"/>
              <w:rPr>
                <w:rFonts w:ascii="Arial" w:hAnsi="Arial" w:cs="Arial"/>
                <w:sz w:val="16"/>
                <w:szCs w:val="16"/>
              </w:rPr>
            </w:pPr>
            <w:r w:rsidRPr="00F27DFF">
              <w:rPr>
                <w:rFonts w:ascii="Arial" w:hAnsi="Arial" w:cs="Arial"/>
                <w:sz w:val="16"/>
                <w:szCs w:val="16"/>
              </w:rPr>
              <w:t>1</w:t>
            </w:r>
          </w:p>
        </w:tc>
      </w:tr>
      <w:tr w:rsidR="0015454E" w:rsidRPr="00050044" w:rsidTr="00F27DFF">
        <w:trPr>
          <w:trHeight w:val="270"/>
        </w:trPr>
        <w:tc>
          <w:tcPr>
            <w:tcW w:w="2248" w:type="dxa"/>
            <w:shd w:val="clear" w:color="auto" w:fill="auto"/>
            <w:noWrap/>
            <w:vAlign w:val="bottom"/>
          </w:tcPr>
          <w:p w:rsidR="0015454E" w:rsidRPr="00F27DFF" w:rsidRDefault="0015454E" w:rsidP="00FC4F38">
            <w:pPr>
              <w:spacing w:line="360" w:lineRule="auto"/>
              <w:jc w:val="both"/>
              <w:rPr>
                <w:rFonts w:ascii="Arial" w:hAnsi="Arial" w:cs="Arial"/>
                <w:sz w:val="16"/>
                <w:szCs w:val="16"/>
              </w:rPr>
            </w:pPr>
            <w:r w:rsidRPr="00F27DFF">
              <w:rPr>
                <w:rFonts w:ascii="Arial" w:hAnsi="Arial" w:cs="Arial"/>
                <w:sz w:val="16"/>
                <w:szCs w:val="16"/>
              </w:rPr>
              <w:t>Otros Activos</w:t>
            </w:r>
          </w:p>
        </w:tc>
        <w:tc>
          <w:tcPr>
            <w:tcW w:w="1352" w:type="dxa"/>
            <w:shd w:val="clear" w:color="auto" w:fill="auto"/>
            <w:noWrap/>
            <w:vAlign w:val="bottom"/>
          </w:tcPr>
          <w:p w:rsidR="0015454E" w:rsidRPr="00D1638A" w:rsidRDefault="0015454E" w:rsidP="00FC4F38">
            <w:pPr>
              <w:spacing w:line="360" w:lineRule="auto"/>
              <w:jc w:val="both"/>
              <w:rPr>
                <w:rFonts w:ascii="Arial" w:hAnsi="Arial" w:cs="Arial"/>
                <w:sz w:val="16"/>
                <w:szCs w:val="16"/>
              </w:rPr>
            </w:pPr>
            <w:r w:rsidRPr="00F27DFF">
              <w:rPr>
                <w:rFonts w:ascii="Arial" w:hAnsi="Arial" w:cs="Arial"/>
                <w:sz w:val="16"/>
                <w:szCs w:val="16"/>
              </w:rPr>
              <w:t>1</w:t>
            </w:r>
          </w:p>
        </w:tc>
      </w:tr>
    </w:tbl>
    <w:p w:rsidR="0015454E" w:rsidRPr="00991A27" w:rsidRDefault="0015454E" w:rsidP="0015454E">
      <w:pPr>
        <w:spacing w:line="360" w:lineRule="auto"/>
        <w:jc w:val="both"/>
        <w:rPr>
          <w:rFonts w:ascii="Arial" w:hAnsi="Arial" w:cs="Arial"/>
        </w:rPr>
      </w:pPr>
    </w:p>
    <w:p w:rsidR="0015454E" w:rsidRPr="00050044" w:rsidRDefault="0015454E" w:rsidP="0015454E">
      <w:pPr>
        <w:spacing w:line="360" w:lineRule="auto"/>
        <w:jc w:val="both"/>
        <w:rPr>
          <w:rFonts w:ascii="Arial" w:hAnsi="Arial" w:cs="Arial"/>
          <w:sz w:val="16"/>
          <w:szCs w:val="16"/>
        </w:rPr>
      </w:pPr>
    </w:p>
    <w:p w:rsidR="0015454E" w:rsidRPr="00050044" w:rsidRDefault="0015454E" w:rsidP="0015454E">
      <w:pPr>
        <w:spacing w:line="360" w:lineRule="auto"/>
        <w:jc w:val="both"/>
        <w:rPr>
          <w:rFonts w:ascii="Arial" w:hAnsi="Arial" w:cs="Arial"/>
          <w:sz w:val="16"/>
          <w:szCs w:val="16"/>
        </w:rPr>
      </w:pPr>
      <w:r w:rsidRPr="00050044">
        <w:rPr>
          <w:rFonts w:ascii="Arial" w:hAnsi="Arial" w:cs="Arial"/>
          <w:sz w:val="16"/>
          <w:szCs w:val="16"/>
        </w:rPr>
        <w:tab/>
      </w:r>
    </w:p>
    <w:p w:rsidR="0015454E" w:rsidRPr="00050044" w:rsidRDefault="0015454E" w:rsidP="0015454E">
      <w:pPr>
        <w:spacing w:line="360" w:lineRule="auto"/>
        <w:jc w:val="both"/>
        <w:rPr>
          <w:rFonts w:ascii="Arial" w:hAnsi="Arial" w:cs="Arial"/>
          <w:sz w:val="16"/>
          <w:szCs w:val="16"/>
        </w:rPr>
      </w:pPr>
    </w:p>
    <w:p w:rsidR="0015454E" w:rsidRPr="00050044" w:rsidRDefault="0015454E" w:rsidP="0015454E">
      <w:pPr>
        <w:spacing w:line="360" w:lineRule="auto"/>
        <w:jc w:val="both"/>
        <w:rPr>
          <w:rFonts w:ascii="Arial" w:hAnsi="Arial" w:cs="Arial"/>
          <w:sz w:val="16"/>
          <w:szCs w:val="16"/>
        </w:rPr>
      </w:pPr>
    </w:p>
    <w:p w:rsidR="0015454E" w:rsidRPr="00050044" w:rsidRDefault="0015454E" w:rsidP="0015454E">
      <w:pPr>
        <w:spacing w:line="360" w:lineRule="auto"/>
        <w:jc w:val="both"/>
        <w:rPr>
          <w:rFonts w:ascii="Arial" w:hAnsi="Arial" w:cs="Arial"/>
          <w:sz w:val="16"/>
          <w:szCs w:val="16"/>
        </w:rPr>
      </w:pPr>
    </w:p>
    <w:p w:rsidR="0015454E" w:rsidRPr="00050044" w:rsidRDefault="0015454E" w:rsidP="0015454E">
      <w:pPr>
        <w:spacing w:line="360" w:lineRule="auto"/>
        <w:jc w:val="both"/>
        <w:rPr>
          <w:rFonts w:ascii="Arial" w:hAnsi="Arial" w:cs="Arial"/>
          <w:sz w:val="16"/>
          <w:szCs w:val="16"/>
        </w:rPr>
      </w:pPr>
    </w:p>
    <w:p w:rsidR="0015454E" w:rsidRPr="00991A27" w:rsidRDefault="0015454E" w:rsidP="0015454E">
      <w:pPr>
        <w:spacing w:line="360" w:lineRule="auto"/>
        <w:jc w:val="both"/>
        <w:rPr>
          <w:rFonts w:ascii="Arial" w:hAnsi="Arial" w:cs="Arial"/>
        </w:rPr>
      </w:pPr>
    </w:p>
    <w:p w:rsidR="0015454E" w:rsidRPr="00991A27" w:rsidRDefault="0015454E" w:rsidP="0015454E">
      <w:pPr>
        <w:spacing w:line="360" w:lineRule="auto"/>
        <w:jc w:val="both"/>
        <w:rPr>
          <w:rFonts w:ascii="Arial" w:hAnsi="Arial" w:cs="Arial"/>
        </w:rPr>
      </w:pPr>
    </w:p>
    <w:p w:rsidR="0015454E" w:rsidRPr="00991A27" w:rsidRDefault="0015454E" w:rsidP="0015454E">
      <w:pPr>
        <w:spacing w:line="360" w:lineRule="auto"/>
        <w:jc w:val="both"/>
        <w:rPr>
          <w:rFonts w:ascii="Arial" w:hAnsi="Arial" w:cs="Arial"/>
        </w:rPr>
      </w:pPr>
    </w:p>
    <w:p w:rsidR="00BB2594" w:rsidRDefault="00BB2594" w:rsidP="0015454E">
      <w:pPr>
        <w:spacing w:line="360" w:lineRule="auto"/>
        <w:jc w:val="both"/>
        <w:rPr>
          <w:rFonts w:ascii="Arial" w:hAnsi="Arial" w:cs="Arial"/>
          <w:sz w:val="16"/>
          <w:szCs w:val="16"/>
        </w:rPr>
      </w:pPr>
    </w:p>
    <w:p w:rsidR="0015454E" w:rsidRPr="00D1638A" w:rsidRDefault="0015454E" w:rsidP="0015454E">
      <w:pPr>
        <w:spacing w:line="360" w:lineRule="auto"/>
        <w:jc w:val="both"/>
        <w:rPr>
          <w:rFonts w:ascii="Arial" w:hAnsi="Arial" w:cs="Arial"/>
          <w:sz w:val="16"/>
          <w:szCs w:val="16"/>
        </w:rPr>
      </w:pPr>
      <w:r w:rsidRPr="00D1638A">
        <w:rPr>
          <w:rFonts w:ascii="Arial" w:hAnsi="Arial" w:cs="Arial"/>
          <w:sz w:val="16"/>
          <w:szCs w:val="16"/>
        </w:rPr>
        <w:t xml:space="preserve">Fuente: Resolución de </w:t>
      </w:r>
      <w:smartTag w:uri="urn:schemas-microsoft-com:office:smarttags" w:element="PersonName">
        <w:smartTagPr>
          <w:attr w:name="ProductID" w:val="la Superintendencia"/>
        </w:smartTagPr>
        <w:r w:rsidRPr="00D1638A">
          <w:rPr>
            <w:rFonts w:ascii="Arial" w:hAnsi="Arial" w:cs="Arial"/>
            <w:sz w:val="16"/>
            <w:szCs w:val="16"/>
          </w:rPr>
          <w:t>la Superintendencia</w:t>
        </w:r>
      </w:smartTag>
      <w:r w:rsidRPr="00D1638A">
        <w:rPr>
          <w:rFonts w:ascii="Arial" w:hAnsi="Arial" w:cs="Arial"/>
          <w:sz w:val="16"/>
          <w:szCs w:val="16"/>
        </w:rPr>
        <w:t xml:space="preserve"> de Bancos y Seguros</w:t>
      </w:r>
    </w:p>
    <w:p w:rsidR="0015454E" w:rsidRPr="00050044" w:rsidRDefault="0015454E" w:rsidP="0015454E">
      <w:pPr>
        <w:spacing w:line="360" w:lineRule="auto"/>
        <w:jc w:val="both"/>
        <w:rPr>
          <w:rFonts w:ascii="Arial" w:hAnsi="Arial" w:cs="Arial"/>
          <w:b/>
          <w:sz w:val="16"/>
          <w:szCs w:val="16"/>
        </w:rPr>
      </w:pPr>
    </w:p>
    <w:p w:rsidR="0015454E" w:rsidRPr="00E0414C" w:rsidRDefault="0015454E" w:rsidP="00E0414C">
      <w:pPr>
        <w:spacing w:line="360" w:lineRule="auto"/>
        <w:ind w:firstLine="454"/>
        <w:jc w:val="both"/>
        <w:rPr>
          <w:rFonts w:ascii="Arial" w:hAnsi="Arial" w:cs="Arial"/>
          <w:sz w:val="24"/>
          <w:szCs w:val="24"/>
        </w:rPr>
      </w:pPr>
      <w:r w:rsidRPr="00BB2594">
        <w:rPr>
          <w:rFonts w:ascii="Arial" w:hAnsi="Arial" w:cs="Arial"/>
          <w:sz w:val="24"/>
          <w:szCs w:val="24"/>
        </w:rPr>
        <w:t xml:space="preserve">El cuadro 3.5 indica los porcentajes de ponderación escogidos  para los rubros proyectados del activo, con los cuales obtuvimos el siguiente resultado: </w:t>
      </w:r>
    </w:p>
    <w:p w:rsidR="0015454E" w:rsidRPr="00991A27" w:rsidRDefault="0015454E" w:rsidP="0015454E">
      <w:pPr>
        <w:spacing w:line="360" w:lineRule="auto"/>
        <w:jc w:val="center"/>
        <w:rPr>
          <w:rFonts w:ascii="Arial" w:hAnsi="Arial" w:cs="Arial"/>
          <w:b/>
        </w:rPr>
      </w:pPr>
      <w:r w:rsidRPr="00991A27">
        <w:rPr>
          <w:rFonts w:ascii="Arial" w:hAnsi="Arial" w:cs="Arial"/>
          <w:b/>
        </w:rPr>
        <w:lastRenderedPageBreak/>
        <w:t>Cuadro 3.7</w:t>
      </w:r>
    </w:p>
    <w:tbl>
      <w:tblPr>
        <w:tblpPr w:leftFromText="141" w:rightFromText="141" w:vertAnchor="text" w:horzAnchor="margin" w:tblpY="134"/>
        <w:tblW w:w="8016"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70" w:type="dxa"/>
          <w:right w:w="70" w:type="dxa"/>
        </w:tblCellMar>
        <w:tblLook w:val="0000"/>
      </w:tblPr>
      <w:tblGrid>
        <w:gridCol w:w="2256"/>
        <w:gridCol w:w="1356"/>
        <w:gridCol w:w="1076"/>
        <w:gridCol w:w="1096"/>
        <w:gridCol w:w="1076"/>
        <w:gridCol w:w="1156"/>
      </w:tblGrid>
      <w:tr w:rsidR="0015454E" w:rsidRPr="00991A27" w:rsidTr="00F27DFF">
        <w:trPr>
          <w:trHeight w:val="255"/>
        </w:trPr>
        <w:tc>
          <w:tcPr>
            <w:tcW w:w="2256" w:type="dxa"/>
            <w:shd w:val="clear" w:color="auto" w:fill="800000"/>
            <w:noWrap/>
            <w:vAlign w:val="bottom"/>
          </w:tcPr>
          <w:p w:rsidR="0015454E" w:rsidRPr="00050044" w:rsidRDefault="0015454E" w:rsidP="00FC4F38">
            <w:pPr>
              <w:spacing w:line="360" w:lineRule="auto"/>
              <w:jc w:val="both"/>
              <w:rPr>
                <w:rFonts w:ascii="Arial" w:hAnsi="Arial" w:cs="Arial"/>
                <w:sz w:val="16"/>
                <w:szCs w:val="16"/>
              </w:rPr>
            </w:pPr>
            <w:r w:rsidRPr="00050044">
              <w:rPr>
                <w:rFonts w:ascii="Arial" w:hAnsi="Arial" w:cs="Arial"/>
                <w:sz w:val="16"/>
                <w:szCs w:val="16"/>
              </w:rPr>
              <w:t> </w:t>
            </w:r>
          </w:p>
        </w:tc>
        <w:tc>
          <w:tcPr>
            <w:tcW w:w="1356" w:type="dxa"/>
            <w:shd w:val="clear" w:color="auto" w:fill="800000"/>
            <w:noWrap/>
            <w:vAlign w:val="bottom"/>
          </w:tcPr>
          <w:p w:rsidR="0015454E" w:rsidRPr="00050044" w:rsidRDefault="0015454E" w:rsidP="00FC4F38">
            <w:pPr>
              <w:spacing w:line="360" w:lineRule="auto"/>
              <w:jc w:val="both"/>
              <w:rPr>
                <w:rFonts w:ascii="Arial" w:hAnsi="Arial" w:cs="Arial"/>
                <w:b/>
                <w:bCs/>
                <w:sz w:val="16"/>
                <w:szCs w:val="16"/>
              </w:rPr>
            </w:pPr>
            <w:r w:rsidRPr="00050044">
              <w:rPr>
                <w:rFonts w:ascii="Arial" w:hAnsi="Arial" w:cs="Arial"/>
                <w:b/>
                <w:bCs/>
                <w:sz w:val="16"/>
                <w:szCs w:val="16"/>
              </w:rPr>
              <w:t>2008</w:t>
            </w:r>
          </w:p>
        </w:tc>
        <w:tc>
          <w:tcPr>
            <w:tcW w:w="1076" w:type="dxa"/>
            <w:shd w:val="clear" w:color="auto" w:fill="800000"/>
            <w:noWrap/>
            <w:vAlign w:val="bottom"/>
          </w:tcPr>
          <w:p w:rsidR="0015454E" w:rsidRPr="00050044" w:rsidRDefault="0015454E" w:rsidP="00FC4F38">
            <w:pPr>
              <w:spacing w:line="360" w:lineRule="auto"/>
              <w:jc w:val="both"/>
              <w:rPr>
                <w:rFonts w:ascii="Arial" w:hAnsi="Arial" w:cs="Arial"/>
                <w:b/>
                <w:bCs/>
                <w:sz w:val="16"/>
                <w:szCs w:val="16"/>
              </w:rPr>
            </w:pPr>
            <w:r w:rsidRPr="00050044">
              <w:rPr>
                <w:rFonts w:ascii="Arial" w:hAnsi="Arial" w:cs="Arial"/>
                <w:b/>
                <w:bCs/>
                <w:sz w:val="16"/>
                <w:szCs w:val="16"/>
              </w:rPr>
              <w:t>2009</w:t>
            </w:r>
          </w:p>
        </w:tc>
        <w:tc>
          <w:tcPr>
            <w:tcW w:w="1096" w:type="dxa"/>
            <w:shd w:val="clear" w:color="auto" w:fill="800000"/>
            <w:noWrap/>
            <w:vAlign w:val="bottom"/>
          </w:tcPr>
          <w:p w:rsidR="0015454E" w:rsidRPr="00050044" w:rsidRDefault="0015454E" w:rsidP="00FC4F38">
            <w:pPr>
              <w:spacing w:line="360" w:lineRule="auto"/>
              <w:jc w:val="both"/>
              <w:rPr>
                <w:rFonts w:ascii="Arial" w:hAnsi="Arial" w:cs="Arial"/>
                <w:b/>
                <w:bCs/>
                <w:sz w:val="16"/>
                <w:szCs w:val="16"/>
              </w:rPr>
            </w:pPr>
            <w:r w:rsidRPr="00050044">
              <w:rPr>
                <w:rFonts w:ascii="Arial" w:hAnsi="Arial" w:cs="Arial"/>
                <w:b/>
                <w:bCs/>
                <w:sz w:val="16"/>
                <w:szCs w:val="16"/>
              </w:rPr>
              <w:t>2010</w:t>
            </w:r>
          </w:p>
        </w:tc>
        <w:tc>
          <w:tcPr>
            <w:tcW w:w="1076" w:type="dxa"/>
            <w:shd w:val="clear" w:color="auto" w:fill="800000"/>
            <w:noWrap/>
            <w:vAlign w:val="bottom"/>
          </w:tcPr>
          <w:p w:rsidR="0015454E" w:rsidRPr="00050044" w:rsidRDefault="0015454E" w:rsidP="00FC4F38">
            <w:pPr>
              <w:spacing w:line="360" w:lineRule="auto"/>
              <w:jc w:val="both"/>
              <w:rPr>
                <w:rFonts w:ascii="Arial" w:hAnsi="Arial" w:cs="Arial"/>
                <w:b/>
                <w:bCs/>
                <w:sz w:val="16"/>
                <w:szCs w:val="16"/>
              </w:rPr>
            </w:pPr>
            <w:r w:rsidRPr="00050044">
              <w:rPr>
                <w:rFonts w:ascii="Arial" w:hAnsi="Arial" w:cs="Arial"/>
                <w:b/>
                <w:bCs/>
                <w:sz w:val="16"/>
                <w:szCs w:val="16"/>
              </w:rPr>
              <w:t>2011</w:t>
            </w:r>
          </w:p>
        </w:tc>
        <w:tc>
          <w:tcPr>
            <w:tcW w:w="1156" w:type="dxa"/>
            <w:shd w:val="clear" w:color="auto" w:fill="800000"/>
            <w:noWrap/>
            <w:vAlign w:val="bottom"/>
          </w:tcPr>
          <w:p w:rsidR="0015454E" w:rsidRPr="00050044" w:rsidRDefault="0015454E" w:rsidP="00FC4F38">
            <w:pPr>
              <w:spacing w:line="360" w:lineRule="auto"/>
              <w:jc w:val="both"/>
              <w:rPr>
                <w:rFonts w:ascii="Arial" w:hAnsi="Arial" w:cs="Arial"/>
                <w:b/>
                <w:bCs/>
                <w:sz w:val="16"/>
                <w:szCs w:val="16"/>
              </w:rPr>
            </w:pPr>
            <w:r w:rsidRPr="00050044">
              <w:rPr>
                <w:rFonts w:ascii="Arial" w:hAnsi="Arial" w:cs="Arial"/>
                <w:b/>
                <w:bCs/>
                <w:sz w:val="16"/>
                <w:szCs w:val="16"/>
              </w:rPr>
              <w:t>2012</w:t>
            </w:r>
          </w:p>
        </w:tc>
      </w:tr>
      <w:tr w:rsidR="0015454E" w:rsidRPr="00991A27" w:rsidTr="00F27DFF">
        <w:trPr>
          <w:trHeight w:val="510"/>
        </w:trPr>
        <w:tc>
          <w:tcPr>
            <w:tcW w:w="2256" w:type="dxa"/>
            <w:shd w:val="clear" w:color="auto" w:fill="auto"/>
            <w:vAlign w:val="bottom"/>
          </w:tcPr>
          <w:p w:rsidR="0015454E" w:rsidRPr="00050044" w:rsidRDefault="0015454E" w:rsidP="00FC4F38">
            <w:pPr>
              <w:spacing w:line="360" w:lineRule="auto"/>
              <w:jc w:val="both"/>
              <w:rPr>
                <w:rFonts w:ascii="Arial" w:hAnsi="Arial" w:cs="Arial"/>
                <w:b/>
                <w:bCs/>
                <w:sz w:val="16"/>
                <w:szCs w:val="16"/>
              </w:rPr>
            </w:pPr>
            <w:r w:rsidRPr="00050044">
              <w:rPr>
                <w:rFonts w:ascii="Arial" w:hAnsi="Arial" w:cs="Arial"/>
                <w:b/>
                <w:bCs/>
                <w:sz w:val="16"/>
                <w:szCs w:val="16"/>
              </w:rPr>
              <w:t>Total Act pond por riesgo</w:t>
            </w:r>
          </w:p>
        </w:tc>
        <w:tc>
          <w:tcPr>
            <w:tcW w:w="1356" w:type="dxa"/>
            <w:shd w:val="clear" w:color="auto" w:fill="auto"/>
            <w:noWrap/>
            <w:vAlign w:val="bottom"/>
          </w:tcPr>
          <w:p w:rsidR="0015454E" w:rsidRPr="00050044" w:rsidRDefault="0015454E" w:rsidP="00FC4F38">
            <w:pPr>
              <w:spacing w:line="360" w:lineRule="auto"/>
              <w:jc w:val="both"/>
              <w:rPr>
                <w:rFonts w:ascii="Arial" w:hAnsi="Arial" w:cs="Arial"/>
                <w:sz w:val="16"/>
                <w:szCs w:val="16"/>
              </w:rPr>
            </w:pPr>
            <w:r w:rsidRPr="00050044">
              <w:rPr>
                <w:rFonts w:ascii="Arial" w:hAnsi="Arial" w:cs="Arial"/>
                <w:sz w:val="16"/>
                <w:szCs w:val="16"/>
              </w:rPr>
              <w:t>1629600,273</w:t>
            </w:r>
          </w:p>
        </w:tc>
        <w:tc>
          <w:tcPr>
            <w:tcW w:w="1076" w:type="dxa"/>
            <w:shd w:val="clear" w:color="auto" w:fill="auto"/>
            <w:noWrap/>
            <w:vAlign w:val="bottom"/>
          </w:tcPr>
          <w:p w:rsidR="0015454E" w:rsidRPr="00050044" w:rsidRDefault="0015454E" w:rsidP="00FC4F38">
            <w:pPr>
              <w:spacing w:line="360" w:lineRule="auto"/>
              <w:jc w:val="both"/>
              <w:rPr>
                <w:rFonts w:ascii="Arial" w:hAnsi="Arial" w:cs="Arial"/>
                <w:sz w:val="16"/>
                <w:szCs w:val="16"/>
              </w:rPr>
            </w:pPr>
            <w:r w:rsidRPr="00050044">
              <w:rPr>
                <w:rFonts w:ascii="Arial" w:hAnsi="Arial" w:cs="Arial"/>
                <w:sz w:val="16"/>
                <w:szCs w:val="16"/>
              </w:rPr>
              <w:t>1774364,4</w:t>
            </w:r>
          </w:p>
        </w:tc>
        <w:tc>
          <w:tcPr>
            <w:tcW w:w="1096" w:type="dxa"/>
            <w:shd w:val="clear" w:color="auto" w:fill="auto"/>
            <w:noWrap/>
            <w:vAlign w:val="bottom"/>
          </w:tcPr>
          <w:p w:rsidR="0015454E" w:rsidRPr="00050044" w:rsidRDefault="0015454E" w:rsidP="00FC4F38">
            <w:pPr>
              <w:spacing w:line="360" w:lineRule="auto"/>
              <w:jc w:val="both"/>
              <w:rPr>
                <w:rFonts w:ascii="Arial" w:hAnsi="Arial" w:cs="Arial"/>
                <w:sz w:val="16"/>
                <w:szCs w:val="16"/>
              </w:rPr>
            </w:pPr>
            <w:r w:rsidRPr="00050044">
              <w:rPr>
                <w:rFonts w:ascii="Arial" w:hAnsi="Arial" w:cs="Arial"/>
                <w:sz w:val="16"/>
                <w:szCs w:val="16"/>
              </w:rPr>
              <w:t>1919128,5</w:t>
            </w:r>
          </w:p>
        </w:tc>
        <w:tc>
          <w:tcPr>
            <w:tcW w:w="1076" w:type="dxa"/>
            <w:shd w:val="clear" w:color="auto" w:fill="auto"/>
            <w:noWrap/>
            <w:vAlign w:val="bottom"/>
          </w:tcPr>
          <w:p w:rsidR="0015454E" w:rsidRPr="00050044" w:rsidRDefault="0015454E" w:rsidP="00FC4F38">
            <w:pPr>
              <w:spacing w:line="360" w:lineRule="auto"/>
              <w:jc w:val="both"/>
              <w:rPr>
                <w:rFonts w:ascii="Arial" w:hAnsi="Arial" w:cs="Arial"/>
                <w:sz w:val="16"/>
                <w:szCs w:val="16"/>
              </w:rPr>
            </w:pPr>
            <w:r w:rsidRPr="00050044">
              <w:rPr>
                <w:rFonts w:ascii="Arial" w:hAnsi="Arial" w:cs="Arial"/>
                <w:sz w:val="16"/>
                <w:szCs w:val="16"/>
              </w:rPr>
              <w:t>2063892,6</w:t>
            </w:r>
          </w:p>
        </w:tc>
        <w:tc>
          <w:tcPr>
            <w:tcW w:w="1156" w:type="dxa"/>
            <w:shd w:val="clear" w:color="auto" w:fill="auto"/>
            <w:noWrap/>
            <w:vAlign w:val="bottom"/>
          </w:tcPr>
          <w:p w:rsidR="0015454E" w:rsidRPr="00050044" w:rsidRDefault="0015454E" w:rsidP="00FC4F38">
            <w:pPr>
              <w:spacing w:line="360" w:lineRule="auto"/>
              <w:jc w:val="both"/>
              <w:rPr>
                <w:rFonts w:ascii="Arial" w:hAnsi="Arial" w:cs="Arial"/>
                <w:sz w:val="16"/>
                <w:szCs w:val="16"/>
              </w:rPr>
            </w:pPr>
            <w:r w:rsidRPr="00050044">
              <w:rPr>
                <w:rFonts w:ascii="Arial" w:hAnsi="Arial" w:cs="Arial"/>
                <w:sz w:val="16"/>
                <w:szCs w:val="16"/>
              </w:rPr>
              <w:t>2208656,72</w:t>
            </w:r>
          </w:p>
        </w:tc>
      </w:tr>
      <w:tr w:rsidR="0015454E" w:rsidRPr="00991A27" w:rsidTr="00F27DFF">
        <w:trPr>
          <w:trHeight w:val="510"/>
        </w:trPr>
        <w:tc>
          <w:tcPr>
            <w:tcW w:w="2256" w:type="dxa"/>
            <w:shd w:val="clear" w:color="auto" w:fill="auto"/>
            <w:vAlign w:val="bottom"/>
          </w:tcPr>
          <w:p w:rsidR="0015454E" w:rsidRPr="00050044" w:rsidRDefault="0015454E" w:rsidP="00FC4F38">
            <w:pPr>
              <w:spacing w:line="360" w:lineRule="auto"/>
              <w:jc w:val="both"/>
              <w:rPr>
                <w:rFonts w:ascii="Arial" w:hAnsi="Arial" w:cs="Arial"/>
                <w:b/>
                <w:bCs/>
                <w:sz w:val="16"/>
                <w:szCs w:val="16"/>
              </w:rPr>
            </w:pPr>
            <w:r w:rsidRPr="00050044">
              <w:rPr>
                <w:rFonts w:ascii="Arial" w:hAnsi="Arial" w:cs="Arial"/>
                <w:b/>
                <w:bCs/>
                <w:sz w:val="16"/>
                <w:szCs w:val="16"/>
              </w:rPr>
              <w:t>Patrimonio + Utilidades</w:t>
            </w:r>
          </w:p>
        </w:tc>
        <w:tc>
          <w:tcPr>
            <w:tcW w:w="1356" w:type="dxa"/>
            <w:shd w:val="clear" w:color="auto" w:fill="auto"/>
            <w:noWrap/>
            <w:vAlign w:val="bottom"/>
          </w:tcPr>
          <w:p w:rsidR="0015454E" w:rsidRPr="00050044" w:rsidRDefault="0015454E" w:rsidP="00FC4F38">
            <w:pPr>
              <w:spacing w:line="360" w:lineRule="auto"/>
              <w:jc w:val="both"/>
              <w:rPr>
                <w:rFonts w:ascii="Arial" w:hAnsi="Arial" w:cs="Arial"/>
                <w:sz w:val="16"/>
                <w:szCs w:val="16"/>
              </w:rPr>
            </w:pPr>
            <w:r w:rsidRPr="00050044">
              <w:rPr>
                <w:rFonts w:ascii="Arial" w:hAnsi="Arial" w:cs="Arial"/>
                <w:sz w:val="16"/>
                <w:szCs w:val="16"/>
              </w:rPr>
              <w:t>171665,5125</w:t>
            </w:r>
          </w:p>
        </w:tc>
        <w:tc>
          <w:tcPr>
            <w:tcW w:w="1076" w:type="dxa"/>
            <w:shd w:val="clear" w:color="auto" w:fill="auto"/>
            <w:noWrap/>
            <w:vAlign w:val="bottom"/>
          </w:tcPr>
          <w:p w:rsidR="0015454E" w:rsidRPr="00050044" w:rsidRDefault="0015454E" w:rsidP="00FC4F38">
            <w:pPr>
              <w:spacing w:line="360" w:lineRule="auto"/>
              <w:jc w:val="both"/>
              <w:rPr>
                <w:rFonts w:ascii="Arial" w:hAnsi="Arial" w:cs="Arial"/>
                <w:sz w:val="16"/>
                <w:szCs w:val="16"/>
              </w:rPr>
            </w:pPr>
            <w:r w:rsidRPr="00050044">
              <w:rPr>
                <w:rFonts w:ascii="Arial" w:hAnsi="Arial" w:cs="Arial"/>
                <w:sz w:val="16"/>
                <w:szCs w:val="16"/>
              </w:rPr>
              <w:t>198678,6</w:t>
            </w:r>
          </w:p>
        </w:tc>
        <w:tc>
          <w:tcPr>
            <w:tcW w:w="1096" w:type="dxa"/>
            <w:shd w:val="clear" w:color="auto" w:fill="auto"/>
            <w:noWrap/>
            <w:vAlign w:val="bottom"/>
          </w:tcPr>
          <w:p w:rsidR="0015454E" w:rsidRPr="00050044" w:rsidRDefault="0015454E" w:rsidP="00FC4F38">
            <w:pPr>
              <w:spacing w:line="360" w:lineRule="auto"/>
              <w:jc w:val="both"/>
              <w:rPr>
                <w:rFonts w:ascii="Arial" w:hAnsi="Arial" w:cs="Arial"/>
                <w:sz w:val="16"/>
                <w:szCs w:val="16"/>
              </w:rPr>
            </w:pPr>
            <w:r w:rsidRPr="00050044">
              <w:rPr>
                <w:rFonts w:ascii="Arial" w:hAnsi="Arial" w:cs="Arial"/>
                <w:sz w:val="16"/>
                <w:szCs w:val="16"/>
              </w:rPr>
              <w:t>233377,29</w:t>
            </w:r>
          </w:p>
        </w:tc>
        <w:tc>
          <w:tcPr>
            <w:tcW w:w="1076" w:type="dxa"/>
            <w:shd w:val="clear" w:color="auto" w:fill="auto"/>
            <w:noWrap/>
            <w:vAlign w:val="bottom"/>
          </w:tcPr>
          <w:p w:rsidR="0015454E" w:rsidRPr="00050044" w:rsidRDefault="0015454E" w:rsidP="00FC4F38">
            <w:pPr>
              <w:spacing w:line="360" w:lineRule="auto"/>
              <w:jc w:val="both"/>
              <w:rPr>
                <w:rFonts w:ascii="Arial" w:hAnsi="Arial" w:cs="Arial"/>
                <w:sz w:val="16"/>
                <w:szCs w:val="16"/>
              </w:rPr>
            </w:pPr>
            <w:r w:rsidRPr="00050044">
              <w:rPr>
                <w:rFonts w:ascii="Arial" w:hAnsi="Arial" w:cs="Arial"/>
                <w:sz w:val="16"/>
                <w:szCs w:val="16"/>
              </w:rPr>
              <w:t>278994,03</w:t>
            </w:r>
          </w:p>
        </w:tc>
        <w:tc>
          <w:tcPr>
            <w:tcW w:w="1156" w:type="dxa"/>
            <w:shd w:val="clear" w:color="auto" w:fill="auto"/>
            <w:noWrap/>
            <w:vAlign w:val="bottom"/>
          </w:tcPr>
          <w:p w:rsidR="0015454E" w:rsidRPr="00050044" w:rsidRDefault="0015454E" w:rsidP="00FC4F38">
            <w:pPr>
              <w:spacing w:line="360" w:lineRule="auto"/>
              <w:jc w:val="both"/>
              <w:rPr>
                <w:rFonts w:ascii="Arial" w:hAnsi="Arial" w:cs="Arial"/>
                <w:sz w:val="16"/>
                <w:szCs w:val="16"/>
              </w:rPr>
            </w:pPr>
            <w:r w:rsidRPr="00050044">
              <w:rPr>
                <w:rFonts w:ascii="Arial" w:hAnsi="Arial" w:cs="Arial"/>
                <w:sz w:val="16"/>
                <w:szCs w:val="16"/>
              </w:rPr>
              <w:t>340331,108</w:t>
            </w:r>
          </w:p>
        </w:tc>
      </w:tr>
      <w:tr w:rsidR="0015454E" w:rsidRPr="00991A27" w:rsidTr="00F27DFF">
        <w:trPr>
          <w:trHeight w:val="510"/>
        </w:trPr>
        <w:tc>
          <w:tcPr>
            <w:tcW w:w="2256" w:type="dxa"/>
            <w:shd w:val="clear" w:color="auto" w:fill="auto"/>
            <w:vAlign w:val="bottom"/>
          </w:tcPr>
          <w:p w:rsidR="0015454E" w:rsidRPr="00050044" w:rsidRDefault="0015454E" w:rsidP="00FC4F38">
            <w:pPr>
              <w:spacing w:line="360" w:lineRule="auto"/>
              <w:jc w:val="both"/>
              <w:rPr>
                <w:rFonts w:ascii="Arial" w:hAnsi="Arial" w:cs="Arial"/>
                <w:b/>
                <w:bCs/>
                <w:sz w:val="16"/>
                <w:szCs w:val="16"/>
                <w:lang w:val="en-GB"/>
              </w:rPr>
            </w:pPr>
            <w:r w:rsidRPr="00050044">
              <w:rPr>
                <w:rFonts w:ascii="Arial" w:hAnsi="Arial" w:cs="Arial"/>
                <w:b/>
                <w:bCs/>
                <w:sz w:val="16"/>
                <w:szCs w:val="16"/>
                <w:lang w:val="en-GB"/>
              </w:rPr>
              <w:t>(Pat + Ut) / At pond por riesgo</w:t>
            </w:r>
          </w:p>
        </w:tc>
        <w:tc>
          <w:tcPr>
            <w:tcW w:w="1356" w:type="dxa"/>
            <w:shd w:val="clear" w:color="auto" w:fill="auto"/>
            <w:noWrap/>
            <w:vAlign w:val="bottom"/>
          </w:tcPr>
          <w:p w:rsidR="0015454E" w:rsidRPr="00050044" w:rsidRDefault="0015454E" w:rsidP="00FC4F38">
            <w:pPr>
              <w:spacing w:line="360" w:lineRule="auto"/>
              <w:jc w:val="both"/>
              <w:rPr>
                <w:rFonts w:ascii="Arial" w:hAnsi="Arial" w:cs="Arial"/>
                <w:sz w:val="16"/>
                <w:szCs w:val="16"/>
              </w:rPr>
            </w:pPr>
            <w:r w:rsidRPr="00050044">
              <w:rPr>
                <w:rFonts w:ascii="Arial" w:hAnsi="Arial" w:cs="Arial"/>
                <w:sz w:val="16"/>
                <w:szCs w:val="16"/>
              </w:rPr>
              <w:t>10,5342%</w:t>
            </w:r>
          </w:p>
        </w:tc>
        <w:tc>
          <w:tcPr>
            <w:tcW w:w="1076" w:type="dxa"/>
            <w:shd w:val="clear" w:color="auto" w:fill="auto"/>
            <w:noWrap/>
            <w:vAlign w:val="bottom"/>
          </w:tcPr>
          <w:p w:rsidR="0015454E" w:rsidRPr="00050044" w:rsidRDefault="0015454E" w:rsidP="00FC4F38">
            <w:pPr>
              <w:spacing w:line="360" w:lineRule="auto"/>
              <w:jc w:val="both"/>
              <w:rPr>
                <w:rFonts w:ascii="Arial" w:hAnsi="Arial" w:cs="Arial"/>
                <w:sz w:val="16"/>
                <w:szCs w:val="16"/>
              </w:rPr>
            </w:pPr>
            <w:r w:rsidRPr="00050044">
              <w:rPr>
                <w:rFonts w:ascii="Arial" w:hAnsi="Arial" w:cs="Arial"/>
                <w:sz w:val="16"/>
                <w:szCs w:val="16"/>
              </w:rPr>
              <w:t>11,1972%</w:t>
            </w:r>
          </w:p>
        </w:tc>
        <w:tc>
          <w:tcPr>
            <w:tcW w:w="1096" w:type="dxa"/>
            <w:shd w:val="clear" w:color="auto" w:fill="auto"/>
            <w:noWrap/>
            <w:vAlign w:val="bottom"/>
          </w:tcPr>
          <w:p w:rsidR="0015454E" w:rsidRPr="00050044" w:rsidRDefault="0015454E" w:rsidP="00FC4F38">
            <w:pPr>
              <w:spacing w:line="360" w:lineRule="auto"/>
              <w:jc w:val="both"/>
              <w:rPr>
                <w:rFonts w:ascii="Arial" w:hAnsi="Arial" w:cs="Arial"/>
                <w:sz w:val="16"/>
                <w:szCs w:val="16"/>
              </w:rPr>
            </w:pPr>
            <w:r w:rsidRPr="00050044">
              <w:rPr>
                <w:rFonts w:ascii="Arial" w:hAnsi="Arial" w:cs="Arial"/>
                <w:sz w:val="16"/>
                <w:szCs w:val="16"/>
              </w:rPr>
              <w:t>12,1606%</w:t>
            </w:r>
          </w:p>
        </w:tc>
        <w:tc>
          <w:tcPr>
            <w:tcW w:w="1076" w:type="dxa"/>
            <w:shd w:val="clear" w:color="auto" w:fill="auto"/>
            <w:noWrap/>
            <w:vAlign w:val="bottom"/>
          </w:tcPr>
          <w:p w:rsidR="0015454E" w:rsidRPr="00050044" w:rsidRDefault="0015454E" w:rsidP="00FC4F38">
            <w:pPr>
              <w:spacing w:line="360" w:lineRule="auto"/>
              <w:jc w:val="both"/>
              <w:rPr>
                <w:rFonts w:ascii="Arial" w:hAnsi="Arial" w:cs="Arial"/>
                <w:sz w:val="16"/>
                <w:szCs w:val="16"/>
              </w:rPr>
            </w:pPr>
            <w:r w:rsidRPr="00050044">
              <w:rPr>
                <w:rFonts w:ascii="Arial" w:hAnsi="Arial" w:cs="Arial"/>
                <w:sz w:val="16"/>
                <w:szCs w:val="16"/>
              </w:rPr>
              <w:t>13,5179%</w:t>
            </w:r>
          </w:p>
        </w:tc>
        <w:tc>
          <w:tcPr>
            <w:tcW w:w="1156" w:type="dxa"/>
            <w:shd w:val="clear" w:color="auto" w:fill="auto"/>
            <w:noWrap/>
            <w:vAlign w:val="bottom"/>
          </w:tcPr>
          <w:p w:rsidR="0015454E" w:rsidRPr="00050044" w:rsidRDefault="0015454E" w:rsidP="00FC4F38">
            <w:pPr>
              <w:spacing w:line="360" w:lineRule="auto"/>
              <w:jc w:val="both"/>
              <w:rPr>
                <w:rFonts w:ascii="Arial" w:hAnsi="Arial" w:cs="Arial"/>
                <w:sz w:val="16"/>
                <w:szCs w:val="16"/>
              </w:rPr>
            </w:pPr>
            <w:r w:rsidRPr="00050044">
              <w:rPr>
                <w:rFonts w:ascii="Arial" w:hAnsi="Arial" w:cs="Arial"/>
                <w:sz w:val="16"/>
                <w:szCs w:val="16"/>
              </w:rPr>
              <w:t>15,4090%</w:t>
            </w:r>
          </w:p>
        </w:tc>
      </w:tr>
    </w:tbl>
    <w:p w:rsidR="0015454E" w:rsidRPr="00D1638A" w:rsidRDefault="0015454E" w:rsidP="00F27DFF">
      <w:pPr>
        <w:spacing w:line="240" w:lineRule="auto"/>
        <w:rPr>
          <w:rFonts w:ascii="Arial" w:hAnsi="Arial" w:cs="Arial"/>
        </w:rPr>
      </w:pPr>
      <w:r w:rsidRPr="00D1638A">
        <w:rPr>
          <w:rFonts w:ascii="Arial" w:hAnsi="Arial" w:cs="Arial"/>
          <w:sz w:val="16"/>
          <w:szCs w:val="16"/>
        </w:rPr>
        <w:t>Fuente: Datos Proyectados por los autores</w:t>
      </w:r>
    </w:p>
    <w:p w:rsidR="0015454E" w:rsidRPr="00D1638A" w:rsidRDefault="0015454E" w:rsidP="00F27DFF">
      <w:pPr>
        <w:spacing w:line="240" w:lineRule="auto"/>
        <w:rPr>
          <w:rFonts w:ascii="Arial" w:hAnsi="Arial" w:cs="Arial"/>
        </w:rPr>
      </w:pPr>
      <w:r w:rsidRPr="00D1638A">
        <w:rPr>
          <w:rFonts w:ascii="Arial" w:hAnsi="Arial" w:cs="Arial"/>
          <w:sz w:val="16"/>
          <w:szCs w:val="16"/>
        </w:rPr>
        <w:t>Elaboración: Autores</w:t>
      </w:r>
    </w:p>
    <w:p w:rsidR="0015454E" w:rsidRDefault="0015454E" w:rsidP="0015454E">
      <w:pPr>
        <w:spacing w:line="360" w:lineRule="auto"/>
        <w:ind w:firstLine="708"/>
        <w:jc w:val="both"/>
        <w:rPr>
          <w:rFonts w:ascii="Arial" w:hAnsi="Arial" w:cs="Arial"/>
        </w:rPr>
      </w:pPr>
    </w:p>
    <w:p w:rsidR="0015454E" w:rsidRPr="00BB2594" w:rsidRDefault="0015454E" w:rsidP="0015454E">
      <w:pPr>
        <w:spacing w:line="360" w:lineRule="auto"/>
        <w:ind w:firstLine="454"/>
        <w:jc w:val="both"/>
        <w:rPr>
          <w:rFonts w:ascii="Arial" w:hAnsi="Arial" w:cs="Arial"/>
          <w:sz w:val="24"/>
          <w:szCs w:val="24"/>
        </w:rPr>
      </w:pPr>
      <w:r w:rsidRPr="00BB2594">
        <w:rPr>
          <w:rFonts w:ascii="Arial" w:hAnsi="Arial" w:cs="Arial"/>
          <w:sz w:val="24"/>
          <w:szCs w:val="24"/>
        </w:rPr>
        <w:t>Como podemos observar en este cuadro, en el primer año de la valoración el patrimonio técnico excede en un 1,5% el mínimo requerido (9%) y luego progresivamente se va alejando más, despejando así cualquier riesgo de acercamiento. Vale aclarar que para este cálculo no se tomo en cuenta el rubro de activos contingentes, debido a que no fueron proyectados. Sin embargo en el primer año el exceso ya es un poco considerable creciendo más aún con el pasar de cada año, como ya fue mencionado anteriormente. Dicho esto podemos concluir que no debería influir demasiado la falta de los activos contingentes.</w:t>
      </w:r>
    </w:p>
    <w:p w:rsidR="0015454E" w:rsidRPr="00991A27" w:rsidRDefault="0015454E" w:rsidP="0015454E">
      <w:pPr>
        <w:spacing w:line="360" w:lineRule="auto"/>
        <w:ind w:firstLine="708"/>
        <w:jc w:val="both"/>
        <w:rPr>
          <w:rFonts w:ascii="Arial" w:hAnsi="Arial" w:cs="Arial"/>
        </w:rPr>
      </w:pPr>
    </w:p>
    <w:p w:rsidR="0015454E" w:rsidRPr="00040153" w:rsidRDefault="0015454E" w:rsidP="0015454E">
      <w:pPr>
        <w:numPr>
          <w:ilvl w:val="2"/>
          <w:numId w:val="22"/>
        </w:numPr>
        <w:spacing w:after="0" w:line="360" w:lineRule="auto"/>
        <w:jc w:val="both"/>
        <w:rPr>
          <w:rFonts w:ascii="Arial" w:hAnsi="Arial" w:cs="Arial"/>
          <w:b/>
          <w:sz w:val="28"/>
          <w:szCs w:val="28"/>
        </w:rPr>
      </w:pPr>
      <w:r w:rsidRPr="00040153">
        <w:rPr>
          <w:rFonts w:ascii="Arial" w:hAnsi="Arial" w:cs="Arial"/>
          <w:b/>
          <w:sz w:val="28"/>
          <w:szCs w:val="28"/>
        </w:rPr>
        <w:t xml:space="preserve">CÁLCULO DE </w:t>
      </w:r>
      <w:smartTag w:uri="urn:schemas-microsoft-com:office:smarttags" w:element="PersonName">
        <w:smartTagPr>
          <w:attr w:name="ProductID" w:val="LA TASA DE"/>
        </w:smartTagPr>
        <w:r w:rsidRPr="00040153">
          <w:rPr>
            <w:rFonts w:ascii="Arial" w:hAnsi="Arial" w:cs="Arial"/>
            <w:b/>
            <w:sz w:val="28"/>
            <w:szCs w:val="28"/>
          </w:rPr>
          <w:t>LA TASA DE</w:t>
        </w:r>
      </w:smartTag>
      <w:r w:rsidRPr="00040153">
        <w:rPr>
          <w:rFonts w:ascii="Arial" w:hAnsi="Arial" w:cs="Arial"/>
          <w:b/>
          <w:sz w:val="28"/>
          <w:szCs w:val="28"/>
        </w:rPr>
        <w:t xml:space="preserve"> COSTO PATRIMONIAL</w:t>
      </w:r>
    </w:p>
    <w:p w:rsidR="0015454E" w:rsidRPr="00991A27" w:rsidRDefault="0015454E" w:rsidP="0015454E">
      <w:pPr>
        <w:spacing w:line="360" w:lineRule="auto"/>
        <w:jc w:val="both"/>
        <w:rPr>
          <w:rFonts w:ascii="Arial" w:hAnsi="Arial" w:cs="Arial"/>
        </w:rPr>
      </w:pPr>
    </w:p>
    <w:p w:rsidR="0015454E" w:rsidRPr="00BB2594" w:rsidRDefault="0015454E" w:rsidP="0015454E">
      <w:pPr>
        <w:spacing w:line="360" w:lineRule="auto"/>
        <w:jc w:val="both"/>
        <w:rPr>
          <w:rFonts w:ascii="Arial" w:hAnsi="Arial" w:cs="Arial"/>
          <w:b/>
          <w:sz w:val="24"/>
          <w:szCs w:val="24"/>
        </w:rPr>
      </w:pPr>
      <w:r w:rsidRPr="00BB2594">
        <w:rPr>
          <w:rFonts w:ascii="Arial" w:hAnsi="Arial" w:cs="Arial"/>
          <w:b/>
          <w:sz w:val="24"/>
          <w:szCs w:val="24"/>
        </w:rPr>
        <w:t>Tasa libre de riesgo</w:t>
      </w:r>
    </w:p>
    <w:p w:rsidR="0015454E" w:rsidRPr="00BB2594" w:rsidRDefault="0015454E" w:rsidP="0015454E">
      <w:pPr>
        <w:spacing w:line="360" w:lineRule="auto"/>
        <w:ind w:firstLine="454"/>
        <w:jc w:val="both"/>
        <w:rPr>
          <w:rFonts w:ascii="Arial" w:hAnsi="Arial" w:cs="Arial"/>
          <w:sz w:val="24"/>
          <w:szCs w:val="24"/>
        </w:rPr>
      </w:pPr>
    </w:p>
    <w:p w:rsidR="0015454E" w:rsidRPr="00E0414C" w:rsidRDefault="0015454E" w:rsidP="00E0414C">
      <w:pPr>
        <w:spacing w:line="360" w:lineRule="auto"/>
        <w:ind w:firstLine="454"/>
        <w:jc w:val="both"/>
        <w:rPr>
          <w:rFonts w:ascii="Arial" w:hAnsi="Arial" w:cs="Arial"/>
          <w:sz w:val="24"/>
          <w:szCs w:val="24"/>
        </w:rPr>
      </w:pPr>
      <w:r w:rsidRPr="00BB2594">
        <w:rPr>
          <w:rFonts w:ascii="Arial" w:hAnsi="Arial" w:cs="Arial"/>
          <w:sz w:val="24"/>
          <w:szCs w:val="24"/>
        </w:rPr>
        <w:t>Se ha tomado como tasa libre de riesgo el rendimiento que se obtiene de un bono con vencimiento a 10 años emitido por el Gobierno estadounidense, el cual genera un rendimiento de 4,80%</w:t>
      </w:r>
    </w:p>
    <w:p w:rsidR="0015454E" w:rsidRPr="00BB2594" w:rsidRDefault="0015454E" w:rsidP="0015454E">
      <w:pPr>
        <w:spacing w:line="360" w:lineRule="auto"/>
        <w:jc w:val="both"/>
        <w:rPr>
          <w:rFonts w:ascii="Arial" w:hAnsi="Arial" w:cs="Arial"/>
          <w:b/>
          <w:sz w:val="24"/>
          <w:szCs w:val="24"/>
        </w:rPr>
      </w:pPr>
      <w:r w:rsidRPr="00BB2594">
        <w:rPr>
          <w:rFonts w:ascii="Arial" w:hAnsi="Arial" w:cs="Arial"/>
          <w:b/>
          <w:sz w:val="24"/>
          <w:szCs w:val="24"/>
        </w:rPr>
        <w:lastRenderedPageBreak/>
        <w:t>BETA</w:t>
      </w:r>
    </w:p>
    <w:p w:rsidR="0015454E" w:rsidRPr="00991A27" w:rsidRDefault="0015454E" w:rsidP="0015454E">
      <w:pPr>
        <w:spacing w:line="360" w:lineRule="auto"/>
        <w:jc w:val="both"/>
        <w:rPr>
          <w:rFonts w:ascii="Arial" w:hAnsi="Arial" w:cs="Arial"/>
        </w:rPr>
      </w:pPr>
    </w:p>
    <w:p w:rsidR="0015454E" w:rsidRPr="00BB2594" w:rsidRDefault="0015454E" w:rsidP="0015454E">
      <w:pPr>
        <w:spacing w:line="360" w:lineRule="auto"/>
        <w:ind w:firstLine="454"/>
        <w:jc w:val="both"/>
        <w:rPr>
          <w:rFonts w:ascii="Arial" w:hAnsi="Arial" w:cs="Arial"/>
          <w:sz w:val="24"/>
          <w:szCs w:val="24"/>
        </w:rPr>
      </w:pPr>
      <w:r w:rsidRPr="00BB2594">
        <w:rPr>
          <w:rFonts w:ascii="Arial" w:hAnsi="Arial" w:cs="Arial"/>
          <w:sz w:val="24"/>
          <w:szCs w:val="24"/>
        </w:rPr>
        <w:t>Dada la complejidad que tendría el cálculo de un BETA para Produbanco (por la falta de información) y la gran probabilidad de que arroje un resultado estadísticamente no significativo (por la poca interacción bursátil del mercado financiero) nos obligo a tomar el BETA promedio de los principales bancos de Estados Unidos, dando como resultado el valor de 1,1.</w:t>
      </w:r>
    </w:p>
    <w:p w:rsidR="0015454E" w:rsidRPr="00991A27" w:rsidRDefault="0015454E" w:rsidP="0015454E">
      <w:pPr>
        <w:spacing w:line="360" w:lineRule="auto"/>
        <w:jc w:val="both"/>
        <w:rPr>
          <w:rFonts w:ascii="Arial" w:hAnsi="Arial" w:cs="Arial"/>
        </w:rPr>
      </w:pPr>
    </w:p>
    <w:p w:rsidR="0015454E" w:rsidRPr="00BB2594" w:rsidRDefault="0015454E" w:rsidP="0015454E">
      <w:pPr>
        <w:spacing w:line="360" w:lineRule="auto"/>
        <w:jc w:val="both"/>
        <w:rPr>
          <w:rFonts w:ascii="Arial" w:hAnsi="Arial" w:cs="Arial"/>
          <w:b/>
          <w:sz w:val="24"/>
          <w:szCs w:val="24"/>
        </w:rPr>
      </w:pPr>
      <w:r w:rsidRPr="00BB2594">
        <w:rPr>
          <w:rFonts w:ascii="Arial" w:hAnsi="Arial" w:cs="Arial"/>
          <w:b/>
          <w:sz w:val="24"/>
          <w:szCs w:val="24"/>
        </w:rPr>
        <w:t>Tasa de Riesgo País</w:t>
      </w:r>
    </w:p>
    <w:p w:rsidR="0015454E" w:rsidRPr="00BB2594" w:rsidRDefault="0015454E" w:rsidP="0015454E">
      <w:pPr>
        <w:spacing w:line="360" w:lineRule="auto"/>
        <w:jc w:val="both"/>
        <w:rPr>
          <w:rFonts w:ascii="Arial" w:hAnsi="Arial" w:cs="Arial"/>
          <w:sz w:val="24"/>
          <w:szCs w:val="24"/>
        </w:rPr>
      </w:pPr>
    </w:p>
    <w:p w:rsidR="0015454E" w:rsidRPr="00BB2594" w:rsidRDefault="0015454E" w:rsidP="0015454E">
      <w:pPr>
        <w:spacing w:line="360" w:lineRule="auto"/>
        <w:ind w:firstLine="454"/>
        <w:jc w:val="both"/>
        <w:rPr>
          <w:rFonts w:ascii="Arial" w:hAnsi="Arial" w:cs="Arial"/>
          <w:sz w:val="24"/>
          <w:szCs w:val="24"/>
        </w:rPr>
      </w:pPr>
      <w:r w:rsidRPr="00BB2594">
        <w:rPr>
          <w:rFonts w:ascii="Arial" w:hAnsi="Arial" w:cs="Arial"/>
          <w:sz w:val="24"/>
          <w:szCs w:val="24"/>
        </w:rPr>
        <w:tab/>
        <w:t xml:space="preserve">La tasa utilizada fue la encontrada en la página web de </w:t>
      </w:r>
      <w:smartTag w:uri="urn:schemas-microsoft-com:office:smarttags" w:element="PersonName">
        <w:smartTagPr>
          <w:attr w:name="ProductID" w:val="la Superintendencia"/>
        </w:smartTagPr>
        <w:r w:rsidRPr="00BB2594">
          <w:rPr>
            <w:rFonts w:ascii="Arial" w:hAnsi="Arial" w:cs="Arial"/>
            <w:sz w:val="24"/>
            <w:szCs w:val="24"/>
          </w:rPr>
          <w:t>la Superintendencia</w:t>
        </w:r>
      </w:smartTag>
      <w:r w:rsidRPr="00BB2594">
        <w:rPr>
          <w:rFonts w:ascii="Arial" w:hAnsi="Arial" w:cs="Arial"/>
          <w:sz w:val="24"/>
          <w:szCs w:val="24"/>
        </w:rPr>
        <w:t xml:space="preserve"> de Bancos y Compañías, el día 1 de julio del 2008. En esta página se muestran los valores del riesgo país de un lapso de tiempo de alrededor de 2 meses. Dicho esto la tasa que se utilizo fue 5,5%.</w:t>
      </w:r>
    </w:p>
    <w:p w:rsidR="0015454E" w:rsidRPr="00991A27" w:rsidRDefault="0015454E" w:rsidP="0015454E">
      <w:pPr>
        <w:spacing w:line="360" w:lineRule="auto"/>
        <w:jc w:val="both"/>
        <w:rPr>
          <w:rFonts w:ascii="Arial" w:hAnsi="Arial" w:cs="Arial"/>
        </w:rPr>
      </w:pPr>
    </w:p>
    <w:p w:rsidR="0015454E" w:rsidRPr="00BB2594" w:rsidRDefault="0015454E" w:rsidP="0015454E">
      <w:pPr>
        <w:spacing w:line="360" w:lineRule="auto"/>
        <w:jc w:val="both"/>
        <w:rPr>
          <w:rFonts w:ascii="Arial" w:hAnsi="Arial" w:cs="Arial"/>
          <w:b/>
          <w:sz w:val="24"/>
          <w:szCs w:val="24"/>
        </w:rPr>
      </w:pPr>
      <w:r w:rsidRPr="00BB2594">
        <w:rPr>
          <w:rFonts w:ascii="Arial" w:hAnsi="Arial" w:cs="Arial"/>
          <w:b/>
          <w:sz w:val="24"/>
          <w:szCs w:val="24"/>
        </w:rPr>
        <w:t>Prima por Riesgo de Mercado</w:t>
      </w:r>
    </w:p>
    <w:p w:rsidR="0015454E" w:rsidRPr="00BB2594" w:rsidRDefault="0015454E" w:rsidP="0015454E">
      <w:pPr>
        <w:spacing w:line="360" w:lineRule="auto"/>
        <w:jc w:val="both"/>
        <w:rPr>
          <w:rFonts w:ascii="Arial" w:hAnsi="Arial" w:cs="Arial"/>
          <w:sz w:val="24"/>
          <w:szCs w:val="24"/>
        </w:rPr>
      </w:pPr>
    </w:p>
    <w:p w:rsidR="0015454E" w:rsidRDefault="0015454E" w:rsidP="0015454E">
      <w:pPr>
        <w:spacing w:line="360" w:lineRule="auto"/>
        <w:ind w:firstLine="454"/>
        <w:jc w:val="both"/>
        <w:rPr>
          <w:rFonts w:ascii="Arial" w:hAnsi="Arial" w:cs="Arial"/>
          <w:sz w:val="24"/>
          <w:szCs w:val="24"/>
        </w:rPr>
      </w:pPr>
      <w:r w:rsidRPr="00BB2594">
        <w:rPr>
          <w:rFonts w:ascii="Arial" w:hAnsi="Arial" w:cs="Arial"/>
          <w:sz w:val="24"/>
          <w:szCs w:val="24"/>
        </w:rPr>
        <w:t>Es la relación entre la rentabilidad del mercado y la tasa de libre de riesgo. Durante el período de 73 años se ha utilizado una tasa de 8,4% al año.</w:t>
      </w:r>
    </w:p>
    <w:p w:rsidR="00BB2594" w:rsidRPr="00BB2594" w:rsidRDefault="00BB2594" w:rsidP="0015454E">
      <w:pPr>
        <w:spacing w:line="360" w:lineRule="auto"/>
        <w:ind w:firstLine="454"/>
        <w:jc w:val="both"/>
        <w:rPr>
          <w:rFonts w:ascii="Arial" w:hAnsi="Arial" w:cs="Arial"/>
          <w:sz w:val="24"/>
          <w:szCs w:val="24"/>
        </w:rPr>
      </w:pPr>
    </w:p>
    <w:p w:rsidR="0015454E" w:rsidRPr="00582B7E" w:rsidRDefault="0015454E" w:rsidP="0015454E">
      <w:pPr>
        <w:spacing w:line="360" w:lineRule="auto"/>
        <w:ind w:firstLine="454"/>
        <w:jc w:val="both"/>
        <w:rPr>
          <w:rFonts w:ascii="Arial" w:hAnsi="Arial" w:cs="Arial"/>
          <w:sz w:val="28"/>
          <w:szCs w:val="28"/>
        </w:rPr>
      </w:pPr>
      <w:r w:rsidRPr="00582B7E">
        <w:rPr>
          <w:rFonts w:ascii="Arial" w:hAnsi="Arial" w:cs="Arial"/>
          <w:b/>
          <w:sz w:val="28"/>
          <w:szCs w:val="28"/>
        </w:rPr>
        <w:t>CÁLCULO DEL CAPM</w:t>
      </w:r>
    </w:p>
    <w:p w:rsidR="0015454E" w:rsidRPr="00991A27" w:rsidRDefault="0015454E" w:rsidP="0015454E">
      <w:pPr>
        <w:spacing w:line="360" w:lineRule="auto"/>
        <w:jc w:val="both"/>
        <w:rPr>
          <w:rFonts w:ascii="Arial" w:hAnsi="Arial" w:cs="Arial"/>
          <w:b/>
        </w:rPr>
      </w:pPr>
    </w:p>
    <w:p w:rsidR="0015454E" w:rsidRPr="00BB2594" w:rsidRDefault="0015454E" w:rsidP="0015454E">
      <w:pPr>
        <w:spacing w:line="360" w:lineRule="auto"/>
        <w:ind w:firstLine="708"/>
        <w:jc w:val="both"/>
        <w:rPr>
          <w:rFonts w:ascii="Arial" w:hAnsi="Arial" w:cs="Arial"/>
          <w:sz w:val="24"/>
          <w:szCs w:val="24"/>
        </w:rPr>
      </w:pPr>
      <w:r w:rsidRPr="00BB2594">
        <w:rPr>
          <w:rFonts w:ascii="Arial" w:hAnsi="Arial" w:cs="Arial"/>
          <w:sz w:val="24"/>
          <w:szCs w:val="24"/>
        </w:rPr>
        <w:t>Los datos a utilizar para el cálculo del costo patrimonial son:</w:t>
      </w:r>
    </w:p>
    <w:p w:rsidR="0015454E" w:rsidRPr="00BB2594" w:rsidRDefault="0015454E" w:rsidP="0015454E">
      <w:pPr>
        <w:spacing w:line="360" w:lineRule="auto"/>
        <w:jc w:val="both"/>
        <w:rPr>
          <w:rFonts w:ascii="Arial" w:hAnsi="Arial" w:cs="Arial"/>
          <w:sz w:val="24"/>
          <w:szCs w:val="24"/>
        </w:rPr>
      </w:pPr>
    </w:p>
    <w:p w:rsidR="0015454E" w:rsidRPr="00BB2594" w:rsidRDefault="0015454E" w:rsidP="0015454E">
      <w:pPr>
        <w:spacing w:line="360" w:lineRule="auto"/>
        <w:jc w:val="both"/>
        <w:rPr>
          <w:rFonts w:ascii="Arial" w:hAnsi="Arial" w:cs="Arial"/>
          <w:sz w:val="24"/>
          <w:szCs w:val="24"/>
        </w:rPr>
      </w:pPr>
      <w:r w:rsidRPr="00BB2594">
        <w:rPr>
          <w:rFonts w:ascii="Arial" w:hAnsi="Arial" w:cs="Arial"/>
          <w:sz w:val="24"/>
          <w:szCs w:val="24"/>
        </w:rPr>
        <w:t>Rf=</w:t>
      </w:r>
      <w:r w:rsidRPr="00BB2594">
        <w:rPr>
          <w:rFonts w:ascii="Arial" w:hAnsi="Arial" w:cs="Arial"/>
          <w:sz w:val="24"/>
          <w:szCs w:val="24"/>
        </w:rPr>
        <w:tab/>
      </w:r>
      <w:r w:rsidRPr="00BB2594">
        <w:rPr>
          <w:rFonts w:ascii="Arial" w:hAnsi="Arial" w:cs="Arial"/>
          <w:sz w:val="24"/>
          <w:szCs w:val="24"/>
        </w:rPr>
        <w:tab/>
        <w:t>0,048</w:t>
      </w:r>
    </w:p>
    <w:p w:rsidR="0015454E" w:rsidRPr="00BB2594" w:rsidRDefault="0015454E" w:rsidP="0015454E">
      <w:pPr>
        <w:spacing w:line="360" w:lineRule="auto"/>
        <w:jc w:val="both"/>
        <w:rPr>
          <w:rFonts w:ascii="Arial" w:hAnsi="Arial" w:cs="Arial"/>
          <w:sz w:val="24"/>
          <w:szCs w:val="24"/>
        </w:rPr>
      </w:pPr>
    </w:p>
    <w:p w:rsidR="0015454E" w:rsidRPr="00BB2594" w:rsidRDefault="0015454E" w:rsidP="0015454E">
      <w:pPr>
        <w:spacing w:line="360" w:lineRule="auto"/>
        <w:jc w:val="both"/>
        <w:rPr>
          <w:rFonts w:ascii="Arial" w:hAnsi="Arial" w:cs="Arial"/>
          <w:sz w:val="24"/>
          <w:szCs w:val="24"/>
        </w:rPr>
      </w:pPr>
      <w:r w:rsidRPr="00BB2594">
        <w:rPr>
          <w:rFonts w:ascii="Arial" w:hAnsi="Arial" w:cs="Arial"/>
          <w:sz w:val="24"/>
          <w:szCs w:val="24"/>
        </w:rPr>
        <w:t>β=</w:t>
      </w:r>
      <w:r w:rsidRPr="00BB2594">
        <w:rPr>
          <w:rFonts w:ascii="Arial" w:hAnsi="Arial" w:cs="Arial"/>
          <w:sz w:val="24"/>
          <w:szCs w:val="24"/>
        </w:rPr>
        <w:tab/>
      </w:r>
      <w:r w:rsidRPr="00BB2594">
        <w:rPr>
          <w:rFonts w:ascii="Arial" w:hAnsi="Arial" w:cs="Arial"/>
          <w:sz w:val="24"/>
          <w:szCs w:val="24"/>
        </w:rPr>
        <w:tab/>
        <w:t>1,1</w:t>
      </w:r>
    </w:p>
    <w:p w:rsidR="0015454E" w:rsidRPr="00BB2594" w:rsidRDefault="0015454E" w:rsidP="0015454E">
      <w:pPr>
        <w:spacing w:line="360" w:lineRule="auto"/>
        <w:jc w:val="both"/>
        <w:rPr>
          <w:rFonts w:ascii="Arial" w:hAnsi="Arial" w:cs="Arial"/>
          <w:sz w:val="24"/>
          <w:szCs w:val="24"/>
        </w:rPr>
      </w:pPr>
    </w:p>
    <w:p w:rsidR="0015454E" w:rsidRPr="00BB2594" w:rsidRDefault="0015454E" w:rsidP="0015454E">
      <w:pPr>
        <w:spacing w:line="360" w:lineRule="auto"/>
        <w:jc w:val="both"/>
        <w:rPr>
          <w:rFonts w:ascii="Arial" w:hAnsi="Arial" w:cs="Arial"/>
          <w:sz w:val="24"/>
          <w:szCs w:val="24"/>
        </w:rPr>
      </w:pPr>
      <w:r w:rsidRPr="00BB2594">
        <w:rPr>
          <w:rFonts w:ascii="Arial" w:hAnsi="Arial" w:cs="Arial"/>
          <w:sz w:val="24"/>
          <w:szCs w:val="24"/>
        </w:rPr>
        <w:t>(Rm-Rf)=</w:t>
      </w:r>
      <w:r w:rsidRPr="00BB2594">
        <w:rPr>
          <w:rFonts w:ascii="Arial" w:hAnsi="Arial" w:cs="Arial"/>
          <w:sz w:val="24"/>
          <w:szCs w:val="24"/>
        </w:rPr>
        <w:tab/>
        <w:t>0,084</w:t>
      </w:r>
    </w:p>
    <w:p w:rsidR="0015454E" w:rsidRPr="00BB2594" w:rsidRDefault="0015454E" w:rsidP="0015454E">
      <w:pPr>
        <w:spacing w:line="360" w:lineRule="auto"/>
        <w:jc w:val="both"/>
        <w:rPr>
          <w:rFonts w:ascii="Arial" w:hAnsi="Arial" w:cs="Arial"/>
          <w:sz w:val="24"/>
          <w:szCs w:val="24"/>
        </w:rPr>
      </w:pPr>
    </w:p>
    <w:p w:rsidR="0015454E" w:rsidRPr="00BB2594" w:rsidRDefault="0015454E" w:rsidP="0015454E">
      <w:pPr>
        <w:spacing w:line="360" w:lineRule="auto"/>
        <w:jc w:val="both"/>
        <w:rPr>
          <w:rFonts w:ascii="Arial" w:hAnsi="Arial" w:cs="Arial"/>
          <w:sz w:val="24"/>
          <w:szCs w:val="24"/>
        </w:rPr>
      </w:pPr>
      <w:r w:rsidRPr="00BB2594">
        <w:rPr>
          <w:rFonts w:ascii="Arial" w:hAnsi="Arial" w:cs="Arial"/>
          <w:sz w:val="24"/>
          <w:szCs w:val="24"/>
        </w:rPr>
        <w:t>R País=</w:t>
      </w:r>
      <w:r w:rsidRPr="00BB2594">
        <w:rPr>
          <w:rFonts w:ascii="Arial" w:hAnsi="Arial" w:cs="Arial"/>
          <w:sz w:val="24"/>
          <w:szCs w:val="24"/>
        </w:rPr>
        <w:tab/>
        <w:t>0,055</w:t>
      </w:r>
    </w:p>
    <w:p w:rsidR="0015454E" w:rsidRPr="00BB2594" w:rsidRDefault="0015454E" w:rsidP="0015454E">
      <w:pPr>
        <w:spacing w:line="360" w:lineRule="auto"/>
        <w:jc w:val="both"/>
        <w:rPr>
          <w:rFonts w:ascii="Arial" w:hAnsi="Arial" w:cs="Arial"/>
          <w:sz w:val="24"/>
          <w:szCs w:val="24"/>
        </w:rPr>
      </w:pPr>
    </w:p>
    <w:p w:rsidR="0015454E" w:rsidRPr="00BB2594" w:rsidRDefault="0015454E" w:rsidP="0015454E">
      <w:pPr>
        <w:spacing w:line="360" w:lineRule="auto"/>
        <w:ind w:firstLine="708"/>
        <w:jc w:val="both"/>
        <w:rPr>
          <w:rFonts w:ascii="Arial" w:hAnsi="Arial" w:cs="Arial"/>
          <w:sz w:val="24"/>
          <w:szCs w:val="24"/>
        </w:rPr>
      </w:pPr>
      <w:r w:rsidRPr="00BB2594">
        <w:rPr>
          <w:rFonts w:ascii="Arial" w:hAnsi="Arial" w:cs="Arial"/>
          <w:sz w:val="24"/>
          <w:szCs w:val="24"/>
        </w:rPr>
        <w:t>Valores que deberán ser reemplazados en la fórmula  r = Rf + β *(Rm – Rf) + R. País.</w:t>
      </w:r>
    </w:p>
    <w:p w:rsidR="0015454E" w:rsidRPr="00BB2594" w:rsidRDefault="0015454E" w:rsidP="0015454E">
      <w:pPr>
        <w:spacing w:line="360" w:lineRule="auto"/>
        <w:ind w:firstLine="708"/>
        <w:jc w:val="both"/>
        <w:rPr>
          <w:rFonts w:ascii="Arial" w:hAnsi="Arial" w:cs="Arial"/>
          <w:sz w:val="24"/>
          <w:szCs w:val="24"/>
        </w:rPr>
      </w:pPr>
    </w:p>
    <w:p w:rsidR="0015454E" w:rsidRPr="00BB2594" w:rsidRDefault="0015454E" w:rsidP="0015454E">
      <w:pPr>
        <w:spacing w:line="360" w:lineRule="auto"/>
        <w:jc w:val="both"/>
        <w:rPr>
          <w:rFonts w:ascii="Arial" w:hAnsi="Arial" w:cs="Arial"/>
          <w:sz w:val="24"/>
          <w:szCs w:val="24"/>
        </w:rPr>
      </w:pPr>
      <w:r w:rsidRPr="00BB2594">
        <w:rPr>
          <w:rFonts w:ascii="Arial" w:hAnsi="Arial" w:cs="Arial"/>
          <w:sz w:val="24"/>
          <w:szCs w:val="24"/>
        </w:rPr>
        <w:t>Al hacer dicho reemplazo, obtuvimos:</w:t>
      </w:r>
    </w:p>
    <w:p w:rsidR="0015454E" w:rsidRPr="00BB2594" w:rsidRDefault="0015454E" w:rsidP="0015454E">
      <w:pPr>
        <w:spacing w:line="360" w:lineRule="auto"/>
        <w:jc w:val="both"/>
        <w:rPr>
          <w:rFonts w:ascii="Arial" w:hAnsi="Arial" w:cs="Arial"/>
          <w:sz w:val="24"/>
          <w:szCs w:val="24"/>
        </w:rPr>
      </w:pPr>
    </w:p>
    <w:p w:rsidR="0015454E" w:rsidRPr="00BB2594" w:rsidRDefault="0015454E" w:rsidP="0015454E">
      <w:pPr>
        <w:spacing w:line="360" w:lineRule="auto"/>
        <w:jc w:val="both"/>
        <w:rPr>
          <w:rFonts w:ascii="Arial" w:hAnsi="Arial" w:cs="Arial"/>
          <w:sz w:val="24"/>
          <w:szCs w:val="24"/>
        </w:rPr>
      </w:pPr>
      <w:r w:rsidRPr="00BB2594">
        <w:rPr>
          <w:rFonts w:ascii="Arial" w:hAnsi="Arial" w:cs="Arial"/>
          <w:sz w:val="24"/>
          <w:szCs w:val="24"/>
        </w:rPr>
        <w:t>r = 0,048 + 1,1(0,084) + 0,055</w:t>
      </w:r>
    </w:p>
    <w:p w:rsidR="0015454E" w:rsidRPr="00BB2594" w:rsidRDefault="0015454E" w:rsidP="0015454E">
      <w:pPr>
        <w:spacing w:line="360" w:lineRule="auto"/>
        <w:jc w:val="both"/>
        <w:rPr>
          <w:rFonts w:ascii="Arial" w:hAnsi="Arial" w:cs="Arial"/>
          <w:sz w:val="24"/>
          <w:szCs w:val="24"/>
        </w:rPr>
      </w:pPr>
    </w:p>
    <w:p w:rsidR="0015454E" w:rsidRDefault="0015454E" w:rsidP="0015454E">
      <w:pPr>
        <w:spacing w:line="360" w:lineRule="auto"/>
        <w:jc w:val="both"/>
        <w:rPr>
          <w:rFonts w:ascii="Arial" w:hAnsi="Arial" w:cs="Arial"/>
          <w:sz w:val="24"/>
          <w:szCs w:val="24"/>
        </w:rPr>
      </w:pPr>
      <w:r w:rsidRPr="00BB2594">
        <w:rPr>
          <w:rFonts w:ascii="Arial" w:hAnsi="Arial" w:cs="Arial"/>
          <w:sz w:val="24"/>
          <w:szCs w:val="24"/>
        </w:rPr>
        <w:t>r = 0,1954</w:t>
      </w:r>
    </w:p>
    <w:p w:rsidR="0015454E" w:rsidRDefault="0015454E" w:rsidP="0015454E">
      <w:pPr>
        <w:spacing w:line="360" w:lineRule="auto"/>
        <w:ind w:firstLine="708"/>
        <w:jc w:val="both"/>
        <w:rPr>
          <w:rFonts w:ascii="Arial" w:hAnsi="Arial" w:cs="Arial"/>
        </w:rPr>
      </w:pPr>
    </w:p>
    <w:p w:rsidR="0015454E" w:rsidRPr="006F4111" w:rsidRDefault="0015454E" w:rsidP="0015454E">
      <w:pPr>
        <w:spacing w:line="360" w:lineRule="auto"/>
        <w:jc w:val="both"/>
        <w:rPr>
          <w:rFonts w:ascii="Arial" w:hAnsi="Arial" w:cs="Arial"/>
          <w:b/>
          <w:sz w:val="28"/>
          <w:szCs w:val="28"/>
        </w:rPr>
      </w:pPr>
      <w:r w:rsidRPr="006F4111">
        <w:rPr>
          <w:rFonts w:ascii="Arial" w:hAnsi="Arial" w:cs="Arial"/>
          <w:b/>
          <w:sz w:val="28"/>
          <w:szCs w:val="28"/>
        </w:rPr>
        <w:t>3.2.3</w:t>
      </w:r>
      <w:r w:rsidRPr="006F4111">
        <w:rPr>
          <w:rFonts w:ascii="Arial" w:hAnsi="Arial" w:cs="Arial"/>
          <w:b/>
          <w:sz w:val="28"/>
          <w:szCs w:val="28"/>
        </w:rPr>
        <w:tab/>
      </w:r>
      <w:r>
        <w:rPr>
          <w:rFonts w:ascii="Arial" w:hAnsi="Arial" w:cs="Arial"/>
          <w:b/>
          <w:sz w:val="28"/>
          <w:szCs w:val="28"/>
        </w:rPr>
        <w:tab/>
      </w:r>
      <w:r w:rsidRPr="006F4111">
        <w:rPr>
          <w:rFonts w:ascii="Arial" w:hAnsi="Arial" w:cs="Arial"/>
          <w:b/>
          <w:sz w:val="28"/>
          <w:szCs w:val="28"/>
        </w:rPr>
        <w:t xml:space="preserve">CÁLCULO DEL EXCESO DE RETORNOS PARA </w:t>
      </w:r>
      <w:r>
        <w:rPr>
          <w:rFonts w:ascii="Arial" w:hAnsi="Arial" w:cs="Arial"/>
          <w:b/>
          <w:sz w:val="28"/>
          <w:szCs w:val="28"/>
        </w:rPr>
        <w:tab/>
      </w:r>
      <w:r>
        <w:rPr>
          <w:rFonts w:ascii="Arial" w:hAnsi="Arial" w:cs="Arial"/>
          <w:b/>
          <w:sz w:val="28"/>
          <w:szCs w:val="28"/>
        </w:rPr>
        <w:tab/>
      </w:r>
      <w:r>
        <w:rPr>
          <w:rFonts w:ascii="Arial" w:hAnsi="Arial" w:cs="Arial"/>
          <w:b/>
          <w:sz w:val="28"/>
          <w:szCs w:val="28"/>
        </w:rPr>
        <w:tab/>
      </w:r>
      <w:r w:rsidRPr="006F4111">
        <w:rPr>
          <w:rFonts w:ascii="Arial" w:hAnsi="Arial" w:cs="Arial"/>
          <w:b/>
          <w:sz w:val="28"/>
          <w:szCs w:val="28"/>
        </w:rPr>
        <w:t>LOS ACCIONISTAS</w:t>
      </w:r>
    </w:p>
    <w:p w:rsidR="0015454E" w:rsidRDefault="0015454E" w:rsidP="0015454E">
      <w:pPr>
        <w:spacing w:line="360" w:lineRule="auto"/>
        <w:ind w:firstLine="708"/>
        <w:jc w:val="both"/>
        <w:rPr>
          <w:rFonts w:ascii="Arial" w:hAnsi="Arial" w:cs="Arial"/>
        </w:rPr>
      </w:pPr>
    </w:p>
    <w:p w:rsidR="0015454E" w:rsidRPr="00E0414C" w:rsidRDefault="0015454E" w:rsidP="00E0414C">
      <w:pPr>
        <w:spacing w:line="360" w:lineRule="auto"/>
        <w:ind w:firstLine="454"/>
        <w:jc w:val="both"/>
        <w:rPr>
          <w:rFonts w:ascii="Arial" w:hAnsi="Arial" w:cs="Arial"/>
          <w:sz w:val="24"/>
          <w:szCs w:val="24"/>
        </w:rPr>
      </w:pPr>
      <w:r w:rsidRPr="00BB2594">
        <w:rPr>
          <w:rFonts w:ascii="Arial" w:hAnsi="Arial" w:cs="Arial"/>
          <w:sz w:val="24"/>
          <w:szCs w:val="24"/>
        </w:rPr>
        <w:lastRenderedPageBreak/>
        <w:t>Una vez obtenida tasa nos es posible calcular los excesos de retornos obtenidos y a partir de eso el valor presente del patrimonio y finalmente el precio de la acción de PRODUBANCO. A continuación mostramos el cuadro con el cálculo del exceso de retornos:</w:t>
      </w:r>
    </w:p>
    <w:p w:rsidR="0015454E" w:rsidRPr="00991A27" w:rsidRDefault="0015454E" w:rsidP="0015454E">
      <w:pPr>
        <w:spacing w:line="360" w:lineRule="auto"/>
        <w:jc w:val="center"/>
        <w:rPr>
          <w:rFonts w:ascii="Arial" w:hAnsi="Arial" w:cs="Arial"/>
          <w:b/>
        </w:rPr>
      </w:pPr>
      <w:r w:rsidRPr="00991A27">
        <w:rPr>
          <w:rFonts w:ascii="Arial" w:hAnsi="Arial" w:cs="Arial"/>
          <w:b/>
        </w:rPr>
        <w:t>Cuadro 3.8</w:t>
      </w:r>
    </w:p>
    <w:tbl>
      <w:tblPr>
        <w:tblpPr w:leftFromText="141" w:rightFromText="141" w:vertAnchor="text" w:horzAnchor="margin" w:tblpXSpec="center" w:tblpY="26"/>
        <w:tblW w:w="7172" w:type="dxa"/>
        <w:tblCellMar>
          <w:left w:w="70" w:type="dxa"/>
          <w:right w:w="70" w:type="dxa"/>
        </w:tblCellMar>
        <w:tblLook w:val="0000"/>
      </w:tblPr>
      <w:tblGrid>
        <w:gridCol w:w="2592"/>
        <w:gridCol w:w="708"/>
        <w:gridCol w:w="708"/>
        <w:gridCol w:w="708"/>
        <w:gridCol w:w="841"/>
        <w:gridCol w:w="774"/>
        <w:gridCol w:w="841"/>
      </w:tblGrid>
      <w:tr w:rsidR="0015454E" w:rsidTr="00D8535B">
        <w:trPr>
          <w:trHeight w:val="255"/>
        </w:trPr>
        <w:tc>
          <w:tcPr>
            <w:tcW w:w="7172" w:type="dxa"/>
            <w:gridSpan w:val="7"/>
            <w:tcBorders>
              <w:top w:val="nil"/>
              <w:left w:val="nil"/>
              <w:bottom w:val="nil"/>
              <w:right w:val="nil"/>
            </w:tcBorders>
            <w:shd w:val="clear" w:color="000000" w:fill="800000"/>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 xml:space="preserve">CALCULO DEL VALOR CONTABLE DEL PATRIMONIO </w:t>
            </w:r>
          </w:p>
        </w:tc>
      </w:tr>
      <w:tr w:rsidR="0015454E">
        <w:trPr>
          <w:trHeight w:val="255"/>
        </w:trPr>
        <w:tc>
          <w:tcPr>
            <w:tcW w:w="2592"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p>
        </w:tc>
        <w:tc>
          <w:tcPr>
            <w:tcW w:w="708" w:type="dxa"/>
            <w:tcBorders>
              <w:top w:val="nil"/>
              <w:left w:val="nil"/>
              <w:bottom w:val="nil"/>
              <w:right w:val="nil"/>
            </w:tcBorders>
            <w:shd w:val="clear" w:color="000000" w:fill="BFBFBF"/>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2008</w:t>
            </w:r>
          </w:p>
        </w:tc>
        <w:tc>
          <w:tcPr>
            <w:tcW w:w="708" w:type="dxa"/>
            <w:tcBorders>
              <w:top w:val="nil"/>
              <w:left w:val="nil"/>
              <w:bottom w:val="nil"/>
              <w:right w:val="nil"/>
            </w:tcBorders>
            <w:shd w:val="clear" w:color="000000" w:fill="BFBFBF"/>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2009</w:t>
            </w:r>
          </w:p>
        </w:tc>
        <w:tc>
          <w:tcPr>
            <w:tcW w:w="708" w:type="dxa"/>
            <w:tcBorders>
              <w:top w:val="nil"/>
              <w:left w:val="nil"/>
              <w:bottom w:val="nil"/>
              <w:right w:val="nil"/>
            </w:tcBorders>
            <w:shd w:val="clear" w:color="000000" w:fill="BFBFBF"/>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2010</w:t>
            </w:r>
          </w:p>
        </w:tc>
        <w:tc>
          <w:tcPr>
            <w:tcW w:w="841" w:type="dxa"/>
            <w:tcBorders>
              <w:top w:val="nil"/>
              <w:left w:val="nil"/>
              <w:bottom w:val="nil"/>
              <w:right w:val="nil"/>
            </w:tcBorders>
            <w:shd w:val="clear" w:color="000000" w:fill="BFBFBF"/>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2011</w:t>
            </w:r>
          </w:p>
        </w:tc>
        <w:tc>
          <w:tcPr>
            <w:tcW w:w="774" w:type="dxa"/>
            <w:tcBorders>
              <w:top w:val="nil"/>
              <w:left w:val="nil"/>
              <w:bottom w:val="nil"/>
              <w:right w:val="nil"/>
            </w:tcBorders>
            <w:shd w:val="clear" w:color="000000" w:fill="BFBFBF"/>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2012</w:t>
            </w:r>
          </w:p>
        </w:tc>
        <w:tc>
          <w:tcPr>
            <w:tcW w:w="841" w:type="dxa"/>
            <w:tcBorders>
              <w:top w:val="nil"/>
              <w:left w:val="nil"/>
              <w:bottom w:val="nil"/>
              <w:right w:val="nil"/>
            </w:tcBorders>
            <w:shd w:val="clear" w:color="000000" w:fill="7F7F7F"/>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Perpetuidad</w:t>
            </w:r>
          </w:p>
        </w:tc>
      </w:tr>
      <w:tr w:rsidR="0015454E">
        <w:trPr>
          <w:trHeight w:val="255"/>
        </w:trPr>
        <w:tc>
          <w:tcPr>
            <w:tcW w:w="2592"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Patrimonio Inicial</w:t>
            </w:r>
          </w:p>
        </w:tc>
        <w:tc>
          <w:tcPr>
            <w:tcW w:w="708"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139722</w:t>
            </w:r>
          </w:p>
        </w:tc>
        <w:tc>
          <w:tcPr>
            <w:tcW w:w="708"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158888,11</w:t>
            </w:r>
          </w:p>
        </w:tc>
        <w:tc>
          <w:tcPr>
            <w:tcW w:w="708"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182762,4</w:t>
            </w:r>
          </w:p>
        </w:tc>
        <w:tc>
          <w:tcPr>
            <w:tcW w:w="841"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213131,3378</w:t>
            </w:r>
          </w:p>
        </w:tc>
        <w:tc>
          <w:tcPr>
            <w:tcW w:w="774"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252648,953</w:t>
            </w:r>
          </w:p>
        </w:tc>
        <w:tc>
          <w:tcPr>
            <w:tcW w:w="841"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p>
        </w:tc>
      </w:tr>
      <w:tr w:rsidR="0015454E">
        <w:trPr>
          <w:trHeight w:val="255"/>
        </w:trPr>
        <w:tc>
          <w:tcPr>
            <w:tcW w:w="2592"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ROE</w:t>
            </w:r>
          </w:p>
        </w:tc>
        <w:tc>
          <w:tcPr>
            <w:tcW w:w="708"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0,2286219</w:t>
            </w:r>
          </w:p>
        </w:tc>
        <w:tc>
          <w:tcPr>
            <w:tcW w:w="708"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0,2504309</w:t>
            </w:r>
          </w:p>
        </w:tc>
        <w:tc>
          <w:tcPr>
            <w:tcW w:w="708"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0,2769437</w:t>
            </w:r>
          </w:p>
        </w:tc>
        <w:tc>
          <w:tcPr>
            <w:tcW w:w="841"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0,309023972</w:t>
            </w:r>
          </w:p>
        </w:tc>
        <w:tc>
          <w:tcPr>
            <w:tcW w:w="774"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0,34705133</w:t>
            </w:r>
          </w:p>
        </w:tc>
        <w:tc>
          <w:tcPr>
            <w:tcW w:w="841"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p>
        </w:tc>
      </w:tr>
      <w:tr w:rsidR="0015454E">
        <w:trPr>
          <w:trHeight w:val="255"/>
        </w:trPr>
        <w:tc>
          <w:tcPr>
            <w:tcW w:w="2592"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UTILIDAD NETA</w:t>
            </w:r>
          </w:p>
        </w:tc>
        <w:tc>
          <w:tcPr>
            <w:tcW w:w="708"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31943,513</w:t>
            </w:r>
          </w:p>
        </w:tc>
        <w:tc>
          <w:tcPr>
            <w:tcW w:w="708"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39790,495</w:t>
            </w:r>
          </w:p>
        </w:tc>
        <w:tc>
          <w:tcPr>
            <w:tcW w:w="708"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50614,889</w:t>
            </w:r>
          </w:p>
        </w:tc>
        <w:tc>
          <w:tcPr>
            <w:tcW w:w="841"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65862,69248</w:t>
            </w:r>
          </w:p>
        </w:tc>
        <w:tc>
          <w:tcPr>
            <w:tcW w:w="774"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87682,1552</w:t>
            </w:r>
          </w:p>
        </w:tc>
        <w:tc>
          <w:tcPr>
            <w:tcW w:w="841"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98302,51757</w:t>
            </w:r>
          </w:p>
        </w:tc>
      </w:tr>
      <w:tr w:rsidR="0015454E">
        <w:trPr>
          <w:trHeight w:val="255"/>
        </w:trPr>
        <w:tc>
          <w:tcPr>
            <w:tcW w:w="2592"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Razón de pago de Dividendos</w:t>
            </w:r>
          </w:p>
        </w:tc>
        <w:tc>
          <w:tcPr>
            <w:tcW w:w="708"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0,4</w:t>
            </w:r>
          </w:p>
        </w:tc>
        <w:tc>
          <w:tcPr>
            <w:tcW w:w="708"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0,4</w:t>
            </w:r>
          </w:p>
        </w:tc>
        <w:tc>
          <w:tcPr>
            <w:tcW w:w="708"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0,4</w:t>
            </w:r>
          </w:p>
        </w:tc>
        <w:tc>
          <w:tcPr>
            <w:tcW w:w="841"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0,4</w:t>
            </w:r>
          </w:p>
        </w:tc>
        <w:tc>
          <w:tcPr>
            <w:tcW w:w="774"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0,4</w:t>
            </w:r>
          </w:p>
        </w:tc>
        <w:tc>
          <w:tcPr>
            <w:tcW w:w="841"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p>
        </w:tc>
      </w:tr>
      <w:tr w:rsidR="0015454E">
        <w:trPr>
          <w:trHeight w:val="255"/>
        </w:trPr>
        <w:tc>
          <w:tcPr>
            <w:tcW w:w="2592"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Dividendos pagados</w:t>
            </w:r>
          </w:p>
        </w:tc>
        <w:tc>
          <w:tcPr>
            <w:tcW w:w="708"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12777,405</w:t>
            </w:r>
          </w:p>
        </w:tc>
        <w:tc>
          <w:tcPr>
            <w:tcW w:w="708"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15916,198</w:t>
            </w:r>
          </w:p>
        </w:tc>
        <w:tc>
          <w:tcPr>
            <w:tcW w:w="708"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20245,956</w:t>
            </w:r>
          </w:p>
        </w:tc>
        <w:tc>
          <w:tcPr>
            <w:tcW w:w="841"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26345,07699</w:t>
            </w:r>
          </w:p>
        </w:tc>
        <w:tc>
          <w:tcPr>
            <w:tcW w:w="774"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35072,8621</w:t>
            </w:r>
          </w:p>
        </w:tc>
        <w:tc>
          <w:tcPr>
            <w:tcW w:w="841"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p>
        </w:tc>
      </w:tr>
      <w:tr w:rsidR="0015454E">
        <w:trPr>
          <w:trHeight w:val="255"/>
        </w:trPr>
        <w:tc>
          <w:tcPr>
            <w:tcW w:w="2592"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Utilidades Retenidas</w:t>
            </w:r>
          </w:p>
        </w:tc>
        <w:tc>
          <w:tcPr>
            <w:tcW w:w="708"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19166,108</w:t>
            </w:r>
          </w:p>
        </w:tc>
        <w:tc>
          <w:tcPr>
            <w:tcW w:w="708"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23874,297</w:t>
            </w:r>
          </w:p>
        </w:tc>
        <w:tc>
          <w:tcPr>
            <w:tcW w:w="708"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30368,934</w:t>
            </w:r>
          </w:p>
        </w:tc>
        <w:tc>
          <w:tcPr>
            <w:tcW w:w="841"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39517,61549</w:t>
            </w:r>
          </w:p>
        </w:tc>
        <w:tc>
          <w:tcPr>
            <w:tcW w:w="774"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52609,2931</w:t>
            </w:r>
          </w:p>
        </w:tc>
        <w:tc>
          <w:tcPr>
            <w:tcW w:w="841"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p>
        </w:tc>
      </w:tr>
      <w:tr w:rsidR="0015454E">
        <w:trPr>
          <w:trHeight w:val="255"/>
        </w:trPr>
        <w:tc>
          <w:tcPr>
            <w:tcW w:w="2592"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Patrimonio final</w:t>
            </w:r>
          </w:p>
        </w:tc>
        <w:tc>
          <w:tcPr>
            <w:tcW w:w="708"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158888,11</w:t>
            </w:r>
          </w:p>
        </w:tc>
        <w:tc>
          <w:tcPr>
            <w:tcW w:w="708"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182762,4</w:t>
            </w:r>
          </w:p>
        </w:tc>
        <w:tc>
          <w:tcPr>
            <w:tcW w:w="708"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213131,34</w:t>
            </w:r>
          </w:p>
        </w:tc>
        <w:tc>
          <w:tcPr>
            <w:tcW w:w="841"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252648,9533</w:t>
            </w:r>
          </w:p>
        </w:tc>
        <w:tc>
          <w:tcPr>
            <w:tcW w:w="774"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305258,246</w:t>
            </w:r>
          </w:p>
        </w:tc>
        <w:tc>
          <w:tcPr>
            <w:tcW w:w="841"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p>
        </w:tc>
      </w:tr>
      <w:tr w:rsidR="0015454E">
        <w:trPr>
          <w:trHeight w:val="255"/>
        </w:trPr>
        <w:tc>
          <w:tcPr>
            <w:tcW w:w="7172" w:type="dxa"/>
            <w:gridSpan w:val="7"/>
            <w:tcBorders>
              <w:top w:val="nil"/>
              <w:left w:val="nil"/>
              <w:bottom w:val="nil"/>
              <w:right w:val="nil"/>
            </w:tcBorders>
            <w:shd w:val="clear" w:color="000000" w:fill="C5D9F1"/>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CALCULO DEL COSTO DEL PATRIMONIO POR AÑO</w:t>
            </w:r>
          </w:p>
        </w:tc>
      </w:tr>
      <w:tr w:rsidR="0015454E">
        <w:trPr>
          <w:trHeight w:val="255"/>
        </w:trPr>
        <w:tc>
          <w:tcPr>
            <w:tcW w:w="2592"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Patrimonio Inicial</w:t>
            </w:r>
          </w:p>
        </w:tc>
        <w:tc>
          <w:tcPr>
            <w:tcW w:w="708"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139722</w:t>
            </w:r>
          </w:p>
        </w:tc>
        <w:tc>
          <w:tcPr>
            <w:tcW w:w="708"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158888,11</w:t>
            </w:r>
          </w:p>
        </w:tc>
        <w:tc>
          <w:tcPr>
            <w:tcW w:w="708"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182762,4</w:t>
            </w:r>
          </w:p>
        </w:tc>
        <w:tc>
          <w:tcPr>
            <w:tcW w:w="841"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213131,3378</w:t>
            </w:r>
          </w:p>
        </w:tc>
        <w:tc>
          <w:tcPr>
            <w:tcW w:w="774"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252648,953</w:t>
            </w:r>
          </w:p>
        </w:tc>
        <w:tc>
          <w:tcPr>
            <w:tcW w:w="841"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486953,8121</w:t>
            </w:r>
          </w:p>
        </w:tc>
      </w:tr>
      <w:tr w:rsidR="0015454E">
        <w:trPr>
          <w:trHeight w:val="255"/>
        </w:trPr>
        <w:tc>
          <w:tcPr>
            <w:tcW w:w="2592"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Tasa de Costo Patrimonial</w:t>
            </w:r>
          </w:p>
        </w:tc>
        <w:tc>
          <w:tcPr>
            <w:tcW w:w="708"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0,1954</w:t>
            </w:r>
          </w:p>
        </w:tc>
        <w:tc>
          <w:tcPr>
            <w:tcW w:w="708"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0,1954</w:t>
            </w:r>
          </w:p>
        </w:tc>
        <w:tc>
          <w:tcPr>
            <w:tcW w:w="708"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0,1954</w:t>
            </w:r>
          </w:p>
        </w:tc>
        <w:tc>
          <w:tcPr>
            <w:tcW w:w="841"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0,1954</w:t>
            </w:r>
          </w:p>
        </w:tc>
        <w:tc>
          <w:tcPr>
            <w:tcW w:w="774"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0,1954</w:t>
            </w:r>
          </w:p>
        </w:tc>
        <w:tc>
          <w:tcPr>
            <w:tcW w:w="841"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0,1954</w:t>
            </w:r>
          </w:p>
        </w:tc>
      </w:tr>
      <w:tr w:rsidR="0015454E">
        <w:trPr>
          <w:trHeight w:val="255"/>
        </w:trPr>
        <w:tc>
          <w:tcPr>
            <w:tcW w:w="2592"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COSTO DEL PATRIMONIO</w:t>
            </w:r>
          </w:p>
        </w:tc>
        <w:tc>
          <w:tcPr>
            <w:tcW w:w="708"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27301,679</w:t>
            </w:r>
          </w:p>
        </w:tc>
        <w:tc>
          <w:tcPr>
            <w:tcW w:w="708"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31046,736</w:t>
            </w:r>
          </w:p>
        </w:tc>
        <w:tc>
          <w:tcPr>
            <w:tcW w:w="708"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35711,774</w:t>
            </w:r>
          </w:p>
        </w:tc>
        <w:tc>
          <w:tcPr>
            <w:tcW w:w="841"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41645,86341</w:t>
            </w:r>
          </w:p>
        </w:tc>
        <w:tc>
          <w:tcPr>
            <w:tcW w:w="774"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49367,6055</w:t>
            </w:r>
          </w:p>
        </w:tc>
        <w:tc>
          <w:tcPr>
            <w:tcW w:w="841"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95150,77488</w:t>
            </w:r>
          </w:p>
        </w:tc>
      </w:tr>
      <w:tr w:rsidR="0015454E">
        <w:trPr>
          <w:trHeight w:val="255"/>
        </w:trPr>
        <w:tc>
          <w:tcPr>
            <w:tcW w:w="7172" w:type="dxa"/>
            <w:gridSpan w:val="7"/>
            <w:tcBorders>
              <w:top w:val="nil"/>
              <w:left w:val="nil"/>
              <w:bottom w:val="nil"/>
              <w:right w:val="nil"/>
            </w:tcBorders>
            <w:shd w:val="clear" w:color="000000" w:fill="C5D9F1"/>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CALCULO DEL EXCESO DE RETORNO</w:t>
            </w:r>
          </w:p>
        </w:tc>
      </w:tr>
      <w:tr w:rsidR="0015454E">
        <w:trPr>
          <w:trHeight w:val="255"/>
        </w:trPr>
        <w:tc>
          <w:tcPr>
            <w:tcW w:w="2592"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UTILIDAD NETA</w:t>
            </w:r>
          </w:p>
        </w:tc>
        <w:tc>
          <w:tcPr>
            <w:tcW w:w="708"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31943,513</w:t>
            </w:r>
          </w:p>
        </w:tc>
        <w:tc>
          <w:tcPr>
            <w:tcW w:w="708"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39790,495</w:t>
            </w:r>
          </w:p>
        </w:tc>
        <w:tc>
          <w:tcPr>
            <w:tcW w:w="708"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50614,889</w:t>
            </w:r>
          </w:p>
        </w:tc>
        <w:tc>
          <w:tcPr>
            <w:tcW w:w="841"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65862,69248</w:t>
            </w:r>
          </w:p>
        </w:tc>
        <w:tc>
          <w:tcPr>
            <w:tcW w:w="774"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87682,1552</w:t>
            </w:r>
          </w:p>
        </w:tc>
        <w:tc>
          <w:tcPr>
            <w:tcW w:w="841"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98302,51757</w:t>
            </w:r>
          </w:p>
        </w:tc>
      </w:tr>
      <w:tr w:rsidR="0015454E">
        <w:trPr>
          <w:trHeight w:val="255"/>
        </w:trPr>
        <w:tc>
          <w:tcPr>
            <w:tcW w:w="2592"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 COSTO DEL PATRIMONIO</w:t>
            </w:r>
          </w:p>
        </w:tc>
        <w:tc>
          <w:tcPr>
            <w:tcW w:w="708"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27301,679</w:t>
            </w:r>
          </w:p>
        </w:tc>
        <w:tc>
          <w:tcPr>
            <w:tcW w:w="708"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31046,736</w:t>
            </w:r>
          </w:p>
        </w:tc>
        <w:tc>
          <w:tcPr>
            <w:tcW w:w="708"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35711,774</w:t>
            </w:r>
          </w:p>
        </w:tc>
        <w:tc>
          <w:tcPr>
            <w:tcW w:w="841"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41645,86341</w:t>
            </w:r>
          </w:p>
        </w:tc>
        <w:tc>
          <w:tcPr>
            <w:tcW w:w="774"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49367,6055</w:t>
            </w:r>
          </w:p>
        </w:tc>
        <w:tc>
          <w:tcPr>
            <w:tcW w:w="841"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95150,77488</w:t>
            </w:r>
          </w:p>
        </w:tc>
      </w:tr>
      <w:tr w:rsidR="0015454E">
        <w:trPr>
          <w:trHeight w:val="255"/>
        </w:trPr>
        <w:tc>
          <w:tcPr>
            <w:tcW w:w="2592"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EXCESO DE RETORNO PATRIMONIAL</w:t>
            </w:r>
          </w:p>
        </w:tc>
        <w:tc>
          <w:tcPr>
            <w:tcW w:w="708"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4641,8337</w:t>
            </w:r>
          </w:p>
        </w:tc>
        <w:tc>
          <w:tcPr>
            <w:tcW w:w="708"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8743,7583</w:t>
            </w:r>
          </w:p>
        </w:tc>
        <w:tc>
          <w:tcPr>
            <w:tcW w:w="708"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14903,115</w:t>
            </w:r>
          </w:p>
        </w:tc>
        <w:tc>
          <w:tcPr>
            <w:tcW w:w="841"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24216,82908</w:t>
            </w:r>
          </w:p>
        </w:tc>
        <w:tc>
          <w:tcPr>
            <w:tcW w:w="774"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38314,5497</w:t>
            </w:r>
          </w:p>
        </w:tc>
        <w:tc>
          <w:tcPr>
            <w:tcW w:w="841"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3151,742688</w:t>
            </w:r>
          </w:p>
        </w:tc>
      </w:tr>
      <w:tr w:rsidR="0015454E">
        <w:trPr>
          <w:trHeight w:val="255"/>
        </w:trPr>
        <w:tc>
          <w:tcPr>
            <w:tcW w:w="2592"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Valor Perpetuidad</w:t>
            </w:r>
          </w:p>
        </w:tc>
        <w:tc>
          <w:tcPr>
            <w:tcW w:w="708"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p>
        </w:tc>
        <w:tc>
          <w:tcPr>
            <w:tcW w:w="708"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p>
        </w:tc>
        <w:tc>
          <w:tcPr>
            <w:tcW w:w="708"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p>
        </w:tc>
        <w:tc>
          <w:tcPr>
            <w:tcW w:w="841"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p>
        </w:tc>
        <w:tc>
          <w:tcPr>
            <w:tcW w:w="774"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p>
        </w:tc>
        <w:tc>
          <w:tcPr>
            <w:tcW w:w="841"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42432,52233</w:t>
            </w:r>
          </w:p>
        </w:tc>
      </w:tr>
      <w:tr w:rsidR="0015454E">
        <w:trPr>
          <w:trHeight w:val="255"/>
        </w:trPr>
        <w:tc>
          <w:tcPr>
            <w:tcW w:w="2592"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Valor Presente</w:t>
            </w:r>
          </w:p>
        </w:tc>
        <w:tc>
          <w:tcPr>
            <w:tcW w:w="708"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3883,0799</w:t>
            </w:r>
          </w:p>
        </w:tc>
        <w:tc>
          <w:tcPr>
            <w:tcW w:w="708"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6118,8759</w:t>
            </w:r>
          </w:p>
        </w:tc>
        <w:tc>
          <w:tcPr>
            <w:tcW w:w="708"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8724,435</w:t>
            </w:r>
          </w:p>
        </w:tc>
        <w:tc>
          <w:tcPr>
            <w:tcW w:w="841"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11859,44241</w:t>
            </w:r>
          </w:p>
        </w:tc>
        <w:tc>
          <w:tcPr>
            <w:tcW w:w="774"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15696,3064</w:t>
            </w:r>
          </w:p>
        </w:tc>
        <w:tc>
          <w:tcPr>
            <w:tcW w:w="841"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17383,31464</w:t>
            </w:r>
          </w:p>
        </w:tc>
      </w:tr>
      <w:tr w:rsidR="0015454E">
        <w:trPr>
          <w:trHeight w:val="255"/>
        </w:trPr>
        <w:tc>
          <w:tcPr>
            <w:tcW w:w="2592"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p>
        </w:tc>
        <w:tc>
          <w:tcPr>
            <w:tcW w:w="708"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p>
        </w:tc>
        <w:tc>
          <w:tcPr>
            <w:tcW w:w="708"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p>
        </w:tc>
        <w:tc>
          <w:tcPr>
            <w:tcW w:w="708"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p>
        </w:tc>
        <w:tc>
          <w:tcPr>
            <w:tcW w:w="841"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p>
        </w:tc>
        <w:tc>
          <w:tcPr>
            <w:tcW w:w="774"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p>
        </w:tc>
        <w:tc>
          <w:tcPr>
            <w:tcW w:w="841"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p>
        </w:tc>
      </w:tr>
      <w:tr w:rsidR="0015454E">
        <w:trPr>
          <w:trHeight w:val="255"/>
        </w:trPr>
        <w:tc>
          <w:tcPr>
            <w:tcW w:w="2592"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VALOR DE MERCADO PATRIMONIO</w:t>
            </w:r>
          </w:p>
        </w:tc>
        <w:tc>
          <w:tcPr>
            <w:tcW w:w="708"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r>
              <w:rPr>
                <w:rFonts w:ascii="Arial" w:hAnsi="Arial" w:cs="Arial"/>
                <w:sz w:val="12"/>
                <w:szCs w:val="12"/>
              </w:rPr>
              <w:t>203387,45</w:t>
            </w:r>
          </w:p>
        </w:tc>
        <w:tc>
          <w:tcPr>
            <w:tcW w:w="708"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p>
        </w:tc>
        <w:tc>
          <w:tcPr>
            <w:tcW w:w="708"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p>
        </w:tc>
        <w:tc>
          <w:tcPr>
            <w:tcW w:w="841"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p>
        </w:tc>
        <w:tc>
          <w:tcPr>
            <w:tcW w:w="774"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p>
        </w:tc>
        <w:tc>
          <w:tcPr>
            <w:tcW w:w="841" w:type="dxa"/>
            <w:tcBorders>
              <w:top w:val="nil"/>
              <w:left w:val="nil"/>
              <w:bottom w:val="nil"/>
              <w:right w:val="nil"/>
            </w:tcBorders>
            <w:shd w:val="clear" w:color="auto" w:fill="auto"/>
            <w:noWrap/>
            <w:vAlign w:val="bottom"/>
          </w:tcPr>
          <w:p w:rsidR="0015454E" w:rsidRDefault="0015454E" w:rsidP="00FC4F38">
            <w:pPr>
              <w:spacing w:line="360" w:lineRule="auto"/>
              <w:jc w:val="both"/>
              <w:rPr>
                <w:rFonts w:ascii="Arial" w:hAnsi="Arial" w:cs="Arial"/>
                <w:sz w:val="12"/>
                <w:szCs w:val="12"/>
              </w:rPr>
            </w:pPr>
          </w:p>
        </w:tc>
      </w:tr>
    </w:tbl>
    <w:p w:rsidR="0015454E" w:rsidRPr="00991A27" w:rsidRDefault="0015454E" w:rsidP="0015454E">
      <w:pPr>
        <w:spacing w:line="360" w:lineRule="auto"/>
        <w:jc w:val="both"/>
        <w:rPr>
          <w:rFonts w:ascii="Arial" w:hAnsi="Arial" w:cs="Arial"/>
        </w:rPr>
      </w:pPr>
      <w:r w:rsidRPr="00991A27">
        <w:rPr>
          <w:rFonts w:ascii="Arial" w:hAnsi="Arial" w:cs="Arial"/>
        </w:rPr>
        <w:t xml:space="preserve">      </w:t>
      </w:r>
    </w:p>
    <w:p w:rsidR="0015454E" w:rsidRDefault="0015454E" w:rsidP="0015454E">
      <w:pPr>
        <w:spacing w:line="360" w:lineRule="auto"/>
        <w:jc w:val="both"/>
        <w:rPr>
          <w:rFonts w:ascii="Arial" w:hAnsi="Arial" w:cs="Arial"/>
        </w:rPr>
      </w:pPr>
      <w:r w:rsidRPr="00991A27">
        <w:rPr>
          <w:rFonts w:ascii="Arial" w:hAnsi="Arial" w:cs="Arial"/>
        </w:rPr>
        <w:t xml:space="preserve">                                                                                                                         </w:t>
      </w:r>
    </w:p>
    <w:p w:rsidR="0015454E" w:rsidRDefault="0015454E" w:rsidP="0015454E">
      <w:pPr>
        <w:spacing w:line="360" w:lineRule="auto"/>
        <w:jc w:val="both"/>
        <w:rPr>
          <w:rFonts w:ascii="Arial" w:hAnsi="Arial" w:cs="Arial"/>
        </w:rPr>
      </w:pPr>
    </w:p>
    <w:p w:rsidR="0015454E" w:rsidRDefault="0015454E" w:rsidP="0015454E">
      <w:pPr>
        <w:spacing w:line="360" w:lineRule="auto"/>
        <w:jc w:val="both"/>
        <w:rPr>
          <w:rFonts w:ascii="Arial" w:hAnsi="Arial" w:cs="Arial"/>
        </w:rPr>
      </w:pPr>
    </w:p>
    <w:p w:rsidR="0015454E" w:rsidRDefault="0015454E" w:rsidP="0015454E">
      <w:pPr>
        <w:spacing w:line="360" w:lineRule="auto"/>
        <w:jc w:val="both"/>
        <w:rPr>
          <w:rFonts w:ascii="Arial" w:hAnsi="Arial" w:cs="Arial"/>
        </w:rPr>
      </w:pPr>
    </w:p>
    <w:p w:rsidR="0015454E" w:rsidRDefault="0015454E" w:rsidP="0015454E">
      <w:pPr>
        <w:spacing w:line="360" w:lineRule="auto"/>
        <w:jc w:val="both"/>
        <w:rPr>
          <w:rFonts w:ascii="Arial" w:hAnsi="Arial" w:cs="Arial"/>
        </w:rPr>
      </w:pPr>
    </w:p>
    <w:p w:rsidR="0015454E" w:rsidRDefault="0015454E" w:rsidP="0015454E">
      <w:pPr>
        <w:spacing w:line="360" w:lineRule="auto"/>
        <w:jc w:val="both"/>
        <w:rPr>
          <w:rFonts w:ascii="Arial" w:hAnsi="Arial" w:cs="Arial"/>
        </w:rPr>
      </w:pPr>
    </w:p>
    <w:p w:rsidR="0015454E" w:rsidRDefault="0015454E" w:rsidP="0015454E">
      <w:pPr>
        <w:spacing w:line="360" w:lineRule="auto"/>
        <w:jc w:val="both"/>
        <w:rPr>
          <w:rFonts w:ascii="Arial" w:hAnsi="Arial" w:cs="Arial"/>
        </w:rPr>
      </w:pPr>
    </w:p>
    <w:p w:rsidR="0015454E" w:rsidRDefault="0015454E" w:rsidP="0015454E">
      <w:pPr>
        <w:spacing w:line="360" w:lineRule="auto"/>
        <w:jc w:val="both"/>
        <w:rPr>
          <w:rFonts w:ascii="Arial" w:hAnsi="Arial" w:cs="Arial"/>
        </w:rPr>
      </w:pPr>
    </w:p>
    <w:p w:rsidR="0015454E" w:rsidRDefault="0015454E" w:rsidP="0015454E">
      <w:pPr>
        <w:spacing w:line="360" w:lineRule="auto"/>
        <w:jc w:val="both"/>
        <w:rPr>
          <w:rFonts w:ascii="Arial" w:hAnsi="Arial" w:cs="Arial"/>
        </w:rPr>
      </w:pPr>
    </w:p>
    <w:p w:rsidR="0015454E" w:rsidRDefault="0015454E" w:rsidP="0015454E">
      <w:pPr>
        <w:spacing w:line="360" w:lineRule="auto"/>
        <w:ind w:left="4248" w:firstLine="708"/>
        <w:jc w:val="both"/>
        <w:rPr>
          <w:rFonts w:ascii="Arial" w:hAnsi="Arial" w:cs="Arial"/>
        </w:rPr>
      </w:pPr>
      <w:r>
        <w:rPr>
          <w:rFonts w:ascii="Arial" w:hAnsi="Arial" w:cs="Arial"/>
        </w:rPr>
        <w:t xml:space="preserve">               </w:t>
      </w:r>
    </w:p>
    <w:p w:rsidR="0015454E" w:rsidRDefault="0015454E" w:rsidP="0015454E">
      <w:pPr>
        <w:spacing w:line="360" w:lineRule="auto"/>
        <w:ind w:left="4248" w:firstLine="708"/>
        <w:jc w:val="both"/>
        <w:rPr>
          <w:rFonts w:ascii="Arial" w:hAnsi="Arial" w:cs="Arial"/>
        </w:rPr>
      </w:pPr>
    </w:p>
    <w:p w:rsidR="0015454E" w:rsidRDefault="0015454E" w:rsidP="0015454E">
      <w:pPr>
        <w:spacing w:line="360" w:lineRule="auto"/>
        <w:ind w:left="4248" w:firstLine="708"/>
        <w:jc w:val="right"/>
        <w:rPr>
          <w:rFonts w:ascii="Arial" w:hAnsi="Arial" w:cs="Arial"/>
        </w:rPr>
      </w:pPr>
    </w:p>
    <w:p w:rsidR="00E0414C" w:rsidRDefault="0015454E" w:rsidP="0015454E">
      <w:pPr>
        <w:spacing w:line="360" w:lineRule="auto"/>
        <w:ind w:left="4248" w:firstLine="708"/>
        <w:rPr>
          <w:rFonts w:ascii="Arial" w:hAnsi="Arial" w:cs="Arial"/>
        </w:rPr>
      </w:pPr>
      <w:r>
        <w:rPr>
          <w:rFonts w:ascii="Arial" w:hAnsi="Arial" w:cs="Arial"/>
        </w:rPr>
        <w:t xml:space="preserve">                </w:t>
      </w:r>
    </w:p>
    <w:p w:rsidR="0015454E" w:rsidRPr="00E0414C" w:rsidRDefault="0015454E" w:rsidP="00F27DFF">
      <w:pPr>
        <w:spacing w:line="360" w:lineRule="auto"/>
        <w:ind w:left="4248" w:firstLine="708"/>
        <w:jc w:val="right"/>
        <w:rPr>
          <w:rFonts w:ascii="Arial" w:hAnsi="Arial" w:cs="Arial"/>
        </w:rPr>
      </w:pPr>
      <w:r w:rsidRPr="00C97A19">
        <w:rPr>
          <w:rFonts w:ascii="Arial" w:hAnsi="Arial" w:cs="Arial"/>
          <w:b/>
        </w:rPr>
        <w:t>*</w:t>
      </w:r>
      <w:r w:rsidRPr="00F27DFF">
        <w:rPr>
          <w:rFonts w:ascii="Arial" w:hAnsi="Arial" w:cs="Arial"/>
          <w:b/>
          <w:sz w:val="12"/>
          <w:szCs w:val="12"/>
        </w:rPr>
        <w:t>En miles de dólares</w:t>
      </w:r>
    </w:p>
    <w:p w:rsidR="0015454E" w:rsidRPr="00C97A19" w:rsidRDefault="0015454E" w:rsidP="00F27DFF">
      <w:pPr>
        <w:spacing w:line="240" w:lineRule="auto"/>
        <w:jc w:val="both"/>
        <w:rPr>
          <w:rFonts w:ascii="Arial" w:hAnsi="Arial" w:cs="Arial"/>
          <w:sz w:val="16"/>
          <w:szCs w:val="16"/>
        </w:rPr>
      </w:pPr>
      <w:r w:rsidRPr="00C97A19">
        <w:rPr>
          <w:rFonts w:ascii="Arial" w:hAnsi="Arial" w:cs="Arial"/>
          <w:sz w:val="16"/>
          <w:szCs w:val="16"/>
        </w:rPr>
        <w:t>Fuente: Datos Proyectados por los autores</w:t>
      </w:r>
    </w:p>
    <w:p w:rsidR="0015454E" w:rsidRDefault="0015454E" w:rsidP="00F27DFF">
      <w:pPr>
        <w:spacing w:line="240" w:lineRule="auto"/>
        <w:jc w:val="both"/>
        <w:rPr>
          <w:rFonts w:ascii="Arial" w:hAnsi="Arial" w:cs="Arial"/>
          <w:sz w:val="16"/>
          <w:szCs w:val="16"/>
        </w:rPr>
      </w:pPr>
      <w:r w:rsidRPr="00C97A19">
        <w:rPr>
          <w:rFonts w:ascii="Arial" w:hAnsi="Arial" w:cs="Arial"/>
          <w:sz w:val="16"/>
          <w:szCs w:val="16"/>
        </w:rPr>
        <w:t>Elaboración: Autores</w:t>
      </w:r>
    </w:p>
    <w:p w:rsidR="0015454E" w:rsidRPr="00C97A19" w:rsidRDefault="0015454E" w:rsidP="0015454E">
      <w:pPr>
        <w:spacing w:line="360" w:lineRule="auto"/>
        <w:jc w:val="both"/>
        <w:rPr>
          <w:rFonts w:ascii="Arial" w:hAnsi="Arial" w:cs="Arial"/>
          <w:sz w:val="16"/>
          <w:szCs w:val="16"/>
        </w:rPr>
      </w:pPr>
    </w:p>
    <w:p w:rsidR="0015454E" w:rsidRPr="00BB2594" w:rsidRDefault="0015454E" w:rsidP="0015454E">
      <w:pPr>
        <w:spacing w:line="360" w:lineRule="auto"/>
        <w:ind w:firstLine="454"/>
        <w:jc w:val="both"/>
        <w:rPr>
          <w:rFonts w:ascii="Arial" w:hAnsi="Arial" w:cs="Arial"/>
          <w:sz w:val="24"/>
          <w:szCs w:val="24"/>
        </w:rPr>
      </w:pPr>
      <w:r w:rsidRPr="00BB2594">
        <w:rPr>
          <w:rFonts w:ascii="Arial" w:hAnsi="Arial" w:cs="Arial"/>
          <w:sz w:val="24"/>
          <w:szCs w:val="24"/>
        </w:rPr>
        <w:lastRenderedPageBreak/>
        <w:t>Entonces en la primera parte tenemos el cálculo del patrimonio final de cada año e implícitamente del retorno que los accionistas tendrán cada año. Como datos tenemos el patrimonio inicial, que es el patrimonio final del 2007, la razón de pago de dividendos y las utilidades netas de cada año que las tomamos del Estado de Resultados Proyectado (cuadro 3.5). Con estos datos pudimos calcular el patrimonio final de cada año que a su vez será el patrimonio inicial del año siguiente.</w:t>
      </w:r>
    </w:p>
    <w:p w:rsidR="0015454E" w:rsidRPr="00BB2594" w:rsidRDefault="0015454E" w:rsidP="0015454E">
      <w:pPr>
        <w:spacing w:line="360" w:lineRule="auto"/>
        <w:ind w:firstLine="454"/>
        <w:jc w:val="both"/>
        <w:rPr>
          <w:rFonts w:ascii="Arial" w:hAnsi="Arial" w:cs="Arial"/>
          <w:sz w:val="24"/>
          <w:szCs w:val="24"/>
        </w:rPr>
      </w:pPr>
    </w:p>
    <w:p w:rsidR="0015454E" w:rsidRPr="00BB2594" w:rsidRDefault="0015454E" w:rsidP="0015454E">
      <w:pPr>
        <w:spacing w:line="360" w:lineRule="auto"/>
        <w:ind w:firstLine="454"/>
        <w:jc w:val="both"/>
        <w:rPr>
          <w:rFonts w:ascii="Arial" w:hAnsi="Arial" w:cs="Arial"/>
          <w:sz w:val="24"/>
          <w:szCs w:val="24"/>
        </w:rPr>
      </w:pPr>
      <w:r w:rsidRPr="00BB2594">
        <w:rPr>
          <w:rFonts w:ascii="Arial" w:hAnsi="Arial" w:cs="Arial"/>
          <w:sz w:val="24"/>
          <w:szCs w:val="24"/>
        </w:rPr>
        <w:t>Luego en la segunda parte obtuvimos el costo del patrimonio que no es otra cosa que la multiplicación del patrimonio inicial de cada año por la tasa de costo patrimonial que a su vez es la que calculamos mediante el CAPM.</w:t>
      </w:r>
    </w:p>
    <w:p w:rsidR="0015454E" w:rsidRPr="00BB2594" w:rsidRDefault="0015454E" w:rsidP="0015454E">
      <w:pPr>
        <w:spacing w:line="360" w:lineRule="auto"/>
        <w:ind w:firstLine="454"/>
        <w:jc w:val="both"/>
        <w:rPr>
          <w:rFonts w:ascii="Arial" w:hAnsi="Arial" w:cs="Arial"/>
          <w:sz w:val="24"/>
          <w:szCs w:val="24"/>
        </w:rPr>
      </w:pPr>
    </w:p>
    <w:p w:rsidR="0015454E" w:rsidRPr="00BB2594" w:rsidRDefault="0015454E" w:rsidP="0015454E">
      <w:pPr>
        <w:spacing w:line="360" w:lineRule="auto"/>
        <w:ind w:firstLine="454"/>
        <w:jc w:val="both"/>
        <w:rPr>
          <w:rFonts w:ascii="Arial" w:hAnsi="Arial" w:cs="Arial"/>
          <w:sz w:val="24"/>
          <w:szCs w:val="24"/>
        </w:rPr>
      </w:pPr>
      <w:r w:rsidRPr="00BB2594">
        <w:rPr>
          <w:rFonts w:ascii="Arial" w:hAnsi="Arial" w:cs="Arial"/>
          <w:sz w:val="24"/>
          <w:szCs w:val="24"/>
        </w:rPr>
        <w:t>Por último tenemos el exceso de retorno anual, el cual obtuvimos restándole a la utilidad neta el costo del patrimonio. Luego traemos los excesos de retorno anuales a valor presente, incluido también el valor de la perpetuidad. La suma de estos valores presentes más el patrimonio actual (el patrimonio inicial del 2008) nos da como resultado el valor de mercado del patrimonio,</w:t>
      </w:r>
    </w:p>
    <w:p w:rsidR="0015454E" w:rsidRPr="00BB2594" w:rsidRDefault="0015454E" w:rsidP="0015454E">
      <w:pPr>
        <w:spacing w:line="360" w:lineRule="auto"/>
        <w:ind w:firstLine="454"/>
        <w:jc w:val="both"/>
        <w:rPr>
          <w:rFonts w:ascii="Arial" w:hAnsi="Arial" w:cs="Arial"/>
          <w:sz w:val="24"/>
          <w:szCs w:val="24"/>
        </w:rPr>
      </w:pPr>
    </w:p>
    <w:p w:rsidR="0015454E" w:rsidRPr="00BB2594" w:rsidRDefault="0015454E" w:rsidP="0015454E">
      <w:pPr>
        <w:spacing w:line="360" w:lineRule="auto"/>
        <w:ind w:firstLine="454"/>
        <w:jc w:val="both"/>
        <w:rPr>
          <w:rFonts w:ascii="Arial" w:hAnsi="Arial" w:cs="Arial"/>
          <w:sz w:val="24"/>
          <w:szCs w:val="24"/>
        </w:rPr>
      </w:pPr>
      <w:r w:rsidRPr="00BB2594">
        <w:rPr>
          <w:rFonts w:ascii="Arial" w:hAnsi="Arial" w:cs="Arial"/>
          <w:sz w:val="24"/>
          <w:szCs w:val="24"/>
        </w:rPr>
        <w:t>Con el valor de mercado del patrimonio que acabamos de obtener, podemos calcular los valores que completan el siguiente cuadro:</w:t>
      </w:r>
    </w:p>
    <w:p w:rsidR="0015454E" w:rsidRDefault="0015454E" w:rsidP="0015454E">
      <w:pPr>
        <w:spacing w:line="360" w:lineRule="auto"/>
        <w:jc w:val="both"/>
        <w:rPr>
          <w:rFonts w:ascii="Arial" w:hAnsi="Arial" w:cs="Arial"/>
        </w:rPr>
      </w:pPr>
    </w:p>
    <w:p w:rsidR="00BB2594" w:rsidRDefault="00BB2594" w:rsidP="0015454E">
      <w:pPr>
        <w:spacing w:line="360" w:lineRule="auto"/>
        <w:jc w:val="center"/>
        <w:rPr>
          <w:rFonts w:ascii="Arial" w:hAnsi="Arial" w:cs="Arial"/>
          <w:b/>
        </w:rPr>
      </w:pPr>
    </w:p>
    <w:p w:rsidR="00BB2594" w:rsidRDefault="00BB2594" w:rsidP="0015454E">
      <w:pPr>
        <w:spacing w:line="360" w:lineRule="auto"/>
        <w:jc w:val="center"/>
        <w:rPr>
          <w:rFonts w:ascii="Arial" w:hAnsi="Arial" w:cs="Arial"/>
          <w:b/>
        </w:rPr>
      </w:pPr>
    </w:p>
    <w:p w:rsidR="00BB2594" w:rsidRDefault="00BB2594" w:rsidP="0015454E">
      <w:pPr>
        <w:spacing w:line="360" w:lineRule="auto"/>
        <w:jc w:val="center"/>
        <w:rPr>
          <w:rFonts w:ascii="Arial" w:hAnsi="Arial" w:cs="Arial"/>
          <w:b/>
        </w:rPr>
      </w:pPr>
    </w:p>
    <w:p w:rsidR="00BB2594" w:rsidRDefault="00BB2594" w:rsidP="0015454E">
      <w:pPr>
        <w:spacing w:line="360" w:lineRule="auto"/>
        <w:jc w:val="center"/>
        <w:rPr>
          <w:rFonts w:ascii="Arial" w:hAnsi="Arial" w:cs="Arial"/>
          <w:b/>
        </w:rPr>
      </w:pPr>
    </w:p>
    <w:p w:rsidR="0015454E" w:rsidRPr="00991A27" w:rsidRDefault="0015454E" w:rsidP="0015454E">
      <w:pPr>
        <w:spacing w:line="360" w:lineRule="auto"/>
        <w:jc w:val="center"/>
        <w:rPr>
          <w:rFonts w:ascii="Arial" w:hAnsi="Arial" w:cs="Arial"/>
          <w:b/>
        </w:rPr>
      </w:pPr>
      <w:r w:rsidRPr="00991A27">
        <w:rPr>
          <w:rFonts w:ascii="Arial" w:hAnsi="Arial" w:cs="Arial"/>
          <w:b/>
        </w:rPr>
        <w:lastRenderedPageBreak/>
        <w:t>Cuadro 3.9</w:t>
      </w:r>
    </w:p>
    <w:tbl>
      <w:tblPr>
        <w:tblW w:w="4660" w:type="dxa"/>
        <w:tblInd w:w="1800" w:type="dxa"/>
        <w:tblCellMar>
          <w:left w:w="70" w:type="dxa"/>
          <w:right w:w="70" w:type="dxa"/>
        </w:tblCellMar>
        <w:tblLook w:val="0000"/>
      </w:tblPr>
      <w:tblGrid>
        <w:gridCol w:w="3460"/>
        <w:gridCol w:w="1200"/>
      </w:tblGrid>
      <w:tr w:rsidR="00F27DFF" w:rsidRPr="00587BA3" w:rsidTr="00587BA3">
        <w:trPr>
          <w:trHeight w:val="255"/>
        </w:trPr>
        <w:tc>
          <w:tcPr>
            <w:tcW w:w="3460" w:type="dxa"/>
            <w:tcBorders>
              <w:top w:val="single" w:sz="8" w:space="0" w:color="auto"/>
              <w:left w:val="single" w:sz="8" w:space="0" w:color="auto"/>
              <w:bottom w:val="single" w:sz="4" w:space="0" w:color="auto"/>
              <w:right w:val="single" w:sz="4" w:space="0" w:color="auto"/>
            </w:tcBorders>
            <w:shd w:val="clear" w:color="auto" w:fill="800000"/>
            <w:noWrap/>
            <w:vAlign w:val="bottom"/>
          </w:tcPr>
          <w:p w:rsidR="00F27DFF" w:rsidRPr="00587BA3" w:rsidRDefault="00F27DFF" w:rsidP="00FC4F38">
            <w:pPr>
              <w:spacing w:line="360" w:lineRule="auto"/>
              <w:jc w:val="both"/>
              <w:rPr>
                <w:rFonts w:ascii="Arial" w:hAnsi="Arial" w:cs="Arial"/>
                <w:bCs/>
                <w:sz w:val="16"/>
                <w:szCs w:val="16"/>
              </w:rPr>
            </w:pPr>
            <w:r w:rsidRPr="00587BA3">
              <w:rPr>
                <w:rFonts w:ascii="Arial" w:hAnsi="Arial" w:cs="Arial"/>
                <w:bCs/>
                <w:sz w:val="16"/>
                <w:szCs w:val="16"/>
              </w:rPr>
              <w:t>Numero de acciones totales</w:t>
            </w:r>
          </w:p>
        </w:tc>
        <w:tc>
          <w:tcPr>
            <w:tcW w:w="1200" w:type="dxa"/>
            <w:tcBorders>
              <w:top w:val="single" w:sz="8" w:space="0" w:color="auto"/>
              <w:left w:val="nil"/>
              <w:bottom w:val="single" w:sz="4" w:space="0" w:color="auto"/>
              <w:right w:val="single" w:sz="8" w:space="0" w:color="auto"/>
            </w:tcBorders>
            <w:shd w:val="clear" w:color="auto" w:fill="auto"/>
            <w:noWrap/>
            <w:vAlign w:val="bottom"/>
          </w:tcPr>
          <w:p w:rsidR="00F27DFF" w:rsidRPr="00587BA3" w:rsidRDefault="00F27DFF" w:rsidP="00FC4F38">
            <w:pPr>
              <w:spacing w:line="360" w:lineRule="auto"/>
              <w:jc w:val="both"/>
              <w:rPr>
                <w:rFonts w:ascii="Arial" w:hAnsi="Arial" w:cs="Arial"/>
                <w:sz w:val="16"/>
                <w:szCs w:val="16"/>
              </w:rPr>
            </w:pPr>
            <w:r w:rsidRPr="00587BA3">
              <w:rPr>
                <w:rFonts w:ascii="Arial" w:hAnsi="Arial" w:cs="Arial"/>
                <w:sz w:val="16"/>
                <w:szCs w:val="16"/>
              </w:rPr>
              <w:t>92000000</w:t>
            </w:r>
          </w:p>
        </w:tc>
      </w:tr>
      <w:tr w:rsidR="00F27DFF" w:rsidRPr="00587BA3" w:rsidTr="00587BA3">
        <w:trPr>
          <w:trHeight w:val="255"/>
        </w:trPr>
        <w:tc>
          <w:tcPr>
            <w:tcW w:w="3460" w:type="dxa"/>
            <w:tcBorders>
              <w:top w:val="nil"/>
              <w:left w:val="single" w:sz="8" w:space="0" w:color="auto"/>
              <w:bottom w:val="single" w:sz="4" w:space="0" w:color="auto"/>
              <w:right w:val="single" w:sz="4" w:space="0" w:color="auto"/>
            </w:tcBorders>
            <w:shd w:val="clear" w:color="auto" w:fill="800000"/>
            <w:noWrap/>
            <w:vAlign w:val="bottom"/>
          </w:tcPr>
          <w:p w:rsidR="00F27DFF" w:rsidRPr="00587BA3" w:rsidRDefault="00F27DFF" w:rsidP="00FC4F38">
            <w:pPr>
              <w:spacing w:line="360" w:lineRule="auto"/>
              <w:jc w:val="both"/>
              <w:rPr>
                <w:rFonts w:ascii="Arial" w:hAnsi="Arial" w:cs="Arial"/>
                <w:bCs/>
                <w:sz w:val="16"/>
                <w:szCs w:val="16"/>
              </w:rPr>
            </w:pPr>
            <w:r w:rsidRPr="00587BA3">
              <w:rPr>
                <w:rFonts w:ascii="Arial" w:hAnsi="Arial" w:cs="Arial"/>
                <w:bCs/>
                <w:sz w:val="16"/>
                <w:szCs w:val="16"/>
              </w:rPr>
              <w:t>Patrimonio</w:t>
            </w:r>
          </w:p>
        </w:tc>
        <w:tc>
          <w:tcPr>
            <w:tcW w:w="1200" w:type="dxa"/>
            <w:tcBorders>
              <w:top w:val="nil"/>
              <w:left w:val="nil"/>
              <w:bottom w:val="single" w:sz="4" w:space="0" w:color="auto"/>
              <w:right w:val="single" w:sz="8" w:space="0" w:color="auto"/>
            </w:tcBorders>
            <w:shd w:val="clear" w:color="auto" w:fill="auto"/>
            <w:noWrap/>
            <w:vAlign w:val="bottom"/>
          </w:tcPr>
          <w:p w:rsidR="00F27DFF" w:rsidRPr="00587BA3" w:rsidRDefault="00F27DFF" w:rsidP="00FC4F38">
            <w:pPr>
              <w:spacing w:line="360" w:lineRule="auto"/>
              <w:jc w:val="both"/>
              <w:rPr>
                <w:rFonts w:ascii="Arial" w:hAnsi="Arial" w:cs="Arial"/>
                <w:sz w:val="16"/>
                <w:szCs w:val="16"/>
              </w:rPr>
            </w:pPr>
            <w:r w:rsidRPr="00587BA3">
              <w:rPr>
                <w:rFonts w:ascii="Arial" w:hAnsi="Arial" w:cs="Arial"/>
                <w:sz w:val="16"/>
                <w:szCs w:val="16"/>
              </w:rPr>
              <w:t>139722000</w:t>
            </w:r>
          </w:p>
        </w:tc>
      </w:tr>
      <w:tr w:rsidR="00F27DFF" w:rsidRPr="00587BA3" w:rsidTr="00587BA3">
        <w:trPr>
          <w:trHeight w:val="255"/>
        </w:trPr>
        <w:tc>
          <w:tcPr>
            <w:tcW w:w="3460" w:type="dxa"/>
            <w:tcBorders>
              <w:top w:val="nil"/>
              <w:left w:val="single" w:sz="8" w:space="0" w:color="auto"/>
              <w:bottom w:val="single" w:sz="4" w:space="0" w:color="auto"/>
              <w:right w:val="single" w:sz="4" w:space="0" w:color="auto"/>
            </w:tcBorders>
            <w:shd w:val="clear" w:color="auto" w:fill="800000"/>
            <w:noWrap/>
            <w:vAlign w:val="bottom"/>
          </w:tcPr>
          <w:p w:rsidR="00F27DFF" w:rsidRPr="00587BA3" w:rsidRDefault="00F27DFF" w:rsidP="00FC4F38">
            <w:pPr>
              <w:spacing w:line="360" w:lineRule="auto"/>
              <w:jc w:val="both"/>
              <w:rPr>
                <w:rFonts w:ascii="Arial" w:hAnsi="Arial" w:cs="Arial"/>
                <w:bCs/>
                <w:sz w:val="16"/>
                <w:szCs w:val="16"/>
              </w:rPr>
            </w:pPr>
            <w:r w:rsidRPr="00587BA3">
              <w:rPr>
                <w:rFonts w:ascii="Arial" w:hAnsi="Arial" w:cs="Arial"/>
                <w:bCs/>
                <w:sz w:val="16"/>
                <w:szCs w:val="16"/>
              </w:rPr>
              <w:t>Valor Contable por Acción</w:t>
            </w:r>
          </w:p>
        </w:tc>
        <w:tc>
          <w:tcPr>
            <w:tcW w:w="1200" w:type="dxa"/>
            <w:tcBorders>
              <w:top w:val="nil"/>
              <w:left w:val="nil"/>
              <w:bottom w:val="single" w:sz="4" w:space="0" w:color="auto"/>
              <w:right w:val="single" w:sz="8" w:space="0" w:color="auto"/>
            </w:tcBorders>
            <w:shd w:val="clear" w:color="auto" w:fill="auto"/>
            <w:noWrap/>
            <w:vAlign w:val="bottom"/>
          </w:tcPr>
          <w:p w:rsidR="00F27DFF" w:rsidRPr="00587BA3" w:rsidRDefault="00F27DFF" w:rsidP="00FC4F38">
            <w:pPr>
              <w:spacing w:line="360" w:lineRule="auto"/>
              <w:jc w:val="both"/>
              <w:rPr>
                <w:rFonts w:ascii="Arial" w:hAnsi="Arial" w:cs="Arial"/>
                <w:bCs/>
                <w:sz w:val="16"/>
                <w:szCs w:val="16"/>
              </w:rPr>
            </w:pPr>
            <w:r w:rsidRPr="00587BA3">
              <w:rPr>
                <w:rFonts w:ascii="Arial" w:hAnsi="Arial" w:cs="Arial"/>
                <w:bCs/>
                <w:sz w:val="16"/>
                <w:szCs w:val="16"/>
              </w:rPr>
              <w:t>1,5187</w:t>
            </w:r>
          </w:p>
        </w:tc>
      </w:tr>
      <w:tr w:rsidR="00F27DFF" w:rsidRPr="00587BA3" w:rsidTr="00587BA3">
        <w:trPr>
          <w:trHeight w:val="255"/>
        </w:trPr>
        <w:tc>
          <w:tcPr>
            <w:tcW w:w="3460" w:type="dxa"/>
            <w:tcBorders>
              <w:top w:val="nil"/>
              <w:left w:val="single" w:sz="8" w:space="0" w:color="auto"/>
              <w:bottom w:val="single" w:sz="4" w:space="0" w:color="auto"/>
              <w:right w:val="single" w:sz="4" w:space="0" w:color="auto"/>
            </w:tcBorders>
            <w:shd w:val="clear" w:color="auto" w:fill="800000"/>
            <w:noWrap/>
            <w:vAlign w:val="bottom"/>
          </w:tcPr>
          <w:p w:rsidR="00F27DFF" w:rsidRPr="00587BA3" w:rsidRDefault="00F27DFF" w:rsidP="00FC4F38">
            <w:pPr>
              <w:spacing w:line="360" w:lineRule="auto"/>
              <w:jc w:val="both"/>
              <w:rPr>
                <w:rFonts w:ascii="Arial" w:hAnsi="Arial" w:cs="Arial"/>
                <w:bCs/>
                <w:sz w:val="16"/>
                <w:szCs w:val="16"/>
              </w:rPr>
            </w:pPr>
            <w:r w:rsidRPr="00587BA3">
              <w:rPr>
                <w:rFonts w:ascii="Arial" w:hAnsi="Arial" w:cs="Arial"/>
                <w:bCs/>
                <w:sz w:val="16"/>
                <w:szCs w:val="16"/>
              </w:rPr>
              <w:t>Valor de Mercado de la Acción</w:t>
            </w:r>
          </w:p>
        </w:tc>
        <w:tc>
          <w:tcPr>
            <w:tcW w:w="1200" w:type="dxa"/>
            <w:tcBorders>
              <w:top w:val="nil"/>
              <w:left w:val="nil"/>
              <w:bottom w:val="single" w:sz="4" w:space="0" w:color="auto"/>
              <w:right w:val="single" w:sz="8" w:space="0" w:color="auto"/>
            </w:tcBorders>
            <w:shd w:val="clear" w:color="auto" w:fill="auto"/>
            <w:noWrap/>
            <w:vAlign w:val="bottom"/>
          </w:tcPr>
          <w:p w:rsidR="00F27DFF" w:rsidRPr="00587BA3" w:rsidRDefault="00F27DFF" w:rsidP="00FC4F38">
            <w:pPr>
              <w:spacing w:line="360" w:lineRule="auto"/>
              <w:jc w:val="both"/>
              <w:rPr>
                <w:rFonts w:ascii="Arial" w:hAnsi="Arial" w:cs="Arial"/>
                <w:bCs/>
                <w:sz w:val="16"/>
                <w:szCs w:val="16"/>
              </w:rPr>
            </w:pPr>
            <w:r w:rsidRPr="00587BA3">
              <w:rPr>
                <w:rFonts w:ascii="Arial" w:hAnsi="Arial" w:cs="Arial"/>
                <w:bCs/>
                <w:sz w:val="16"/>
                <w:szCs w:val="16"/>
              </w:rPr>
              <w:t>1,95</w:t>
            </w:r>
          </w:p>
        </w:tc>
      </w:tr>
      <w:tr w:rsidR="0015454E" w:rsidRPr="00587BA3" w:rsidTr="00587BA3">
        <w:trPr>
          <w:trHeight w:val="255"/>
        </w:trPr>
        <w:tc>
          <w:tcPr>
            <w:tcW w:w="4660" w:type="dxa"/>
            <w:gridSpan w:val="2"/>
            <w:tcBorders>
              <w:top w:val="single" w:sz="4" w:space="0" w:color="auto"/>
              <w:left w:val="single" w:sz="8" w:space="0" w:color="auto"/>
              <w:bottom w:val="single" w:sz="4" w:space="0" w:color="auto"/>
              <w:right w:val="single" w:sz="8" w:space="0" w:color="000000"/>
            </w:tcBorders>
            <w:shd w:val="clear" w:color="auto" w:fill="800000"/>
            <w:noWrap/>
            <w:vAlign w:val="bottom"/>
          </w:tcPr>
          <w:p w:rsidR="0015454E" w:rsidRPr="00587BA3" w:rsidRDefault="0015454E" w:rsidP="00FC4F38">
            <w:pPr>
              <w:spacing w:line="360" w:lineRule="auto"/>
              <w:jc w:val="both"/>
              <w:rPr>
                <w:rFonts w:ascii="Arial" w:hAnsi="Arial" w:cs="Arial"/>
                <w:bCs/>
                <w:sz w:val="16"/>
                <w:szCs w:val="16"/>
              </w:rPr>
            </w:pPr>
            <w:r w:rsidRPr="00587BA3">
              <w:rPr>
                <w:rFonts w:ascii="Arial" w:hAnsi="Arial" w:cs="Arial"/>
                <w:bCs/>
                <w:sz w:val="16"/>
                <w:szCs w:val="16"/>
              </w:rPr>
              <w:t>Según Valoración</w:t>
            </w:r>
          </w:p>
        </w:tc>
      </w:tr>
      <w:tr w:rsidR="00F27DFF" w:rsidRPr="00587BA3" w:rsidTr="00587BA3">
        <w:trPr>
          <w:trHeight w:val="255"/>
        </w:trPr>
        <w:tc>
          <w:tcPr>
            <w:tcW w:w="3460" w:type="dxa"/>
            <w:tcBorders>
              <w:top w:val="nil"/>
              <w:left w:val="single" w:sz="8" w:space="0" w:color="auto"/>
              <w:bottom w:val="single" w:sz="4" w:space="0" w:color="auto"/>
              <w:right w:val="single" w:sz="4" w:space="0" w:color="auto"/>
            </w:tcBorders>
            <w:shd w:val="clear" w:color="auto" w:fill="800000"/>
            <w:noWrap/>
            <w:vAlign w:val="bottom"/>
          </w:tcPr>
          <w:p w:rsidR="00F27DFF" w:rsidRPr="00587BA3" w:rsidRDefault="00F27DFF" w:rsidP="00FC4F38">
            <w:pPr>
              <w:spacing w:line="360" w:lineRule="auto"/>
              <w:jc w:val="both"/>
              <w:rPr>
                <w:rFonts w:ascii="Arial" w:hAnsi="Arial" w:cs="Arial"/>
                <w:bCs/>
                <w:sz w:val="16"/>
                <w:szCs w:val="16"/>
              </w:rPr>
            </w:pPr>
            <w:r w:rsidRPr="00587BA3">
              <w:rPr>
                <w:rFonts w:ascii="Arial" w:hAnsi="Arial" w:cs="Arial"/>
                <w:bCs/>
                <w:sz w:val="16"/>
                <w:szCs w:val="16"/>
              </w:rPr>
              <w:t>Valor de Mercado de Patrimonio</w:t>
            </w:r>
          </w:p>
        </w:tc>
        <w:tc>
          <w:tcPr>
            <w:tcW w:w="1200" w:type="dxa"/>
            <w:tcBorders>
              <w:top w:val="nil"/>
              <w:left w:val="nil"/>
              <w:bottom w:val="single" w:sz="4" w:space="0" w:color="auto"/>
              <w:right w:val="single" w:sz="8" w:space="0" w:color="auto"/>
            </w:tcBorders>
            <w:shd w:val="clear" w:color="auto" w:fill="auto"/>
            <w:noWrap/>
            <w:vAlign w:val="bottom"/>
          </w:tcPr>
          <w:p w:rsidR="00F27DFF" w:rsidRPr="00587BA3" w:rsidRDefault="00F27DFF" w:rsidP="00FC4F38">
            <w:pPr>
              <w:spacing w:line="360" w:lineRule="auto"/>
              <w:jc w:val="both"/>
              <w:rPr>
                <w:rFonts w:ascii="Arial" w:hAnsi="Arial" w:cs="Arial"/>
                <w:sz w:val="16"/>
                <w:szCs w:val="16"/>
              </w:rPr>
            </w:pPr>
            <w:r w:rsidRPr="00587BA3">
              <w:rPr>
                <w:rFonts w:ascii="Arial" w:hAnsi="Arial" w:cs="Arial"/>
                <w:sz w:val="16"/>
                <w:szCs w:val="16"/>
              </w:rPr>
              <w:t>203387454</w:t>
            </w:r>
          </w:p>
        </w:tc>
      </w:tr>
      <w:tr w:rsidR="00F27DFF" w:rsidRPr="00587BA3" w:rsidTr="00587BA3">
        <w:trPr>
          <w:trHeight w:val="270"/>
        </w:trPr>
        <w:tc>
          <w:tcPr>
            <w:tcW w:w="3460" w:type="dxa"/>
            <w:tcBorders>
              <w:top w:val="nil"/>
              <w:left w:val="single" w:sz="8" w:space="0" w:color="auto"/>
              <w:bottom w:val="single" w:sz="8" w:space="0" w:color="auto"/>
              <w:right w:val="single" w:sz="4" w:space="0" w:color="auto"/>
            </w:tcBorders>
            <w:shd w:val="clear" w:color="auto" w:fill="800000"/>
            <w:noWrap/>
            <w:vAlign w:val="bottom"/>
          </w:tcPr>
          <w:p w:rsidR="00F27DFF" w:rsidRPr="00587BA3" w:rsidRDefault="00F27DFF" w:rsidP="00FC4F38">
            <w:pPr>
              <w:spacing w:line="360" w:lineRule="auto"/>
              <w:jc w:val="both"/>
              <w:rPr>
                <w:rFonts w:ascii="Arial" w:hAnsi="Arial" w:cs="Arial"/>
                <w:bCs/>
                <w:sz w:val="16"/>
                <w:szCs w:val="16"/>
              </w:rPr>
            </w:pPr>
            <w:r w:rsidRPr="00587BA3">
              <w:rPr>
                <w:rFonts w:ascii="Arial" w:hAnsi="Arial" w:cs="Arial"/>
                <w:bCs/>
                <w:sz w:val="16"/>
                <w:szCs w:val="16"/>
              </w:rPr>
              <w:t>Valor de Mercado de la Acción</w:t>
            </w:r>
          </w:p>
        </w:tc>
        <w:tc>
          <w:tcPr>
            <w:tcW w:w="1200" w:type="dxa"/>
            <w:tcBorders>
              <w:top w:val="nil"/>
              <w:left w:val="nil"/>
              <w:bottom w:val="single" w:sz="8" w:space="0" w:color="auto"/>
              <w:right w:val="single" w:sz="8" w:space="0" w:color="auto"/>
            </w:tcBorders>
            <w:shd w:val="clear" w:color="auto" w:fill="auto"/>
            <w:noWrap/>
            <w:vAlign w:val="bottom"/>
          </w:tcPr>
          <w:p w:rsidR="00F27DFF" w:rsidRPr="00587BA3" w:rsidRDefault="00F27DFF" w:rsidP="00FC4F38">
            <w:pPr>
              <w:spacing w:line="360" w:lineRule="auto"/>
              <w:jc w:val="both"/>
              <w:rPr>
                <w:rFonts w:ascii="Arial" w:hAnsi="Arial" w:cs="Arial"/>
                <w:bCs/>
                <w:color w:val="FF0000"/>
                <w:sz w:val="16"/>
                <w:szCs w:val="16"/>
              </w:rPr>
            </w:pPr>
            <w:r w:rsidRPr="00587BA3">
              <w:rPr>
                <w:rFonts w:ascii="Arial" w:hAnsi="Arial" w:cs="Arial"/>
                <w:bCs/>
                <w:color w:val="FF0000"/>
                <w:sz w:val="16"/>
                <w:szCs w:val="16"/>
              </w:rPr>
              <w:t>2,2107</w:t>
            </w:r>
          </w:p>
        </w:tc>
      </w:tr>
    </w:tbl>
    <w:p w:rsidR="0015454E" w:rsidRPr="00B028AA" w:rsidRDefault="0015454E" w:rsidP="0015454E">
      <w:pPr>
        <w:spacing w:line="360" w:lineRule="auto"/>
        <w:rPr>
          <w:rFonts w:ascii="Arial" w:hAnsi="Arial" w:cs="Arial"/>
          <w:sz w:val="16"/>
          <w:szCs w:val="16"/>
        </w:rPr>
      </w:pPr>
      <w:r w:rsidRPr="00B028AA">
        <w:rPr>
          <w:rFonts w:ascii="Arial" w:hAnsi="Arial" w:cs="Arial"/>
          <w:sz w:val="16"/>
          <w:szCs w:val="16"/>
        </w:rPr>
        <w:t>Fuente: Datos Proyectados por los autores</w:t>
      </w:r>
    </w:p>
    <w:p w:rsidR="0015454E" w:rsidRPr="00B028AA" w:rsidRDefault="0015454E" w:rsidP="0015454E">
      <w:pPr>
        <w:spacing w:line="360" w:lineRule="auto"/>
        <w:rPr>
          <w:rFonts w:ascii="Arial" w:hAnsi="Arial" w:cs="Arial"/>
          <w:sz w:val="16"/>
          <w:szCs w:val="16"/>
        </w:rPr>
      </w:pPr>
      <w:r w:rsidRPr="00B028AA">
        <w:rPr>
          <w:rFonts w:ascii="Arial" w:hAnsi="Arial" w:cs="Arial"/>
          <w:sz w:val="16"/>
          <w:szCs w:val="16"/>
        </w:rPr>
        <w:t>Elaboración: Autores</w:t>
      </w:r>
    </w:p>
    <w:p w:rsidR="0015454E" w:rsidRPr="00991A27" w:rsidRDefault="0015454E" w:rsidP="0015454E">
      <w:pPr>
        <w:spacing w:line="360" w:lineRule="auto"/>
        <w:ind w:firstLine="708"/>
        <w:jc w:val="both"/>
        <w:rPr>
          <w:rFonts w:ascii="Arial" w:hAnsi="Arial" w:cs="Arial"/>
        </w:rPr>
      </w:pPr>
    </w:p>
    <w:p w:rsidR="0015454E" w:rsidRPr="00991A27" w:rsidRDefault="0015454E" w:rsidP="0015454E">
      <w:pPr>
        <w:spacing w:line="360" w:lineRule="auto"/>
        <w:ind w:firstLine="454"/>
        <w:jc w:val="both"/>
        <w:rPr>
          <w:rFonts w:ascii="Arial" w:hAnsi="Arial" w:cs="Arial"/>
        </w:rPr>
      </w:pPr>
      <w:r w:rsidRPr="00FC4F38">
        <w:rPr>
          <w:rFonts w:ascii="Arial" w:hAnsi="Arial" w:cs="Arial"/>
          <w:sz w:val="24"/>
          <w:szCs w:val="24"/>
        </w:rPr>
        <w:t>El valor contable se lo obtuvo simplemente dividiendo el patrimonio actual para el numero total de acciones y el valor de mercado de la acción es el valor al que esta cotizada cada acción en la pagina web de la bolsa de valores ($1, 95). Y el último valor de mercado de la acción ($2, 2107) es el valor que a nuestro juicio el mercado debería de darle según nuestra valoración mediante los excesos de retornos</w:t>
      </w:r>
      <w:r w:rsidRPr="00991A27">
        <w:rPr>
          <w:rFonts w:ascii="Arial" w:hAnsi="Arial" w:cs="Arial"/>
        </w:rPr>
        <w:t xml:space="preserve">. </w:t>
      </w:r>
    </w:p>
    <w:p w:rsidR="0015454E" w:rsidRDefault="0015454E" w:rsidP="0015454E">
      <w:pPr>
        <w:spacing w:line="360" w:lineRule="auto"/>
        <w:ind w:firstLine="708"/>
        <w:jc w:val="center"/>
        <w:rPr>
          <w:rFonts w:ascii="Arial" w:hAnsi="Arial" w:cs="Arial"/>
          <w:b/>
          <w:sz w:val="28"/>
          <w:szCs w:val="28"/>
        </w:rPr>
      </w:pPr>
      <w:r>
        <w:rPr>
          <w:rFonts w:ascii="Arial" w:hAnsi="Arial" w:cs="Arial"/>
          <w:b/>
          <w:sz w:val="28"/>
          <w:szCs w:val="28"/>
        </w:rPr>
        <w:br w:type="page"/>
      </w:r>
    </w:p>
    <w:p w:rsidR="0015454E" w:rsidRDefault="0015454E" w:rsidP="0015454E">
      <w:pPr>
        <w:spacing w:line="360" w:lineRule="auto"/>
        <w:ind w:firstLine="708"/>
        <w:jc w:val="center"/>
        <w:rPr>
          <w:rFonts w:ascii="Arial" w:hAnsi="Arial" w:cs="Arial"/>
          <w:b/>
          <w:sz w:val="28"/>
          <w:szCs w:val="28"/>
        </w:rPr>
      </w:pPr>
    </w:p>
    <w:p w:rsidR="0015454E" w:rsidRDefault="0015454E" w:rsidP="0015454E">
      <w:pPr>
        <w:spacing w:line="360" w:lineRule="auto"/>
        <w:ind w:firstLine="708"/>
        <w:jc w:val="center"/>
        <w:rPr>
          <w:rFonts w:ascii="Arial" w:hAnsi="Arial" w:cs="Arial"/>
          <w:b/>
          <w:sz w:val="28"/>
          <w:szCs w:val="28"/>
        </w:rPr>
      </w:pPr>
    </w:p>
    <w:p w:rsidR="0015454E" w:rsidRDefault="0015454E" w:rsidP="0015454E">
      <w:pPr>
        <w:spacing w:line="360" w:lineRule="auto"/>
        <w:ind w:firstLine="708"/>
        <w:jc w:val="center"/>
        <w:rPr>
          <w:rFonts w:ascii="Arial" w:hAnsi="Arial" w:cs="Arial"/>
          <w:b/>
          <w:sz w:val="28"/>
          <w:szCs w:val="28"/>
        </w:rPr>
      </w:pPr>
    </w:p>
    <w:p w:rsidR="0015454E" w:rsidRDefault="0015454E" w:rsidP="0015454E">
      <w:pPr>
        <w:spacing w:line="360" w:lineRule="auto"/>
        <w:ind w:firstLine="708"/>
        <w:jc w:val="center"/>
        <w:rPr>
          <w:rFonts w:ascii="Arial" w:hAnsi="Arial" w:cs="Arial"/>
          <w:b/>
          <w:sz w:val="28"/>
          <w:szCs w:val="28"/>
        </w:rPr>
      </w:pPr>
    </w:p>
    <w:p w:rsidR="0015454E" w:rsidRPr="00040153" w:rsidRDefault="0015454E" w:rsidP="0015454E">
      <w:pPr>
        <w:spacing w:line="360" w:lineRule="auto"/>
        <w:ind w:firstLine="708"/>
        <w:jc w:val="center"/>
        <w:rPr>
          <w:rFonts w:ascii="Arial" w:hAnsi="Arial" w:cs="Arial"/>
          <w:sz w:val="28"/>
          <w:szCs w:val="28"/>
        </w:rPr>
      </w:pPr>
      <w:r>
        <w:rPr>
          <w:rFonts w:ascii="Arial" w:hAnsi="Arial" w:cs="Arial"/>
          <w:b/>
          <w:sz w:val="28"/>
          <w:szCs w:val="28"/>
        </w:rPr>
        <w:t>CAPÍ</w:t>
      </w:r>
      <w:r w:rsidRPr="00040153">
        <w:rPr>
          <w:rFonts w:ascii="Arial" w:hAnsi="Arial" w:cs="Arial"/>
          <w:b/>
          <w:sz w:val="28"/>
          <w:szCs w:val="28"/>
        </w:rPr>
        <w:t>TULO IV</w:t>
      </w:r>
    </w:p>
    <w:p w:rsidR="0015454E" w:rsidRPr="00040153" w:rsidRDefault="0015454E" w:rsidP="0015454E">
      <w:pPr>
        <w:spacing w:line="360" w:lineRule="auto"/>
        <w:ind w:firstLine="708"/>
        <w:jc w:val="both"/>
        <w:rPr>
          <w:rFonts w:ascii="Arial" w:hAnsi="Arial" w:cs="Arial"/>
          <w:sz w:val="28"/>
          <w:szCs w:val="28"/>
        </w:rPr>
      </w:pPr>
    </w:p>
    <w:p w:rsidR="0015454E" w:rsidRPr="00040153" w:rsidRDefault="0015454E" w:rsidP="0015454E">
      <w:pPr>
        <w:spacing w:line="360" w:lineRule="auto"/>
        <w:ind w:left="705" w:hanging="705"/>
        <w:jc w:val="both"/>
        <w:rPr>
          <w:rFonts w:ascii="Arial" w:hAnsi="Arial" w:cs="Arial"/>
          <w:b/>
          <w:sz w:val="28"/>
          <w:szCs w:val="28"/>
        </w:rPr>
      </w:pPr>
      <w:r>
        <w:rPr>
          <w:rFonts w:ascii="Arial" w:hAnsi="Arial" w:cs="Arial"/>
          <w:b/>
          <w:sz w:val="28"/>
          <w:szCs w:val="28"/>
        </w:rPr>
        <w:t>4.</w:t>
      </w:r>
      <w:r>
        <w:rPr>
          <w:rFonts w:ascii="Arial" w:hAnsi="Arial" w:cs="Arial"/>
          <w:b/>
          <w:sz w:val="28"/>
          <w:szCs w:val="28"/>
        </w:rPr>
        <w:tab/>
        <w:t>ANÁ</w:t>
      </w:r>
      <w:r w:rsidRPr="00040153">
        <w:rPr>
          <w:rFonts w:ascii="Arial" w:hAnsi="Arial" w:cs="Arial"/>
          <w:b/>
          <w:sz w:val="28"/>
          <w:szCs w:val="28"/>
        </w:rPr>
        <w:t>LISIS DE LOS RESULTADOS OBTENIDOS Y CÁLCULO DE SENSIBILIDADES</w:t>
      </w:r>
    </w:p>
    <w:p w:rsidR="0015454E" w:rsidRPr="00FC4F38" w:rsidRDefault="0015454E" w:rsidP="0015454E">
      <w:pPr>
        <w:spacing w:line="360" w:lineRule="auto"/>
        <w:jc w:val="both"/>
        <w:rPr>
          <w:rFonts w:ascii="Arial" w:hAnsi="Arial" w:cs="Arial"/>
          <w:sz w:val="24"/>
          <w:szCs w:val="24"/>
        </w:rPr>
      </w:pPr>
    </w:p>
    <w:p w:rsidR="0015454E" w:rsidRPr="00991A27" w:rsidRDefault="0015454E" w:rsidP="0015454E">
      <w:pPr>
        <w:spacing w:line="360" w:lineRule="auto"/>
        <w:ind w:firstLine="454"/>
        <w:jc w:val="both"/>
        <w:rPr>
          <w:rFonts w:ascii="Arial" w:hAnsi="Arial" w:cs="Arial"/>
        </w:rPr>
      </w:pPr>
      <w:r w:rsidRPr="00FC4F38">
        <w:rPr>
          <w:rFonts w:ascii="Arial" w:hAnsi="Arial" w:cs="Arial"/>
          <w:sz w:val="24"/>
          <w:szCs w:val="24"/>
        </w:rPr>
        <w:t>En este capítulo se realiza un análisis de los resultados obtenidos en el capítulo anterior, un análisis de sensibilidad de las variables mas relevantes en nuestra valoración y por último una evaluación entre el valor de mercado de las acciones de PRODUBANCO y el valor de mercado que a nuestro juicio deberían tener dichas acciones</w:t>
      </w:r>
      <w:r w:rsidRPr="00991A27">
        <w:rPr>
          <w:rFonts w:ascii="Arial" w:hAnsi="Arial" w:cs="Arial"/>
        </w:rPr>
        <w:t>.</w:t>
      </w:r>
    </w:p>
    <w:p w:rsidR="0015454E" w:rsidRPr="00991A27" w:rsidRDefault="0015454E" w:rsidP="0015454E">
      <w:pPr>
        <w:spacing w:line="360" w:lineRule="auto"/>
        <w:ind w:left="705" w:hanging="705"/>
        <w:jc w:val="both"/>
        <w:rPr>
          <w:rFonts w:ascii="Arial" w:hAnsi="Arial" w:cs="Arial"/>
        </w:rPr>
      </w:pPr>
    </w:p>
    <w:p w:rsidR="0015454E" w:rsidRPr="00582B7E" w:rsidRDefault="0015454E" w:rsidP="0015454E">
      <w:pPr>
        <w:spacing w:line="360" w:lineRule="auto"/>
        <w:ind w:left="705" w:hanging="705"/>
        <w:jc w:val="both"/>
        <w:rPr>
          <w:rFonts w:ascii="Arial" w:hAnsi="Arial" w:cs="Arial"/>
          <w:b/>
          <w:sz w:val="28"/>
          <w:szCs w:val="28"/>
        </w:rPr>
      </w:pPr>
      <w:r w:rsidRPr="00991A27">
        <w:rPr>
          <w:rFonts w:ascii="Arial" w:hAnsi="Arial" w:cs="Arial"/>
        </w:rPr>
        <w:tab/>
      </w:r>
      <w:r w:rsidRPr="00582B7E">
        <w:rPr>
          <w:rFonts w:ascii="Arial" w:hAnsi="Arial" w:cs="Arial"/>
          <w:b/>
          <w:sz w:val="28"/>
          <w:szCs w:val="28"/>
        </w:rPr>
        <w:t>ANÁLISIS DE LOS RESULTADOS OBTENIDOS</w:t>
      </w:r>
    </w:p>
    <w:p w:rsidR="0015454E" w:rsidRPr="00991A27" w:rsidRDefault="0015454E" w:rsidP="0015454E">
      <w:pPr>
        <w:spacing w:line="360" w:lineRule="auto"/>
        <w:ind w:left="705" w:hanging="705"/>
        <w:jc w:val="both"/>
        <w:rPr>
          <w:rFonts w:ascii="Arial" w:hAnsi="Arial" w:cs="Arial"/>
          <w:b/>
        </w:rPr>
      </w:pPr>
    </w:p>
    <w:p w:rsidR="0015454E" w:rsidRPr="00FC4F38" w:rsidRDefault="0015454E" w:rsidP="0015454E">
      <w:pPr>
        <w:spacing w:line="360" w:lineRule="auto"/>
        <w:ind w:firstLine="454"/>
        <w:jc w:val="both"/>
        <w:rPr>
          <w:rFonts w:ascii="Arial" w:hAnsi="Arial" w:cs="Arial"/>
          <w:sz w:val="24"/>
          <w:szCs w:val="24"/>
        </w:rPr>
      </w:pPr>
      <w:r w:rsidRPr="00FC4F38">
        <w:rPr>
          <w:rFonts w:ascii="Arial" w:hAnsi="Arial" w:cs="Arial"/>
          <w:sz w:val="24"/>
          <w:szCs w:val="24"/>
        </w:rPr>
        <w:t xml:space="preserve">En el proceso de calcular la tasa de costo patrimonial para PRODUBANCO encontramos que no sería posible encontrar un Beta estadísticamente significativo debido al poco movimiento del mercado accionario en el sistema financiero ecuatoriano por lo cual decidimos calcular el CAPM  con la tasa libre de riesgo, el beta promedio del sistema financiero </w:t>
      </w:r>
      <w:r w:rsidRPr="00FC4F38">
        <w:rPr>
          <w:rFonts w:ascii="Arial" w:hAnsi="Arial" w:cs="Arial"/>
          <w:sz w:val="24"/>
          <w:szCs w:val="24"/>
        </w:rPr>
        <w:lastRenderedPageBreak/>
        <w:t>y la prima por riesgo de mercado de los Estados Unidos y sumarle el riesgo país para así tener una tasa de costo patrimonial para nuestro análisis.</w:t>
      </w:r>
    </w:p>
    <w:p w:rsidR="0015454E" w:rsidRPr="00FC4F38" w:rsidRDefault="0015454E" w:rsidP="0015454E">
      <w:pPr>
        <w:spacing w:line="360" w:lineRule="auto"/>
        <w:ind w:firstLine="454"/>
        <w:jc w:val="both"/>
        <w:rPr>
          <w:rFonts w:ascii="Arial" w:hAnsi="Arial" w:cs="Arial"/>
          <w:sz w:val="24"/>
          <w:szCs w:val="24"/>
        </w:rPr>
      </w:pPr>
    </w:p>
    <w:p w:rsidR="0015454E" w:rsidRPr="00FC4F38" w:rsidRDefault="0015454E" w:rsidP="0015454E">
      <w:pPr>
        <w:spacing w:line="360" w:lineRule="auto"/>
        <w:ind w:firstLine="454"/>
        <w:jc w:val="both"/>
        <w:rPr>
          <w:rFonts w:ascii="Arial" w:hAnsi="Arial" w:cs="Arial"/>
          <w:sz w:val="24"/>
          <w:szCs w:val="24"/>
        </w:rPr>
      </w:pPr>
      <w:r w:rsidRPr="00FC4F38">
        <w:rPr>
          <w:rFonts w:ascii="Arial" w:hAnsi="Arial" w:cs="Arial"/>
          <w:sz w:val="24"/>
          <w:szCs w:val="24"/>
        </w:rPr>
        <w:tab/>
        <w:t>Entonces para descontar los excesos de retornos obtenidos por los accionistas se  utilizo una tasa del 19,54%. Aquí se utilizo una tasa de riesgo país de 5,50% lo cual castiga fuertemente el valor de la tasa de descuento debido a que toma el valor del CAPM calculado según los parámetros de Estados Unidos y lo ajusta a nuestro país.</w:t>
      </w:r>
    </w:p>
    <w:p w:rsidR="0015454E" w:rsidRPr="00582B7E" w:rsidRDefault="0015454E" w:rsidP="0015454E">
      <w:pPr>
        <w:spacing w:line="360" w:lineRule="auto"/>
        <w:jc w:val="both"/>
        <w:rPr>
          <w:rFonts w:ascii="Arial" w:hAnsi="Arial" w:cs="Arial"/>
          <w:sz w:val="28"/>
          <w:szCs w:val="28"/>
        </w:rPr>
      </w:pPr>
    </w:p>
    <w:p w:rsidR="0015454E" w:rsidRPr="00582B7E" w:rsidRDefault="0015454E" w:rsidP="0015454E">
      <w:pPr>
        <w:numPr>
          <w:ilvl w:val="1"/>
          <w:numId w:val="23"/>
        </w:numPr>
        <w:spacing w:after="0" w:line="360" w:lineRule="auto"/>
        <w:jc w:val="both"/>
        <w:rPr>
          <w:rFonts w:ascii="Arial" w:hAnsi="Arial" w:cs="Arial"/>
          <w:b/>
          <w:sz w:val="28"/>
          <w:szCs w:val="28"/>
        </w:rPr>
      </w:pPr>
      <w:r>
        <w:rPr>
          <w:rFonts w:ascii="Arial" w:hAnsi="Arial" w:cs="Arial"/>
          <w:b/>
          <w:sz w:val="28"/>
          <w:szCs w:val="28"/>
        </w:rPr>
        <w:t>CÁLCULO Y ANÁ</w:t>
      </w:r>
      <w:r w:rsidRPr="00582B7E">
        <w:rPr>
          <w:rFonts w:ascii="Arial" w:hAnsi="Arial" w:cs="Arial"/>
          <w:b/>
          <w:sz w:val="28"/>
          <w:szCs w:val="28"/>
        </w:rPr>
        <w:t>LISIS DE SENSIBILIDADES</w:t>
      </w:r>
    </w:p>
    <w:p w:rsidR="0015454E" w:rsidRPr="00582B7E" w:rsidRDefault="0015454E" w:rsidP="0015454E">
      <w:pPr>
        <w:spacing w:line="360" w:lineRule="auto"/>
        <w:jc w:val="both"/>
        <w:rPr>
          <w:rFonts w:ascii="Arial" w:hAnsi="Arial" w:cs="Arial"/>
          <w:sz w:val="28"/>
          <w:szCs w:val="28"/>
        </w:rPr>
      </w:pPr>
    </w:p>
    <w:p w:rsidR="0015454E" w:rsidRPr="00582B7E" w:rsidRDefault="0015454E" w:rsidP="0015454E">
      <w:pPr>
        <w:spacing w:line="360" w:lineRule="auto"/>
        <w:ind w:firstLine="705"/>
        <w:jc w:val="both"/>
        <w:rPr>
          <w:rFonts w:ascii="Arial" w:hAnsi="Arial" w:cs="Arial"/>
          <w:b/>
          <w:sz w:val="28"/>
          <w:szCs w:val="28"/>
        </w:rPr>
      </w:pPr>
      <w:r>
        <w:rPr>
          <w:rFonts w:ascii="Arial" w:hAnsi="Arial" w:cs="Arial"/>
          <w:b/>
          <w:sz w:val="28"/>
          <w:szCs w:val="28"/>
        </w:rPr>
        <w:t>ANÁ</w:t>
      </w:r>
      <w:r w:rsidRPr="00582B7E">
        <w:rPr>
          <w:rFonts w:ascii="Arial" w:hAnsi="Arial" w:cs="Arial"/>
          <w:b/>
          <w:sz w:val="28"/>
          <w:szCs w:val="28"/>
        </w:rPr>
        <w:t>LISIS DE SENSIBILIDAD</w:t>
      </w:r>
    </w:p>
    <w:p w:rsidR="0015454E" w:rsidRPr="00991A27" w:rsidRDefault="0015454E" w:rsidP="0015454E">
      <w:pPr>
        <w:spacing w:line="360" w:lineRule="auto"/>
        <w:ind w:left="705"/>
        <w:jc w:val="both"/>
        <w:rPr>
          <w:rFonts w:ascii="Arial" w:hAnsi="Arial" w:cs="Arial"/>
        </w:rPr>
      </w:pPr>
      <w:r>
        <w:rPr>
          <w:rFonts w:ascii="Arial" w:hAnsi="Arial" w:cs="Arial"/>
        </w:rPr>
        <w:tab/>
      </w:r>
      <w:r>
        <w:rPr>
          <w:rFonts w:ascii="Arial" w:hAnsi="Arial" w:cs="Arial"/>
        </w:rPr>
        <w:tab/>
      </w:r>
      <w:r>
        <w:rPr>
          <w:rFonts w:ascii="Arial" w:hAnsi="Arial" w:cs="Arial"/>
        </w:rPr>
        <w:tab/>
      </w:r>
    </w:p>
    <w:p w:rsidR="0015454E" w:rsidRPr="00FC4F38" w:rsidRDefault="0015454E" w:rsidP="0015454E">
      <w:pPr>
        <w:spacing w:line="360" w:lineRule="auto"/>
        <w:ind w:firstLine="454"/>
        <w:jc w:val="both"/>
        <w:rPr>
          <w:rFonts w:ascii="Arial" w:hAnsi="Arial" w:cs="Arial"/>
          <w:sz w:val="24"/>
          <w:szCs w:val="24"/>
        </w:rPr>
      </w:pPr>
      <w:r w:rsidRPr="00FC4F38">
        <w:rPr>
          <w:rFonts w:ascii="Arial" w:hAnsi="Arial" w:cs="Arial"/>
          <w:sz w:val="24"/>
          <w:szCs w:val="24"/>
        </w:rPr>
        <w:t xml:space="preserve">A continuación mostramos un análisis de sensibilidad de los resultados obtenidos el cual muestra las variaciones que podría experimentar el precio de la acción ante cambios futuros en las siguientes variables: </w:t>
      </w:r>
    </w:p>
    <w:p w:rsidR="0015454E" w:rsidRPr="00FC4F38" w:rsidRDefault="0015454E" w:rsidP="0015454E">
      <w:pPr>
        <w:spacing w:line="360" w:lineRule="auto"/>
        <w:ind w:left="360"/>
        <w:jc w:val="both"/>
        <w:rPr>
          <w:rFonts w:ascii="Arial" w:hAnsi="Arial" w:cs="Arial"/>
          <w:sz w:val="24"/>
          <w:szCs w:val="24"/>
        </w:rPr>
      </w:pPr>
    </w:p>
    <w:p w:rsidR="0015454E" w:rsidRPr="00FC4F38" w:rsidRDefault="0015454E" w:rsidP="0015454E">
      <w:pPr>
        <w:numPr>
          <w:ilvl w:val="0"/>
          <w:numId w:val="26"/>
        </w:numPr>
        <w:spacing w:after="0" w:line="360" w:lineRule="auto"/>
        <w:jc w:val="both"/>
        <w:rPr>
          <w:rFonts w:ascii="Arial" w:hAnsi="Arial" w:cs="Arial"/>
          <w:sz w:val="24"/>
          <w:szCs w:val="24"/>
        </w:rPr>
      </w:pPr>
      <w:r w:rsidRPr="00FC4F38">
        <w:rPr>
          <w:rFonts w:ascii="Arial" w:hAnsi="Arial" w:cs="Arial"/>
          <w:sz w:val="24"/>
          <w:szCs w:val="24"/>
        </w:rPr>
        <w:t xml:space="preserve">   Colocaciones Brutas</w:t>
      </w:r>
    </w:p>
    <w:p w:rsidR="0015454E" w:rsidRPr="00FC4F38" w:rsidRDefault="0015454E" w:rsidP="0015454E">
      <w:pPr>
        <w:spacing w:line="360" w:lineRule="auto"/>
        <w:ind w:left="708"/>
        <w:jc w:val="both"/>
        <w:rPr>
          <w:rFonts w:ascii="Arial" w:hAnsi="Arial" w:cs="Arial"/>
          <w:sz w:val="24"/>
          <w:szCs w:val="24"/>
        </w:rPr>
      </w:pPr>
    </w:p>
    <w:p w:rsidR="0015454E" w:rsidRPr="00FC4F38" w:rsidRDefault="0015454E" w:rsidP="0015454E">
      <w:pPr>
        <w:numPr>
          <w:ilvl w:val="0"/>
          <w:numId w:val="26"/>
        </w:numPr>
        <w:spacing w:after="0" w:line="360" w:lineRule="auto"/>
        <w:jc w:val="both"/>
        <w:rPr>
          <w:rFonts w:ascii="Arial" w:hAnsi="Arial" w:cs="Arial"/>
          <w:sz w:val="24"/>
          <w:szCs w:val="24"/>
        </w:rPr>
      </w:pPr>
      <w:r w:rsidRPr="00FC4F38">
        <w:rPr>
          <w:rFonts w:ascii="Arial" w:hAnsi="Arial" w:cs="Arial"/>
          <w:sz w:val="24"/>
          <w:szCs w:val="24"/>
        </w:rPr>
        <w:t xml:space="preserve">   Cartera Vencida</w:t>
      </w:r>
    </w:p>
    <w:p w:rsidR="0015454E" w:rsidRPr="00FC4F38" w:rsidRDefault="0015454E" w:rsidP="0015454E">
      <w:pPr>
        <w:spacing w:line="360" w:lineRule="auto"/>
        <w:ind w:left="708"/>
        <w:jc w:val="both"/>
        <w:rPr>
          <w:rFonts w:ascii="Arial" w:hAnsi="Arial" w:cs="Arial"/>
          <w:sz w:val="24"/>
          <w:szCs w:val="24"/>
        </w:rPr>
      </w:pPr>
    </w:p>
    <w:p w:rsidR="0015454E" w:rsidRPr="00FC4F38" w:rsidRDefault="0015454E" w:rsidP="0015454E">
      <w:pPr>
        <w:numPr>
          <w:ilvl w:val="0"/>
          <w:numId w:val="26"/>
        </w:numPr>
        <w:spacing w:after="0" w:line="360" w:lineRule="auto"/>
        <w:jc w:val="both"/>
        <w:rPr>
          <w:rFonts w:ascii="Arial" w:hAnsi="Arial" w:cs="Arial"/>
          <w:sz w:val="24"/>
          <w:szCs w:val="24"/>
        </w:rPr>
      </w:pPr>
      <w:r w:rsidRPr="00FC4F38">
        <w:rPr>
          <w:rFonts w:ascii="Arial" w:hAnsi="Arial" w:cs="Arial"/>
          <w:sz w:val="24"/>
          <w:szCs w:val="24"/>
        </w:rPr>
        <w:t xml:space="preserve">   Comisiones Netas</w:t>
      </w:r>
    </w:p>
    <w:p w:rsidR="0015454E" w:rsidRPr="00FC4F38" w:rsidRDefault="0015454E" w:rsidP="0015454E">
      <w:pPr>
        <w:spacing w:line="360" w:lineRule="auto"/>
        <w:ind w:firstLine="708"/>
        <w:jc w:val="both"/>
        <w:rPr>
          <w:rFonts w:ascii="Arial" w:hAnsi="Arial" w:cs="Arial"/>
          <w:b/>
          <w:sz w:val="24"/>
          <w:szCs w:val="24"/>
        </w:rPr>
      </w:pPr>
    </w:p>
    <w:p w:rsidR="00E0414C" w:rsidRDefault="00E0414C" w:rsidP="0015454E">
      <w:pPr>
        <w:spacing w:line="360" w:lineRule="auto"/>
        <w:ind w:firstLine="708"/>
        <w:jc w:val="both"/>
        <w:rPr>
          <w:rFonts w:ascii="Arial" w:hAnsi="Arial" w:cs="Arial"/>
          <w:b/>
          <w:sz w:val="28"/>
          <w:szCs w:val="28"/>
        </w:rPr>
      </w:pPr>
    </w:p>
    <w:p w:rsidR="0015454E" w:rsidRPr="006F4111" w:rsidRDefault="0015454E" w:rsidP="0015454E">
      <w:pPr>
        <w:spacing w:line="360" w:lineRule="auto"/>
        <w:ind w:firstLine="708"/>
        <w:jc w:val="both"/>
        <w:rPr>
          <w:rFonts w:ascii="Arial" w:hAnsi="Arial" w:cs="Arial"/>
          <w:sz w:val="28"/>
          <w:szCs w:val="28"/>
        </w:rPr>
      </w:pPr>
      <w:r w:rsidRPr="006F4111">
        <w:rPr>
          <w:rFonts w:ascii="Arial" w:hAnsi="Arial" w:cs="Arial"/>
          <w:b/>
          <w:sz w:val="28"/>
          <w:szCs w:val="28"/>
        </w:rPr>
        <w:lastRenderedPageBreak/>
        <w:t>COLOCACIONES BRUTAS</w:t>
      </w:r>
    </w:p>
    <w:p w:rsidR="0015454E" w:rsidRPr="00991A27" w:rsidRDefault="0015454E" w:rsidP="0015454E">
      <w:pPr>
        <w:spacing w:line="360" w:lineRule="auto"/>
        <w:jc w:val="both"/>
        <w:rPr>
          <w:rFonts w:ascii="Arial" w:hAnsi="Arial" w:cs="Arial"/>
        </w:rPr>
      </w:pPr>
    </w:p>
    <w:p w:rsidR="0015454E" w:rsidRPr="00FC4F38" w:rsidRDefault="0015454E" w:rsidP="0015454E">
      <w:pPr>
        <w:spacing w:line="360" w:lineRule="auto"/>
        <w:ind w:firstLine="454"/>
        <w:jc w:val="both"/>
        <w:rPr>
          <w:rFonts w:ascii="Arial" w:hAnsi="Arial" w:cs="Arial"/>
          <w:sz w:val="24"/>
          <w:szCs w:val="24"/>
        </w:rPr>
      </w:pPr>
      <w:r w:rsidRPr="00FC4F38">
        <w:rPr>
          <w:rFonts w:ascii="Arial" w:hAnsi="Arial" w:cs="Arial"/>
          <w:sz w:val="24"/>
          <w:szCs w:val="24"/>
        </w:rPr>
        <w:t>Como ya hemos dicho anteriormente las colocaciones brutas consisten en la suma de la cartera de créditos y las provisiones, siendo la cartera de créditos su constituyente abrumadoramente mayor. Sabemos también que la cartera de créditos son todas las colocaciones que el Banco realiza dada su naturaleza de intermediación, esta pude variar según las condiciones de mercado y de la política de concesión de créditos que tenga la institución. El nivel de las colocaciones fue proyectado según fue descrito en el capitulo anterior dando como resultado un nivel de colocaciones cercano a los 1000 millones para el año 2012.</w:t>
      </w:r>
    </w:p>
    <w:p w:rsidR="0015454E" w:rsidRPr="00FC4F38" w:rsidRDefault="0015454E" w:rsidP="0015454E">
      <w:pPr>
        <w:spacing w:line="360" w:lineRule="auto"/>
        <w:ind w:firstLine="708"/>
        <w:jc w:val="both"/>
        <w:rPr>
          <w:rFonts w:ascii="Arial" w:hAnsi="Arial" w:cs="Arial"/>
          <w:sz w:val="24"/>
          <w:szCs w:val="24"/>
        </w:rPr>
      </w:pPr>
    </w:p>
    <w:p w:rsidR="0015454E" w:rsidRPr="00FC4F38" w:rsidRDefault="0015454E" w:rsidP="0015454E">
      <w:pPr>
        <w:spacing w:line="360" w:lineRule="auto"/>
        <w:ind w:firstLine="454"/>
        <w:jc w:val="both"/>
        <w:rPr>
          <w:rFonts w:ascii="Arial" w:hAnsi="Arial" w:cs="Arial"/>
          <w:sz w:val="24"/>
          <w:szCs w:val="24"/>
        </w:rPr>
      </w:pPr>
      <w:r w:rsidRPr="00FC4F38">
        <w:rPr>
          <w:rFonts w:ascii="Arial" w:hAnsi="Arial" w:cs="Arial"/>
          <w:sz w:val="24"/>
          <w:szCs w:val="24"/>
        </w:rPr>
        <w:t xml:space="preserve">Un aumento en la cartera de créditos (o en este caso en las colocaciones brutas) afecta directamente a las cuentas del Estado de Resultados debido a la relación que existe entre ellas. El siguiente cuadro muestra el efecto en el valor de la acción ante distintas variaciones porcentuales en el nivel de la cartera de crédito. </w:t>
      </w:r>
    </w:p>
    <w:p w:rsidR="0015454E" w:rsidRPr="00991A27" w:rsidRDefault="0015454E" w:rsidP="0015454E">
      <w:pPr>
        <w:spacing w:line="360" w:lineRule="auto"/>
        <w:ind w:firstLine="454"/>
        <w:jc w:val="both"/>
        <w:rPr>
          <w:rFonts w:ascii="Arial" w:hAnsi="Arial" w:cs="Arial"/>
        </w:rPr>
      </w:pPr>
    </w:p>
    <w:p w:rsidR="0015454E" w:rsidRPr="00991A27" w:rsidRDefault="003A24B0" w:rsidP="0015454E">
      <w:pPr>
        <w:spacing w:line="360" w:lineRule="auto"/>
        <w:jc w:val="center"/>
        <w:rPr>
          <w:rFonts w:ascii="Arial" w:hAnsi="Arial" w:cs="Arial"/>
          <w:b/>
        </w:rPr>
      </w:pPr>
      <w:r>
        <w:rPr>
          <w:rFonts w:ascii="Arial" w:hAnsi="Arial" w:cs="Arial"/>
          <w:noProof/>
          <w:lang w:val="es-ES" w:eastAsia="es-ES"/>
        </w:rPr>
        <w:drawing>
          <wp:anchor distT="0" distB="0" distL="114300" distR="114300" simplePos="0" relativeHeight="251663872" behindDoc="0" locked="0" layoutInCell="1" allowOverlap="1">
            <wp:simplePos x="0" y="0"/>
            <wp:positionH relativeFrom="column">
              <wp:posOffset>-114300</wp:posOffset>
            </wp:positionH>
            <wp:positionV relativeFrom="paragraph">
              <wp:posOffset>137160</wp:posOffset>
            </wp:positionV>
            <wp:extent cx="5696585" cy="1600200"/>
            <wp:effectExtent l="0" t="0" r="635" b="0"/>
            <wp:wrapNone/>
            <wp:docPr id="46" name="Objeto 4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anchor>
        </w:drawing>
      </w:r>
      <w:r w:rsidR="0015454E" w:rsidRPr="00991A27">
        <w:rPr>
          <w:rFonts w:ascii="Arial" w:hAnsi="Arial" w:cs="Arial"/>
          <w:b/>
        </w:rPr>
        <w:t>Gráfico 4.1</w:t>
      </w:r>
    </w:p>
    <w:p w:rsidR="0015454E" w:rsidRPr="00991A27" w:rsidRDefault="0015454E" w:rsidP="0015454E">
      <w:pPr>
        <w:spacing w:line="360" w:lineRule="auto"/>
        <w:jc w:val="both"/>
        <w:rPr>
          <w:rFonts w:ascii="Arial" w:hAnsi="Arial" w:cs="Arial"/>
        </w:rPr>
      </w:pPr>
    </w:p>
    <w:p w:rsidR="0015454E" w:rsidRPr="00991A27" w:rsidRDefault="0015454E" w:rsidP="0015454E">
      <w:pPr>
        <w:spacing w:line="360" w:lineRule="auto"/>
        <w:ind w:left="708"/>
        <w:jc w:val="both"/>
        <w:rPr>
          <w:rFonts w:ascii="Arial" w:hAnsi="Arial" w:cs="Arial"/>
        </w:rPr>
      </w:pPr>
    </w:p>
    <w:p w:rsidR="0015454E" w:rsidRPr="00991A27" w:rsidRDefault="0015454E" w:rsidP="0015454E">
      <w:pPr>
        <w:spacing w:line="360" w:lineRule="auto"/>
        <w:jc w:val="both"/>
        <w:rPr>
          <w:rFonts w:ascii="Arial" w:hAnsi="Arial" w:cs="Arial"/>
        </w:rPr>
      </w:pPr>
    </w:p>
    <w:p w:rsidR="0015454E" w:rsidRPr="00991A27" w:rsidRDefault="0015454E" w:rsidP="0015454E">
      <w:pPr>
        <w:spacing w:line="360" w:lineRule="auto"/>
        <w:jc w:val="both"/>
        <w:rPr>
          <w:rFonts w:ascii="Arial" w:hAnsi="Arial" w:cs="Arial"/>
        </w:rPr>
      </w:pPr>
    </w:p>
    <w:p w:rsidR="0015454E" w:rsidRPr="00574D64" w:rsidRDefault="0015454E" w:rsidP="00587BA3">
      <w:pPr>
        <w:spacing w:line="240" w:lineRule="auto"/>
        <w:jc w:val="both"/>
        <w:rPr>
          <w:rFonts w:ascii="Arial" w:hAnsi="Arial" w:cs="Arial"/>
          <w:sz w:val="16"/>
          <w:szCs w:val="16"/>
        </w:rPr>
      </w:pPr>
      <w:r w:rsidRPr="00574D64">
        <w:rPr>
          <w:rFonts w:ascii="Arial" w:hAnsi="Arial" w:cs="Arial"/>
          <w:sz w:val="16"/>
          <w:szCs w:val="16"/>
        </w:rPr>
        <w:t>Fuente: Datos Proyectados por los autores</w:t>
      </w:r>
    </w:p>
    <w:p w:rsidR="0015454E" w:rsidRPr="00574D64" w:rsidRDefault="0015454E" w:rsidP="00587BA3">
      <w:pPr>
        <w:spacing w:line="240" w:lineRule="auto"/>
        <w:jc w:val="both"/>
        <w:rPr>
          <w:rFonts w:ascii="Arial" w:hAnsi="Arial" w:cs="Arial"/>
          <w:sz w:val="16"/>
          <w:szCs w:val="16"/>
        </w:rPr>
      </w:pPr>
      <w:r w:rsidRPr="00574D64">
        <w:rPr>
          <w:rFonts w:ascii="Arial" w:hAnsi="Arial" w:cs="Arial"/>
          <w:sz w:val="16"/>
          <w:szCs w:val="16"/>
        </w:rPr>
        <w:t>Elaboración: Autores</w:t>
      </w:r>
    </w:p>
    <w:p w:rsidR="0015454E" w:rsidRDefault="0015454E" w:rsidP="0015454E">
      <w:pPr>
        <w:spacing w:line="360" w:lineRule="auto"/>
        <w:jc w:val="both"/>
        <w:rPr>
          <w:rFonts w:ascii="Arial" w:hAnsi="Arial" w:cs="Arial"/>
          <w:b/>
          <w:sz w:val="16"/>
          <w:szCs w:val="16"/>
        </w:rPr>
      </w:pPr>
    </w:p>
    <w:p w:rsidR="0015454E" w:rsidRPr="00FC4F38" w:rsidRDefault="0015454E" w:rsidP="0015454E">
      <w:pPr>
        <w:spacing w:line="360" w:lineRule="auto"/>
        <w:ind w:firstLine="454"/>
        <w:jc w:val="both"/>
        <w:rPr>
          <w:rFonts w:ascii="Arial" w:hAnsi="Arial" w:cs="Arial"/>
          <w:b/>
          <w:sz w:val="24"/>
          <w:szCs w:val="24"/>
        </w:rPr>
      </w:pPr>
      <w:r w:rsidRPr="00FC4F38">
        <w:rPr>
          <w:rFonts w:ascii="Arial" w:hAnsi="Arial" w:cs="Arial"/>
          <w:sz w:val="24"/>
          <w:szCs w:val="24"/>
        </w:rPr>
        <w:lastRenderedPageBreak/>
        <w:t>Ante un cambio de 5% en la cartera de créditos, el valor de la acción se ve afectado en 3,26 centavos, es decir el precio de la acción varia aproximadamente en un 1,47%. Teniendo en consideración posibles cambios que podrían variar desde -15% hasta +15% (algo mas allá de eso sería un caso muy particular) el precio fluctuaría de $2, 11 hasta $2, 31.</w:t>
      </w:r>
    </w:p>
    <w:p w:rsidR="0015454E" w:rsidRPr="00991A27" w:rsidRDefault="0015454E" w:rsidP="0015454E">
      <w:pPr>
        <w:spacing w:line="360" w:lineRule="auto"/>
        <w:jc w:val="both"/>
        <w:rPr>
          <w:rFonts w:ascii="Arial" w:hAnsi="Arial" w:cs="Arial"/>
        </w:rPr>
      </w:pPr>
    </w:p>
    <w:p w:rsidR="0015454E" w:rsidRPr="00574D64" w:rsidRDefault="0015454E" w:rsidP="0015454E">
      <w:pPr>
        <w:spacing w:line="360" w:lineRule="auto"/>
        <w:ind w:firstLine="708"/>
        <w:jc w:val="both"/>
        <w:rPr>
          <w:rFonts w:ascii="Arial" w:hAnsi="Arial" w:cs="Arial"/>
          <w:sz w:val="28"/>
          <w:szCs w:val="28"/>
        </w:rPr>
      </w:pPr>
      <w:r w:rsidRPr="00574D64">
        <w:rPr>
          <w:rFonts w:ascii="Arial" w:hAnsi="Arial" w:cs="Arial"/>
          <w:b/>
          <w:sz w:val="28"/>
          <w:szCs w:val="28"/>
        </w:rPr>
        <w:t>CARTERA VENCIDA</w:t>
      </w:r>
    </w:p>
    <w:p w:rsidR="0015454E" w:rsidRPr="00FC4F38" w:rsidRDefault="0015454E" w:rsidP="0015454E">
      <w:pPr>
        <w:spacing w:line="360" w:lineRule="auto"/>
        <w:ind w:firstLine="454"/>
        <w:jc w:val="both"/>
        <w:rPr>
          <w:rFonts w:ascii="Arial" w:hAnsi="Arial" w:cs="Arial"/>
          <w:sz w:val="24"/>
          <w:szCs w:val="24"/>
        </w:rPr>
      </w:pPr>
    </w:p>
    <w:p w:rsidR="00FC4F38" w:rsidRDefault="0015454E" w:rsidP="00FC4F38">
      <w:pPr>
        <w:spacing w:line="360" w:lineRule="auto"/>
        <w:ind w:firstLine="454"/>
        <w:jc w:val="both"/>
        <w:rPr>
          <w:rFonts w:ascii="Arial" w:hAnsi="Arial" w:cs="Arial"/>
          <w:sz w:val="24"/>
          <w:szCs w:val="24"/>
        </w:rPr>
      </w:pPr>
      <w:r w:rsidRPr="00FC4F38">
        <w:rPr>
          <w:rFonts w:ascii="Arial" w:hAnsi="Arial" w:cs="Arial"/>
          <w:sz w:val="24"/>
          <w:szCs w:val="24"/>
        </w:rPr>
        <w:t>Un aumento en los niveles de cartera de mala calidad afecta directamente al Estado de Resultados mediante las provisiones que se realizan por estos créditos. El siguiente cuadro muestra el efecto en el valor del precio de la acción cuando varia en nivel de provisiones del Banco.</w:t>
      </w:r>
    </w:p>
    <w:p w:rsidR="00FC4F38" w:rsidRDefault="00FC4F38" w:rsidP="00FC4F38">
      <w:pPr>
        <w:spacing w:line="360" w:lineRule="auto"/>
        <w:ind w:firstLine="454"/>
        <w:jc w:val="both"/>
        <w:rPr>
          <w:rFonts w:ascii="Arial" w:hAnsi="Arial" w:cs="Arial"/>
          <w:sz w:val="24"/>
          <w:szCs w:val="24"/>
        </w:rPr>
      </w:pPr>
    </w:p>
    <w:p w:rsidR="0015454E" w:rsidRPr="00991A27" w:rsidRDefault="003A24B0" w:rsidP="0015454E">
      <w:pPr>
        <w:spacing w:line="360" w:lineRule="auto"/>
        <w:jc w:val="center"/>
        <w:rPr>
          <w:rFonts w:ascii="Arial" w:hAnsi="Arial" w:cs="Arial"/>
          <w:b/>
        </w:rPr>
      </w:pPr>
      <w:r>
        <w:rPr>
          <w:rFonts w:ascii="Arial" w:hAnsi="Arial" w:cs="Arial"/>
          <w:noProof/>
          <w:lang w:val="es-ES" w:eastAsia="es-ES"/>
        </w:rPr>
        <w:drawing>
          <wp:anchor distT="0" distB="0" distL="114300" distR="114300" simplePos="0" relativeHeight="251664896" behindDoc="0" locked="0" layoutInCell="1" allowOverlap="1">
            <wp:simplePos x="0" y="0"/>
            <wp:positionH relativeFrom="column">
              <wp:posOffset>-342900</wp:posOffset>
            </wp:positionH>
            <wp:positionV relativeFrom="paragraph">
              <wp:posOffset>114300</wp:posOffset>
            </wp:positionV>
            <wp:extent cx="5886450" cy="2165985"/>
            <wp:effectExtent l="0" t="0" r="0" b="635"/>
            <wp:wrapNone/>
            <wp:docPr id="47" name="Objeto 4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anchor>
        </w:drawing>
      </w:r>
      <w:r w:rsidR="0015454E" w:rsidRPr="00991A27">
        <w:rPr>
          <w:rFonts w:ascii="Arial" w:hAnsi="Arial" w:cs="Arial"/>
          <w:b/>
        </w:rPr>
        <w:t>Gráfico 4.2</w:t>
      </w:r>
    </w:p>
    <w:p w:rsidR="0015454E" w:rsidRPr="00991A27" w:rsidRDefault="0015454E" w:rsidP="0015454E">
      <w:pPr>
        <w:spacing w:line="360" w:lineRule="auto"/>
        <w:jc w:val="both"/>
        <w:rPr>
          <w:rFonts w:ascii="Arial" w:hAnsi="Arial" w:cs="Arial"/>
        </w:rPr>
      </w:pPr>
    </w:p>
    <w:p w:rsidR="0015454E" w:rsidRPr="00991A27" w:rsidRDefault="0015454E" w:rsidP="0015454E">
      <w:pPr>
        <w:spacing w:line="360" w:lineRule="auto"/>
        <w:jc w:val="both"/>
        <w:rPr>
          <w:rFonts w:ascii="Arial" w:hAnsi="Arial" w:cs="Arial"/>
        </w:rPr>
      </w:pPr>
    </w:p>
    <w:p w:rsidR="0015454E" w:rsidRPr="00991A27" w:rsidRDefault="0015454E" w:rsidP="0015454E">
      <w:pPr>
        <w:spacing w:line="360" w:lineRule="auto"/>
        <w:jc w:val="both"/>
        <w:rPr>
          <w:rFonts w:ascii="Arial" w:hAnsi="Arial" w:cs="Arial"/>
        </w:rPr>
      </w:pPr>
    </w:p>
    <w:p w:rsidR="0015454E" w:rsidRPr="00991A27" w:rsidRDefault="0015454E" w:rsidP="0015454E">
      <w:pPr>
        <w:spacing w:line="360" w:lineRule="auto"/>
        <w:jc w:val="both"/>
        <w:rPr>
          <w:rFonts w:ascii="Arial" w:hAnsi="Arial" w:cs="Arial"/>
        </w:rPr>
      </w:pPr>
    </w:p>
    <w:p w:rsidR="0015454E" w:rsidRPr="00991A27" w:rsidRDefault="0015454E" w:rsidP="0015454E">
      <w:pPr>
        <w:spacing w:line="360" w:lineRule="auto"/>
        <w:jc w:val="both"/>
        <w:rPr>
          <w:rFonts w:ascii="Arial" w:hAnsi="Arial" w:cs="Arial"/>
        </w:rPr>
      </w:pPr>
    </w:p>
    <w:p w:rsidR="00FC4F38" w:rsidRDefault="00FC4F38" w:rsidP="0015454E">
      <w:pPr>
        <w:spacing w:line="360" w:lineRule="auto"/>
        <w:jc w:val="both"/>
        <w:rPr>
          <w:rFonts w:ascii="Arial" w:hAnsi="Arial" w:cs="Arial"/>
          <w:sz w:val="16"/>
          <w:szCs w:val="16"/>
        </w:rPr>
      </w:pPr>
    </w:p>
    <w:p w:rsidR="0015454E" w:rsidRPr="00574D64" w:rsidRDefault="0015454E" w:rsidP="00587BA3">
      <w:pPr>
        <w:spacing w:line="240" w:lineRule="auto"/>
        <w:jc w:val="both"/>
        <w:rPr>
          <w:rFonts w:ascii="Arial" w:hAnsi="Arial" w:cs="Arial"/>
          <w:sz w:val="16"/>
          <w:szCs w:val="16"/>
        </w:rPr>
      </w:pPr>
      <w:r w:rsidRPr="00574D64">
        <w:rPr>
          <w:rFonts w:ascii="Arial" w:hAnsi="Arial" w:cs="Arial"/>
          <w:sz w:val="16"/>
          <w:szCs w:val="16"/>
        </w:rPr>
        <w:t xml:space="preserve">Fuente: Datos Proyectados por los autores </w:t>
      </w:r>
    </w:p>
    <w:p w:rsidR="0015454E" w:rsidRPr="00574D64" w:rsidRDefault="0015454E" w:rsidP="00587BA3">
      <w:pPr>
        <w:spacing w:line="240" w:lineRule="auto"/>
        <w:jc w:val="both"/>
        <w:rPr>
          <w:rFonts w:ascii="Arial" w:hAnsi="Arial" w:cs="Arial"/>
          <w:sz w:val="16"/>
          <w:szCs w:val="16"/>
        </w:rPr>
      </w:pPr>
      <w:r w:rsidRPr="00574D64">
        <w:rPr>
          <w:rFonts w:ascii="Arial" w:hAnsi="Arial" w:cs="Arial"/>
          <w:sz w:val="16"/>
          <w:szCs w:val="16"/>
        </w:rPr>
        <w:t>Elaboración: Autores</w:t>
      </w:r>
    </w:p>
    <w:p w:rsidR="0015454E" w:rsidRPr="00991A27" w:rsidRDefault="0015454E" w:rsidP="0015454E">
      <w:pPr>
        <w:spacing w:line="360" w:lineRule="auto"/>
        <w:jc w:val="both"/>
        <w:rPr>
          <w:rFonts w:ascii="Arial" w:hAnsi="Arial" w:cs="Arial"/>
        </w:rPr>
      </w:pPr>
    </w:p>
    <w:p w:rsidR="0015454E" w:rsidRPr="00FC4F38" w:rsidRDefault="0015454E" w:rsidP="0015454E">
      <w:pPr>
        <w:spacing w:line="360" w:lineRule="auto"/>
        <w:ind w:firstLine="454"/>
        <w:rPr>
          <w:rFonts w:ascii="Arial" w:hAnsi="Arial" w:cs="Arial"/>
          <w:sz w:val="24"/>
          <w:szCs w:val="24"/>
        </w:rPr>
      </w:pPr>
      <w:r w:rsidRPr="00FC4F38">
        <w:rPr>
          <w:rFonts w:ascii="Arial" w:hAnsi="Arial" w:cs="Arial"/>
          <w:sz w:val="24"/>
          <w:szCs w:val="24"/>
        </w:rPr>
        <w:t xml:space="preserve">Ante cambios de 5% en el porcentaje de provisión, el valor de la acción varia en 1,7 centavos, es decir el precio de la acción varía en </w:t>
      </w:r>
      <w:r w:rsidRPr="00FC4F38">
        <w:rPr>
          <w:rFonts w:ascii="Arial" w:hAnsi="Arial" w:cs="Arial"/>
          <w:sz w:val="24"/>
          <w:szCs w:val="24"/>
        </w:rPr>
        <w:lastRenderedPageBreak/>
        <w:t>aproximadamente 0,77%. Al igual que en el caso anteriores tomamos posibles variaciones desde una disminución en 15% hasta un aumento en 15%, bajo estas consideraciones el precio fluctuaría entre $2, 26 hasta $2,16.</w:t>
      </w:r>
    </w:p>
    <w:p w:rsidR="0015454E" w:rsidRPr="00991A27" w:rsidRDefault="0015454E" w:rsidP="0015454E">
      <w:pPr>
        <w:spacing w:line="360" w:lineRule="auto"/>
        <w:jc w:val="both"/>
        <w:rPr>
          <w:rFonts w:ascii="Arial" w:hAnsi="Arial" w:cs="Arial"/>
        </w:rPr>
      </w:pPr>
    </w:p>
    <w:p w:rsidR="0015454E" w:rsidRPr="00564918" w:rsidRDefault="0015454E" w:rsidP="0015454E">
      <w:pPr>
        <w:spacing w:line="360" w:lineRule="auto"/>
        <w:ind w:firstLine="708"/>
        <w:jc w:val="both"/>
        <w:rPr>
          <w:rFonts w:ascii="Arial" w:hAnsi="Arial" w:cs="Arial"/>
          <w:sz w:val="28"/>
          <w:szCs w:val="28"/>
        </w:rPr>
      </w:pPr>
      <w:r w:rsidRPr="00564918">
        <w:rPr>
          <w:rFonts w:ascii="Arial" w:hAnsi="Arial" w:cs="Arial"/>
          <w:b/>
          <w:sz w:val="28"/>
          <w:szCs w:val="28"/>
        </w:rPr>
        <w:t>COMISIONES NETAS</w:t>
      </w:r>
    </w:p>
    <w:p w:rsidR="0015454E" w:rsidRPr="00991A27" w:rsidRDefault="0015454E" w:rsidP="0015454E">
      <w:pPr>
        <w:spacing w:line="360" w:lineRule="auto"/>
        <w:jc w:val="both"/>
        <w:rPr>
          <w:rFonts w:ascii="Arial" w:hAnsi="Arial" w:cs="Arial"/>
        </w:rPr>
      </w:pPr>
    </w:p>
    <w:p w:rsidR="0015454E" w:rsidRPr="00FC4F38" w:rsidRDefault="0015454E" w:rsidP="0015454E">
      <w:pPr>
        <w:spacing w:line="360" w:lineRule="auto"/>
        <w:ind w:firstLine="454"/>
        <w:jc w:val="both"/>
        <w:rPr>
          <w:rFonts w:ascii="Arial" w:hAnsi="Arial" w:cs="Arial"/>
          <w:sz w:val="24"/>
          <w:szCs w:val="24"/>
        </w:rPr>
      </w:pPr>
      <w:r w:rsidRPr="00FC4F38">
        <w:rPr>
          <w:rFonts w:ascii="Arial" w:hAnsi="Arial" w:cs="Arial"/>
          <w:sz w:val="24"/>
          <w:szCs w:val="24"/>
        </w:rPr>
        <w:t xml:space="preserve">Las condiciones de mercado hacen suponer que la banca se encuentra encaminada a aumentar su nivel de prestación de nuevos servicios lo cual quiere decir que las instituciones financieras ya no solo buscan obtener ganancias a través de sus actividades de intermediario  sino que están dirigiendo sus esfuerzos a aumentar su oferta de productos financieros. </w:t>
      </w:r>
    </w:p>
    <w:p w:rsidR="0015454E" w:rsidRPr="00991A27" w:rsidRDefault="0015454E" w:rsidP="0015454E">
      <w:pPr>
        <w:spacing w:line="360" w:lineRule="auto"/>
        <w:jc w:val="both"/>
        <w:rPr>
          <w:rFonts w:ascii="Arial" w:hAnsi="Arial" w:cs="Arial"/>
        </w:rPr>
      </w:pPr>
    </w:p>
    <w:p w:rsidR="0015454E" w:rsidRPr="00991A27" w:rsidRDefault="0015454E" w:rsidP="0015454E">
      <w:pPr>
        <w:spacing w:line="360" w:lineRule="auto"/>
        <w:ind w:firstLine="454"/>
        <w:jc w:val="both"/>
        <w:rPr>
          <w:rFonts w:ascii="Arial" w:hAnsi="Arial" w:cs="Arial"/>
        </w:rPr>
      </w:pPr>
      <w:r w:rsidRPr="00FC4F38">
        <w:rPr>
          <w:rFonts w:ascii="Arial" w:hAnsi="Arial" w:cs="Arial"/>
          <w:sz w:val="24"/>
          <w:szCs w:val="24"/>
        </w:rPr>
        <w:tab/>
        <w:t>Aquí cabe una explicación. Como es de general conocimiento hace poco se endurecieron las regulaciones de parte del gobierno hacia las comisiones que se cobraban dentro de los préstamos que los bancos otorgaban. Este rubro de comisiones netas no se refiere</w:t>
      </w:r>
      <w:r w:rsidRPr="00FC4F38">
        <w:rPr>
          <w:rFonts w:ascii="Arial" w:hAnsi="Arial" w:cs="Arial"/>
          <w:i/>
          <w:sz w:val="24"/>
          <w:szCs w:val="24"/>
        </w:rPr>
        <w:t xml:space="preserve"> solo</w:t>
      </w:r>
      <w:r w:rsidRPr="00FC4F38">
        <w:rPr>
          <w:rFonts w:ascii="Arial" w:hAnsi="Arial" w:cs="Arial"/>
          <w:sz w:val="24"/>
          <w:szCs w:val="24"/>
        </w:rPr>
        <w:t xml:space="preserve"> a esos valores sino se enfoca aún más a valores correspondientes a utilidades que el Banco recibe por productos y servicios que son distintos de sus actividades de prestatario y prestamista.  Es por eso que se realiza un análisis que muestra el comportamiento de</w:t>
      </w:r>
      <w:r w:rsidRPr="00991A27">
        <w:rPr>
          <w:rFonts w:ascii="Arial" w:hAnsi="Arial" w:cs="Arial"/>
        </w:rPr>
        <w:t xml:space="preserve"> las utilidades futuras, reflejadas en el precio, según variaciones en este rubro.</w:t>
      </w:r>
    </w:p>
    <w:p w:rsidR="00FC4F38" w:rsidRDefault="00FC4F38" w:rsidP="0015454E">
      <w:pPr>
        <w:spacing w:line="360" w:lineRule="auto"/>
        <w:jc w:val="center"/>
        <w:rPr>
          <w:rFonts w:ascii="Arial" w:hAnsi="Arial" w:cs="Arial"/>
        </w:rPr>
      </w:pPr>
    </w:p>
    <w:p w:rsidR="00FC4F38" w:rsidRDefault="00FC4F38" w:rsidP="0015454E">
      <w:pPr>
        <w:spacing w:line="360" w:lineRule="auto"/>
        <w:jc w:val="center"/>
        <w:rPr>
          <w:rFonts w:ascii="Arial" w:hAnsi="Arial" w:cs="Arial"/>
        </w:rPr>
      </w:pPr>
    </w:p>
    <w:p w:rsidR="00FC4F38" w:rsidRDefault="00FC4F38" w:rsidP="0015454E">
      <w:pPr>
        <w:spacing w:line="360" w:lineRule="auto"/>
        <w:jc w:val="center"/>
        <w:rPr>
          <w:rFonts w:ascii="Arial" w:hAnsi="Arial" w:cs="Arial"/>
        </w:rPr>
      </w:pPr>
    </w:p>
    <w:p w:rsidR="00FC4F38" w:rsidRDefault="00FC4F38" w:rsidP="0015454E">
      <w:pPr>
        <w:spacing w:line="360" w:lineRule="auto"/>
        <w:jc w:val="center"/>
        <w:rPr>
          <w:rFonts w:ascii="Arial" w:hAnsi="Arial" w:cs="Arial"/>
        </w:rPr>
      </w:pPr>
    </w:p>
    <w:p w:rsidR="0015454E" w:rsidRPr="00991A27" w:rsidRDefault="003A24B0" w:rsidP="0015454E">
      <w:pPr>
        <w:spacing w:line="360" w:lineRule="auto"/>
        <w:jc w:val="center"/>
        <w:rPr>
          <w:rFonts w:ascii="Arial" w:hAnsi="Arial" w:cs="Arial"/>
          <w:b/>
        </w:rPr>
      </w:pPr>
      <w:r>
        <w:rPr>
          <w:rFonts w:ascii="Arial" w:hAnsi="Arial" w:cs="Arial"/>
          <w:noProof/>
          <w:lang w:val="es-ES" w:eastAsia="es-ES"/>
        </w:rPr>
        <w:lastRenderedPageBreak/>
        <w:drawing>
          <wp:anchor distT="0" distB="0" distL="114300" distR="114300" simplePos="0" relativeHeight="251665920" behindDoc="0" locked="0" layoutInCell="1" allowOverlap="1">
            <wp:simplePos x="0" y="0"/>
            <wp:positionH relativeFrom="column">
              <wp:posOffset>-342900</wp:posOffset>
            </wp:positionH>
            <wp:positionV relativeFrom="paragraph">
              <wp:posOffset>182880</wp:posOffset>
            </wp:positionV>
            <wp:extent cx="6057900" cy="2390140"/>
            <wp:effectExtent l="0" t="0" r="0" b="0"/>
            <wp:wrapNone/>
            <wp:docPr id="48" name="Objeto 4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anchor>
        </w:drawing>
      </w:r>
      <w:r w:rsidR="0015454E" w:rsidRPr="00991A27">
        <w:rPr>
          <w:rFonts w:ascii="Arial" w:hAnsi="Arial" w:cs="Arial"/>
          <w:b/>
        </w:rPr>
        <w:t>Gráfico 4.3</w:t>
      </w:r>
    </w:p>
    <w:p w:rsidR="0015454E" w:rsidRPr="00991A27" w:rsidRDefault="0015454E" w:rsidP="0015454E">
      <w:pPr>
        <w:spacing w:line="360" w:lineRule="auto"/>
        <w:jc w:val="both"/>
        <w:rPr>
          <w:rFonts w:ascii="Arial" w:hAnsi="Arial" w:cs="Arial"/>
        </w:rPr>
      </w:pPr>
    </w:p>
    <w:p w:rsidR="0015454E" w:rsidRPr="00991A27" w:rsidRDefault="0015454E" w:rsidP="0015454E">
      <w:pPr>
        <w:spacing w:line="360" w:lineRule="auto"/>
        <w:jc w:val="both"/>
        <w:rPr>
          <w:rFonts w:ascii="Arial" w:hAnsi="Arial" w:cs="Arial"/>
        </w:rPr>
      </w:pPr>
    </w:p>
    <w:p w:rsidR="0015454E" w:rsidRPr="00991A27" w:rsidRDefault="0015454E" w:rsidP="0015454E">
      <w:pPr>
        <w:spacing w:line="360" w:lineRule="auto"/>
        <w:jc w:val="both"/>
        <w:rPr>
          <w:rFonts w:ascii="Arial" w:hAnsi="Arial" w:cs="Arial"/>
        </w:rPr>
      </w:pPr>
    </w:p>
    <w:p w:rsidR="0015454E" w:rsidRPr="00991A27" w:rsidRDefault="0015454E" w:rsidP="0015454E">
      <w:pPr>
        <w:spacing w:line="360" w:lineRule="auto"/>
        <w:jc w:val="both"/>
        <w:rPr>
          <w:rFonts w:ascii="Arial" w:hAnsi="Arial" w:cs="Arial"/>
        </w:rPr>
      </w:pPr>
    </w:p>
    <w:p w:rsidR="0015454E" w:rsidRPr="00991A27" w:rsidRDefault="0015454E" w:rsidP="0015454E">
      <w:pPr>
        <w:spacing w:line="360" w:lineRule="auto"/>
        <w:jc w:val="both"/>
        <w:rPr>
          <w:rFonts w:ascii="Arial" w:hAnsi="Arial" w:cs="Arial"/>
        </w:rPr>
      </w:pPr>
    </w:p>
    <w:p w:rsidR="0015454E" w:rsidRPr="00991A27" w:rsidRDefault="0015454E" w:rsidP="0015454E">
      <w:pPr>
        <w:spacing w:line="360" w:lineRule="auto"/>
        <w:jc w:val="both"/>
        <w:rPr>
          <w:rFonts w:ascii="Arial" w:hAnsi="Arial" w:cs="Arial"/>
        </w:rPr>
      </w:pPr>
    </w:p>
    <w:p w:rsidR="0015454E" w:rsidRPr="00564918" w:rsidRDefault="0015454E" w:rsidP="00587BA3">
      <w:pPr>
        <w:spacing w:line="240" w:lineRule="auto"/>
        <w:jc w:val="both"/>
        <w:rPr>
          <w:rFonts w:ascii="Arial" w:hAnsi="Arial" w:cs="Arial"/>
          <w:sz w:val="16"/>
          <w:szCs w:val="16"/>
        </w:rPr>
      </w:pPr>
      <w:r w:rsidRPr="00564918">
        <w:rPr>
          <w:rFonts w:ascii="Arial" w:hAnsi="Arial" w:cs="Arial"/>
          <w:sz w:val="16"/>
          <w:szCs w:val="16"/>
        </w:rPr>
        <w:t>Fuente: Datos Proyectados por los autores</w:t>
      </w:r>
    </w:p>
    <w:p w:rsidR="0015454E" w:rsidRPr="00564918" w:rsidRDefault="0015454E" w:rsidP="00587BA3">
      <w:pPr>
        <w:spacing w:line="240" w:lineRule="auto"/>
        <w:jc w:val="both"/>
        <w:rPr>
          <w:rFonts w:ascii="Arial" w:hAnsi="Arial" w:cs="Arial"/>
          <w:sz w:val="16"/>
          <w:szCs w:val="16"/>
        </w:rPr>
      </w:pPr>
      <w:r w:rsidRPr="00564918">
        <w:rPr>
          <w:rFonts w:ascii="Arial" w:hAnsi="Arial" w:cs="Arial"/>
          <w:sz w:val="16"/>
          <w:szCs w:val="16"/>
        </w:rPr>
        <w:t>Elaboración: Autores</w:t>
      </w:r>
    </w:p>
    <w:p w:rsidR="0015454E" w:rsidRPr="00FC4F38" w:rsidRDefault="0015454E" w:rsidP="0015454E">
      <w:pPr>
        <w:spacing w:line="360" w:lineRule="auto"/>
        <w:jc w:val="both"/>
        <w:rPr>
          <w:rFonts w:ascii="Arial" w:hAnsi="Arial" w:cs="Arial"/>
          <w:sz w:val="24"/>
          <w:szCs w:val="24"/>
        </w:rPr>
      </w:pPr>
    </w:p>
    <w:p w:rsidR="0015454E" w:rsidRPr="00FC4F38" w:rsidRDefault="0015454E" w:rsidP="00FC4F38">
      <w:pPr>
        <w:spacing w:line="360" w:lineRule="auto"/>
        <w:ind w:firstLine="454"/>
        <w:jc w:val="both"/>
        <w:rPr>
          <w:rFonts w:ascii="Arial" w:hAnsi="Arial" w:cs="Arial"/>
          <w:color w:val="FF0000"/>
          <w:sz w:val="24"/>
          <w:szCs w:val="24"/>
        </w:rPr>
      </w:pPr>
      <w:r w:rsidRPr="00FC4F38">
        <w:rPr>
          <w:rFonts w:ascii="Arial" w:hAnsi="Arial" w:cs="Arial"/>
          <w:sz w:val="24"/>
          <w:szCs w:val="24"/>
        </w:rPr>
        <w:t xml:space="preserve">Como podemos observar en el gráfico ante un cambio de 1% en la relación comisiones y cartera el precio de la acción se ve afectado en 2, 42 centavos es decir el precio de la acción varía en aproximadamente 1,09%. En este último decidimos hacer variaciones un poco más drásticas porque creemos que este rubro tiene un margen más grande de posibles variaciones y porque aquí no tomamos valores puntuales sino más bien una relación. Por eso, siendo 3,2805% el valor que tenemos en la relación comisiones cartera lo movimos desde 0,2805% hasta 6,2805% (vale destacar que en los anteriores solo lo movíamos el 15% </w:t>
      </w:r>
      <w:r w:rsidRPr="00FC4F38">
        <w:rPr>
          <w:rFonts w:ascii="Arial" w:hAnsi="Arial" w:cs="Arial"/>
          <w:i/>
          <w:sz w:val="24"/>
          <w:szCs w:val="24"/>
        </w:rPr>
        <w:t>de</w:t>
      </w:r>
      <w:r w:rsidRPr="00FC4F38">
        <w:rPr>
          <w:rFonts w:ascii="Arial" w:hAnsi="Arial" w:cs="Arial"/>
          <w:b/>
          <w:i/>
          <w:sz w:val="24"/>
          <w:szCs w:val="24"/>
        </w:rPr>
        <w:t xml:space="preserve"> su</w:t>
      </w:r>
      <w:r w:rsidRPr="00FC4F38">
        <w:rPr>
          <w:rFonts w:ascii="Arial" w:hAnsi="Arial" w:cs="Arial"/>
          <w:i/>
          <w:sz w:val="24"/>
          <w:szCs w:val="24"/>
        </w:rPr>
        <w:t xml:space="preserve"> valor</w:t>
      </w:r>
      <w:r w:rsidRPr="00FC4F38">
        <w:rPr>
          <w:rFonts w:ascii="Arial" w:hAnsi="Arial" w:cs="Arial"/>
          <w:sz w:val="24"/>
          <w:szCs w:val="24"/>
        </w:rPr>
        <w:t>)</w:t>
      </w:r>
    </w:p>
    <w:p w:rsidR="0015454E" w:rsidRPr="00991A27" w:rsidRDefault="0015454E" w:rsidP="0015454E">
      <w:pPr>
        <w:spacing w:line="360" w:lineRule="auto"/>
        <w:jc w:val="both"/>
        <w:rPr>
          <w:rFonts w:ascii="Arial" w:hAnsi="Arial" w:cs="Arial"/>
        </w:rPr>
      </w:pPr>
    </w:p>
    <w:p w:rsidR="0015454E" w:rsidRPr="00564918" w:rsidRDefault="0015454E" w:rsidP="0015454E">
      <w:pPr>
        <w:numPr>
          <w:ilvl w:val="1"/>
          <w:numId w:val="23"/>
        </w:numPr>
        <w:spacing w:after="0" w:line="360" w:lineRule="auto"/>
        <w:jc w:val="both"/>
        <w:rPr>
          <w:rFonts w:ascii="Arial" w:hAnsi="Arial" w:cs="Arial"/>
          <w:b/>
          <w:sz w:val="28"/>
          <w:szCs w:val="28"/>
        </w:rPr>
      </w:pPr>
      <w:r>
        <w:rPr>
          <w:rFonts w:ascii="Arial" w:hAnsi="Arial" w:cs="Arial"/>
          <w:b/>
          <w:sz w:val="28"/>
          <w:szCs w:val="28"/>
        </w:rPr>
        <w:t>ANÁ</w:t>
      </w:r>
      <w:r w:rsidRPr="00564918">
        <w:rPr>
          <w:rFonts w:ascii="Arial" w:hAnsi="Arial" w:cs="Arial"/>
          <w:b/>
          <w:sz w:val="28"/>
          <w:szCs w:val="28"/>
        </w:rPr>
        <w:t>LISIS DEL VALOR DE LAS ACCIONES DE PRODUBANCO</w:t>
      </w:r>
    </w:p>
    <w:p w:rsidR="0015454E" w:rsidRPr="00991A27" w:rsidRDefault="0015454E" w:rsidP="0015454E">
      <w:pPr>
        <w:spacing w:line="360" w:lineRule="auto"/>
        <w:ind w:firstLine="454"/>
        <w:jc w:val="both"/>
        <w:rPr>
          <w:rFonts w:ascii="Arial" w:hAnsi="Arial" w:cs="Arial"/>
        </w:rPr>
      </w:pPr>
    </w:p>
    <w:p w:rsidR="0015454E" w:rsidRPr="00FC4F38" w:rsidRDefault="0015454E" w:rsidP="0015454E">
      <w:pPr>
        <w:spacing w:line="360" w:lineRule="auto"/>
        <w:ind w:firstLine="454"/>
        <w:jc w:val="both"/>
        <w:rPr>
          <w:rFonts w:ascii="Arial" w:hAnsi="Arial" w:cs="Arial"/>
          <w:sz w:val="24"/>
          <w:szCs w:val="24"/>
        </w:rPr>
      </w:pPr>
      <w:r w:rsidRPr="00FC4F38">
        <w:rPr>
          <w:rFonts w:ascii="Arial" w:hAnsi="Arial" w:cs="Arial"/>
          <w:sz w:val="24"/>
          <w:szCs w:val="24"/>
        </w:rPr>
        <w:t xml:space="preserve">El precio de la acción obtenido fue de $2, 21 mientras que el precio de mercado cotizado en la bolsa de valores el 1 de julio del 2008 fue de $1,95. </w:t>
      </w:r>
      <w:r w:rsidRPr="00FC4F38">
        <w:rPr>
          <w:rFonts w:ascii="Arial" w:hAnsi="Arial" w:cs="Arial"/>
          <w:sz w:val="24"/>
          <w:szCs w:val="24"/>
        </w:rPr>
        <w:lastRenderedPageBreak/>
        <w:t>En el cuadro 4.1 se puede observar que el precio estimado es 13,17% mayor que el precio que le da el mercado.</w:t>
      </w:r>
    </w:p>
    <w:p w:rsidR="0015454E" w:rsidRDefault="0015454E" w:rsidP="0015454E">
      <w:pPr>
        <w:spacing w:line="360" w:lineRule="auto"/>
        <w:jc w:val="both"/>
        <w:rPr>
          <w:rFonts w:ascii="Arial" w:hAnsi="Arial" w:cs="Arial"/>
          <w:b/>
        </w:rPr>
      </w:pPr>
    </w:p>
    <w:p w:rsidR="0015454E" w:rsidRPr="00991A27" w:rsidRDefault="0015454E" w:rsidP="0015454E">
      <w:pPr>
        <w:spacing w:line="360" w:lineRule="auto"/>
        <w:jc w:val="center"/>
        <w:rPr>
          <w:rFonts w:ascii="Arial" w:hAnsi="Arial" w:cs="Arial"/>
          <w:b/>
        </w:rPr>
      </w:pPr>
      <w:r w:rsidRPr="00991A27">
        <w:rPr>
          <w:rFonts w:ascii="Arial" w:hAnsi="Arial" w:cs="Arial"/>
          <w:b/>
        </w:rPr>
        <w:t>Gráfico 4.1</w:t>
      </w:r>
    </w:p>
    <w:tbl>
      <w:tblPr>
        <w:tblW w:w="4996" w:type="dxa"/>
        <w:tblInd w:w="17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3668"/>
        <w:gridCol w:w="1328"/>
      </w:tblGrid>
      <w:tr w:rsidR="0015454E" w:rsidRPr="00991A27" w:rsidTr="00587BA3">
        <w:trPr>
          <w:trHeight w:val="255"/>
        </w:trPr>
        <w:tc>
          <w:tcPr>
            <w:tcW w:w="3668" w:type="dxa"/>
            <w:shd w:val="clear" w:color="auto" w:fill="800000"/>
            <w:noWrap/>
            <w:vAlign w:val="bottom"/>
          </w:tcPr>
          <w:p w:rsidR="0015454E" w:rsidRPr="00ED58DC" w:rsidRDefault="0015454E" w:rsidP="00FC4F38">
            <w:pPr>
              <w:spacing w:line="360" w:lineRule="auto"/>
              <w:jc w:val="both"/>
              <w:rPr>
                <w:rFonts w:ascii="Arial" w:hAnsi="Arial" w:cs="Arial"/>
                <w:sz w:val="16"/>
                <w:szCs w:val="16"/>
              </w:rPr>
            </w:pPr>
            <w:r w:rsidRPr="00ED58DC">
              <w:rPr>
                <w:rFonts w:ascii="Arial" w:hAnsi="Arial" w:cs="Arial"/>
                <w:sz w:val="16"/>
                <w:szCs w:val="16"/>
              </w:rPr>
              <w:t>Tasa patrimonial</w:t>
            </w:r>
          </w:p>
        </w:tc>
        <w:tc>
          <w:tcPr>
            <w:tcW w:w="1328" w:type="dxa"/>
            <w:shd w:val="clear" w:color="auto" w:fill="auto"/>
            <w:noWrap/>
            <w:vAlign w:val="bottom"/>
          </w:tcPr>
          <w:p w:rsidR="0015454E" w:rsidRPr="00ED58DC" w:rsidRDefault="0015454E" w:rsidP="00FC4F38">
            <w:pPr>
              <w:spacing w:line="360" w:lineRule="auto"/>
              <w:jc w:val="both"/>
              <w:rPr>
                <w:rFonts w:ascii="Arial" w:hAnsi="Arial" w:cs="Arial"/>
                <w:sz w:val="16"/>
                <w:szCs w:val="16"/>
              </w:rPr>
            </w:pPr>
            <w:r w:rsidRPr="00ED58DC">
              <w:rPr>
                <w:rFonts w:ascii="Arial" w:hAnsi="Arial" w:cs="Arial"/>
                <w:sz w:val="16"/>
                <w:szCs w:val="16"/>
              </w:rPr>
              <w:t>19,54%</w:t>
            </w:r>
          </w:p>
        </w:tc>
      </w:tr>
      <w:tr w:rsidR="0015454E" w:rsidRPr="00991A27" w:rsidTr="00587BA3">
        <w:trPr>
          <w:trHeight w:val="255"/>
        </w:trPr>
        <w:tc>
          <w:tcPr>
            <w:tcW w:w="3668" w:type="dxa"/>
            <w:shd w:val="clear" w:color="auto" w:fill="800000"/>
            <w:noWrap/>
            <w:vAlign w:val="bottom"/>
          </w:tcPr>
          <w:p w:rsidR="0015454E" w:rsidRPr="00ED58DC" w:rsidRDefault="0015454E" w:rsidP="00FC4F38">
            <w:pPr>
              <w:spacing w:line="360" w:lineRule="auto"/>
              <w:jc w:val="both"/>
              <w:rPr>
                <w:rFonts w:ascii="Arial" w:hAnsi="Arial" w:cs="Arial"/>
                <w:sz w:val="16"/>
                <w:szCs w:val="16"/>
              </w:rPr>
            </w:pPr>
            <w:r w:rsidRPr="00ED58DC">
              <w:rPr>
                <w:rFonts w:ascii="Arial" w:hAnsi="Arial" w:cs="Arial"/>
                <w:sz w:val="16"/>
                <w:szCs w:val="16"/>
              </w:rPr>
              <w:t>Valor presente de los excesos de retorno</w:t>
            </w:r>
          </w:p>
        </w:tc>
        <w:tc>
          <w:tcPr>
            <w:tcW w:w="1328" w:type="dxa"/>
            <w:shd w:val="clear" w:color="auto" w:fill="auto"/>
            <w:noWrap/>
            <w:vAlign w:val="bottom"/>
          </w:tcPr>
          <w:p w:rsidR="0015454E" w:rsidRPr="00ED58DC" w:rsidRDefault="0015454E" w:rsidP="00FC4F38">
            <w:pPr>
              <w:spacing w:line="360" w:lineRule="auto"/>
              <w:jc w:val="both"/>
              <w:rPr>
                <w:rFonts w:ascii="Arial" w:hAnsi="Arial" w:cs="Arial"/>
                <w:sz w:val="16"/>
                <w:szCs w:val="16"/>
              </w:rPr>
            </w:pPr>
            <w:r w:rsidRPr="00ED58DC">
              <w:rPr>
                <w:rFonts w:ascii="Arial" w:hAnsi="Arial" w:cs="Arial"/>
                <w:sz w:val="16"/>
                <w:szCs w:val="16"/>
              </w:rPr>
              <w:t>203387454,3</w:t>
            </w:r>
          </w:p>
        </w:tc>
      </w:tr>
      <w:tr w:rsidR="0015454E" w:rsidRPr="00991A27" w:rsidTr="00587BA3">
        <w:trPr>
          <w:trHeight w:val="255"/>
        </w:trPr>
        <w:tc>
          <w:tcPr>
            <w:tcW w:w="3668" w:type="dxa"/>
            <w:shd w:val="clear" w:color="auto" w:fill="800000"/>
            <w:noWrap/>
            <w:vAlign w:val="bottom"/>
          </w:tcPr>
          <w:p w:rsidR="0015454E" w:rsidRPr="00ED58DC" w:rsidRDefault="0015454E" w:rsidP="00FC4F38">
            <w:pPr>
              <w:spacing w:line="360" w:lineRule="auto"/>
              <w:jc w:val="both"/>
              <w:rPr>
                <w:rFonts w:ascii="Arial" w:hAnsi="Arial" w:cs="Arial"/>
                <w:sz w:val="16"/>
                <w:szCs w:val="16"/>
              </w:rPr>
            </w:pPr>
            <w:r w:rsidRPr="00ED58DC">
              <w:rPr>
                <w:rFonts w:ascii="Arial" w:hAnsi="Arial" w:cs="Arial"/>
                <w:sz w:val="16"/>
                <w:szCs w:val="16"/>
              </w:rPr>
              <w:t>Numero de acciones</w:t>
            </w:r>
          </w:p>
        </w:tc>
        <w:tc>
          <w:tcPr>
            <w:tcW w:w="1328" w:type="dxa"/>
            <w:shd w:val="clear" w:color="auto" w:fill="auto"/>
            <w:noWrap/>
            <w:vAlign w:val="bottom"/>
          </w:tcPr>
          <w:p w:rsidR="0015454E" w:rsidRPr="00ED58DC" w:rsidRDefault="0015454E" w:rsidP="00FC4F38">
            <w:pPr>
              <w:spacing w:line="360" w:lineRule="auto"/>
              <w:jc w:val="both"/>
              <w:rPr>
                <w:rFonts w:ascii="Arial" w:hAnsi="Arial" w:cs="Arial"/>
                <w:sz w:val="16"/>
                <w:szCs w:val="16"/>
              </w:rPr>
            </w:pPr>
            <w:r w:rsidRPr="00ED58DC">
              <w:rPr>
                <w:rFonts w:ascii="Arial" w:hAnsi="Arial" w:cs="Arial"/>
                <w:sz w:val="16"/>
                <w:szCs w:val="16"/>
              </w:rPr>
              <w:t>92000000</w:t>
            </w:r>
          </w:p>
        </w:tc>
      </w:tr>
      <w:tr w:rsidR="0015454E" w:rsidRPr="00991A27" w:rsidTr="00587BA3">
        <w:trPr>
          <w:trHeight w:val="255"/>
        </w:trPr>
        <w:tc>
          <w:tcPr>
            <w:tcW w:w="3668" w:type="dxa"/>
            <w:shd w:val="clear" w:color="auto" w:fill="800000"/>
            <w:noWrap/>
            <w:vAlign w:val="bottom"/>
          </w:tcPr>
          <w:p w:rsidR="0015454E" w:rsidRPr="00ED58DC" w:rsidRDefault="0015454E" w:rsidP="00FC4F38">
            <w:pPr>
              <w:spacing w:line="360" w:lineRule="auto"/>
              <w:jc w:val="both"/>
              <w:rPr>
                <w:rFonts w:ascii="Arial" w:hAnsi="Arial" w:cs="Arial"/>
                <w:sz w:val="16"/>
                <w:szCs w:val="16"/>
              </w:rPr>
            </w:pPr>
            <w:r w:rsidRPr="00ED58DC">
              <w:rPr>
                <w:rFonts w:ascii="Arial" w:hAnsi="Arial" w:cs="Arial"/>
                <w:sz w:val="16"/>
                <w:szCs w:val="16"/>
              </w:rPr>
              <w:t>Valor por acción</w:t>
            </w:r>
          </w:p>
        </w:tc>
        <w:tc>
          <w:tcPr>
            <w:tcW w:w="1328" w:type="dxa"/>
            <w:shd w:val="clear" w:color="auto" w:fill="auto"/>
            <w:noWrap/>
            <w:vAlign w:val="bottom"/>
          </w:tcPr>
          <w:p w:rsidR="0015454E" w:rsidRPr="00ED58DC" w:rsidRDefault="0015454E" w:rsidP="00FC4F38">
            <w:pPr>
              <w:spacing w:line="360" w:lineRule="auto"/>
              <w:jc w:val="both"/>
              <w:rPr>
                <w:rFonts w:ascii="Arial" w:hAnsi="Arial" w:cs="Arial"/>
                <w:sz w:val="16"/>
                <w:szCs w:val="16"/>
              </w:rPr>
            </w:pPr>
            <w:r w:rsidRPr="00ED58DC">
              <w:rPr>
                <w:rFonts w:ascii="Arial" w:hAnsi="Arial" w:cs="Arial"/>
                <w:sz w:val="16"/>
                <w:szCs w:val="16"/>
              </w:rPr>
              <w:t>2,2107</w:t>
            </w:r>
          </w:p>
        </w:tc>
      </w:tr>
      <w:tr w:rsidR="0015454E" w:rsidRPr="00991A27" w:rsidTr="00587BA3">
        <w:trPr>
          <w:trHeight w:val="255"/>
        </w:trPr>
        <w:tc>
          <w:tcPr>
            <w:tcW w:w="3668" w:type="dxa"/>
            <w:shd w:val="clear" w:color="auto" w:fill="800000"/>
            <w:noWrap/>
            <w:vAlign w:val="bottom"/>
          </w:tcPr>
          <w:p w:rsidR="0015454E" w:rsidRPr="00ED58DC" w:rsidRDefault="0015454E" w:rsidP="00FC4F38">
            <w:pPr>
              <w:spacing w:line="360" w:lineRule="auto"/>
              <w:jc w:val="both"/>
              <w:rPr>
                <w:rFonts w:ascii="Arial" w:hAnsi="Arial" w:cs="Arial"/>
                <w:sz w:val="16"/>
                <w:szCs w:val="16"/>
              </w:rPr>
            </w:pPr>
            <w:r>
              <w:rPr>
                <w:rFonts w:ascii="Arial" w:hAnsi="Arial" w:cs="Arial"/>
                <w:sz w:val="16"/>
                <w:szCs w:val="16"/>
              </w:rPr>
              <w:t xml:space="preserve">Precio de mercado </w:t>
            </w:r>
          </w:p>
        </w:tc>
        <w:tc>
          <w:tcPr>
            <w:tcW w:w="1328" w:type="dxa"/>
            <w:shd w:val="clear" w:color="auto" w:fill="auto"/>
            <w:noWrap/>
            <w:vAlign w:val="bottom"/>
          </w:tcPr>
          <w:p w:rsidR="0015454E" w:rsidRPr="00ED58DC" w:rsidRDefault="0015454E" w:rsidP="00FC4F38">
            <w:pPr>
              <w:spacing w:line="360" w:lineRule="auto"/>
              <w:jc w:val="both"/>
              <w:rPr>
                <w:rFonts w:ascii="Arial" w:hAnsi="Arial" w:cs="Arial"/>
                <w:sz w:val="16"/>
                <w:szCs w:val="16"/>
              </w:rPr>
            </w:pPr>
            <w:r w:rsidRPr="00ED58DC">
              <w:rPr>
                <w:rFonts w:ascii="Arial" w:hAnsi="Arial" w:cs="Arial"/>
                <w:sz w:val="16"/>
                <w:szCs w:val="16"/>
              </w:rPr>
              <w:t>1,95</w:t>
            </w:r>
          </w:p>
        </w:tc>
      </w:tr>
    </w:tbl>
    <w:p w:rsidR="0015454E" w:rsidRDefault="0015454E" w:rsidP="00587BA3">
      <w:pPr>
        <w:spacing w:line="240" w:lineRule="auto"/>
        <w:jc w:val="both"/>
        <w:rPr>
          <w:rFonts w:ascii="Arial" w:hAnsi="Arial" w:cs="Arial"/>
          <w:sz w:val="16"/>
          <w:szCs w:val="16"/>
        </w:rPr>
      </w:pPr>
      <w:r w:rsidRPr="0009117F">
        <w:rPr>
          <w:rFonts w:ascii="Arial" w:hAnsi="Arial" w:cs="Arial"/>
          <w:sz w:val="16"/>
          <w:szCs w:val="16"/>
        </w:rPr>
        <w:t>Fuente: Datos Proyectados por los autores y Bolsa de Valores de Guayaquil</w:t>
      </w:r>
    </w:p>
    <w:p w:rsidR="0015454E" w:rsidRPr="0009117F" w:rsidRDefault="0015454E" w:rsidP="00587BA3">
      <w:pPr>
        <w:spacing w:line="240" w:lineRule="auto"/>
        <w:jc w:val="both"/>
        <w:rPr>
          <w:rFonts w:ascii="Arial" w:hAnsi="Arial" w:cs="Arial"/>
          <w:sz w:val="16"/>
          <w:szCs w:val="16"/>
        </w:rPr>
      </w:pPr>
      <w:r w:rsidRPr="0009117F">
        <w:rPr>
          <w:rFonts w:ascii="Arial" w:hAnsi="Arial" w:cs="Arial"/>
          <w:sz w:val="16"/>
          <w:szCs w:val="16"/>
        </w:rPr>
        <w:t>Elaboración: Autores</w:t>
      </w:r>
    </w:p>
    <w:p w:rsidR="0015454E" w:rsidRPr="00FC4F38" w:rsidRDefault="0015454E" w:rsidP="0015454E">
      <w:pPr>
        <w:spacing w:line="360" w:lineRule="auto"/>
        <w:jc w:val="both"/>
        <w:rPr>
          <w:rFonts w:ascii="Arial" w:hAnsi="Arial" w:cs="Arial"/>
          <w:sz w:val="24"/>
          <w:szCs w:val="24"/>
        </w:rPr>
      </w:pPr>
    </w:p>
    <w:p w:rsidR="0015454E" w:rsidRPr="00FC4F38" w:rsidRDefault="0015454E" w:rsidP="0015454E">
      <w:pPr>
        <w:spacing w:line="360" w:lineRule="auto"/>
        <w:ind w:firstLine="454"/>
        <w:jc w:val="both"/>
        <w:rPr>
          <w:rFonts w:ascii="Arial" w:hAnsi="Arial" w:cs="Arial"/>
          <w:sz w:val="24"/>
          <w:szCs w:val="24"/>
        </w:rPr>
      </w:pPr>
      <w:r w:rsidRPr="00FC4F38">
        <w:rPr>
          <w:rFonts w:ascii="Arial" w:hAnsi="Arial" w:cs="Arial"/>
          <w:sz w:val="24"/>
          <w:szCs w:val="24"/>
        </w:rPr>
        <w:t>Esta subvaloración se debe principalmente a que aun quedan vestigios de la crisis que soporto el sistema financiero y que aun hoy genera un poco de desconfianza en sus clientes. Aunque también es menester mencionar que esta desconfianza es cada vez menor, es decir el sistema financiero esta recuperando la confianza que solía gozar y eso se ve reflejada en la diferencia porcentual entre el valor de mercado actual y el precio que según nuestra valoración deberían tener estas acciones. Esta diferencia a pesar de estar disminuyendo, aún no deja de ser medianamente significativa. Dicho esto, comentamos que en general casi todas las instituciones financieras del sistema tienen cada vez más pequeña esta subvaloración.</w:t>
      </w:r>
    </w:p>
    <w:p w:rsidR="0015454E" w:rsidRPr="00FC4F38" w:rsidRDefault="0015454E" w:rsidP="0015454E">
      <w:pPr>
        <w:spacing w:line="360" w:lineRule="auto"/>
        <w:jc w:val="both"/>
        <w:rPr>
          <w:rFonts w:ascii="Arial" w:hAnsi="Arial" w:cs="Arial"/>
          <w:sz w:val="24"/>
          <w:szCs w:val="24"/>
        </w:rPr>
      </w:pPr>
    </w:p>
    <w:p w:rsidR="0015454E" w:rsidRPr="00991A27" w:rsidRDefault="0015454E" w:rsidP="0015454E">
      <w:pPr>
        <w:spacing w:line="360" w:lineRule="auto"/>
        <w:jc w:val="both"/>
        <w:rPr>
          <w:rFonts w:ascii="Arial" w:hAnsi="Arial" w:cs="Arial"/>
        </w:rPr>
      </w:pPr>
    </w:p>
    <w:p w:rsidR="0015454E" w:rsidRDefault="0015454E" w:rsidP="0015454E">
      <w:pPr>
        <w:spacing w:line="360" w:lineRule="auto"/>
        <w:jc w:val="both"/>
        <w:rPr>
          <w:rFonts w:ascii="Arial" w:hAnsi="Arial" w:cs="Arial"/>
          <w:b/>
        </w:rPr>
      </w:pPr>
    </w:p>
    <w:p w:rsidR="0015454E" w:rsidRDefault="0015454E" w:rsidP="0015454E">
      <w:pPr>
        <w:spacing w:line="360" w:lineRule="auto"/>
        <w:jc w:val="center"/>
        <w:rPr>
          <w:rFonts w:ascii="Arial" w:hAnsi="Arial" w:cs="Arial"/>
          <w:b/>
        </w:rPr>
      </w:pPr>
    </w:p>
    <w:p w:rsidR="0015454E" w:rsidRPr="00A67C09" w:rsidRDefault="0015454E" w:rsidP="0015454E">
      <w:pPr>
        <w:spacing w:line="360" w:lineRule="auto"/>
        <w:jc w:val="center"/>
        <w:rPr>
          <w:rFonts w:ascii="Arial" w:hAnsi="Arial" w:cs="Arial"/>
          <w:b/>
          <w:sz w:val="28"/>
          <w:szCs w:val="28"/>
        </w:rPr>
      </w:pPr>
      <w:r w:rsidRPr="00A67C09">
        <w:rPr>
          <w:rFonts w:ascii="Arial" w:hAnsi="Arial" w:cs="Arial"/>
          <w:b/>
          <w:sz w:val="28"/>
          <w:szCs w:val="28"/>
        </w:rPr>
        <w:lastRenderedPageBreak/>
        <w:t>RESUMEN Y CONCLUSIONES</w:t>
      </w:r>
    </w:p>
    <w:p w:rsidR="0015454E" w:rsidRPr="00A67C09" w:rsidRDefault="0015454E" w:rsidP="0015454E">
      <w:pPr>
        <w:spacing w:line="360" w:lineRule="auto"/>
        <w:jc w:val="both"/>
        <w:rPr>
          <w:rFonts w:ascii="Arial" w:hAnsi="Arial" w:cs="Arial"/>
          <w:b/>
          <w:sz w:val="28"/>
          <w:szCs w:val="28"/>
        </w:rPr>
      </w:pPr>
    </w:p>
    <w:p w:rsidR="0015454E" w:rsidRPr="00A67C09" w:rsidRDefault="0015454E" w:rsidP="0015454E">
      <w:pPr>
        <w:spacing w:line="360" w:lineRule="auto"/>
        <w:jc w:val="center"/>
        <w:rPr>
          <w:rFonts w:ascii="Arial" w:hAnsi="Arial" w:cs="Arial"/>
          <w:sz w:val="28"/>
          <w:szCs w:val="28"/>
        </w:rPr>
      </w:pPr>
      <w:r w:rsidRPr="00A67C09">
        <w:rPr>
          <w:rFonts w:ascii="Arial" w:hAnsi="Arial" w:cs="Arial"/>
          <w:b/>
          <w:sz w:val="28"/>
          <w:szCs w:val="28"/>
        </w:rPr>
        <w:t>RESUMEN</w:t>
      </w:r>
    </w:p>
    <w:p w:rsidR="0015454E" w:rsidRPr="00991A27" w:rsidRDefault="0015454E" w:rsidP="0015454E">
      <w:pPr>
        <w:spacing w:line="360" w:lineRule="auto"/>
        <w:jc w:val="both"/>
        <w:rPr>
          <w:rFonts w:ascii="Arial" w:hAnsi="Arial" w:cs="Arial"/>
        </w:rPr>
      </w:pPr>
    </w:p>
    <w:p w:rsidR="0015454E" w:rsidRPr="00FC4F38" w:rsidRDefault="0015454E" w:rsidP="0015454E">
      <w:pPr>
        <w:spacing w:line="360" w:lineRule="auto"/>
        <w:ind w:firstLine="454"/>
        <w:jc w:val="both"/>
        <w:rPr>
          <w:rFonts w:ascii="Arial" w:hAnsi="Arial" w:cs="Arial"/>
          <w:sz w:val="24"/>
          <w:szCs w:val="24"/>
        </w:rPr>
      </w:pPr>
      <w:r w:rsidRPr="00FC4F38">
        <w:rPr>
          <w:rFonts w:ascii="Arial" w:hAnsi="Arial" w:cs="Arial"/>
          <w:sz w:val="24"/>
          <w:szCs w:val="24"/>
        </w:rPr>
        <w:t>La finalidad de este trabajo fue la de obtener el valor de la acción de PRODUBANCO tomando en cuenta su situación actual y sus perspectivas futuras, con la finalidad de obtener un valor tomando en cuenta tanto el sector bancario como el del mercado de acciones en la actualidad.</w:t>
      </w:r>
    </w:p>
    <w:p w:rsidR="0015454E" w:rsidRPr="00FC4F38" w:rsidRDefault="0015454E" w:rsidP="0015454E">
      <w:pPr>
        <w:spacing w:line="360" w:lineRule="auto"/>
        <w:jc w:val="both"/>
        <w:rPr>
          <w:rFonts w:ascii="Arial" w:hAnsi="Arial" w:cs="Arial"/>
          <w:sz w:val="24"/>
          <w:szCs w:val="24"/>
        </w:rPr>
      </w:pPr>
    </w:p>
    <w:p w:rsidR="0015454E" w:rsidRPr="00FC4F38" w:rsidRDefault="0015454E" w:rsidP="0015454E">
      <w:pPr>
        <w:spacing w:line="360" w:lineRule="auto"/>
        <w:ind w:firstLine="454"/>
        <w:jc w:val="both"/>
        <w:rPr>
          <w:rFonts w:ascii="Arial" w:hAnsi="Arial" w:cs="Arial"/>
          <w:sz w:val="24"/>
          <w:szCs w:val="24"/>
        </w:rPr>
      </w:pPr>
      <w:r w:rsidRPr="00FC4F38">
        <w:rPr>
          <w:rFonts w:ascii="Arial" w:hAnsi="Arial" w:cs="Arial"/>
          <w:sz w:val="24"/>
          <w:szCs w:val="24"/>
        </w:rPr>
        <w:tab/>
        <w:t xml:space="preserve">Como primer paso se hizo una recopilación histórica de la situación del sistema financiero ecuatoriano, mediante el cual pudimos conocer el desarrollo de </w:t>
      </w:r>
      <w:smartTag w:uri="urn:schemas-microsoft-com:office:smarttags" w:element="PersonName">
        <w:smartTagPr>
          <w:attr w:name="ProductID" w:val="la Banca"/>
        </w:smartTagPr>
        <w:r w:rsidRPr="00FC4F38">
          <w:rPr>
            <w:rFonts w:ascii="Arial" w:hAnsi="Arial" w:cs="Arial"/>
            <w:sz w:val="24"/>
            <w:szCs w:val="24"/>
          </w:rPr>
          <w:t>la Banca</w:t>
        </w:r>
      </w:smartTag>
      <w:r w:rsidRPr="00FC4F38">
        <w:rPr>
          <w:rFonts w:ascii="Arial" w:hAnsi="Arial" w:cs="Arial"/>
          <w:sz w:val="24"/>
          <w:szCs w:val="24"/>
        </w:rPr>
        <w:t xml:space="preserve"> ecuatoriana tanto antes como después de la crisis financiera de 1999.</w:t>
      </w:r>
    </w:p>
    <w:p w:rsidR="0015454E" w:rsidRPr="00FC4F38" w:rsidRDefault="0015454E" w:rsidP="0015454E">
      <w:pPr>
        <w:spacing w:line="360" w:lineRule="auto"/>
        <w:jc w:val="both"/>
        <w:rPr>
          <w:rFonts w:ascii="Arial" w:hAnsi="Arial" w:cs="Arial"/>
          <w:sz w:val="24"/>
          <w:szCs w:val="24"/>
        </w:rPr>
      </w:pPr>
    </w:p>
    <w:p w:rsidR="0015454E" w:rsidRPr="00FC4F38" w:rsidRDefault="0015454E" w:rsidP="0015454E">
      <w:pPr>
        <w:spacing w:line="360" w:lineRule="auto"/>
        <w:ind w:firstLine="454"/>
        <w:jc w:val="both"/>
        <w:rPr>
          <w:rFonts w:ascii="Arial" w:hAnsi="Arial" w:cs="Arial"/>
          <w:sz w:val="24"/>
          <w:szCs w:val="24"/>
        </w:rPr>
      </w:pPr>
      <w:r w:rsidRPr="00FC4F38">
        <w:rPr>
          <w:rFonts w:ascii="Arial" w:hAnsi="Arial" w:cs="Arial"/>
          <w:sz w:val="24"/>
          <w:szCs w:val="24"/>
        </w:rPr>
        <w:t>Como segundo punto se realizó un análisis histórico y situacional de PRODUBANCO para poder tener una perspectiva interna de la entidad así como de su posición dentro del sistema financiero.</w:t>
      </w:r>
    </w:p>
    <w:p w:rsidR="0015454E" w:rsidRPr="00FC4F38" w:rsidRDefault="0015454E" w:rsidP="0015454E">
      <w:pPr>
        <w:spacing w:line="360" w:lineRule="auto"/>
        <w:ind w:firstLine="454"/>
        <w:jc w:val="both"/>
        <w:rPr>
          <w:rFonts w:ascii="Arial" w:hAnsi="Arial" w:cs="Arial"/>
          <w:sz w:val="24"/>
          <w:szCs w:val="24"/>
        </w:rPr>
      </w:pPr>
    </w:p>
    <w:p w:rsidR="0015454E" w:rsidRPr="00FC4F38" w:rsidRDefault="0015454E" w:rsidP="0015454E">
      <w:pPr>
        <w:spacing w:line="360" w:lineRule="auto"/>
        <w:ind w:firstLine="454"/>
        <w:jc w:val="both"/>
        <w:rPr>
          <w:rFonts w:ascii="Arial" w:hAnsi="Arial" w:cs="Arial"/>
          <w:sz w:val="24"/>
          <w:szCs w:val="24"/>
        </w:rPr>
      </w:pPr>
      <w:r w:rsidRPr="00FC4F38">
        <w:rPr>
          <w:rFonts w:ascii="Arial" w:hAnsi="Arial" w:cs="Arial"/>
          <w:sz w:val="24"/>
          <w:szCs w:val="24"/>
        </w:rPr>
        <w:tab/>
        <w:t>Luego de conocer estos dos puntos mencionados se procedió a explicar la metodología más adecuada de proyección y valoración para una entidad bancaria, exponiendo la razón de nuestra decisión.</w:t>
      </w:r>
    </w:p>
    <w:p w:rsidR="0015454E" w:rsidRPr="00FC4F38" w:rsidRDefault="0015454E" w:rsidP="0015454E">
      <w:pPr>
        <w:spacing w:line="360" w:lineRule="auto"/>
        <w:ind w:firstLine="454"/>
        <w:jc w:val="both"/>
        <w:rPr>
          <w:rFonts w:ascii="Arial" w:hAnsi="Arial" w:cs="Arial"/>
          <w:sz w:val="24"/>
          <w:szCs w:val="24"/>
        </w:rPr>
      </w:pPr>
    </w:p>
    <w:p w:rsidR="0015454E" w:rsidRPr="00FC4F38" w:rsidRDefault="0015454E" w:rsidP="0015454E">
      <w:pPr>
        <w:spacing w:line="360" w:lineRule="auto"/>
        <w:ind w:firstLine="454"/>
        <w:jc w:val="both"/>
        <w:rPr>
          <w:rFonts w:ascii="Arial" w:hAnsi="Arial" w:cs="Arial"/>
          <w:sz w:val="24"/>
          <w:szCs w:val="24"/>
        </w:rPr>
      </w:pPr>
      <w:r w:rsidRPr="00FC4F38">
        <w:rPr>
          <w:rFonts w:ascii="Arial" w:hAnsi="Arial" w:cs="Arial"/>
          <w:sz w:val="24"/>
          <w:szCs w:val="24"/>
        </w:rPr>
        <w:t xml:space="preserve">Para nuestra proyección del Estado de Resultados proyectamos las colocaciones brutas mediante una regresión econométrica, utilizando el programa E-views y luego basados en esta cuenta armamos un cuadro de </w:t>
      </w:r>
      <w:r w:rsidRPr="00FC4F38">
        <w:rPr>
          <w:rFonts w:ascii="Arial" w:hAnsi="Arial" w:cs="Arial"/>
          <w:sz w:val="24"/>
          <w:szCs w:val="24"/>
        </w:rPr>
        <w:lastRenderedPageBreak/>
        <w:t xml:space="preserve">ratios para proyectar mediante promedios históricos las demás cuentas importantes y necesarias para nuestra valoración. A partir de esta explicación fácilmente se puede deducir que la variable clave para la proyección son las colocaciones brutas y su acertada proyección. </w:t>
      </w:r>
    </w:p>
    <w:p w:rsidR="0015454E" w:rsidRPr="00FC4F38" w:rsidRDefault="0015454E" w:rsidP="0015454E">
      <w:pPr>
        <w:spacing w:line="360" w:lineRule="auto"/>
        <w:ind w:firstLine="454"/>
        <w:jc w:val="both"/>
        <w:rPr>
          <w:rFonts w:ascii="Arial" w:hAnsi="Arial" w:cs="Arial"/>
          <w:sz w:val="24"/>
          <w:szCs w:val="24"/>
        </w:rPr>
      </w:pPr>
    </w:p>
    <w:p w:rsidR="0015454E" w:rsidRPr="00FC4F38" w:rsidRDefault="0015454E" w:rsidP="0015454E">
      <w:pPr>
        <w:spacing w:line="360" w:lineRule="auto"/>
        <w:ind w:firstLine="454"/>
        <w:jc w:val="both"/>
        <w:rPr>
          <w:rFonts w:ascii="Arial" w:hAnsi="Arial" w:cs="Arial"/>
          <w:sz w:val="24"/>
          <w:szCs w:val="24"/>
        </w:rPr>
      </w:pPr>
      <w:r w:rsidRPr="00FC4F38">
        <w:rPr>
          <w:rFonts w:ascii="Arial" w:hAnsi="Arial" w:cs="Arial"/>
          <w:sz w:val="24"/>
          <w:szCs w:val="24"/>
        </w:rPr>
        <w:t>Una vez proyectado el Estado de Resultados para el periodo 2008 – 2012, este nos permitió tener todos los datos necesarios para calcular los excesos de retornos correspondientes.</w:t>
      </w:r>
    </w:p>
    <w:p w:rsidR="0015454E" w:rsidRPr="00FC4F38" w:rsidRDefault="0015454E" w:rsidP="0015454E">
      <w:pPr>
        <w:spacing w:line="360" w:lineRule="auto"/>
        <w:ind w:firstLine="454"/>
        <w:jc w:val="both"/>
        <w:rPr>
          <w:rFonts w:ascii="Arial" w:hAnsi="Arial" w:cs="Arial"/>
          <w:sz w:val="24"/>
          <w:szCs w:val="24"/>
        </w:rPr>
      </w:pPr>
    </w:p>
    <w:p w:rsidR="0015454E" w:rsidRPr="00FC4F38" w:rsidRDefault="0015454E" w:rsidP="0015454E">
      <w:pPr>
        <w:spacing w:line="360" w:lineRule="auto"/>
        <w:ind w:firstLine="454"/>
        <w:jc w:val="both"/>
        <w:rPr>
          <w:rFonts w:ascii="Arial" w:hAnsi="Arial" w:cs="Arial"/>
          <w:sz w:val="24"/>
          <w:szCs w:val="24"/>
        </w:rPr>
      </w:pPr>
      <w:r w:rsidRPr="00FC4F38">
        <w:rPr>
          <w:rFonts w:ascii="Arial" w:hAnsi="Arial" w:cs="Arial"/>
          <w:sz w:val="24"/>
          <w:szCs w:val="24"/>
        </w:rPr>
        <w:tab/>
        <w:t>A nuestro parecer el método de excesos de retornos es el método mas apropiado para la valoración de un Banco. Este método calcula el valor de la acción como el valor presente de los excesos de retornos, es decir de la diferencia entre la utilidad que recibirá el accionista y el costo de ese patrimonio por el que recibirá dicha utilidad. Para aplicar dicho método se utilizó los excesos de retornos proyectados para el periodo 2008 – 2012, tomando este último año como base para el cálculo de los excesos de retorno a perpetuidad para lo cual se utilizó una tasa del 12,1123%.</w:t>
      </w:r>
    </w:p>
    <w:p w:rsidR="0015454E" w:rsidRPr="00FC4F38" w:rsidRDefault="0015454E" w:rsidP="0015454E">
      <w:pPr>
        <w:spacing w:line="360" w:lineRule="auto"/>
        <w:ind w:firstLine="454"/>
        <w:jc w:val="both"/>
        <w:rPr>
          <w:rFonts w:ascii="Arial" w:hAnsi="Arial" w:cs="Arial"/>
          <w:sz w:val="24"/>
          <w:szCs w:val="24"/>
        </w:rPr>
      </w:pPr>
    </w:p>
    <w:p w:rsidR="0015454E" w:rsidRPr="00FC4F38" w:rsidRDefault="0015454E" w:rsidP="0015454E">
      <w:pPr>
        <w:spacing w:line="360" w:lineRule="auto"/>
        <w:ind w:firstLine="454"/>
        <w:jc w:val="both"/>
        <w:rPr>
          <w:rFonts w:ascii="Arial" w:hAnsi="Arial" w:cs="Arial"/>
          <w:sz w:val="24"/>
          <w:szCs w:val="24"/>
        </w:rPr>
      </w:pPr>
      <w:r w:rsidRPr="00FC4F38">
        <w:rPr>
          <w:rFonts w:ascii="Arial" w:hAnsi="Arial" w:cs="Arial"/>
          <w:sz w:val="24"/>
          <w:szCs w:val="24"/>
        </w:rPr>
        <w:t xml:space="preserve">Para descontar estos flujos se utilizó una tasa del 19,54%, calculada en base a un modelo CAPM en la que utilizamos parámetros estadounidenses para luego ajustarla a nuestro país agregándole la tasa de riesgo país. </w:t>
      </w:r>
    </w:p>
    <w:p w:rsidR="0015454E" w:rsidRPr="00FC4F38" w:rsidRDefault="0015454E" w:rsidP="0015454E">
      <w:pPr>
        <w:spacing w:line="360" w:lineRule="auto"/>
        <w:ind w:firstLine="454"/>
        <w:jc w:val="both"/>
        <w:rPr>
          <w:rFonts w:ascii="Arial" w:hAnsi="Arial" w:cs="Arial"/>
          <w:sz w:val="24"/>
          <w:szCs w:val="24"/>
        </w:rPr>
      </w:pPr>
    </w:p>
    <w:p w:rsidR="0015454E" w:rsidRPr="00FC4F38" w:rsidRDefault="0015454E" w:rsidP="0015454E">
      <w:pPr>
        <w:spacing w:line="360" w:lineRule="auto"/>
        <w:ind w:firstLine="454"/>
        <w:jc w:val="both"/>
        <w:rPr>
          <w:rFonts w:ascii="Arial" w:hAnsi="Arial" w:cs="Arial"/>
          <w:sz w:val="24"/>
          <w:szCs w:val="24"/>
        </w:rPr>
      </w:pPr>
      <w:r w:rsidRPr="00FC4F38">
        <w:rPr>
          <w:rFonts w:ascii="Arial" w:hAnsi="Arial" w:cs="Arial"/>
          <w:sz w:val="24"/>
          <w:szCs w:val="24"/>
        </w:rPr>
        <w:tab/>
        <w:t xml:space="preserve">El valor resultante fue de $2, 2107 por cada acción. Al comparar este valor con el precio de mercado ($1, 95 por cada acción) se pudo concluir que hay una subvaloración en el precio de cada título. Esto se puede explicar  por la desconfianza de los depositantes sobre el sector bancario (casi </w:t>
      </w:r>
      <w:r w:rsidRPr="00FC4F38">
        <w:rPr>
          <w:rFonts w:ascii="Arial" w:hAnsi="Arial" w:cs="Arial"/>
          <w:sz w:val="24"/>
          <w:szCs w:val="24"/>
        </w:rPr>
        <w:lastRenderedPageBreak/>
        <w:t>totalmente por los pequeños vestigios de la crisis financiera que aún quedan en el aire).</w:t>
      </w:r>
    </w:p>
    <w:p w:rsidR="0015454E" w:rsidRPr="00FC4F38" w:rsidRDefault="0015454E" w:rsidP="0015454E">
      <w:pPr>
        <w:spacing w:line="360" w:lineRule="auto"/>
        <w:ind w:firstLine="454"/>
        <w:jc w:val="both"/>
        <w:rPr>
          <w:rFonts w:ascii="Arial" w:hAnsi="Arial" w:cs="Arial"/>
          <w:sz w:val="24"/>
          <w:szCs w:val="24"/>
        </w:rPr>
      </w:pPr>
    </w:p>
    <w:p w:rsidR="0015454E" w:rsidRPr="00FC4F38" w:rsidRDefault="0015454E" w:rsidP="0015454E">
      <w:pPr>
        <w:spacing w:line="360" w:lineRule="auto"/>
        <w:ind w:firstLine="454"/>
        <w:jc w:val="both"/>
        <w:rPr>
          <w:rFonts w:ascii="Arial" w:hAnsi="Arial" w:cs="Arial"/>
          <w:sz w:val="24"/>
          <w:szCs w:val="24"/>
        </w:rPr>
      </w:pPr>
      <w:r w:rsidRPr="00FC4F38">
        <w:rPr>
          <w:rFonts w:ascii="Arial" w:hAnsi="Arial" w:cs="Arial"/>
          <w:sz w:val="24"/>
          <w:szCs w:val="24"/>
        </w:rPr>
        <w:tab/>
        <w:t xml:space="preserve">Por último se hizo un análisis de sensibilidad del precio de la acción respecto a posibles variaciones futuras en el nivel de Colocaciones, Provisión de créditos riesgosos y Comisiones netas. </w:t>
      </w:r>
    </w:p>
    <w:p w:rsidR="0015454E" w:rsidRPr="00FC4F38" w:rsidRDefault="0015454E" w:rsidP="0015454E">
      <w:pPr>
        <w:spacing w:line="360" w:lineRule="auto"/>
        <w:jc w:val="both"/>
        <w:rPr>
          <w:rFonts w:ascii="Arial" w:hAnsi="Arial" w:cs="Arial"/>
          <w:sz w:val="24"/>
          <w:szCs w:val="24"/>
        </w:rPr>
      </w:pPr>
    </w:p>
    <w:p w:rsidR="0015454E" w:rsidRPr="00FC4F38" w:rsidRDefault="0015454E" w:rsidP="0015454E">
      <w:pPr>
        <w:spacing w:line="360" w:lineRule="auto"/>
        <w:jc w:val="both"/>
        <w:rPr>
          <w:rFonts w:ascii="Arial" w:hAnsi="Arial" w:cs="Arial"/>
          <w:sz w:val="24"/>
          <w:szCs w:val="24"/>
        </w:rPr>
      </w:pPr>
    </w:p>
    <w:p w:rsidR="0015454E" w:rsidRDefault="0015454E" w:rsidP="0015454E">
      <w:pPr>
        <w:spacing w:line="360" w:lineRule="auto"/>
        <w:jc w:val="both"/>
        <w:rPr>
          <w:rFonts w:ascii="Arial" w:hAnsi="Arial" w:cs="Arial"/>
        </w:rPr>
      </w:pPr>
    </w:p>
    <w:p w:rsidR="00FC4F38" w:rsidRDefault="00FC4F38" w:rsidP="0015454E">
      <w:pPr>
        <w:spacing w:line="360" w:lineRule="auto"/>
        <w:jc w:val="both"/>
        <w:rPr>
          <w:rFonts w:ascii="Arial" w:hAnsi="Arial" w:cs="Arial"/>
        </w:rPr>
      </w:pPr>
    </w:p>
    <w:p w:rsidR="00FC4F38" w:rsidRDefault="00FC4F38" w:rsidP="0015454E">
      <w:pPr>
        <w:spacing w:line="360" w:lineRule="auto"/>
        <w:jc w:val="both"/>
        <w:rPr>
          <w:rFonts w:ascii="Arial" w:hAnsi="Arial" w:cs="Arial"/>
        </w:rPr>
      </w:pPr>
    </w:p>
    <w:p w:rsidR="00FC4F38" w:rsidRDefault="00FC4F38" w:rsidP="0015454E">
      <w:pPr>
        <w:spacing w:line="360" w:lineRule="auto"/>
        <w:jc w:val="both"/>
        <w:rPr>
          <w:rFonts w:ascii="Arial" w:hAnsi="Arial" w:cs="Arial"/>
        </w:rPr>
      </w:pPr>
    </w:p>
    <w:p w:rsidR="00FC4F38" w:rsidRDefault="00FC4F38" w:rsidP="0015454E">
      <w:pPr>
        <w:spacing w:line="360" w:lineRule="auto"/>
        <w:jc w:val="both"/>
        <w:rPr>
          <w:rFonts w:ascii="Arial" w:hAnsi="Arial" w:cs="Arial"/>
        </w:rPr>
      </w:pPr>
    </w:p>
    <w:p w:rsidR="00FC4F38" w:rsidRDefault="00FC4F38" w:rsidP="0015454E">
      <w:pPr>
        <w:spacing w:line="360" w:lineRule="auto"/>
        <w:jc w:val="both"/>
        <w:rPr>
          <w:rFonts w:ascii="Arial" w:hAnsi="Arial" w:cs="Arial"/>
        </w:rPr>
      </w:pPr>
    </w:p>
    <w:p w:rsidR="00FC4F38" w:rsidRDefault="00FC4F38" w:rsidP="0015454E">
      <w:pPr>
        <w:spacing w:line="360" w:lineRule="auto"/>
        <w:jc w:val="both"/>
        <w:rPr>
          <w:rFonts w:ascii="Arial" w:hAnsi="Arial" w:cs="Arial"/>
        </w:rPr>
      </w:pPr>
    </w:p>
    <w:p w:rsidR="00FC4F38" w:rsidRDefault="00FC4F38" w:rsidP="0015454E">
      <w:pPr>
        <w:spacing w:line="360" w:lineRule="auto"/>
        <w:jc w:val="both"/>
        <w:rPr>
          <w:rFonts w:ascii="Arial" w:hAnsi="Arial" w:cs="Arial"/>
        </w:rPr>
      </w:pPr>
    </w:p>
    <w:p w:rsidR="00FC4F38" w:rsidRDefault="00FC4F38" w:rsidP="0015454E">
      <w:pPr>
        <w:spacing w:line="360" w:lineRule="auto"/>
        <w:jc w:val="both"/>
        <w:rPr>
          <w:rFonts w:ascii="Arial" w:hAnsi="Arial" w:cs="Arial"/>
        </w:rPr>
      </w:pPr>
    </w:p>
    <w:p w:rsidR="00FC4F38" w:rsidRDefault="00FC4F38" w:rsidP="0015454E">
      <w:pPr>
        <w:spacing w:line="360" w:lineRule="auto"/>
        <w:jc w:val="both"/>
        <w:rPr>
          <w:rFonts w:ascii="Arial" w:hAnsi="Arial" w:cs="Arial"/>
        </w:rPr>
      </w:pPr>
    </w:p>
    <w:p w:rsidR="00FC4F38" w:rsidRDefault="00FC4F38" w:rsidP="0015454E">
      <w:pPr>
        <w:spacing w:line="360" w:lineRule="auto"/>
        <w:jc w:val="both"/>
        <w:rPr>
          <w:rFonts w:ascii="Arial" w:hAnsi="Arial" w:cs="Arial"/>
        </w:rPr>
      </w:pPr>
    </w:p>
    <w:p w:rsidR="00FC4F38" w:rsidRDefault="00FC4F38" w:rsidP="0015454E">
      <w:pPr>
        <w:spacing w:line="360" w:lineRule="auto"/>
        <w:jc w:val="both"/>
        <w:rPr>
          <w:rFonts w:ascii="Arial" w:hAnsi="Arial" w:cs="Arial"/>
        </w:rPr>
      </w:pPr>
    </w:p>
    <w:p w:rsidR="00FC4F38" w:rsidRDefault="00FC4F38" w:rsidP="0015454E">
      <w:pPr>
        <w:spacing w:line="360" w:lineRule="auto"/>
        <w:jc w:val="both"/>
        <w:rPr>
          <w:rFonts w:ascii="Arial" w:hAnsi="Arial" w:cs="Arial"/>
        </w:rPr>
      </w:pPr>
    </w:p>
    <w:p w:rsidR="00FC4F38" w:rsidRDefault="00FC4F38" w:rsidP="0015454E">
      <w:pPr>
        <w:spacing w:line="360" w:lineRule="auto"/>
        <w:jc w:val="both"/>
        <w:rPr>
          <w:rFonts w:ascii="Arial" w:hAnsi="Arial" w:cs="Arial"/>
        </w:rPr>
      </w:pPr>
    </w:p>
    <w:p w:rsidR="00FC4F38" w:rsidRDefault="00FC4F38" w:rsidP="0015454E">
      <w:pPr>
        <w:spacing w:line="360" w:lineRule="auto"/>
        <w:jc w:val="both"/>
        <w:rPr>
          <w:rFonts w:ascii="Arial" w:hAnsi="Arial" w:cs="Arial"/>
        </w:rPr>
      </w:pPr>
    </w:p>
    <w:p w:rsidR="00FC4F38" w:rsidRDefault="00FC4F38" w:rsidP="0015454E">
      <w:pPr>
        <w:spacing w:line="360" w:lineRule="auto"/>
        <w:jc w:val="both"/>
        <w:rPr>
          <w:rFonts w:ascii="Arial" w:hAnsi="Arial" w:cs="Arial"/>
        </w:rPr>
      </w:pPr>
    </w:p>
    <w:p w:rsidR="00FC4F38" w:rsidRDefault="00FC4F38" w:rsidP="0015454E">
      <w:pPr>
        <w:spacing w:line="360" w:lineRule="auto"/>
        <w:jc w:val="both"/>
        <w:rPr>
          <w:rFonts w:ascii="Arial" w:hAnsi="Arial" w:cs="Arial"/>
        </w:rPr>
      </w:pPr>
    </w:p>
    <w:p w:rsidR="00FC4F38" w:rsidRDefault="00FC4F38" w:rsidP="0015454E">
      <w:pPr>
        <w:spacing w:line="360" w:lineRule="auto"/>
        <w:jc w:val="both"/>
        <w:rPr>
          <w:rFonts w:ascii="Arial" w:hAnsi="Arial" w:cs="Arial"/>
          <w:b/>
        </w:rPr>
      </w:pPr>
    </w:p>
    <w:p w:rsidR="0015454E" w:rsidRPr="00A67C09" w:rsidRDefault="0015454E" w:rsidP="0015454E">
      <w:pPr>
        <w:spacing w:line="360" w:lineRule="auto"/>
        <w:jc w:val="center"/>
        <w:rPr>
          <w:rFonts w:ascii="Arial" w:hAnsi="Arial" w:cs="Arial"/>
          <w:b/>
          <w:sz w:val="28"/>
          <w:szCs w:val="28"/>
        </w:rPr>
      </w:pPr>
      <w:r w:rsidRPr="00A67C09">
        <w:rPr>
          <w:rFonts w:ascii="Arial" w:hAnsi="Arial" w:cs="Arial"/>
          <w:b/>
          <w:sz w:val="28"/>
          <w:szCs w:val="28"/>
        </w:rPr>
        <w:t>CONCLUSIONES</w:t>
      </w:r>
    </w:p>
    <w:p w:rsidR="0015454E" w:rsidRPr="00991A27" w:rsidRDefault="0015454E" w:rsidP="0015454E">
      <w:pPr>
        <w:spacing w:line="360" w:lineRule="auto"/>
        <w:jc w:val="both"/>
        <w:rPr>
          <w:rFonts w:ascii="Arial" w:hAnsi="Arial" w:cs="Arial"/>
        </w:rPr>
      </w:pPr>
    </w:p>
    <w:p w:rsidR="0015454E" w:rsidRPr="00FC4F38" w:rsidRDefault="0015454E" w:rsidP="0015454E">
      <w:pPr>
        <w:numPr>
          <w:ilvl w:val="0"/>
          <w:numId w:val="27"/>
        </w:numPr>
        <w:spacing w:after="0" w:line="360" w:lineRule="auto"/>
        <w:jc w:val="both"/>
        <w:rPr>
          <w:rFonts w:ascii="Arial" w:hAnsi="Arial" w:cs="Arial"/>
          <w:sz w:val="24"/>
          <w:szCs w:val="24"/>
        </w:rPr>
      </w:pPr>
      <w:r w:rsidRPr="00FC4F38">
        <w:rPr>
          <w:rFonts w:ascii="Arial" w:hAnsi="Arial" w:cs="Arial"/>
          <w:sz w:val="24"/>
          <w:szCs w:val="24"/>
        </w:rPr>
        <w:t xml:space="preserve">La mayor parte de los créditos otorgados por parte de PRODUBANCO va a parar al segmento de créditos comerciales, dando también créditos de consumo y de vivienda, sin otorgar absolutamente nada a créditos para la microempresas. Si bien tiende a mantenerse esta participación mayoritaria por parte de los créditos comerciales, el margen por que aventaja a los demás créditos podría verse reducido, debido a que como logramos conocer que PRODUBANCO planea entrar también al mercado de los microcréditos. </w:t>
      </w:r>
    </w:p>
    <w:p w:rsidR="0015454E" w:rsidRPr="00FC4F38" w:rsidRDefault="0015454E" w:rsidP="0015454E">
      <w:pPr>
        <w:spacing w:line="360" w:lineRule="auto"/>
        <w:jc w:val="both"/>
        <w:rPr>
          <w:rFonts w:ascii="Arial" w:hAnsi="Arial" w:cs="Arial"/>
          <w:sz w:val="24"/>
          <w:szCs w:val="24"/>
        </w:rPr>
      </w:pPr>
    </w:p>
    <w:p w:rsidR="0015454E" w:rsidRPr="00FC4F38" w:rsidRDefault="0015454E" w:rsidP="0015454E">
      <w:pPr>
        <w:numPr>
          <w:ilvl w:val="0"/>
          <w:numId w:val="27"/>
        </w:numPr>
        <w:spacing w:after="0" w:line="360" w:lineRule="auto"/>
        <w:jc w:val="both"/>
        <w:rPr>
          <w:rFonts w:ascii="Arial" w:hAnsi="Arial" w:cs="Arial"/>
          <w:sz w:val="24"/>
          <w:szCs w:val="24"/>
        </w:rPr>
      </w:pPr>
      <w:r w:rsidRPr="00FC4F38">
        <w:rPr>
          <w:rFonts w:ascii="Arial" w:hAnsi="Arial" w:cs="Arial"/>
          <w:sz w:val="24"/>
          <w:szCs w:val="24"/>
        </w:rPr>
        <w:t>Las obligaciones con el público han tenido históricamente un crecimiento fuerte y sostenido. Desde el año 2000 hasta el 2007 reflejaron un crecimiento promedio del 27,652%. Este crecimiento porcentual ha desembocado en un crecimiento promedio anual de $116616143. Esta cuenta contiene las captaciones que el banco ha logrado obtener de sus clientes.</w:t>
      </w:r>
    </w:p>
    <w:p w:rsidR="0015454E" w:rsidRPr="00FC4F38" w:rsidRDefault="0015454E" w:rsidP="0015454E">
      <w:pPr>
        <w:spacing w:line="360" w:lineRule="auto"/>
        <w:jc w:val="both"/>
        <w:rPr>
          <w:rFonts w:ascii="Arial" w:hAnsi="Arial" w:cs="Arial"/>
          <w:sz w:val="24"/>
          <w:szCs w:val="24"/>
        </w:rPr>
      </w:pPr>
    </w:p>
    <w:p w:rsidR="0015454E" w:rsidRPr="00FC4F38" w:rsidRDefault="0015454E" w:rsidP="0015454E">
      <w:pPr>
        <w:numPr>
          <w:ilvl w:val="0"/>
          <w:numId w:val="27"/>
        </w:numPr>
        <w:spacing w:after="0" w:line="360" w:lineRule="auto"/>
        <w:jc w:val="both"/>
        <w:rPr>
          <w:rFonts w:ascii="Arial" w:hAnsi="Arial" w:cs="Arial"/>
          <w:sz w:val="24"/>
          <w:szCs w:val="24"/>
        </w:rPr>
      </w:pPr>
      <w:r w:rsidRPr="00FC4F38">
        <w:rPr>
          <w:rFonts w:ascii="Arial" w:hAnsi="Arial" w:cs="Arial"/>
          <w:sz w:val="24"/>
          <w:szCs w:val="24"/>
        </w:rPr>
        <w:t>Este crecimiento en las obligaciones con el público ha dado paso a un fuerte crecimiento también en las colocaciones, como era de esperarse. El aumento de las colocaciones en este mismo período (2000 – 2007) fue de 22, 134%, lo cual en términos monetarios representa un crecimiento promedio anual de $65754857.</w:t>
      </w:r>
    </w:p>
    <w:p w:rsidR="0015454E" w:rsidRPr="00FC4F38" w:rsidRDefault="0015454E" w:rsidP="0015454E">
      <w:pPr>
        <w:spacing w:line="360" w:lineRule="auto"/>
        <w:ind w:left="360"/>
        <w:jc w:val="both"/>
        <w:rPr>
          <w:rFonts w:ascii="Arial" w:hAnsi="Arial" w:cs="Arial"/>
          <w:sz w:val="24"/>
          <w:szCs w:val="24"/>
        </w:rPr>
      </w:pPr>
    </w:p>
    <w:p w:rsidR="0015454E" w:rsidRPr="00FC4F38" w:rsidRDefault="0015454E" w:rsidP="0015454E">
      <w:pPr>
        <w:numPr>
          <w:ilvl w:val="0"/>
          <w:numId w:val="27"/>
        </w:numPr>
        <w:spacing w:after="0" w:line="360" w:lineRule="auto"/>
        <w:jc w:val="both"/>
        <w:rPr>
          <w:rFonts w:ascii="Arial" w:hAnsi="Arial" w:cs="Arial"/>
          <w:sz w:val="24"/>
          <w:szCs w:val="24"/>
        </w:rPr>
      </w:pPr>
      <w:r w:rsidRPr="00FC4F38">
        <w:rPr>
          <w:rFonts w:ascii="Arial" w:hAnsi="Arial" w:cs="Arial"/>
          <w:sz w:val="24"/>
          <w:szCs w:val="24"/>
        </w:rPr>
        <w:lastRenderedPageBreak/>
        <w:t>En cuanto a los gastos de operación PRODUBANCO ha mejorado mucho, ahora esta por debajo del promedio de los Bancos grandes del sistema y en los últimos 3 años consiguió situarse como el segundo mas eficiente por detrás del Banco del Pacífico (antes de eso estaba tercero entre los 4 bancos grandes, superando solo al Banco del Pichincha)</w:t>
      </w:r>
    </w:p>
    <w:p w:rsidR="0015454E" w:rsidRPr="00FC4F38" w:rsidRDefault="0015454E" w:rsidP="0015454E">
      <w:pPr>
        <w:numPr>
          <w:ilvl w:val="0"/>
          <w:numId w:val="27"/>
        </w:numPr>
        <w:spacing w:after="0" w:line="360" w:lineRule="auto"/>
        <w:jc w:val="both"/>
        <w:rPr>
          <w:rFonts w:ascii="Arial" w:hAnsi="Arial" w:cs="Arial"/>
          <w:sz w:val="24"/>
          <w:szCs w:val="24"/>
        </w:rPr>
      </w:pPr>
      <w:r w:rsidRPr="00FC4F38">
        <w:rPr>
          <w:rFonts w:ascii="Arial" w:hAnsi="Arial" w:cs="Arial"/>
          <w:sz w:val="24"/>
          <w:szCs w:val="24"/>
        </w:rPr>
        <w:t>La tasa de costo patrimonial para PRODUBANCO fue de 19, 54% y fue calculada usando parámetros estadounidenses mediante el cálculo del CAPM y luego la ajustamos al mercado financiero ecuatoriano a través del riesgo país. Tuvimos que hacer esto debido a que el poco movimiento del mercado accionario ecuatoriano imposibilita el cálculo de un factor beta estadísticamente significativo.</w:t>
      </w:r>
    </w:p>
    <w:p w:rsidR="0015454E" w:rsidRPr="00FC4F38" w:rsidRDefault="0015454E" w:rsidP="0015454E">
      <w:pPr>
        <w:spacing w:line="360" w:lineRule="auto"/>
        <w:ind w:left="360"/>
        <w:jc w:val="both"/>
        <w:rPr>
          <w:rFonts w:ascii="Arial" w:hAnsi="Arial" w:cs="Arial"/>
          <w:sz w:val="24"/>
          <w:szCs w:val="24"/>
        </w:rPr>
      </w:pPr>
    </w:p>
    <w:p w:rsidR="0015454E" w:rsidRPr="00FC4F38" w:rsidRDefault="0015454E" w:rsidP="0015454E">
      <w:pPr>
        <w:numPr>
          <w:ilvl w:val="0"/>
          <w:numId w:val="27"/>
        </w:numPr>
        <w:spacing w:after="0" w:line="360" w:lineRule="auto"/>
        <w:jc w:val="both"/>
        <w:rPr>
          <w:rFonts w:ascii="Arial" w:hAnsi="Arial" w:cs="Arial"/>
          <w:sz w:val="24"/>
          <w:szCs w:val="24"/>
        </w:rPr>
      </w:pPr>
      <w:r w:rsidRPr="00FC4F38">
        <w:rPr>
          <w:rFonts w:ascii="Arial" w:hAnsi="Arial" w:cs="Arial"/>
          <w:sz w:val="24"/>
          <w:szCs w:val="24"/>
        </w:rPr>
        <w:t xml:space="preserve">Según nuestra valoración el precio de la acción es $2, 2197 mientras que el precio en el mercado es $1,95.  Como podemos observar encontramos una subvaloración en el precio de la acción. Esto se debe primordialmente a la falta de confianza que aun queda sobre </w:t>
      </w:r>
      <w:smartTag w:uri="urn:schemas-microsoft-com:office:smarttags" w:element="PersonName">
        <w:smartTagPr>
          <w:attr w:name="ProductID" w:val="la Banca"/>
        </w:smartTagPr>
        <w:r w:rsidRPr="00FC4F38">
          <w:rPr>
            <w:rFonts w:ascii="Arial" w:hAnsi="Arial" w:cs="Arial"/>
            <w:sz w:val="24"/>
            <w:szCs w:val="24"/>
          </w:rPr>
          <w:t>la Banca</w:t>
        </w:r>
      </w:smartTag>
      <w:r w:rsidRPr="00FC4F38">
        <w:rPr>
          <w:rFonts w:ascii="Arial" w:hAnsi="Arial" w:cs="Arial"/>
          <w:sz w:val="24"/>
          <w:szCs w:val="24"/>
        </w:rPr>
        <w:t xml:space="preserve"> ecuatoriana. </w:t>
      </w:r>
    </w:p>
    <w:p w:rsidR="0015454E" w:rsidRPr="00FC4F38" w:rsidRDefault="0015454E" w:rsidP="0015454E">
      <w:pPr>
        <w:spacing w:line="360" w:lineRule="auto"/>
        <w:ind w:left="360"/>
        <w:jc w:val="both"/>
        <w:rPr>
          <w:rFonts w:ascii="Arial" w:hAnsi="Arial" w:cs="Arial"/>
          <w:sz w:val="24"/>
          <w:szCs w:val="24"/>
        </w:rPr>
      </w:pPr>
    </w:p>
    <w:p w:rsidR="0015454E" w:rsidRPr="00FC4F38" w:rsidRDefault="0015454E" w:rsidP="0015454E">
      <w:pPr>
        <w:numPr>
          <w:ilvl w:val="0"/>
          <w:numId w:val="27"/>
        </w:numPr>
        <w:spacing w:after="0" w:line="360" w:lineRule="auto"/>
        <w:jc w:val="both"/>
        <w:rPr>
          <w:rFonts w:ascii="Arial" w:hAnsi="Arial" w:cs="Arial"/>
          <w:sz w:val="24"/>
          <w:szCs w:val="24"/>
        </w:rPr>
      </w:pPr>
      <w:r w:rsidRPr="00FC4F38">
        <w:rPr>
          <w:rFonts w:ascii="Arial" w:hAnsi="Arial" w:cs="Arial"/>
          <w:sz w:val="24"/>
          <w:szCs w:val="24"/>
        </w:rPr>
        <w:t xml:space="preserve">Una variación de 5% en las Colocaciones brutas provoca una variación de 1, 47% en el precio, lo de que demuestra una gran sensibilidad del precio respecto a dichas variaciones en las colocaciones. </w:t>
      </w:r>
    </w:p>
    <w:p w:rsidR="0015454E" w:rsidRPr="00FC4F38" w:rsidRDefault="0015454E" w:rsidP="0015454E">
      <w:pPr>
        <w:spacing w:line="360" w:lineRule="auto"/>
        <w:ind w:left="360"/>
        <w:jc w:val="both"/>
        <w:rPr>
          <w:rFonts w:ascii="Arial" w:hAnsi="Arial" w:cs="Arial"/>
          <w:sz w:val="24"/>
          <w:szCs w:val="24"/>
        </w:rPr>
      </w:pPr>
    </w:p>
    <w:p w:rsidR="0015454E" w:rsidRPr="00FC4F38" w:rsidRDefault="0015454E" w:rsidP="0015454E">
      <w:pPr>
        <w:numPr>
          <w:ilvl w:val="0"/>
          <w:numId w:val="27"/>
        </w:numPr>
        <w:spacing w:after="0" w:line="360" w:lineRule="auto"/>
        <w:jc w:val="both"/>
        <w:rPr>
          <w:rFonts w:ascii="Arial" w:hAnsi="Arial" w:cs="Arial"/>
          <w:sz w:val="24"/>
          <w:szCs w:val="24"/>
        </w:rPr>
      </w:pPr>
      <w:r w:rsidRPr="00FC4F38">
        <w:rPr>
          <w:rFonts w:ascii="Arial" w:hAnsi="Arial" w:cs="Arial"/>
          <w:sz w:val="24"/>
          <w:szCs w:val="24"/>
        </w:rPr>
        <w:t xml:space="preserve">De las 3 cuentas de las cuales analizamos su sensibilidad la única que tiene pendiente negativa es </w:t>
      </w:r>
      <w:smartTag w:uri="urn:schemas-microsoft-com:office:smarttags" w:element="PersonName">
        <w:smartTagPr>
          <w:attr w:name="ProductID" w:val="la Cartera"/>
        </w:smartTagPr>
        <w:r w:rsidRPr="00FC4F38">
          <w:rPr>
            <w:rFonts w:ascii="Arial" w:hAnsi="Arial" w:cs="Arial"/>
            <w:sz w:val="24"/>
            <w:szCs w:val="24"/>
          </w:rPr>
          <w:t>la Cartera</w:t>
        </w:r>
      </w:smartTag>
      <w:r w:rsidRPr="00FC4F38">
        <w:rPr>
          <w:rFonts w:ascii="Arial" w:hAnsi="Arial" w:cs="Arial"/>
          <w:sz w:val="24"/>
          <w:szCs w:val="24"/>
        </w:rPr>
        <w:t xml:space="preserve"> vencida. Y es por obvias razones. Un aumento en </w:t>
      </w:r>
      <w:smartTag w:uri="urn:schemas-microsoft-com:office:smarttags" w:element="PersonName">
        <w:smartTagPr>
          <w:attr w:name="ProductID" w:val="la Cartera"/>
        </w:smartTagPr>
        <w:r w:rsidRPr="00FC4F38">
          <w:rPr>
            <w:rFonts w:ascii="Arial" w:hAnsi="Arial" w:cs="Arial"/>
            <w:sz w:val="24"/>
            <w:szCs w:val="24"/>
          </w:rPr>
          <w:t>la Cartera</w:t>
        </w:r>
      </w:smartTag>
      <w:r w:rsidRPr="00FC4F38">
        <w:rPr>
          <w:rFonts w:ascii="Arial" w:hAnsi="Arial" w:cs="Arial"/>
          <w:sz w:val="24"/>
          <w:szCs w:val="24"/>
        </w:rPr>
        <w:t xml:space="preserve"> vencida provoca un alza en las provisiones que hay que realizar, lo que a su vez engrosa el rubro de </w:t>
      </w:r>
      <w:r w:rsidRPr="00FC4F38">
        <w:rPr>
          <w:rFonts w:ascii="Arial" w:hAnsi="Arial" w:cs="Arial"/>
          <w:sz w:val="24"/>
          <w:szCs w:val="24"/>
        </w:rPr>
        <w:lastRenderedPageBreak/>
        <w:t xml:space="preserve">Gastos por provisión. Entonces esto influye en el Estado de Resultados lo que al final provoca una baja en el precio de la acción. </w:t>
      </w:r>
    </w:p>
    <w:p w:rsidR="0015454E" w:rsidRPr="00FC4F38" w:rsidRDefault="0015454E" w:rsidP="0015454E">
      <w:pPr>
        <w:spacing w:line="360" w:lineRule="auto"/>
        <w:ind w:left="360"/>
        <w:jc w:val="both"/>
        <w:rPr>
          <w:rFonts w:ascii="Arial" w:hAnsi="Arial" w:cs="Arial"/>
          <w:sz w:val="24"/>
          <w:szCs w:val="24"/>
        </w:rPr>
      </w:pPr>
    </w:p>
    <w:p w:rsidR="0015454E" w:rsidRPr="00FC4F38" w:rsidRDefault="0015454E" w:rsidP="0015454E">
      <w:pPr>
        <w:numPr>
          <w:ilvl w:val="0"/>
          <w:numId w:val="27"/>
        </w:numPr>
        <w:spacing w:after="0" w:line="360" w:lineRule="auto"/>
        <w:jc w:val="both"/>
        <w:rPr>
          <w:rFonts w:ascii="Arial" w:hAnsi="Arial" w:cs="Arial"/>
          <w:sz w:val="24"/>
          <w:szCs w:val="24"/>
        </w:rPr>
      </w:pPr>
      <w:r w:rsidRPr="00FC4F38">
        <w:rPr>
          <w:rFonts w:ascii="Arial" w:hAnsi="Arial" w:cs="Arial"/>
          <w:sz w:val="24"/>
          <w:szCs w:val="24"/>
        </w:rPr>
        <w:t>Todos sabemos que la industria financiera en general está basada en la confianza, es por eso que los esfuerzos de PRODUBANCO por mantener altos ratios de liquidez y solvencia apuntan hacia allá. Inclusive esa es una de las razones por las que esta entre los planes inmediatos ingresar al mercado de los microcréditos. Al hacer esto quizás halla que mejorar la gestión de cobro, pero al tener más clientes aumentará la confianza del público en general.</w:t>
      </w:r>
    </w:p>
    <w:p w:rsidR="0015454E" w:rsidRPr="00991A27" w:rsidRDefault="0015454E" w:rsidP="0015454E">
      <w:pPr>
        <w:spacing w:line="360" w:lineRule="auto"/>
        <w:jc w:val="both"/>
        <w:rPr>
          <w:rFonts w:ascii="Arial" w:hAnsi="Arial" w:cs="Arial"/>
        </w:rPr>
      </w:pPr>
    </w:p>
    <w:p w:rsidR="0015454E" w:rsidRPr="00991A27" w:rsidRDefault="0015454E" w:rsidP="0015454E">
      <w:pPr>
        <w:spacing w:line="360" w:lineRule="auto"/>
        <w:jc w:val="both"/>
        <w:rPr>
          <w:rFonts w:ascii="Arial" w:hAnsi="Arial" w:cs="Arial"/>
        </w:rPr>
      </w:pPr>
    </w:p>
    <w:p w:rsidR="0015454E" w:rsidRPr="00991A27" w:rsidRDefault="0015454E" w:rsidP="0015454E">
      <w:pPr>
        <w:spacing w:line="360" w:lineRule="auto"/>
        <w:jc w:val="both"/>
        <w:rPr>
          <w:rFonts w:ascii="Arial" w:hAnsi="Arial" w:cs="Arial"/>
        </w:rPr>
      </w:pPr>
      <w:r w:rsidRPr="00991A27">
        <w:rPr>
          <w:rFonts w:ascii="Arial" w:hAnsi="Arial" w:cs="Arial"/>
        </w:rPr>
        <w:t xml:space="preserve"> </w:t>
      </w:r>
    </w:p>
    <w:p w:rsidR="0015454E" w:rsidRPr="00991A27" w:rsidRDefault="0015454E" w:rsidP="0015454E">
      <w:pPr>
        <w:spacing w:line="360" w:lineRule="auto"/>
        <w:jc w:val="both"/>
        <w:rPr>
          <w:rFonts w:ascii="Arial" w:hAnsi="Arial" w:cs="Arial"/>
        </w:rPr>
      </w:pPr>
    </w:p>
    <w:p w:rsidR="0015454E" w:rsidRPr="00991A27" w:rsidRDefault="0015454E" w:rsidP="0015454E">
      <w:pPr>
        <w:spacing w:line="360" w:lineRule="auto"/>
        <w:jc w:val="both"/>
        <w:rPr>
          <w:rFonts w:ascii="Arial" w:hAnsi="Arial" w:cs="Arial"/>
        </w:rPr>
      </w:pPr>
    </w:p>
    <w:p w:rsidR="0015454E" w:rsidRDefault="00070D5A" w:rsidP="006774DB">
      <w:pPr>
        <w:ind w:firstLine="454"/>
        <w:jc w:val="both"/>
        <w:rPr>
          <w:rStyle w:val="Refdenotaalpie1"/>
          <w:rFonts w:ascii="Arial" w:hAnsi="Arial" w:cs="Arial"/>
          <w:color w:val="000000"/>
          <w:lang/>
        </w:rPr>
      </w:pPr>
      <w:r>
        <w:rPr>
          <w:rStyle w:val="Refdenotaalpie1"/>
          <w:rFonts w:ascii="Arial" w:hAnsi="Arial" w:cs="Arial"/>
          <w:color w:val="000000"/>
          <w:lang/>
        </w:rPr>
        <w:br w:type="page"/>
      </w:r>
    </w:p>
    <w:p w:rsidR="00070D5A" w:rsidRDefault="00070D5A" w:rsidP="006774DB">
      <w:pPr>
        <w:ind w:firstLine="454"/>
        <w:jc w:val="both"/>
        <w:rPr>
          <w:rStyle w:val="Refdenotaalpie1"/>
          <w:rFonts w:ascii="Arial" w:hAnsi="Arial" w:cs="Arial"/>
          <w:color w:val="000000"/>
          <w:lang/>
        </w:rPr>
      </w:pPr>
    </w:p>
    <w:p w:rsidR="00070D5A" w:rsidRDefault="00070D5A" w:rsidP="006774DB">
      <w:pPr>
        <w:ind w:firstLine="454"/>
        <w:jc w:val="both"/>
        <w:rPr>
          <w:rStyle w:val="Refdenotaalpie1"/>
          <w:rFonts w:ascii="Arial" w:hAnsi="Arial" w:cs="Arial"/>
          <w:color w:val="000000"/>
          <w:lang/>
        </w:rPr>
      </w:pPr>
    </w:p>
    <w:p w:rsidR="00070D5A" w:rsidRDefault="00070D5A" w:rsidP="006774DB">
      <w:pPr>
        <w:ind w:firstLine="454"/>
        <w:jc w:val="both"/>
        <w:rPr>
          <w:rStyle w:val="Refdenotaalpie1"/>
          <w:rFonts w:ascii="Arial" w:hAnsi="Arial" w:cs="Arial"/>
          <w:color w:val="000000"/>
          <w:lang/>
        </w:rPr>
      </w:pPr>
    </w:p>
    <w:p w:rsidR="00070D5A" w:rsidRPr="0015454E" w:rsidRDefault="00070D5A" w:rsidP="006774DB">
      <w:pPr>
        <w:ind w:firstLine="454"/>
        <w:jc w:val="both"/>
        <w:rPr>
          <w:rStyle w:val="Refdenotaalpie1"/>
          <w:rFonts w:ascii="Arial" w:hAnsi="Arial" w:cs="Arial"/>
          <w:color w:val="000000"/>
          <w:lang/>
        </w:rPr>
      </w:pPr>
    </w:p>
    <w:p w:rsidR="0015454E" w:rsidRDefault="0015454E" w:rsidP="006774DB">
      <w:pPr>
        <w:ind w:firstLine="454"/>
        <w:jc w:val="both"/>
        <w:rPr>
          <w:rStyle w:val="Refdenotaalpie1"/>
          <w:rFonts w:ascii="Arial" w:hAnsi="Arial" w:cs="Arial"/>
          <w:color w:val="000000"/>
          <w:lang w:val="es-ES"/>
        </w:rPr>
      </w:pPr>
    </w:p>
    <w:p w:rsidR="0015454E" w:rsidRDefault="0015454E" w:rsidP="006774DB">
      <w:pPr>
        <w:ind w:firstLine="454"/>
        <w:jc w:val="both"/>
        <w:rPr>
          <w:rStyle w:val="Refdenotaalpie1"/>
          <w:rFonts w:ascii="Arial" w:hAnsi="Arial" w:cs="Arial"/>
          <w:color w:val="000000"/>
          <w:lang w:val="es-ES"/>
        </w:rPr>
      </w:pPr>
    </w:p>
    <w:p w:rsidR="0015454E" w:rsidRDefault="0015454E" w:rsidP="006774DB">
      <w:pPr>
        <w:ind w:firstLine="454"/>
        <w:jc w:val="both"/>
        <w:rPr>
          <w:rStyle w:val="Refdenotaalpie1"/>
          <w:rFonts w:ascii="Arial" w:hAnsi="Arial" w:cs="Arial"/>
          <w:color w:val="000000"/>
          <w:lang w:val="es-ES"/>
        </w:rPr>
      </w:pPr>
    </w:p>
    <w:p w:rsidR="0015454E" w:rsidRDefault="0015454E" w:rsidP="006774DB">
      <w:pPr>
        <w:ind w:firstLine="454"/>
        <w:jc w:val="both"/>
        <w:rPr>
          <w:rStyle w:val="Refdenotaalpie1"/>
          <w:rFonts w:ascii="Arial" w:hAnsi="Arial" w:cs="Arial"/>
          <w:color w:val="000000"/>
          <w:lang w:val="es-ES"/>
        </w:rPr>
      </w:pPr>
    </w:p>
    <w:p w:rsidR="00070D5A" w:rsidRPr="00A40840" w:rsidRDefault="00070D5A" w:rsidP="00070D5A">
      <w:pPr>
        <w:shd w:val="clear" w:color="auto" w:fill="FFFFFF"/>
        <w:jc w:val="center"/>
        <w:rPr>
          <w:rFonts w:ascii="Verdana" w:hAnsi="Verdana"/>
          <w:sz w:val="96"/>
          <w:szCs w:val="96"/>
        </w:rPr>
      </w:pPr>
      <w:r w:rsidRPr="00A40840">
        <w:rPr>
          <w:rStyle w:val="ec873031620-03092008"/>
          <w:rFonts w:ascii="Arial" w:hAnsi="Arial" w:cs="Arial"/>
          <w:sz w:val="96"/>
          <w:szCs w:val="96"/>
        </w:rPr>
        <w:t>ANEXOS</w:t>
      </w:r>
    </w:p>
    <w:p w:rsidR="0015454E" w:rsidRDefault="0015454E" w:rsidP="006774DB">
      <w:pPr>
        <w:ind w:firstLine="454"/>
        <w:jc w:val="both"/>
        <w:rPr>
          <w:rStyle w:val="Refdenotaalpie1"/>
          <w:rFonts w:ascii="Arial" w:hAnsi="Arial" w:cs="Arial"/>
          <w:color w:val="000000"/>
          <w:lang w:val="es-ES"/>
        </w:rPr>
      </w:pPr>
    </w:p>
    <w:p w:rsidR="0015454E" w:rsidRDefault="0015454E" w:rsidP="006774DB">
      <w:pPr>
        <w:ind w:firstLine="454"/>
        <w:jc w:val="both"/>
        <w:rPr>
          <w:rStyle w:val="Refdenotaalpie1"/>
          <w:rFonts w:ascii="Arial" w:hAnsi="Arial" w:cs="Arial"/>
          <w:color w:val="000000"/>
          <w:lang w:val="es-ES"/>
        </w:rPr>
      </w:pPr>
    </w:p>
    <w:p w:rsidR="0015454E" w:rsidRDefault="0015454E" w:rsidP="006774DB">
      <w:pPr>
        <w:ind w:firstLine="454"/>
        <w:jc w:val="both"/>
        <w:rPr>
          <w:rStyle w:val="Refdenotaalpie1"/>
          <w:rFonts w:ascii="Arial" w:hAnsi="Arial" w:cs="Arial"/>
          <w:color w:val="000000"/>
          <w:lang w:val="es-ES"/>
        </w:rPr>
      </w:pPr>
    </w:p>
    <w:p w:rsidR="00070D5A" w:rsidRDefault="00070D5A" w:rsidP="006774DB">
      <w:pPr>
        <w:ind w:firstLine="454"/>
        <w:jc w:val="both"/>
        <w:rPr>
          <w:rStyle w:val="Refdenotaalpie1"/>
          <w:rFonts w:ascii="Arial" w:hAnsi="Arial" w:cs="Arial"/>
          <w:color w:val="000000"/>
          <w:lang w:val="es-ES"/>
        </w:rPr>
      </w:pPr>
    </w:p>
    <w:p w:rsidR="00070D5A" w:rsidRPr="00AA6081" w:rsidRDefault="00070D5A" w:rsidP="00070D5A">
      <w:pPr>
        <w:spacing w:line="360" w:lineRule="auto"/>
        <w:jc w:val="center"/>
        <w:rPr>
          <w:rFonts w:ascii="Arial" w:hAnsi="Arial" w:cs="Arial"/>
          <w:b/>
          <w:sz w:val="28"/>
          <w:szCs w:val="28"/>
          <w:lang w:val="es-MX"/>
        </w:rPr>
      </w:pPr>
      <w:r>
        <w:rPr>
          <w:rStyle w:val="Refdenotaalpie1"/>
          <w:rFonts w:ascii="Arial" w:hAnsi="Arial" w:cs="Arial"/>
          <w:color w:val="000000"/>
          <w:lang w:val="es-ES"/>
        </w:rPr>
        <w:br w:type="page"/>
      </w:r>
      <w:r w:rsidRPr="00AA6081">
        <w:rPr>
          <w:rFonts w:ascii="Arial" w:hAnsi="Arial" w:cs="Arial"/>
          <w:b/>
          <w:sz w:val="28"/>
          <w:szCs w:val="28"/>
          <w:lang w:val="es-MX"/>
        </w:rPr>
        <w:lastRenderedPageBreak/>
        <w:t>ANEXO 01</w:t>
      </w:r>
    </w:p>
    <w:p w:rsidR="00070D5A" w:rsidRPr="00AA6081" w:rsidRDefault="00070D5A" w:rsidP="00070D5A">
      <w:pPr>
        <w:spacing w:line="360" w:lineRule="auto"/>
        <w:jc w:val="both"/>
        <w:rPr>
          <w:rFonts w:ascii="Arial" w:hAnsi="Arial" w:cs="Arial"/>
          <w:b/>
          <w:sz w:val="28"/>
          <w:szCs w:val="28"/>
          <w:lang w:val="es-MX"/>
        </w:rPr>
      </w:pPr>
    </w:p>
    <w:p w:rsidR="00070D5A" w:rsidRPr="00AA6081" w:rsidRDefault="00070D5A" w:rsidP="00070D5A">
      <w:pPr>
        <w:spacing w:line="360" w:lineRule="auto"/>
        <w:jc w:val="center"/>
        <w:rPr>
          <w:rFonts w:ascii="Arial" w:hAnsi="Arial" w:cs="Arial"/>
          <w:b/>
          <w:sz w:val="28"/>
          <w:szCs w:val="28"/>
          <w:lang w:val="es-MX"/>
        </w:rPr>
      </w:pPr>
      <w:r w:rsidRPr="00AA6081">
        <w:rPr>
          <w:rFonts w:ascii="Arial" w:hAnsi="Arial" w:cs="Arial"/>
          <w:b/>
          <w:sz w:val="28"/>
          <w:szCs w:val="28"/>
          <w:lang w:val="es-MX"/>
        </w:rPr>
        <w:t>EMPRESAS E INS</w:t>
      </w:r>
      <w:r>
        <w:rPr>
          <w:rFonts w:ascii="Arial" w:hAnsi="Arial" w:cs="Arial"/>
          <w:b/>
          <w:sz w:val="28"/>
          <w:szCs w:val="28"/>
          <w:lang w:val="es-MX"/>
        </w:rPr>
        <w:t>T</w:t>
      </w:r>
      <w:r w:rsidRPr="00AA6081">
        <w:rPr>
          <w:rFonts w:ascii="Arial" w:hAnsi="Arial" w:cs="Arial"/>
          <w:b/>
          <w:sz w:val="28"/>
          <w:szCs w:val="28"/>
          <w:lang w:val="es-MX"/>
        </w:rPr>
        <w:t xml:space="preserve">ITUCIONES DEL GRUPO FINANCIERO </w:t>
      </w:r>
      <w:smartTag w:uri="urn:schemas-microsoft-com:office:smarttags" w:element="PersonName">
        <w:smartTagPr>
          <w:attr w:name="ProductID" w:val="la Producción"/>
        </w:smartTagPr>
        <w:r w:rsidRPr="00AA6081">
          <w:rPr>
            <w:rFonts w:ascii="Arial" w:hAnsi="Arial" w:cs="Arial"/>
            <w:b/>
            <w:sz w:val="28"/>
            <w:szCs w:val="28"/>
            <w:lang w:val="es-MX"/>
          </w:rPr>
          <w:t>LA PRODUCCIÓN</w:t>
        </w:r>
      </w:smartTag>
    </w:p>
    <w:p w:rsidR="00070D5A" w:rsidRDefault="00070D5A" w:rsidP="00070D5A">
      <w:pPr>
        <w:spacing w:line="360" w:lineRule="auto"/>
        <w:rPr>
          <w:rFonts w:ascii="Arial" w:hAnsi="Arial" w:cs="Arial"/>
          <w:lang w:val="es-MX"/>
        </w:rPr>
      </w:pPr>
    </w:p>
    <w:p w:rsidR="00070D5A" w:rsidRPr="00FD1872" w:rsidRDefault="00070D5A" w:rsidP="00070D5A">
      <w:pPr>
        <w:spacing w:line="360" w:lineRule="auto"/>
        <w:rPr>
          <w:rFonts w:ascii="Arial" w:hAnsi="Arial" w:cs="Arial"/>
          <w:lang w:val="es-MX"/>
        </w:rPr>
      </w:pPr>
    </w:p>
    <w:p w:rsidR="00070D5A" w:rsidRDefault="00070D5A" w:rsidP="00070D5A">
      <w:pPr>
        <w:numPr>
          <w:ilvl w:val="0"/>
          <w:numId w:val="28"/>
        </w:numPr>
        <w:spacing w:after="0" w:line="360" w:lineRule="auto"/>
        <w:rPr>
          <w:rFonts w:ascii="Arial" w:hAnsi="Arial" w:cs="Arial"/>
          <w:lang w:val="es-MX"/>
        </w:rPr>
      </w:pPr>
      <w:r w:rsidRPr="00FD1872">
        <w:rPr>
          <w:rFonts w:ascii="Arial" w:hAnsi="Arial" w:cs="Arial"/>
          <w:lang w:val="es-MX"/>
        </w:rPr>
        <w:t>Produbanco</w:t>
      </w:r>
    </w:p>
    <w:p w:rsidR="00070D5A" w:rsidRPr="00FD1872" w:rsidRDefault="00070D5A" w:rsidP="00070D5A">
      <w:pPr>
        <w:spacing w:line="360" w:lineRule="auto"/>
        <w:rPr>
          <w:rFonts w:ascii="Arial" w:hAnsi="Arial" w:cs="Arial"/>
          <w:lang w:val="es-MX"/>
        </w:rPr>
      </w:pPr>
    </w:p>
    <w:p w:rsidR="00070D5A" w:rsidRDefault="00070D5A" w:rsidP="00070D5A">
      <w:pPr>
        <w:numPr>
          <w:ilvl w:val="0"/>
          <w:numId w:val="28"/>
        </w:numPr>
        <w:spacing w:after="0" w:line="360" w:lineRule="auto"/>
        <w:rPr>
          <w:rFonts w:ascii="Arial" w:hAnsi="Arial" w:cs="Arial"/>
          <w:lang w:val="es-MX"/>
        </w:rPr>
      </w:pPr>
      <w:r w:rsidRPr="00FD1872">
        <w:rPr>
          <w:rFonts w:ascii="Arial" w:hAnsi="Arial" w:cs="Arial"/>
          <w:lang w:val="es-MX"/>
        </w:rPr>
        <w:t>Produbank</w:t>
      </w:r>
    </w:p>
    <w:p w:rsidR="00070D5A" w:rsidRPr="00FD1872" w:rsidRDefault="00070D5A" w:rsidP="00070D5A">
      <w:pPr>
        <w:spacing w:line="360" w:lineRule="auto"/>
        <w:rPr>
          <w:rFonts w:ascii="Arial" w:hAnsi="Arial" w:cs="Arial"/>
          <w:lang w:val="es-MX"/>
        </w:rPr>
      </w:pPr>
    </w:p>
    <w:p w:rsidR="00070D5A" w:rsidRDefault="00070D5A" w:rsidP="00070D5A">
      <w:pPr>
        <w:numPr>
          <w:ilvl w:val="0"/>
          <w:numId w:val="28"/>
        </w:numPr>
        <w:spacing w:after="0" w:line="360" w:lineRule="auto"/>
        <w:rPr>
          <w:rFonts w:ascii="Arial" w:hAnsi="Arial" w:cs="Arial"/>
          <w:lang w:val="es-MX"/>
        </w:rPr>
      </w:pPr>
      <w:r w:rsidRPr="00FD1872">
        <w:rPr>
          <w:rFonts w:ascii="Arial" w:hAnsi="Arial" w:cs="Arial"/>
          <w:lang w:val="es-MX"/>
        </w:rPr>
        <w:t>Produfondos (Administradora de Fondos)</w:t>
      </w:r>
    </w:p>
    <w:p w:rsidR="00070D5A" w:rsidRPr="00FD1872" w:rsidRDefault="00070D5A" w:rsidP="00070D5A">
      <w:pPr>
        <w:spacing w:line="360" w:lineRule="auto"/>
        <w:rPr>
          <w:rFonts w:ascii="Arial" w:hAnsi="Arial" w:cs="Arial"/>
          <w:lang w:val="es-MX"/>
        </w:rPr>
      </w:pPr>
    </w:p>
    <w:p w:rsidR="00070D5A" w:rsidRDefault="00070D5A" w:rsidP="00070D5A">
      <w:pPr>
        <w:numPr>
          <w:ilvl w:val="0"/>
          <w:numId w:val="28"/>
        </w:numPr>
        <w:spacing w:after="0" w:line="360" w:lineRule="auto"/>
        <w:rPr>
          <w:rFonts w:ascii="Arial" w:hAnsi="Arial" w:cs="Arial"/>
          <w:lang w:val="es-MX"/>
        </w:rPr>
      </w:pPr>
      <w:r w:rsidRPr="00FD1872">
        <w:rPr>
          <w:rFonts w:ascii="Arial" w:hAnsi="Arial" w:cs="Arial"/>
          <w:lang w:val="es-MX"/>
        </w:rPr>
        <w:t xml:space="preserve">Produvalores (Casa de Valores) </w:t>
      </w:r>
    </w:p>
    <w:p w:rsidR="00070D5A" w:rsidRPr="00FD1872" w:rsidRDefault="00070D5A" w:rsidP="00070D5A">
      <w:pPr>
        <w:spacing w:line="360" w:lineRule="auto"/>
        <w:rPr>
          <w:rFonts w:ascii="Arial" w:hAnsi="Arial" w:cs="Arial"/>
          <w:lang w:val="es-MX"/>
        </w:rPr>
      </w:pPr>
    </w:p>
    <w:p w:rsidR="00070D5A" w:rsidRDefault="00070D5A" w:rsidP="00070D5A">
      <w:pPr>
        <w:numPr>
          <w:ilvl w:val="0"/>
          <w:numId w:val="28"/>
        </w:numPr>
        <w:spacing w:after="0" w:line="360" w:lineRule="auto"/>
        <w:rPr>
          <w:rFonts w:ascii="Arial" w:hAnsi="Arial" w:cs="Arial"/>
          <w:lang w:val="es-MX"/>
        </w:rPr>
      </w:pPr>
      <w:r w:rsidRPr="00FD1872">
        <w:rPr>
          <w:rFonts w:ascii="Arial" w:hAnsi="Arial" w:cs="Arial"/>
          <w:lang w:val="es-MX"/>
        </w:rPr>
        <w:t>Servipagos</w:t>
      </w:r>
    </w:p>
    <w:p w:rsidR="00070D5A" w:rsidRPr="00FD1872" w:rsidRDefault="00070D5A" w:rsidP="00070D5A">
      <w:pPr>
        <w:spacing w:line="360" w:lineRule="auto"/>
        <w:rPr>
          <w:rFonts w:ascii="Arial" w:hAnsi="Arial" w:cs="Arial"/>
          <w:lang w:val="es-MX"/>
        </w:rPr>
      </w:pPr>
    </w:p>
    <w:p w:rsidR="00070D5A" w:rsidRPr="00FD1872" w:rsidRDefault="00070D5A" w:rsidP="00070D5A">
      <w:pPr>
        <w:numPr>
          <w:ilvl w:val="0"/>
          <w:numId w:val="28"/>
        </w:numPr>
        <w:spacing w:after="0" w:line="360" w:lineRule="auto"/>
        <w:rPr>
          <w:rFonts w:ascii="Arial" w:hAnsi="Arial" w:cs="Arial"/>
          <w:lang w:val="es-MX"/>
        </w:rPr>
      </w:pPr>
      <w:r w:rsidRPr="00FD1872">
        <w:rPr>
          <w:rFonts w:ascii="Arial" w:hAnsi="Arial" w:cs="Arial"/>
          <w:lang w:val="es-MX"/>
        </w:rPr>
        <w:t>ChevyPlan (Sistema de compra Programada)</w:t>
      </w:r>
    </w:p>
    <w:p w:rsidR="00070D5A" w:rsidRDefault="00070D5A" w:rsidP="00070D5A">
      <w:pPr>
        <w:rPr>
          <w:lang w:val="es-MX"/>
        </w:rPr>
      </w:pPr>
    </w:p>
    <w:p w:rsidR="00070D5A" w:rsidRDefault="00070D5A" w:rsidP="00070D5A">
      <w:pPr>
        <w:jc w:val="center"/>
        <w:rPr>
          <w:rFonts w:ascii="Arial" w:hAnsi="Arial" w:cs="Arial"/>
          <w:b/>
          <w:sz w:val="28"/>
          <w:szCs w:val="28"/>
          <w:lang w:val="es-MX"/>
        </w:rPr>
      </w:pPr>
      <w:r>
        <w:rPr>
          <w:lang w:val="es-MX"/>
        </w:rPr>
        <w:br w:type="page"/>
      </w:r>
      <w:r w:rsidRPr="00AA6081">
        <w:rPr>
          <w:rFonts w:ascii="Arial" w:hAnsi="Arial" w:cs="Arial"/>
          <w:b/>
          <w:sz w:val="28"/>
          <w:szCs w:val="28"/>
          <w:lang w:val="es-MX"/>
        </w:rPr>
        <w:lastRenderedPageBreak/>
        <w:t>ANEXO 02</w:t>
      </w:r>
    </w:p>
    <w:p w:rsidR="00070D5A" w:rsidRDefault="00070D5A" w:rsidP="00070D5A">
      <w:pPr>
        <w:jc w:val="center"/>
        <w:rPr>
          <w:rFonts w:ascii="Arial" w:hAnsi="Arial" w:cs="Arial"/>
          <w:b/>
          <w:sz w:val="28"/>
          <w:szCs w:val="28"/>
          <w:lang w:val="es-MX"/>
        </w:rPr>
      </w:pPr>
    </w:p>
    <w:p w:rsidR="00070D5A" w:rsidRPr="00AA6081" w:rsidRDefault="00070D5A" w:rsidP="00070D5A">
      <w:pPr>
        <w:jc w:val="center"/>
        <w:rPr>
          <w:rFonts w:ascii="Arial" w:hAnsi="Arial" w:cs="Arial"/>
          <w:b/>
          <w:sz w:val="28"/>
          <w:szCs w:val="28"/>
          <w:lang w:val="es-MX"/>
        </w:rPr>
      </w:pPr>
      <w:r>
        <w:rPr>
          <w:rFonts w:ascii="Arial" w:hAnsi="Arial" w:cs="Arial"/>
          <w:b/>
          <w:sz w:val="28"/>
          <w:szCs w:val="28"/>
          <w:lang w:val="es-MX"/>
        </w:rPr>
        <w:t>MAPA DE UBICACIÓN DE AGENCIAS</w:t>
      </w:r>
    </w:p>
    <w:p w:rsidR="00070D5A" w:rsidRDefault="00070D5A" w:rsidP="00070D5A">
      <w:pPr>
        <w:rPr>
          <w:lang w:val="es-MX"/>
        </w:rPr>
      </w:pPr>
    </w:p>
    <w:tbl>
      <w:tblPr>
        <w:tblW w:w="4500" w:type="pct"/>
        <w:jc w:val="center"/>
        <w:tblCellSpacing w:w="0" w:type="dxa"/>
        <w:tblCellMar>
          <w:left w:w="0" w:type="dxa"/>
          <w:right w:w="0" w:type="dxa"/>
        </w:tblCellMar>
        <w:tblLook w:val="0000"/>
      </w:tblPr>
      <w:tblGrid>
        <w:gridCol w:w="7399"/>
      </w:tblGrid>
      <w:tr w:rsidR="00070D5A" w:rsidTr="008D6244">
        <w:trPr>
          <w:tblCellSpacing w:w="0" w:type="dxa"/>
          <w:jc w:val="center"/>
        </w:trPr>
        <w:tc>
          <w:tcPr>
            <w:tcW w:w="0" w:type="auto"/>
            <w:shd w:val="clear" w:color="auto" w:fill="auto"/>
            <w:vAlign w:val="center"/>
          </w:tcPr>
          <w:p w:rsidR="00070D5A" w:rsidRDefault="00070D5A" w:rsidP="008D6244">
            <w:pPr>
              <w:spacing w:after="240"/>
            </w:pPr>
            <w:r>
              <w:rPr>
                <w:rFonts w:ascii="Arial" w:hAnsi="Arial" w:cs="Arial"/>
                <w:b/>
                <w:bCs/>
                <w:color w:val="891341"/>
              </w:rPr>
              <w:t>Red de Sucursales y Agencias</w:t>
            </w:r>
            <w:r>
              <w:rPr>
                <w:rFonts w:ascii="Arial" w:hAnsi="Arial" w:cs="Arial"/>
                <w:color w:val="000000"/>
                <w:sz w:val="20"/>
                <w:szCs w:val="20"/>
              </w:rPr>
              <w:t xml:space="preserve"> </w:t>
            </w:r>
            <w:r>
              <w:rPr>
                <w:rFonts w:ascii="Arial" w:hAnsi="Arial" w:cs="Arial"/>
                <w:color w:val="000000"/>
                <w:sz w:val="20"/>
                <w:szCs w:val="20"/>
              </w:rPr>
              <w:br/>
            </w:r>
            <w:r w:rsidR="003A24B0">
              <w:rPr>
                <w:rFonts w:ascii="Arial" w:hAnsi="Arial" w:cs="Arial"/>
                <w:noProof/>
                <w:color w:val="000000"/>
                <w:sz w:val="20"/>
                <w:szCs w:val="20"/>
                <w:lang w:val="es-ES" w:eastAsia="es-ES"/>
              </w:rPr>
              <w:drawing>
                <wp:inline distT="0" distB="0" distL="0" distR="0">
                  <wp:extent cx="4219575" cy="28575"/>
                  <wp:effectExtent l="19050" t="0" r="9525" b="0"/>
                  <wp:docPr id="17" name="Imagen 17" descr="img_barrati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img_barratit"/>
                          <pic:cNvPicPr>
                            <a:picLocks noChangeAspect="1" noChangeArrowheads="1"/>
                          </pic:cNvPicPr>
                        </pic:nvPicPr>
                        <pic:blipFill>
                          <a:blip r:embed="rId61"/>
                          <a:srcRect/>
                          <a:stretch>
                            <a:fillRect/>
                          </a:stretch>
                        </pic:blipFill>
                        <pic:spPr bwMode="auto">
                          <a:xfrm>
                            <a:off x="0" y="0"/>
                            <a:ext cx="4219575" cy="28575"/>
                          </a:xfrm>
                          <a:prstGeom prst="rect">
                            <a:avLst/>
                          </a:prstGeom>
                          <a:noFill/>
                          <a:ln w="9525">
                            <a:noFill/>
                            <a:miter lim="800000"/>
                            <a:headEnd/>
                            <a:tailEnd/>
                          </a:ln>
                        </pic:spPr>
                      </pic:pic>
                    </a:graphicData>
                  </a:graphic>
                </wp:inline>
              </w:drawing>
            </w:r>
          </w:p>
        </w:tc>
      </w:tr>
      <w:tr w:rsidR="00070D5A" w:rsidTr="008D6244">
        <w:trPr>
          <w:tblCellSpacing w:w="0" w:type="dxa"/>
          <w:jc w:val="center"/>
        </w:trPr>
        <w:tc>
          <w:tcPr>
            <w:tcW w:w="0" w:type="auto"/>
            <w:shd w:val="clear" w:color="auto" w:fill="auto"/>
            <w:vAlign w:val="center"/>
          </w:tcPr>
          <w:p w:rsidR="00070D5A" w:rsidRDefault="00070D5A" w:rsidP="008D6244">
            <w:pPr>
              <w:spacing w:after="240"/>
            </w:pPr>
          </w:p>
        </w:tc>
      </w:tr>
      <w:tr w:rsidR="00070D5A" w:rsidTr="008D6244">
        <w:trPr>
          <w:tblCellSpacing w:w="0" w:type="dxa"/>
          <w:jc w:val="center"/>
        </w:trPr>
        <w:tc>
          <w:tcPr>
            <w:tcW w:w="0" w:type="auto"/>
            <w:shd w:val="clear" w:color="auto" w:fill="auto"/>
            <w:vAlign w:val="center"/>
          </w:tcPr>
          <w:p w:rsidR="00070D5A" w:rsidRDefault="003A24B0" w:rsidP="008D6244">
            <w:pPr>
              <w:jc w:val="center"/>
            </w:pPr>
            <w:r>
              <w:rPr>
                <w:noProof/>
                <w:lang w:val="es-ES" w:eastAsia="es-ES"/>
              </w:rPr>
              <w:drawing>
                <wp:inline distT="0" distB="0" distL="0" distR="0">
                  <wp:extent cx="4010025" cy="4267200"/>
                  <wp:effectExtent l="19050" t="0" r="9525" b="0"/>
                  <wp:docPr id="18" name="Imagen 18" descr="img_ma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img_mapa"/>
                          <pic:cNvPicPr>
                            <a:picLocks noChangeAspect="1" noChangeArrowheads="1"/>
                          </pic:cNvPicPr>
                        </pic:nvPicPr>
                        <pic:blipFill>
                          <a:blip r:embed="rId62"/>
                          <a:srcRect/>
                          <a:stretch>
                            <a:fillRect/>
                          </a:stretch>
                        </pic:blipFill>
                        <pic:spPr bwMode="auto">
                          <a:xfrm>
                            <a:off x="0" y="0"/>
                            <a:ext cx="4010025" cy="4267200"/>
                          </a:xfrm>
                          <a:prstGeom prst="rect">
                            <a:avLst/>
                          </a:prstGeom>
                          <a:noFill/>
                          <a:ln w="9525">
                            <a:noFill/>
                            <a:miter lim="800000"/>
                            <a:headEnd/>
                            <a:tailEnd/>
                          </a:ln>
                        </pic:spPr>
                      </pic:pic>
                    </a:graphicData>
                  </a:graphic>
                </wp:inline>
              </w:drawing>
            </w:r>
          </w:p>
        </w:tc>
      </w:tr>
    </w:tbl>
    <w:p w:rsidR="00070D5A" w:rsidRPr="00556227" w:rsidRDefault="00070D5A" w:rsidP="00070D5A">
      <w:pPr>
        <w:shd w:val="clear" w:color="auto" w:fill="FFFFFF"/>
        <w:rPr>
          <w:rFonts w:ascii="Verdana" w:hAnsi="Verdana"/>
          <w:sz w:val="16"/>
          <w:szCs w:val="16"/>
        </w:rPr>
      </w:pPr>
      <w:r w:rsidRPr="00556227">
        <w:rPr>
          <w:rStyle w:val="ec873031620-03092008"/>
          <w:rFonts w:ascii="Arial" w:hAnsi="Arial" w:cs="Arial"/>
          <w:sz w:val="16"/>
          <w:szCs w:val="16"/>
        </w:rPr>
        <w:t>FUENTE: WWW. PRODUBANCO.COM</w:t>
      </w:r>
    </w:p>
    <w:p w:rsidR="00070D5A" w:rsidRPr="00556227" w:rsidRDefault="00070D5A" w:rsidP="00070D5A">
      <w:pPr>
        <w:shd w:val="clear" w:color="auto" w:fill="FFFFFF"/>
        <w:rPr>
          <w:rFonts w:ascii="Verdana" w:hAnsi="Verdana"/>
          <w:sz w:val="16"/>
          <w:szCs w:val="16"/>
        </w:rPr>
      </w:pPr>
      <w:r w:rsidRPr="00556227">
        <w:rPr>
          <w:rStyle w:val="ec873031620-03092008"/>
          <w:rFonts w:ascii="Arial" w:hAnsi="Arial" w:cs="Arial"/>
          <w:sz w:val="16"/>
          <w:szCs w:val="16"/>
        </w:rPr>
        <w:t>ELABORACIÓN: AUTORES</w:t>
      </w:r>
    </w:p>
    <w:p w:rsidR="00070D5A" w:rsidRPr="00070D5A" w:rsidRDefault="00070D5A" w:rsidP="006774DB">
      <w:pPr>
        <w:ind w:firstLine="454"/>
        <w:jc w:val="both"/>
        <w:rPr>
          <w:rStyle w:val="Refdenotaalpie1"/>
          <w:rFonts w:ascii="Arial" w:hAnsi="Arial" w:cs="Arial"/>
          <w:color w:val="000000"/>
          <w:lang/>
        </w:rPr>
      </w:pPr>
    </w:p>
    <w:p w:rsidR="00070D5A" w:rsidRDefault="00070D5A" w:rsidP="00070D5A">
      <w:pPr>
        <w:spacing w:line="360" w:lineRule="auto"/>
        <w:jc w:val="center"/>
        <w:rPr>
          <w:rFonts w:ascii="Arial" w:hAnsi="Arial" w:cs="Arial"/>
          <w:b/>
          <w:sz w:val="28"/>
          <w:szCs w:val="28"/>
          <w:lang w:val="es-MX"/>
        </w:rPr>
      </w:pPr>
    </w:p>
    <w:p w:rsidR="00070D5A" w:rsidRPr="005E02BA" w:rsidRDefault="00070D5A" w:rsidP="00070D5A">
      <w:pPr>
        <w:spacing w:line="360" w:lineRule="auto"/>
        <w:jc w:val="center"/>
        <w:rPr>
          <w:rFonts w:ascii="Arial" w:hAnsi="Arial" w:cs="Arial"/>
          <w:b/>
          <w:sz w:val="28"/>
          <w:szCs w:val="28"/>
          <w:lang w:val="es-MX"/>
        </w:rPr>
      </w:pPr>
      <w:r w:rsidRPr="005E02BA">
        <w:rPr>
          <w:rFonts w:ascii="Arial" w:hAnsi="Arial" w:cs="Arial"/>
          <w:b/>
          <w:sz w:val="28"/>
          <w:szCs w:val="28"/>
          <w:lang w:val="es-MX"/>
        </w:rPr>
        <w:lastRenderedPageBreak/>
        <w:t>ANEXO 03</w:t>
      </w:r>
    </w:p>
    <w:p w:rsidR="0015454E" w:rsidRPr="00070D5A" w:rsidRDefault="00070D5A" w:rsidP="00070D5A">
      <w:pPr>
        <w:spacing w:line="360" w:lineRule="auto"/>
        <w:jc w:val="center"/>
        <w:rPr>
          <w:rStyle w:val="Refdenotaalpie1"/>
          <w:rFonts w:ascii="Arial" w:hAnsi="Arial" w:cs="Arial"/>
          <w:b/>
          <w:sz w:val="28"/>
          <w:szCs w:val="28"/>
          <w:vertAlign w:val="baseline"/>
          <w:lang w:val="es-MX"/>
        </w:rPr>
      </w:pPr>
      <w:r w:rsidRPr="005E02BA">
        <w:rPr>
          <w:rFonts w:ascii="Arial" w:hAnsi="Arial" w:cs="Arial"/>
          <w:b/>
          <w:sz w:val="28"/>
          <w:szCs w:val="28"/>
          <w:lang w:val="es-MX"/>
        </w:rPr>
        <w:t>DETALLE DE AGENCIAS</w:t>
      </w:r>
    </w:p>
    <w:p w:rsidR="0015454E" w:rsidRDefault="003A24B0" w:rsidP="00070D5A">
      <w:pPr>
        <w:ind w:firstLine="454"/>
        <w:jc w:val="both"/>
      </w:pPr>
      <w:r>
        <w:rPr>
          <w:noProof/>
          <w:lang w:val="es-ES" w:eastAsia="es-ES"/>
        </w:rPr>
        <w:drawing>
          <wp:inline distT="0" distB="0" distL="0" distR="0">
            <wp:extent cx="5219700" cy="6143625"/>
            <wp:effectExtent l="0" t="0" r="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63"/>
                    <a:srcRect/>
                    <a:stretch>
                      <a:fillRect/>
                    </a:stretch>
                  </pic:blipFill>
                  <pic:spPr bwMode="auto">
                    <a:xfrm>
                      <a:off x="0" y="0"/>
                      <a:ext cx="5219700" cy="6143625"/>
                    </a:xfrm>
                    <a:prstGeom prst="rect">
                      <a:avLst/>
                    </a:prstGeom>
                    <a:noFill/>
                    <a:ln w="9525">
                      <a:noFill/>
                      <a:miter lim="800000"/>
                      <a:headEnd/>
                      <a:tailEnd/>
                    </a:ln>
                  </pic:spPr>
                </pic:pic>
              </a:graphicData>
            </a:graphic>
          </wp:inline>
        </w:drawing>
      </w:r>
    </w:p>
    <w:p w:rsidR="00070D5A" w:rsidRPr="00556227" w:rsidRDefault="00070D5A" w:rsidP="00070D5A">
      <w:pPr>
        <w:shd w:val="clear" w:color="auto" w:fill="FFFFFF"/>
        <w:rPr>
          <w:rFonts w:ascii="Verdana" w:hAnsi="Verdana"/>
          <w:sz w:val="16"/>
          <w:szCs w:val="16"/>
        </w:rPr>
      </w:pPr>
      <w:r w:rsidRPr="00556227">
        <w:rPr>
          <w:rStyle w:val="ec873031620-03092008"/>
          <w:rFonts w:ascii="Arial" w:hAnsi="Arial" w:cs="Arial"/>
          <w:sz w:val="16"/>
          <w:szCs w:val="16"/>
        </w:rPr>
        <w:t>FUENTE: WWW. PRODUBANCO.COM</w:t>
      </w:r>
    </w:p>
    <w:p w:rsidR="00070D5A" w:rsidRPr="00556227" w:rsidRDefault="00070D5A" w:rsidP="00070D5A">
      <w:pPr>
        <w:shd w:val="clear" w:color="auto" w:fill="FFFFFF"/>
        <w:rPr>
          <w:rFonts w:ascii="Verdana" w:hAnsi="Verdana"/>
          <w:sz w:val="16"/>
          <w:szCs w:val="16"/>
        </w:rPr>
      </w:pPr>
      <w:r w:rsidRPr="00556227">
        <w:rPr>
          <w:rStyle w:val="ec873031620-03092008"/>
          <w:rFonts w:ascii="Arial" w:hAnsi="Arial" w:cs="Arial"/>
          <w:sz w:val="16"/>
          <w:szCs w:val="16"/>
        </w:rPr>
        <w:t>ELABORACIÓN: AUTORES</w:t>
      </w:r>
    </w:p>
    <w:p w:rsidR="00070D5A" w:rsidRDefault="003A24B0" w:rsidP="00070D5A">
      <w:pPr>
        <w:ind w:firstLine="454"/>
        <w:jc w:val="both"/>
      </w:pPr>
      <w:r>
        <w:rPr>
          <w:noProof/>
          <w:lang w:val="es-ES" w:eastAsia="es-ES"/>
        </w:rPr>
        <w:lastRenderedPageBreak/>
        <w:drawing>
          <wp:inline distT="0" distB="0" distL="0" distR="0">
            <wp:extent cx="4752975" cy="2771775"/>
            <wp:effectExtent l="0" t="0" r="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64"/>
                    <a:srcRect/>
                    <a:stretch>
                      <a:fillRect/>
                    </a:stretch>
                  </pic:blipFill>
                  <pic:spPr bwMode="auto">
                    <a:xfrm>
                      <a:off x="0" y="0"/>
                      <a:ext cx="4752975" cy="2771775"/>
                    </a:xfrm>
                    <a:prstGeom prst="rect">
                      <a:avLst/>
                    </a:prstGeom>
                    <a:noFill/>
                    <a:ln w="9525">
                      <a:noFill/>
                      <a:miter lim="800000"/>
                      <a:headEnd/>
                      <a:tailEnd/>
                    </a:ln>
                  </pic:spPr>
                </pic:pic>
              </a:graphicData>
            </a:graphic>
          </wp:inline>
        </w:drawing>
      </w:r>
    </w:p>
    <w:p w:rsidR="00070D5A" w:rsidRPr="00556227" w:rsidRDefault="00070D5A" w:rsidP="00070D5A">
      <w:pPr>
        <w:shd w:val="clear" w:color="auto" w:fill="FFFFFF"/>
        <w:spacing w:line="240" w:lineRule="auto"/>
        <w:rPr>
          <w:rFonts w:ascii="Verdana" w:hAnsi="Verdana"/>
          <w:sz w:val="16"/>
          <w:szCs w:val="16"/>
        </w:rPr>
      </w:pPr>
      <w:r w:rsidRPr="00556227">
        <w:rPr>
          <w:rStyle w:val="ec873031620-03092008"/>
          <w:rFonts w:ascii="Arial" w:hAnsi="Arial" w:cs="Arial"/>
          <w:sz w:val="16"/>
          <w:szCs w:val="16"/>
        </w:rPr>
        <w:t>FUENTE: WWW. PRODUBANCO.COM</w:t>
      </w:r>
    </w:p>
    <w:p w:rsidR="008D6244" w:rsidRDefault="00070D5A" w:rsidP="00070D5A">
      <w:pPr>
        <w:tabs>
          <w:tab w:val="left" w:pos="1440"/>
        </w:tabs>
        <w:spacing w:line="240" w:lineRule="auto"/>
        <w:rPr>
          <w:rStyle w:val="ec873031620-03092008"/>
          <w:rFonts w:ascii="Arial" w:hAnsi="Arial" w:cs="Arial"/>
          <w:sz w:val="16"/>
          <w:szCs w:val="16"/>
        </w:rPr>
      </w:pPr>
      <w:r w:rsidRPr="00556227">
        <w:rPr>
          <w:rStyle w:val="ec873031620-03092008"/>
          <w:rFonts w:ascii="Arial" w:hAnsi="Arial" w:cs="Arial"/>
          <w:sz w:val="16"/>
          <w:szCs w:val="16"/>
        </w:rPr>
        <w:t>ELABORACIÓN: AUTORES</w:t>
      </w:r>
    </w:p>
    <w:tbl>
      <w:tblPr>
        <w:tblW w:w="5351" w:type="dxa"/>
        <w:jc w:val="center"/>
        <w:tblInd w:w="55" w:type="dxa"/>
        <w:tblCellMar>
          <w:left w:w="70" w:type="dxa"/>
          <w:right w:w="70" w:type="dxa"/>
        </w:tblCellMar>
        <w:tblLook w:val="0000"/>
      </w:tblPr>
      <w:tblGrid>
        <w:gridCol w:w="2175"/>
        <w:gridCol w:w="3176"/>
      </w:tblGrid>
      <w:tr w:rsidR="008D6244" w:rsidRPr="008D6244" w:rsidTr="008D6244">
        <w:trPr>
          <w:trHeight w:val="330"/>
          <w:jc w:val="center"/>
        </w:trPr>
        <w:tc>
          <w:tcPr>
            <w:tcW w:w="5351" w:type="dxa"/>
            <w:gridSpan w:val="2"/>
            <w:tcBorders>
              <w:top w:val="single" w:sz="8" w:space="0" w:color="auto"/>
              <w:left w:val="single" w:sz="8" w:space="0" w:color="auto"/>
              <w:bottom w:val="single" w:sz="8" w:space="0" w:color="auto"/>
              <w:right w:val="single" w:sz="8" w:space="0" w:color="000000"/>
            </w:tcBorders>
            <w:shd w:val="clear" w:color="auto" w:fill="auto"/>
            <w:noWrap/>
            <w:vAlign w:val="bottom"/>
          </w:tcPr>
          <w:p w:rsidR="008D6244" w:rsidRPr="008D6244" w:rsidRDefault="008D6244" w:rsidP="008D6244">
            <w:pPr>
              <w:spacing w:after="0" w:line="240" w:lineRule="auto"/>
              <w:jc w:val="center"/>
              <w:rPr>
                <w:rFonts w:ascii="Arial" w:eastAsia="SimSun" w:hAnsi="Arial" w:cs="Arial"/>
                <w:b/>
                <w:bCs/>
                <w:sz w:val="24"/>
                <w:szCs w:val="24"/>
                <w:lang w:val="es-ES" w:eastAsia="zh-CN"/>
              </w:rPr>
            </w:pPr>
            <w:r w:rsidRPr="008D6244">
              <w:rPr>
                <w:rFonts w:ascii="Arial" w:eastAsia="SimSun" w:hAnsi="Arial" w:cs="Arial"/>
                <w:b/>
                <w:bCs/>
                <w:sz w:val="24"/>
                <w:szCs w:val="24"/>
                <w:lang w:val="es-ES" w:eastAsia="zh-CN"/>
              </w:rPr>
              <w:t>AGENCIAS ZONA 3</w:t>
            </w:r>
          </w:p>
        </w:tc>
      </w:tr>
      <w:tr w:rsidR="008D6244" w:rsidRPr="008D6244" w:rsidTr="008D6244">
        <w:trPr>
          <w:trHeight w:val="240"/>
          <w:jc w:val="center"/>
        </w:trPr>
        <w:tc>
          <w:tcPr>
            <w:tcW w:w="2175" w:type="dxa"/>
            <w:tcBorders>
              <w:top w:val="nil"/>
              <w:left w:val="single" w:sz="8" w:space="0" w:color="auto"/>
              <w:bottom w:val="nil"/>
              <w:right w:val="nil"/>
            </w:tcBorders>
            <w:shd w:val="clear" w:color="auto" w:fill="auto"/>
            <w:noWrap/>
            <w:vAlign w:val="bottom"/>
          </w:tcPr>
          <w:p w:rsidR="008D6244" w:rsidRPr="008D6244" w:rsidRDefault="008D6244" w:rsidP="008D6244">
            <w:pPr>
              <w:spacing w:after="0" w:line="240" w:lineRule="auto"/>
              <w:jc w:val="center"/>
              <w:rPr>
                <w:rFonts w:ascii="Arial" w:eastAsia="SimSun" w:hAnsi="Arial" w:cs="Arial"/>
                <w:b/>
                <w:bCs/>
                <w:sz w:val="20"/>
                <w:szCs w:val="20"/>
                <w:lang w:val="es-ES" w:eastAsia="zh-CN"/>
              </w:rPr>
            </w:pPr>
            <w:r w:rsidRPr="008D6244">
              <w:rPr>
                <w:rFonts w:ascii="Arial" w:eastAsia="SimSun" w:hAnsi="Arial" w:cs="Arial"/>
                <w:b/>
                <w:bCs/>
                <w:sz w:val="20"/>
                <w:szCs w:val="20"/>
                <w:lang w:val="es-ES" w:eastAsia="zh-CN"/>
              </w:rPr>
              <w:t xml:space="preserve">SUCURSAL MAYOR </w:t>
            </w:r>
          </w:p>
        </w:tc>
        <w:tc>
          <w:tcPr>
            <w:tcW w:w="3176" w:type="dxa"/>
            <w:tcBorders>
              <w:top w:val="nil"/>
              <w:left w:val="single" w:sz="8" w:space="0" w:color="auto"/>
              <w:bottom w:val="double" w:sz="6" w:space="0" w:color="auto"/>
              <w:right w:val="single" w:sz="8" w:space="0" w:color="auto"/>
            </w:tcBorders>
            <w:shd w:val="clear" w:color="auto" w:fill="auto"/>
            <w:noWrap/>
            <w:vAlign w:val="bottom"/>
          </w:tcPr>
          <w:p w:rsidR="008D6244" w:rsidRPr="008D6244" w:rsidRDefault="008D6244" w:rsidP="008D6244">
            <w:pPr>
              <w:spacing w:after="0" w:line="240" w:lineRule="auto"/>
              <w:rPr>
                <w:rFonts w:ascii="Arial" w:eastAsia="SimSun" w:hAnsi="Arial" w:cs="Arial"/>
                <w:sz w:val="20"/>
                <w:szCs w:val="20"/>
                <w:lang w:val="es-ES" w:eastAsia="zh-CN"/>
              </w:rPr>
            </w:pPr>
            <w:r w:rsidRPr="008D6244">
              <w:rPr>
                <w:rFonts w:ascii="Arial" w:eastAsia="SimSun" w:hAnsi="Arial" w:cs="Arial"/>
                <w:sz w:val="20"/>
                <w:szCs w:val="20"/>
                <w:lang w:val="es-ES" w:eastAsia="zh-CN"/>
              </w:rPr>
              <w:t>OFICINA PRINCIPAL GUAYAQUIL</w:t>
            </w:r>
          </w:p>
        </w:tc>
      </w:tr>
      <w:tr w:rsidR="008D6244" w:rsidRPr="008D6244" w:rsidTr="008D6244">
        <w:trPr>
          <w:trHeight w:val="285"/>
          <w:jc w:val="center"/>
        </w:trPr>
        <w:tc>
          <w:tcPr>
            <w:tcW w:w="2175" w:type="dxa"/>
            <w:tcBorders>
              <w:top w:val="single" w:sz="8" w:space="0" w:color="auto"/>
              <w:left w:val="single" w:sz="8" w:space="0" w:color="auto"/>
              <w:bottom w:val="single" w:sz="8" w:space="0" w:color="auto"/>
              <w:right w:val="nil"/>
            </w:tcBorders>
            <w:shd w:val="clear" w:color="auto" w:fill="auto"/>
            <w:noWrap/>
            <w:vAlign w:val="bottom"/>
          </w:tcPr>
          <w:p w:rsidR="008D6244" w:rsidRPr="008D6244" w:rsidRDefault="008D6244" w:rsidP="008D6244">
            <w:pPr>
              <w:spacing w:after="0" w:line="240" w:lineRule="auto"/>
              <w:jc w:val="center"/>
              <w:rPr>
                <w:rFonts w:ascii="Arial" w:eastAsia="SimSun" w:hAnsi="Arial" w:cs="Arial"/>
                <w:b/>
                <w:bCs/>
                <w:sz w:val="20"/>
                <w:szCs w:val="20"/>
                <w:lang w:val="es-ES" w:eastAsia="zh-CN"/>
              </w:rPr>
            </w:pPr>
            <w:r w:rsidRPr="008D6244">
              <w:rPr>
                <w:rFonts w:ascii="Arial" w:eastAsia="SimSun" w:hAnsi="Arial" w:cs="Arial"/>
                <w:b/>
                <w:bCs/>
                <w:sz w:val="20"/>
                <w:szCs w:val="20"/>
                <w:lang w:val="es-ES" w:eastAsia="zh-CN"/>
              </w:rPr>
              <w:t>GARZOTA</w:t>
            </w:r>
          </w:p>
        </w:tc>
        <w:tc>
          <w:tcPr>
            <w:tcW w:w="3176" w:type="dxa"/>
            <w:tcBorders>
              <w:top w:val="nil"/>
              <w:left w:val="single" w:sz="8" w:space="0" w:color="auto"/>
              <w:bottom w:val="double" w:sz="6" w:space="0" w:color="auto"/>
              <w:right w:val="single" w:sz="8" w:space="0" w:color="auto"/>
            </w:tcBorders>
            <w:shd w:val="clear" w:color="auto" w:fill="auto"/>
            <w:noWrap/>
            <w:vAlign w:val="bottom"/>
          </w:tcPr>
          <w:p w:rsidR="008D6244" w:rsidRPr="008D6244" w:rsidRDefault="008D6244" w:rsidP="008D6244">
            <w:pPr>
              <w:spacing w:after="0" w:line="240" w:lineRule="auto"/>
              <w:rPr>
                <w:rFonts w:ascii="Arial" w:eastAsia="SimSun" w:hAnsi="Arial" w:cs="Arial"/>
                <w:sz w:val="20"/>
                <w:szCs w:val="20"/>
                <w:lang w:val="es-ES" w:eastAsia="zh-CN"/>
              </w:rPr>
            </w:pPr>
            <w:r w:rsidRPr="008D6244">
              <w:rPr>
                <w:rFonts w:ascii="Arial" w:eastAsia="SimSun" w:hAnsi="Arial" w:cs="Arial"/>
                <w:sz w:val="20"/>
                <w:szCs w:val="20"/>
                <w:lang w:val="es-ES" w:eastAsia="zh-CN"/>
              </w:rPr>
              <w:t>AG. GARZOTA</w:t>
            </w:r>
          </w:p>
        </w:tc>
      </w:tr>
      <w:tr w:rsidR="008D6244" w:rsidRPr="008D6244" w:rsidTr="008D6244">
        <w:trPr>
          <w:trHeight w:val="270"/>
          <w:jc w:val="center"/>
        </w:trPr>
        <w:tc>
          <w:tcPr>
            <w:tcW w:w="2175" w:type="dxa"/>
            <w:tcBorders>
              <w:top w:val="nil"/>
              <w:left w:val="single" w:sz="8" w:space="0" w:color="auto"/>
              <w:bottom w:val="nil"/>
              <w:right w:val="single" w:sz="8" w:space="0" w:color="auto"/>
            </w:tcBorders>
            <w:shd w:val="clear" w:color="auto" w:fill="auto"/>
            <w:noWrap/>
            <w:vAlign w:val="bottom"/>
          </w:tcPr>
          <w:p w:rsidR="008D6244" w:rsidRPr="008D6244" w:rsidRDefault="008D6244" w:rsidP="008D6244">
            <w:pPr>
              <w:spacing w:after="0" w:line="240" w:lineRule="auto"/>
              <w:jc w:val="center"/>
              <w:rPr>
                <w:rFonts w:ascii="Arial" w:eastAsia="SimSun" w:hAnsi="Arial" w:cs="Arial"/>
                <w:b/>
                <w:bCs/>
                <w:sz w:val="20"/>
                <w:szCs w:val="20"/>
                <w:lang w:val="es-ES" w:eastAsia="zh-CN"/>
              </w:rPr>
            </w:pPr>
            <w:r w:rsidRPr="008D6244">
              <w:rPr>
                <w:rFonts w:ascii="Arial" w:eastAsia="SimSun" w:hAnsi="Arial" w:cs="Arial"/>
                <w:b/>
                <w:bCs/>
                <w:sz w:val="20"/>
                <w:szCs w:val="20"/>
                <w:lang w:val="es-ES" w:eastAsia="zh-CN"/>
              </w:rPr>
              <w:t>MALL DEL SOL</w:t>
            </w:r>
          </w:p>
        </w:tc>
        <w:tc>
          <w:tcPr>
            <w:tcW w:w="3176" w:type="dxa"/>
            <w:tcBorders>
              <w:top w:val="nil"/>
              <w:left w:val="nil"/>
              <w:bottom w:val="single" w:sz="8" w:space="0" w:color="auto"/>
              <w:right w:val="single" w:sz="8" w:space="0" w:color="auto"/>
            </w:tcBorders>
            <w:shd w:val="clear" w:color="auto" w:fill="auto"/>
            <w:noWrap/>
            <w:vAlign w:val="bottom"/>
          </w:tcPr>
          <w:p w:rsidR="008D6244" w:rsidRPr="008D6244" w:rsidRDefault="008D6244" w:rsidP="008D6244">
            <w:pPr>
              <w:spacing w:after="0" w:line="240" w:lineRule="auto"/>
              <w:rPr>
                <w:rFonts w:ascii="Arial" w:eastAsia="SimSun" w:hAnsi="Arial" w:cs="Arial"/>
                <w:sz w:val="20"/>
                <w:szCs w:val="20"/>
                <w:lang w:val="es-ES" w:eastAsia="zh-CN"/>
              </w:rPr>
            </w:pPr>
            <w:r w:rsidRPr="008D6244">
              <w:rPr>
                <w:rFonts w:ascii="Arial" w:eastAsia="SimSun" w:hAnsi="Arial" w:cs="Arial"/>
                <w:sz w:val="20"/>
                <w:szCs w:val="20"/>
                <w:lang w:val="es-ES" w:eastAsia="zh-CN"/>
              </w:rPr>
              <w:t>AG. MALL DEL SOL</w:t>
            </w:r>
          </w:p>
        </w:tc>
      </w:tr>
      <w:tr w:rsidR="008D6244" w:rsidRPr="008D6244" w:rsidTr="008D6244">
        <w:trPr>
          <w:trHeight w:val="285"/>
          <w:jc w:val="center"/>
        </w:trPr>
        <w:tc>
          <w:tcPr>
            <w:tcW w:w="2175" w:type="dxa"/>
            <w:tcBorders>
              <w:top w:val="nil"/>
              <w:left w:val="single" w:sz="8" w:space="0" w:color="auto"/>
              <w:bottom w:val="single" w:sz="8" w:space="0" w:color="000000"/>
              <w:right w:val="single" w:sz="8" w:space="0" w:color="auto"/>
            </w:tcBorders>
            <w:shd w:val="clear" w:color="auto" w:fill="auto"/>
            <w:noWrap/>
            <w:vAlign w:val="bottom"/>
          </w:tcPr>
          <w:p w:rsidR="008D6244" w:rsidRPr="008D6244" w:rsidRDefault="008D6244" w:rsidP="008D6244">
            <w:pPr>
              <w:spacing w:after="0" w:line="240" w:lineRule="auto"/>
              <w:jc w:val="center"/>
              <w:rPr>
                <w:rFonts w:ascii="Arial" w:eastAsia="SimSun" w:hAnsi="Arial" w:cs="Arial"/>
                <w:b/>
                <w:bCs/>
                <w:sz w:val="20"/>
                <w:szCs w:val="20"/>
                <w:lang w:val="es-ES" w:eastAsia="zh-CN"/>
              </w:rPr>
            </w:pPr>
            <w:r w:rsidRPr="008D6244">
              <w:rPr>
                <w:rFonts w:ascii="Arial" w:eastAsia="SimSun" w:hAnsi="Arial" w:cs="Arial"/>
                <w:b/>
                <w:bCs/>
                <w:sz w:val="20"/>
                <w:szCs w:val="20"/>
                <w:lang w:val="es-ES" w:eastAsia="zh-CN"/>
              </w:rPr>
              <w:t> </w:t>
            </w:r>
          </w:p>
        </w:tc>
        <w:tc>
          <w:tcPr>
            <w:tcW w:w="3176" w:type="dxa"/>
            <w:tcBorders>
              <w:top w:val="nil"/>
              <w:left w:val="nil"/>
              <w:bottom w:val="double" w:sz="6" w:space="0" w:color="auto"/>
              <w:right w:val="single" w:sz="8" w:space="0" w:color="auto"/>
            </w:tcBorders>
            <w:shd w:val="clear" w:color="auto" w:fill="auto"/>
            <w:vAlign w:val="bottom"/>
          </w:tcPr>
          <w:p w:rsidR="008D6244" w:rsidRPr="008D6244" w:rsidRDefault="008D6244" w:rsidP="008D6244">
            <w:pPr>
              <w:spacing w:after="0" w:line="240" w:lineRule="auto"/>
              <w:rPr>
                <w:rFonts w:ascii="Arial" w:eastAsia="SimSun" w:hAnsi="Arial" w:cs="Arial"/>
                <w:sz w:val="20"/>
                <w:szCs w:val="20"/>
                <w:lang w:val="es-ES" w:eastAsia="zh-CN"/>
              </w:rPr>
            </w:pPr>
            <w:r w:rsidRPr="008D6244">
              <w:rPr>
                <w:rFonts w:ascii="Arial" w:eastAsia="SimSun" w:hAnsi="Arial" w:cs="Arial"/>
                <w:sz w:val="20"/>
                <w:szCs w:val="20"/>
                <w:lang w:val="es-ES" w:eastAsia="zh-CN"/>
              </w:rPr>
              <w:t>MALL DEL SOL EXPRESS</w:t>
            </w:r>
          </w:p>
        </w:tc>
      </w:tr>
      <w:tr w:rsidR="008D6244" w:rsidRPr="008D6244" w:rsidTr="008D6244">
        <w:trPr>
          <w:trHeight w:val="315"/>
          <w:jc w:val="center"/>
        </w:trPr>
        <w:tc>
          <w:tcPr>
            <w:tcW w:w="2175" w:type="dxa"/>
            <w:tcBorders>
              <w:top w:val="nil"/>
              <w:left w:val="single" w:sz="8" w:space="0" w:color="auto"/>
              <w:bottom w:val="single" w:sz="8" w:space="0" w:color="auto"/>
              <w:right w:val="nil"/>
            </w:tcBorders>
            <w:shd w:val="clear" w:color="auto" w:fill="auto"/>
            <w:noWrap/>
            <w:vAlign w:val="bottom"/>
          </w:tcPr>
          <w:p w:rsidR="008D6244" w:rsidRPr="008D6244" w:rsidRDefault="008D6244" w:rsidP="008D6244">
            <w:pPr>
              <w:spacing w:after="0" w:line="240" w:lineRule="auto"/>
              <w:jc w:val="center"/>
              <w:rPr>
                <w:rFonts w:ascii="Arial" w:eastAsia="SimSun" w:hAnsi="Arial" w:cs="Arial"/>
                <w:b/>
                <w:bCs/>
                <w:sz w:val="20"/>
                <w:szCs w:val="20"/>
                <w:lang w:val="es-ES" w:eastAsia="zh-CN"/>
              </w:rPr>
            </w:pPr>
            <w:r w:rsidRPr="008D6244">
              <w:rPr>
                <w:rFonts w:ascii="Arial" w:eastAsia="SimSun" w:hAnsi="Arial" w:cs="Arial"/>
                <w:b/>
                <w:bCs/>
                <w:sz w:val="20"/>
                <w:szCs w:val="20"/>
                <w:lang w:val="es-ES" w:eastAsia="zh-CN"/>
              </w:rPr>
              <w:t>MERCADO CENTRAL</w:t>
            </w:r>
          </w:p>
        </w:tc>
        <w:tc>
          <w:tcPr>
            <w:tcW w:w="3176" w:type="dxa"/>
            <w:tcBorders>
              <w:top w:val="nil"/>
              <w:left w:val="single" w:sz="8" w:space="0" w:color="auto"/>
              <w:bottom w:val="double" w:sz="6" w:space="0" w:color="auto"/>
              <w:right w:val="single" w:sz="8" w:space="0" w:color="auto"/>
            </w:tcBorders>
            <w:shd w:val="clear" w:color="auto" w:fill="auto"/>
            <w:vAlign w:val="bottom"/>
          </w:tcPr>
          <w:p w:rsidR="008D6244" w:rsidRPr="008D6244" w:rsidRDefault="008D6244" w:rsidP="008D6244">
            <w:pPr>
              <w:spacing w:after="0" w:line="240" w:lineRule="auto"/>
              <w:rPr>
                <w:rFonts w:ascii="Arial" w:eastAsia="SimSun" w:hAnsi="Arial" w:cs="Arial"/>
                <w:sz w:val="20"/>
                <w:szCs w:val="20"/>
                <w:lang w:val="es-ES" w:eastAsia="zh-CN"/>
              </w:rPr>
            </w:pPr>
            <w:r w:rsidRPr="008D6244">
              <w:rPr>
                <w:rFonts w:ascii="Arial" w:eastAsia="SimSun" w:hAnsi="Arial" w:cs="Arial"/>
                <w:sz w:val="20"/>
                <w:szCs w:val="20"/>
                <w:lang w:val="es-ES" w:eastAsia="zh-CN"/>
              </w:rPr>
              <w:t>AG. MERCADO CENTRAL</w:t>
            </w:r>
          </w:p>
        </w:tc>
      </w:tr>
      <w:tr w:rsidR="008D6244" w:rsidRPr="008D6244" w:rsidTr="008D6244">
        <w:trPr>
          <w:trHeight w:val="345"/>
          <w:jc w:val="center"/>
        </w:trPr>
        <w:tc>
          <w:tcPr>
            <w:tcW w:w="2175" w:type="dxa"/>
            <w:tcBorders>
              <w:top w:val="nil"/>
              <w:left w:val="single" w:sz="8" w:space="0" w:color="auto"/>
              <w:bottom w:val="nil"/>
              <w:right w:val="single" w:sz="8" w:space="0" w:color="auto"/>
            </w:tcBorders>
            <w:shd w:val="clear" w:color="auto" w:fill="auto"/>
            <w:noWrap/>
            <w:vAlign w:val="bottom"/>
          </w:tcPr>
          <w:p w:rsidR="008D6244" w:rsidRPr="008D6244" w:rsidRDefault="008D6244" w:rsidP="008D6244">
            <w:pPr>
              <w:spacing w:after="0" w:line="240" w:lineRule="auto"/>
              <w:jc w:val="center"/>
              <w:rPr>
                <w:rFonts w:ascii="Arial" w:eastAsia="SimSun" w:hAnsi="Arial" w:cs="Arial"/>
                <w:b/>
                <w:bCs/>
                <w:sz w:val="20"/>
                <w:szCs w:val="20"/>
                <w:lang w:val="es-ES" w:eastAsia="zh-CN"/>
              </w:rPr>
            </w:pPr>
            <w:r w:rsidRPr="008D6244">
              <w:rPr>
                <w:rFonts w:ascii="Arial" w:eastAsia="SimSun" w:hAnsi="Arial" w:cs="Arial"/>
                <w:b/>
                <w:bCs/>
                <w:sz w:val="20"/>
                <w:szCs w:val="20"/>
                <w:lang w:val="es-ES" w:eastAsia="zh-CN"/>
              </w:rPr>
              <w:t>MALL DEL SUR</w:t>
            </w:r>
          </w:p>
        </w:tc>
        <w:tc>
          <w:tcPr>
            <w:tcW w:w="3176" w:type="dxa"/>
            <w:tcBorders>
              <w:top w:val="nil"/>
              <w:left w:val="nil"/>
              <w:bottom w:val="single" w:sz="8" w:space="0" w:color="auto"/>
              <w:right w:val="single" w:sz="8" w:space="0" w:color="auto"/>
            </w:tcBorders>
            <w:shd w:val="clear" w:color="auto" w:fill="auto"/>
            <w:vAlign w:val="bottom"/>
          </w:tcPr>
          <w:p w:rsidR="008D6244" w:rsidRPr="008D6244" w:rsidRDefault="008D6244" w:rsidP="008D6244">
            <w:pPr>
              <w:spacing w:after="0" w:line="240" w:lineRule="auto"/>
              <w:rPr>
                <w:rFonts w:ascii="Arial" w:eastAsia="SimSun" w:hAnsi="Arial" w:cs="Arial"/>
                <w:sz w:val="20"/>
                <w:szCs w:val="20"/>
                <w:lang w:val="es-ES" w:eastAsia="zh-CN"/>
              </w:rPr>
            </w:pPr>
            <w:r w:rsidRPr="008D6244">
              <w:rPr>
                <w:rFonts w:ascii="Arial" w:eastAsia="SimSun" w:hAnsi="Arial" w:cs="Arial"/>
                <w:sz w:val="20"/>
                <w:szCs w:val="20"/>
                <w:lang w:val="es-ES" w:eastAsia="zh-CN"/>
              </w:rPr>
              <w:t>MALL DEL SUR EXPRESS</w:t>
            </w:r>
          </w:p>
        </w:tc>
      </w:tr>
      <w:tr w:rsidR="008D6244" w:rsidRPr="008D6244" w:rsidTr="008D6244">
        <w:trPr>
          <w:trHeight w:val="300"/>
          <w:jc w:val="center"/>
        </w:trPr>
        <w:tc>
          <w:tcPr>
            <w:tcW w:w="2175" w:type="dxa"/>
            <w:tcBorders>
              <w:top w:val="nil"/>
              <w:left w:val="single" w:sz="8" w:space="0" w:color="auto"/>
              <w:bottom w:val="single" w:sz="8" w:space="0" w:color="000000"/>
              <w:right w:val="single" w:sz="8" w:space="0" w:color="auto"/>
            </w:tcBorders>
            <w:shd w:val="clear" w:color="auto" w:fill="auto"/>
            <w:noWrap/>
            <w:vAlign w:val="bottom"/>
          </w:tcPr>
          <w:p w:rsidR="008D6244" w:rsidRPr="008D6244" w:rsidRDefault="008D6244" w:rsidP="008D6244">
            <w:pPr>
              <w:spacing w:after="0" w:line="240" w:lineRule="auto"/>
              <w:jc w:val="center"/>
              <w:rPr>
                <w:rFonts w:ascii="Arial" w:eastAsia="SimSun" w:hAnsi="Arial" w:cs="Arial"/>
                <w:b/>
                <w:bCs/>
                <w:sz w:val="20"/>
                <w:szCs w:val="20"/>
                <w:lang w:val="es-ES" w:eastAsia="zh-CN"/>
              </w:rPr>
            </w:pPr>
            <w:r w:rsidRPr="008D6244">
              <w:rPr>
                <w:rFonts w:ascii="Arial" w:eastAsia="SimSun" w:hAnsi="Arial" w:cs="Arial"/>
                <w:b/>
                <w:bCs/>
                <w:sz w:val="20"/>
                <w:szCs w:val="20"/>
                <w:lang w:val="es-ES" w:eastAsia="zh-CN"/>
              </w:rPr>
              <w:t> </w:t>
            </w:r>
          </w:p>
        </w:tc>
        <w:tc>
          <w:tcPr>
            <w:tcW w:w="3176" w:type="dxa"/>
            <w:tcBorders>
              <w:top w:val="nil"/>
              <w:left w:val="nil"/>
              <w:bottom w:val="double" w:sz="6" w:space="0" w:color="auto"/>
              <w:right w:val="single" w:sz="8" w:space="0" w:color="auto"/>
            </w:tcBorders>
            <w:shd w:val="clear" w:color="auto" w:fill="auto"/>
            <w:vAlign w:val="bottom"/>
          </w:tcPr>
          <w:p w:rsidR="008D6244" w:rsidRPr="008D6244" w:rsidRDefault="008D6244" w:rsidP="008D6244">
            <w:pPr>
              <w:spacing w:after="0" w:line="240" w:lineRule="auto"/>
              <w:rPr>
                <w:rFonts w:ascii="Arial" w:eastAsia="SimSun" w:hAnsi="Arial" w:cs="Arial"/>
                <w:sz w:val="20"/>
                <w:szCs w:val="20"/>
                <w:lang w:val="es-ES" w:eastAsia="zh-CN"/>
              </w:rPr>
            </w:pPr>
            <w:r w:rsidRPr="008D6244">
              <w:rPr>
                <w:rFonts w:ascii="Arial" w:eastAsia="SimSun" w:hAnsi="Arial" w:cs="Arial"/>
                <w:sz w:val="20"/>
                <w:szCs w:val="20"/>
                <w:lang w:val="es-ES" w:eastAsia="zh-CN"/>
              </w:rPr>
              <w:t>MALL DEL SUR</w:t>
            </w:r>
          </w:p>
        </w:tc>
      </w:tr>
      <w:tr w:rsidR="008D6244" w:rsidRPr="008D6244" w:rsidTr="008D6244">
        <w:trPr>
          <w:trHeight w:val="260"/>
          <w:jc w:val="center"/>
        </w:trPr>
        <w:tc>
          <w:tcPr>
            <w:tcW w:w="2175" w:type="dxa"/>
            <w:tcBorders>
              <w:top w:val="nil"/>
              <w:left w:val="single" w:sz="8" w:space="0" w:color="auto"/>
              <w:bottom w:val="single" w:sz="8" w:space="0" w:color="auto"/>
              <w:right w:val="nil"/>
            </w:tcBorders>
            <w:shd w:val="clear" w:color="auto" w:fill="auto"/>
            <w:noWrap/>
            <w:vAlign w:val="bottom"/>
          </w:tcPr>
          <w:p w:rsidR="008D6244" w:rsidRPr="008D6244" w:rsidRDefault="008D6244" w:rsidP="008D6244">
            <w:pPr>
              <w:spacing w:after="0" w:line="240" w:lineRule="auto"/>
              <w:jc w:val="center"/>
              <w:rPr>
                <w:rFonts w:ascii="Arial" w:eastAsia="SimSun" w:hAnsi="Arial" w:cs="Arial"/>
                <w:b/>
                <w:bCs/>
                <w:sz w:val="20"/>
                <w:szCs w:val="20"/>
                <w:lang w:val="es-ES" w:eastAsia="zh-CN"/>
              </w:rPr>
            </w:pPr>
            <w:r w:rsidRPr="008D6244">
              <w:rPr>
                <w:rFonts w:ascii="Arial" w:eastAsia="SimSun" w:hAnsi="Arial" w:cs="Arial"/>
                <w:b/>
                <w:bCs/>
                <w:sz w:val="20"/>
                <w:szCs w:val="20"/>
                <w:lang w:val="es-ES" w:eastAsia="zh-CN"/>
              </w:rPr>
              <w:t>PARQUE CALIFORNIA</w:t>
            </w:r>
          </w:p>
        </w:tc>
        <w:tc>
          <w:tcPr>
            <w:tcW w:w="3176" w:type="dxa"/>
            <w:tcBorders>
              <w:top w:val="nil"/>
              <w:left w:val="single" w:sz="8" w:space="0" w:color="auto"/>
              <w:bottom w:val="single" w:sz="8" w:space="0" w:color="auto"/>
              <w:right w:val="single" w:sz="8" w:space="0" w:color="auto"/>
            </w:tcBorders>
            <w:shd w:val="clear" w:color="auto" w:fill="auto"/>
            <w:vAlign w:val="bottom"/>
          </w:tcPr>
          <w:p w:rsidR="008D6244" w:rsidRPr="008D6244" w:rsidRDefault="008D6244" w:rsidP="008D6244">
            <w:pPr>
              <w:spacing w:after="0" w:line="240" w:lineRule="auto"/>
              <w:rPr>
                <w:rFonts w:ascii="Arial" w:eastAsia="SimSun" w:hAnsi="Arial" w:cs="Arial"/>
                <w:sz w:val="20"/>
                <w:szCs w:val="20"/>
                <w:lang w:val="es-ES" w:eastAsia="zh-CN"/>
              </w:rPr>
            </w:pPr>
            <w:r w:rsidRPr="008D6244">
              <w:rPr>
                <w:rFonts w:ascii="Arial" w:eastAsia="SimSun" w:hAnsi="Arial" w:cs="Arial"/>
                <w:sz w:val="20"/>
                <w:szCs w:val="20"/>
                <w:lang w:val="es-ES" w:eastAsia="zh-CN"/>
              </w:rPr>
              <w:t>AG. PARQUE CALIFONIA</w:t>
            </w:r>
          </w:p>
        </w:tc>
      </w:tr>
      <w:tr w:rsidR="008D6244" w:rsidRPr="008D6244" w:rsidTr="008D6244">
        <w:trPr>
          <w:trHeight w:val="270"/>
          <w:jc w:val="center"/>
        </w:trPr>
        <w:tc>
          <w:tcPr>
            <w:tcW w:w="2175" w:type="dxa"/>
            <w:tcBorders>
              <w:top w:val="nil"/>
              <w:left w:val="single" w:sz="8" w:space="0" w:color="auto"/>
              <w:bottom w:val="single" w:sz="8" w:space="0" w:color="auto"/>
              <w:right w:val="nil"/>
            </w:tcBorders>
            <w:shd w:val="clear" w:color="auto" w:fill="auto"/>
            <w:noWrap/>
            <w:vAlign w:val="bottom"/>
          </w:tcPr>
          <w:p w:rsidR="008D6244" w:rsidRPr="008D6244" w:rsidRDefault="008D6244" w:rsidP="008D6244">
            <w:pPr>
              <w:spacing w:after="0" w:line="240" w:lineRule="auto"/>
              <w:jc w:val="center"/>
              <w:rPr>
                <w:rFonts w:ascii="Arial" w:eastAsia="SimSun" w:hAnsi="Arial" w:cs="Arial"/>
                <w:b/>
                <w:bCs/>
                <w:sz w:val="20"/>
                <w:szCs w:val="20"/>
                <w:lang w:val="es-ES" w:eastAsia="zh-CN"/>
              </w:rPr>
            </w:pPr>
            <w:r w:rsidRPr="008D6244">
              <w:rPr>
                <w:rFonts w:ascii="Arial" w:eastAsia="SimSun" w:hAnsi="Arial" w:cs="Arial"/>
                <w:b/>
                <w:bCs/>
                <w:sz w:val="20"/>
                <w:szCs w:val="20"/>
                <w:lang w:val="es-ES" w:eastAsia="zh-CN"/>
              </w:rPr>
              <w:t>DURÁN</w:t>
            </w:r>
          </w:p>
        </w:tc>
        <w:tc>
          <w:tcPr>
            <w:tcW w:w="3176" w:type="dxa"/>
            <w:tcBorders>
              <w:top w:val="nil"/>
              <w:left w:val="single" w:sz="8" w:space="0" w:color="auto"/>
              <w:bottom w:val="double" w:sz="6" w:space="0" w:color="auto"/>
              <w:right w:val="single" w:sz="8" w:space="0" w:color="auto"/>
            </w:tcBorders>
            <w:shd w:val="clear" w:color="auto" w:fill="auto"/>
            <w:vAlign w:val="bottom"/>
          </w:tcPr>
          <w:p w:rsidR="008D6244" w:rsidRPr="008D6244" w:rsidRDefault="008D6244" w:rsidP="008D6244">
            <w:pPr>
              <w:spacing w:after="0" w:line="240" w:lineRule="auto"/>
              <w:rPr>
                <w:rFonts w:ascii="Arial" w:eastAsia="SimSun" w:hAnsi="Arial" w:cs="Arial"/>
                <w:sz w:val="20"/>
                <w:szCs w:val="20"/>
                <w:lang w:val="es-ES" w:eastAsia="zh-CN"/>
              </w:rPr>
            </w:pPr>
            <w:r w:rsidRPr="008D6244">
              <w:rPr>
                <w:rFonts w:ascii="Arial" w:eastAsia="SimSun" w:hAnsi="Arial" w:cs="Arial"/>
                <w:sz w:val="20"/>
                <w:szCs w:val="20"/>
                <w:lang w:val="es-ES" w:eastAsia="zh-CN"/>
              </w:rPr>
              <w:t>AG. DURÁN</w:t>
            </w:r>
          </w:p>
        </w:tc>
      </w:tr>
      <w:tr w:rsidR="008D6244" w:rsidRPr="008D6244" w:rsidTr="008D6244">
        <w:trPr>
          <w:trHeight w:val="330"/>
          <w:jc w:val="center"/>
        </w:trPr>
        <w:tc>
          <w:tcPr>
            <w:tcW w:w="2175" w:type="dxa"/>
            <w:tcBorders>
              <w:top w:val="nil"/>
              <w:left w:val="single" w:sz="8" w:space="0" w:color="auto"/>
              <w:bottom w:val="single" w:sz="8" w:space="0" w:color="auto"/>
              <w:right w:val="nil"/>
            </w:tcBorders>
            <w:shd w:val="clear" w:color="auto" w:fill="auto"/>
            <w:noWrap/>
            <w:vAlign w:val="bottom"/>
          </w:tcPr>
          <w:p w:rsidR="008D6244" w:rsidRPr="008D6244" w:rsidRDefault="008D6244" w:rsidP="008D6244">
            <w:pPr>
              <w:spacing w:after="0" w:line="240" w:lineRule="auto"/>
              <w:jc w:val="center"/>
              <w:rPr>
                <w:rFonts w:ascii="Arial" w:eastAsia="SimSun" w:hAnsi="Arial" w:cs="Arial"/>
                <w:b/>
                <w:bCs/>
                <w:sz w:val="20"/>
                <w:szCs w:val="20"/>
                <w:lang w:val="es-ES" w:eastAsia="zh-CN"/>
              </w:rPr>
            </w:pPr>
            <w:r w:rsidRPr="008D6244">
              <w:rPr>
                <w:rFonts w:ascii="Arial" w:eastAsia="SimSun" w:hAnsi="Arial" w:cs="Arial"/>
                <w:b/>
                <w:bCs/>
                <w:sz w:val="20"/>
                <w:szCs w:val="20"/>
                <w:lang w:val="es-ES" w:eastAsia="zh-CN"/>
              </w:rPr>
              <w:t>SAN MARINO</w:t>
            </w:r>
          </w:p>
        </w:tc>
        <w:tc>
          <w:tcPr>
            <w:tcW w:w="3176" w:type="dxa"/>
            <w:tcBorders>
              <w:top w:val="nil"/>
              <w:left w:val="single" w:sz="8" w:space="0" w:color="auto"/>
              <w:bottom w:val="double" w:sz="6" w:space="0" w:color="auto"/>
              <w:right w:val="single" w:sz="8" w:space="0" w:color="auto"/>
            </w:tcBorders>
            <w:shd w:val="clear" w:color="auto" w:fill="auto"/>
            <w:vAlign w:val="bottom"/>
          </w:tcPr>
          <w:p w:rsidR="008D6244" w:rsidRPr="008D6244" w:rsidRDefault="008D6244" w:rsidP="008D6244">
            <w:pPr>
              <w:spacing w:after="0" w:line="240" w:lineRule="auto"/>
              <w:rPr>
                <w:rFonts w:ascii="Arial" w:eastAsia="SimSun" w:hAnsi="Arial" w:cs="Arial"/>
                <w:sz w:val="20"/>
                <w:szCs w:val="20"/>
                <w:lang w:val="es-ES" w:eastAsia="zh-CN"/>
              </w:rPr>
            </w:pPr>
            <w:r w:rsidRPr="008D6244">
              <w:rPr>
                <w:rFonts w:ascii="Arial" w:eastAsia="SimSun" w:hAnsi="Arial" w:cs="Arial"/>
                <w:sz w:val="20"/>
                <w:szCs w:val="20"/>
                <w:lang w:val="es-ES" w:eastAsia="zh-CN"/>
              </w:rPr>
              <w:t>AG, SAN MARINO</w:t>
            </w:r>
          </w:p>
        </w:tc>
      </w:tr>
      <w:tr w:rsidR="008D6244" w:rsidRPr="008D6244" w:rsidTr="008D6244">
        <w:trPr>
          <w:trHeight w:val="285"/>
          <w:jc w:val="center"/>
        </w:trPr>
        <w:tc>
          <w:tcPr>
            <w:tcW w:w="2175" w:type="dxa"/>
            <w:tcBorders>
              <w:top w:val="nil"/>
              <w:left w:val="single" w:sz="8" w:space="0" w:color="auto"/>
              <w:bottom w:val="single" w:sz="8" w:space="0" w:color="auto"/>
              <w:right w:val="nil"/>
            </w:tcBorders>
            <w:shd w:val="clear" w:color="auto" w:fill="auto"/>
            <w:noWrap/>
            <w:vAlign w:val="bottom"/>
          </w:tcPr>
          <w:p w:rsidR="008D6244" w:rsidRPr="008D6244" w:rsidRDefault="008D6244" w:rsidP="008D6244">
            <w:pPr>
              <w:spacing w:after="0" w:line="240" w:lineRule="auto"/>
              <w:jc w:val="center"/>
              <w:rPr>
                <w:rFonts w:ascii="Arial" w:eastAsia="SimSun" w:hAnsi="Arial" w:cs="Arial"/>
                <w:b/>
                <w:bCs/>
                <w:sz w:val="20"/>
                <w:szCs w:val="20"/>
                <w:lang w:val="es-ES" w:eastAsia="zh-CN"/>
              </w:rPr>
            </w:pPr>
            <w:r w:rsidRPr="008D6244">
              <w:rPr>
                <w:rFonts w:ascii="Arial" w:eastAsia="SimSun" w:hAnsi="Arial" w:cs="Arial"/>
                <w:b/>
                <w:bCs/>
                <w:sz w:val="20"/>
                <w:szCs w:val="20"/>
                <w:lang w:val="es-ES" w:eastAsia="zh-CN"/>
              </w:rPr>
              <w:t>CEIBOS</w:t>
            </w:r>
          </w:p>
        </w:tc>
        <w:tc>
          <w:tcPr>
            <w:tcW w:w="3176" w:type="dxa"/>
            <w:tcBorders>
              <w:top w:val="nil"/>
              <w:left w:val="single" w:sz="8" w:space="0" w:color="auto"/>
              <w:bottom w:val="double" w:sz="6" w:space="0" w:color="auto"/>
              <w:right w:val="single" w:sz="8" w:space="0" w:color="auto"/>
            </w:tcBorders>
            <w:shd w:val="clear" w:color="auto" w:fill="auto"/>
            <w:vAlign w:val="bottom"/>
          </w:tcPr>
          <w:p w:rsidR="008D6244" w:rsidRPr="008D6244" w:rsidRDefault="008D6244" w:rsidP="008D6244">
            <w:pPr>
              <w:spacing w:after="0" w:line="240" w:lineRule="auto"/>
              <w:rPr>
                <w:rFonts w:ascii="Arial" w:eastAsia="SimSun" w:hAnsi="Arial" w:cs="Arial"/>
                <w:sz w:val="20"/>
                <w:szCs w:val="20"/>
                <w:lang w:val="es-ES" w:eastAsia="zh-CN"/>
              </w:rPr>
            </w:pPr>
            <w:r w:rsidRPr="008D6244">
              <w:rPr>
                <w:rFonts w:ascii="Arial" w:eastAsia="SimSun" w:hAnsi="Arial" w:cs="Arial"/>
                <w:sz w:val="20"/>
                <w:szCs w:val="20"/>
                <w:lang w:val="es-ES" w:eastAsia="zh-CN"/>
              </w:rPr>
              <w:t>CEIBOS EXPRESS</w:t>
            </w:r>
          </w:p>
        </w:tc>
      </w:tr>
      <w:tr w:rsidR="008D6244" w:rsidRPr="008D6244" w:rsidTr="008D6244">
        <w:trPr>
          <w:trHeight w:val="285"/>
          <w:jc w:val="center"/>
        </w:trPr>
        <w:tc>
          <w:tcPr>
            <w:tcW w:w="2175" w:type="dxa"/>
            <w:tcBorders>
              <w:top w:val="nil"/>
              <w:left w:val="single" w:sz="8" w:space="0" w:color="auto"/>
              <w:bottom w:val="single" w:sz="8" w:space="0" w:color="auto"/>
              <w:right w:val="nil"/>
            </w:tcBorders>
            <w:shd w:val="clear" w:color="auto" w:fill="auto"/>
            <w:noWrap/>
            <w:vAlign w:val="bottom"/>
          </w:tcPr>
          <w:p w:rsidR="008D6244" w:rsidRPr="008D6244" w:rsidRDefault="008D6244" w:rsidP="008D6244">
            <w:pPr>
              <w:spacing w:after="0" w:line="240" w:lineRule="auto"/>
              <w:jc w:val="center"/>
              <w:rPr>
                <w:rFonts w:ascii="Arial" w:eastAsia="SimSun" w:hAnsi="Arial" w:cs="Arial"/>
                <w:b/>
                <w:bCs/>
                <w:sz w:val="20"/>
                <w:szCs w:val="20"/>
                <w:lang w:val="es-ES" w:eastAsia="zh-CN"/>
              </w:rPr>
            </w:pPr>
            <w:r w:rsidRPr="008D6244">
              <w:rPr>
                <w:rFonts w:ascii="Arial" w:eastAsia="SimSun" w:hAnsi="Arial" w:cs="Arial"/>
                <w:b/>
                <w:bCs/>
                <w:sz w:val="20"/>
                <w:szCs w:val="20"/>
                <w:lang w:val="es-ES" w:eastAsia="zh-CN"/>
              </w:rPr>
              <w:t xml:space="preserve">9 DE OCTUBRE </w:t>
            </w:r>
          </w:p>
        </w:tc>
        <w:tc>
          <w:tcPr>
            <w:tcW w:w="3176" w:type="dxa"/>
            <w:tcBorders>
              <w:top w:val="nil"/>
              <w:left w:val="single" w:sz="8" w:space="0" w:color="auto"/>
              <w:bottom w:val="single" w:sz="8" w:space="0" w:color="auto"/>
              <w:right w:val="single" w:sz="8" w:space="0" w:color="auto"/>
            </w:tcBorders>
            <w:shd w:val="clear" w:color="auto" w:fill="auto"/>
            <w:vAlign w:val="bottom"/>
          </w:tcPr>
          <w:p w:rsidR="008D6244" w:rsidRPr="008D6244" w:rsidRDefault="008D6244" w:rsidP="008D6244">
            <w:pPr>
              <w:spacing w:after="0" w:line="240" w:lineRule="auto"/>
              <w:rPr>
                <w:rFonts w:ascii="Arial" w:eastAsia="SimSun" w:hAnsi="Arial" w:cs="Arial"/>
                <w:sz w:val="20"/>
                <w:szCs w:val="20"/>
                <w:lang w:val="es-ES" w:eastAsia="zh-CN"/>
              </w:rPr>
            </w:pPr>
            <w:r w:rsidRPr="008D6244">
              <w:rPr>
                <w:rFonts w:ascii="Arial" w:eastAsia="SimSun" w:hAnsi="Arial" w:cs="Arial"/>
                <w:sz w:val="20"/>
                <w:szCs w:val="20"/>
                <w:lang w:val="es-ES" w:eastAsia="zh-CN"/>
              </w:rPr>
              <w:t>AG. 9 DE OCTUBRE</w:t>
            </w:r>
          </w:p>
        </w:tc>
      </w:tr>
      <w:tr w:rsidR="008D6244" w:rsidRPr="008D6244" w:rsidTr="008D6244">
        <w:trPr>
          <w:trHeight w:val="285"/>
          <w:jc w:val="center"/>
        </w:trPr>
        <w:tc>
          <w:tcPr>
            <w:tcW w:w="2175" w:type="dxa"/>
            <w:tcBorders>
              <w:top w:val="nil"/>
              <w:left w:val="single" w:sz="8" w:space="0" w:color="auto"/>
              <w:bottom w:val="nil"/>
              <w:right w:val="nil"/>
            </w:tcBorders>
            <w:shd w:val="clear" w:color="auto" w:fill="auto"/>
            <w:noWrap/>
            <w:vAlign w:val="bottom"/>
          </w:tcPr>
          <w:p w:rsidR="008D6244" w:rsidRPr="008D6244" w:rsidRDefault="008D6244" w:rsidP="008D6244">
            <w:pPr>
              <w:spacing w:after="0" w:line="240" w:lineRule="auto"/>
              <w:jc w:val="center"/>
              <w:rPr>
                <w:rFonts w:ascii="Arial" w:eastAsia="SimSun" w:hAnsi="Arial" w:cs="Arial"/>
                <w:b/>
                <w:bCs/>
                <w:sz w:val="20"/>
                <w:szCs w:val="20"/>
                <w:lang w:val="es-ES" w:eastAsia="zh-CN"/>
              </w:rPr>
            </w:pPr>
            <w:r w:rsidRPr="008D6244">
              <w:rPr>
                <w:rFonts w:ascii="Arial" w:eastAsia="SimSun" w:hAnsi="Arial" w:cs="Arial"/>
                <w:b/>
                <w:bCs/>
                <w:sz w:val="20"/>
                <w:szCs w:val="20"/>
                <w:lang w:val="es-ES" w:eastAsia="zh-CN"/>
              </w:rPr>
              <w:t>URDESA</w:t>
            </w:r>
          </w:p>
        </w:tc>
        <w:tc>
          <w:tcPr>
            <w:tcW w:w="3176" w:type="dxa"/>
            <w:tcBorders>
              <w:top w:val="nil"/>
              <w:left w:val="single" w:sz="8" w:space="0" w:color="auto"/>
              <w:bottom w:val="double" w:sz="6" w:space="0" w:color="auto"/>
              <w:right w:val="single" w:sz="8" w:space="0" w:color="auto"/>
            </w:tcBorders>
            <w:shd w:val="clear" w:color="auto" w:fill="auto"/>
            <w:vAlign w:val="bottom"/>
          </w:tcPr>
          <w:p w:rsidR="008D6244" w:rsidRPr="008D6244" w:rsidRDefault="008D6244" w:rsidP="008D6244">
            <w:pPr>
              <w:spacing w:after="0" w:line="240" w:lineRule="auto"/>
              <w:rPr>
                <w:rFonts w:ascii="Arial" w:eastAsia="SimSun" w:hAnsi="Arial" w:cs="Arial"/>
                <w:sz w:val="20"/>
                <w:szCs w:val="20"/>
                <w:lang w:val="es-ES" w:eastAsia="zh-CN"/>
              </w:rPr>
            </w:pPr>
            <w:r w:rsidRPr="008D6244">
              <w:rPr>
                <w:rFonts w:ascii="Arial" w:eastAsia="SimSun" w:hAnsi="Arial" w:cs="Arial"/>
                <w:sz w:val="20"/>
                <w:szCs w:val="20"/>
                <w:lang w:val="es-ES" w:eastAsia="zh-CN"/>
              </w:rPr>
              <w:t>AG. URDESA</w:t>
            </w:r>
          </w:p>
        </w:tc>
      </w:tr>
      <w:tr w:rsidR="008D6244" w:rsidRPr="008D6244" w:rsidTr="008D6244">
        <w:trPr>
          <w:trHeight w:val="285"/>
          <w:jc w:val="center"/>
        </w:trPr>
        <w:tc>
          <w:tcPr>
            <w:tcW w:w="2175" w:type="dxa"/>
            <w:tcBorders>
              <w:top w:val="single" w:sz="8" w:space="0" w:color="auto"/>
              <w:left w:val="single" w:sz="8" w:space="0" w:color="auto"/>
              <w:bottom w:val="single" w:sz="8" w:space="0" w:color="auto"/>
              <w:right w:val="nil"/>
            </w:tcBorders>
            <w:shd w:val="clear" w:color="auto" w:fill="auto"/>
            <w:noWrap/>
            <w:vAlign w:val="bottom"/>
          </w:tcPr>
          <w:p w:rsidR="008D6244" w:rsidRPr="008D6244" w:rsidRDefault="008D6244" w:rsidP="008D6244">
            <w:pPr>
              <w:spacing w:after="0" w:line="240" w:lineRule="auto"/>
              <w:jc w:val="center"/>
              <w:rPr>
                <w:rFonts w:ascii="Arial" w:eastAsia="SimSun" w:hAnsi="Arial" w:cs="Arial"/>
                <w:b/>
                <w:bCs/>
                <w:sz w:val="20"/>
                <w:szCs w:val="20"/>
                <w:lang w:val="es-ES" w:eastAsia="zh-CN"/>
              </w:rPr>
            </w:pPr>
            <w:r w:rsidRPr="008D6244">
              <w:rPr>
                <w:rFonts w:ascii="Arial" w:eastAsia="SimSun" w:hAnsi="Arial" w:cs="Arial"/>
                <w:b/>
                <w:bCs/>
                <w:sz w:val="20"/>
                <w:szCs w:val="20"/>
                <w:lang w:val="es-ES" w:eastAsia="zh-CN"/>
              </w:rPr>
              <w:t>BAHIA</w:t>
            </w:r>
          </w:p>
        </w:tc>
        <w:tc>
          <w:tcPr>
            <w:tcW w:w="3176" w:type="dxa"/>
            <w:tcBorders>
              <w:top w:val="nil"/>
              <w:left w:val="single" w:sz="8" w:space="0" w:color="auto"/>
              <w:bottom w:val="double" w:sz="6" w:space="0" w:color="auto"/>
              <w:right w:val="single" w:sz="8" w:space="0" w:color="auto"/>
            </w:tcBorders>
            <w:shd w:val="clear" w:color="auto" w:fill="auto"/>
            <w:vAlign w:val="bottom"/>
          </w:tcPr>
          <w:p w:rsidR="008D6244" w:rsidRPr="008D6244" w:rsidRDefault="008D6244" w:rsidP="008D6244">
            <w:pPr>
              <w:spacing w:after="0" w:line="240" w:lineRule="auto"/>
              <w:rPr>
                <w:rFonts w:ascii="Arial" w:eastAsia="SimSun" w:hAnsi="Arial" w:cs="Arial"/>
                <w:sz w:val="20"/>
                <w:szCs w:val="20"/>
                <w:lang w:val="es-ES" w:eastAsia="zh-CN"/>
              </w:rPr>
            </w:pPr>
            <w:r w:rsidRPr="008D6244">
              <w:rPr>
                <w:rFonts w:ascii="Arial" w:eastAsia="SimSun" w:hAnsi="Arial" w:cs="Arial"/>
                <w:sz w:val="20"/>
                <w:szCs w:val="20"/>
                <w:lang w:val="es-ES" w:eastAsia="zh-CN"/>
              </w:rPr>
              <w:t>AG. BAHIA</w:t>
            </w:r>
          </w:p>
        </w:tc>
      </w:tr>
      <w:tr w:rsidR="008D6244" w:rsidRPr="008D6244" w:rsidTr="008D6244">
        <w:trPr>
          <w:trHeight w:val="300"/>
          <w:jc w:val="center"/>
        </w:trPr>
        <w:tc>
          <w:tcPr>
            <w:tcW w:w="2175" w:type="dxa"/>
            <w:tcBorders>
              <w:top w:val="nil"/>
              <w:left w:val="single" w:sz="8" w:space="0" w:color="auto"/>
              <w:bottom w:val="single" w:sz="8" w:space="0" w:color="auto"/>
              <w:right w:val="single" w:sz="8" w:space="0" w:color="auto"/>
            </w:tcBorders>
            <w:shd w:val="clear" w:color="auto" w:fill="auto"/>
            <w:noWrap/>
            <w:vAlign w:val="bottom"/>
          </w:tcPr>
          <w:p w:rsidR="008D6244" w:rsidRPr="008D6244" w:rsidRDefault="008D6244" w:rsidP="008D6244">
            <w:pPr>
              <w:spacing w:after="0" w:line="240" w:lineRule="auto"/>
              <w:jc w:val="center"/>
              <w:rPr>
                <w:rFonts w:ascii="Arial" w:eastAsia="SimSun" w:hAnsi="Arial" w:cs="Arial"/>
                <w:b/>
                <w:bCs/>
                <w:sz w:val="20"/>
                <w:szCs w:val="20"/>
                <w:lang w:val="es-ES" w:eastAsia="zh-CN"/>
              </w:rPr>
            </w:pPr>
            <w:r w:rsidRPr="008D6244">
              <w:rPr>
                <w:rFonts w:ascii="Arial" w:eastAsia="SimSun" w:hAnsi="Arial" w:cs="Arial"/>
                <w:b/>
                <w:bCs/>
                <w:sz w:val="20"/>
                <w:szCs w:val="20"/>
                <w:lang w:val="es-ES" w:eastAsia="zh-CN"/>
              </w:rPr>
              <w:t>SAMBORONDÓN</w:t>
            </w:r>
          </w:p>
        </w:tc>
        <w:tc>
          <w:tcPr>
            <w:tcW w:w="3176" w:type="dxa"/>
            <w:tcBorders>
              <w:top w:val="nil"/>
              <w:left w:val="nil"/>
              <w:bottom w:val="single" w:sz="8" w:space="0" w:color="auto"/>
              <w:right w:val="single" w:sz="8" w:space="0" w:color="auto"/>
            </w:tcBorders>
            <w:shd w:val="clear" w:color="auto" w:fill="auto"/>
            <w:vAlign w:val="bottom"/>
          </w:tcPr>
          <w:p w:rsidR="008D6244" w:rsidRPr="008D6244" w:rsidRDefault="008D6244" w:rsidP="008D6244">
            <w:pPr>
              <w:spacing w:after="0" w:line="240" w:lineRule="auto"/>
              <w:rPr>
                <w:rFonts w:ascii="Arial" w:eastAsia="SimSun" w:hAnsi="Arial" w:cs="Arial"/>
                <w:sz w:val="20"/>
                <w:szCs w:val="20"/>
                <w:lang w:val="es-ES" w:eastAsia="zh-CN"/>
              </w:rPr>
            </w:pPr>
            <w:r w:rsidRPr="008D6244">
              <w:rPr>
                <w:rFonts w:ascii="Arial" w:eastAsia="SimSun" w:hAnsi="Arial" w:cs="Arial"/>
                <w:sz w:val="20"/>
                <w:szCs w:val="20"/>
                <w:lang w:val="es-ES" w:eastAsia="zh-CN"/>
              </w:rPr>
              <w:t>LOS ARCOS</w:t>
            </w:r>
          </w:p>
        </w:tc>
      </w:tr>
      <w:tr w:rsidR="008D6244" w:rsidRPr="008D6244" w:rsidTr="008D6244">
        <w:trPr>
          <w:trHeight w:val="270"/>
          <w:jc w:val="center"/>
        </w:trPr>
        <w:tc>
          <w:tcPr>
            <w:tcW w:w="2175" w:type="dxa"/>
            <w:tcBorders>
              <w:top w:val="nil"/>
              <w:left w:val="single" w:sz="8" w:space="0" w:color="auto"/>
              <w:bottom w:val="nil"/>
              <w:right w:val="single" w:sz="8" w:space="0" w:color="auto"/>
            </w:tcBorders>
            <w:shd w:val="clear" w:color="auto" w:fill="auto"/>
            <w:noWrap/>
            <w:vAlign w:val="bottom"/>
          </w:tcPr>
          <w:p w:rsidR="008D6244" w:rsidRPr="008D6244" w:rsidRDefault="008D6244" w:rsidP="008D6244">
            <w:pPr>
              <w:spacing w:after="0" w:line="240" w:lineRule="auto"/>
              <w:jc w:val="center"/>
              <w:rPr>
                <w:rFonts w:ascii="Arial" w:eastAsia="SimSun" w:hAnsi="Arial" w:cs="Arial"/>
                <w:b/>
                <w:bCs/>
                <w:sz w:val="20"/>
                <w:szCs w:val="20"/>
                <w:lang w:val="es-ES" w:eastAsia="zh-CN"/>
              </w:rPr>
            </w:pPr>
            <w:r w:rsidRPr="008D6244">
              <w:rPr>
                <w:rFonts w:ascii="Arial" w:eastAsia="SimSun" w:hAnsi="Arial" w:cs="Arial"/>
                <w:b/>
                <w:bCs/>
                <w:sz w:val="20"/>
                <w:szCs w:val="20"/>
                <w:lang w:val="es-ES" w:eastAsia="zh-CN"/>
              </w:rPr>
              <w:t>MANTA</w:t>
            </w:r>
          </w:p>
        </w:tc>
        <w:tc>
          <w:tcPr>
            <w:tcW w:w="3176" w:type="dxa"/>
            <w:tcBorders>
              <w:top w:val="nil"/>
              <w:left w:val="nil"/>
              <w:bottom w:val="nil"/>
              <w:right w:val="single" w:sz="8" w:space="0" w:color="auto"/>
            </w:tcBorders>
            <w:shd w:val="clear" w:color="auto" w:fill="auto"/>
            <w:vAlign w:val="bottom"/>
          </w:tcPr>
          <w:p w:rsidR="008D6244" w:rsidRPr="008D6244" w:rsidRDefault="008D6244" w:rsidP="008D6244">
            <w:pPr>
              <w:spacing w:after="0" w:line="240" w:lineRule="auto"/>
              <w:rPr>
                <w:rFonts w:ascii="Arial" w:eastAsia="SimSun" w:hAnsi="Arial" w:cs="Arial"/>
                <w:sz w:val="20"/>
                <w:szCs w:val="20"/>
                <w:lang w:val="es-ES" w:eastAsia="zh-CN"/>
              </w:rPr>
            </w:pPr>
            <w:r w:rsidRPr="008D6244">
              <w:rPr>
                <w:rFonts w:ascii="Arial" w:eastAsia="SimSun" w:hAnsi="Arial" w:cs="Arial"/>
                <w:sz w:val="20"/>
                <w:szCs w:val="20"/>
                <w:lang w:val="es-ES" w:eastAsia="zh-CN"/>
              </w:rPr>
              <w:t>MANTA EXPRESS</w:t>
            </w:r>
          </w:p>
        </w:tc>
      </w:tr>
      <w:tr w:rsidR="008D6244" w:rsidRPr="008D6244" w:rsidTr="008D6244">
        <w:trPr>
          <w:trHeight w:val="285"/>
          <w:jc w:val="center"/>
        </w:trPr>
        <w:tc>
          <w:tcPr>
            <w:tcW w:w="2175" w:type="dxa"/>
            <w:tcBorders>
              <w:top w:val="nil"/>
              <w:left w:val="single" w:sz="8" w:space="0" w:color="auto"/>
              <w:bottom w:val="single" w:sz="8" w:space="0" w:color="000000"/>
              <w:right w:val="single" w:sz="8" w:space="0" w:color="auto"/>
            </w:tcBorders>
            <w:shd w:val="clear" w:color="auto" w:fill="auto"/>
            <w:noWrap/>
            <w:vAlign w:val="bottom"/>
          </w:tcPr>
          <w:p w:rsidR="008D6244" w:rsidRPr="008D6244" w:rsidRDefault="008D6244" w:rsidP="008D6244">
            <w:pPr>
              <w:spacing w:after="0" w:line="240" w:lineRule="auto"/>
              <w:jc w:val="center"/>
              <w:rPr>
                <w:rFonts w:ascii="Arial" w:eastAsia="SimSun" w:hAnsi="Arial" w:cs="Arial"/>
                <w:b/>
                <w:bCs/>
                <w:sz w:val="20"/>
                <w:szCs w:val="20"/>
                <w:lang w:val="es-ES" w:eastAsia="zh-CN"/>
              </w:rPr>
            </w:pPr>
            <w:r w:rsidRPr="008D6244">
              <w:rPr>
                <w:rFonts w:ascii="Arial" w:eastAsia="SimSun" w:hAnsi="Arial" w:cs="Arial"/>
                <w:b/>
                <w:bCs/>
                <w:sz w:val="20"/>
                <w:szCs w:val="20"/>
                <w:lang w:val="es-ES" w:eastAsia="zh-CN"/>
              </w:rPr>
              <w:t> </w:t>
            </w:r>
          </w:p>
        </w:tc>
        <w:tc>
          <w:tcPr>
            <w:tcW w:w="3176" w:type="dxa"/>
            <w:tcBorders>
              <w:top w:val="single" w:sz="8" w:space="0" w:color="auto"/>
              <w:left w:val="nil"/>
              <w:bottom w:val="double" w:sz="6" w:space="0" w:color="auto"/>
              <w:right w:val="single" w:sz="8" w:space="0" w:color="auto"/>
            </w:tcBorders>
            <w:shd w:val="clear" w:color="auto" w:fill="auto"/>
            <w:vAlign w:val="bottom"/>
          </w:tcPr>
          <w:p w:rsidR="008D6244" w:rsidRPr="008D6244" w:rsidRDefault="008D6244" w:rsidP="008D6244">
            <w:pPr>
              <w:spacing w:after="0" w:line="240" w:lineRule="auto"/>
              <w:rPr>
                <w:rFonts w:ascii="Arial" w:eastAsia="SimSun" w:hAnsi="Arial" w:cs="Arial"/>
                <w:sz w:val="20"/>
                <w:szCs w:val="20"/>
                <w:lang w:val="es-ES" w:eastAsia="zh-CN"/>
              </w:rPr>
            </w:pPr>
            <w:r w:rsidRPr="008D6244">
              <w:rPr>
                <w:rFonts w:ascii="Arial" w:eastAsia="SimSun" w:hAnsi="Arial" w:cs="Arial"/>
                <w:sz w:val="20"/>
                <w:szCs w:val="20"/>
                <w:lang w:val="es-ES" w:eastAsia="zh-CN"/>
              </w:rPr>
              <w:t>SUCURSAL MANTA</w:t>
            </w:r>
          </w:p>
        </w:tc>
      </w:tr>
      <w:tr w:rsidR="008D6244" w:rsidRPr="008D6244" w:rsidTr="008D6244">
        <w:trPr>
          <w:trHeight w:val="330"/>
          <w:jc w:val="center"/>
        </w:trPr>
        <w:tc>
          <w:tcPr>
            <w:tcW w:w="2175" w:type="dxa"/>
            <w:tcBorders>
              <w:top w:val="nil"/>
              <w:left w:val="single" w:sz="8" w:space="0" w:color="auto"/>
              <w:bottom w:val="single" w:sz="8" w:space="0" w:color="auto"/>
              <w:right w:val="single" w:sz="8" w:space="0" w:color="auto"/>
            </w:tcBorders>
            <w:shd w:val="clear" w:color="auto" w:fill="auto"/>
            <w:noWrap/>
            <w:vAlign w:val="bottom"/>
          </w:tcPr>
          <w:p w:rsidR="008D6244" w:rsidRPr="008D6244" w:rsidRDefault="008D6244" w:rsidP="008D6244">
            <w:pPr>
              <w:spacing w:after="0" w:line="240" w:lineRule="auto"/>
              <w:jc w:val="center"/>
              <w:rPr>
                <w:rFonts w:ascii="Arial" w:eastAsia="SimSun" w:hAnsi="Arial" w:cs="Arial"/>
                <w:b/>
                <w:bCs/>
                <w:sz w:val="20"/>
                <w:szCs w:val="20"/>
                <w:lang w:val="es-ES" w:eastAsia="zh-CN"/>
              </w:rPr>
            </w:pPr>
            <w:r w:rsidRPr="008D6244">
              <w:rPr>
                <w:rFonts w:ascii="Arial" w:eastAsia="SimSun" w:hAnsi="Arial" w:cs="Arial"/>
                <w:b/>
                <w:bCs/>
                <w:sz w:val="20"/>
                <w:szCs w:val="20"/>
                <w:lang w:val="es-ES" w:eastAsia="zh-CN"/>
              </w:rPr>
              <w:t>SANTA ELENA</w:t>
            </w:r>
          </w:p>
        </w:tc>
        <w:tc>
          <w:tcPr>
            <w:tcW w:w="3176" w:type="dxa"/>
            <w:tcBorders>
              <w:top w:val="nil"/>
              <w:left w:val="nil"/>
              <w:bottom w:val="nil"/>
              <w:right w:val="single" w:sz="8" w:space="0" w:color="auto"/>
            </w:tcBorders>
            <w:shd w:val="clear" w:color="auto" w:fill="auto"/>
            <w:vAlign w:val="bottom"/>
          </w:tcPr>
          <w:p w:rsidR="008D6244" w:rsidRPr="008D6244" w:rsidRDefault="008D6244" w:rsidP="008D6244">
            <w:pPr>
              <w:spacing w:after="0" w:line="240" w:lineRule="auto"/>
              <w:rPr>
                <w:rFonts w:ascii="Arial" w:eastAsia="SimSun" w:hAnsi="Arial" w:cs="Arial"/>
                <w:sz w:val="20"/>
                <w:szCs w:val="20"/>
                <w:lang w:val="es-ES" w:eastAsia="zh-CN"/>
              </w:rPr>
            </w:pPr>
            <w:r w:rsidRPr="008D6244">
              <w:rPr>
                <w:rFonts w:ascii="Arial" w:eastAsia="SimSun" w:hAnsi="Arial" w:cs="Arial"/>
                <w:sz w:val="20"/>
                <w:szCs w:val="20"/>
                <w:lang w:val="es-ES" w:eastAsia="zh-CN"/>
              </w:rPr>
              <w:t>LA LIBERTAD</w:t>
            </w:r>
          </w:p>
        </w:tc>
      </w:tr>
      <w:tr w:rsidR="008D6244" w:rsidRPr="008D6244" w:rsidTr="008D6244">
        <w:trPr>
          <w:trHeight w:val="270"/>
          <w:jc w:val="center"/>
        </w:trPr>
        <w:tc>
          <w:tcPr>
            <w:tcW w:w="2175" w:type="dxa"/>
            <w:tcBorders>
              <w:top w:val="nil"/>
              <w:left w:val="single" w:sz="8" w:space="0" w:color="auto"/>
              <w:bottom w:val="double" w:sz="6" w:space="0" w:color="auto"/>
              <w:right w:val="nil"/>
            </w:tcBorders>
            <w:shd w:val="clear" w:color="auto" w:fill="auto"/>
            <w:noWrap/>
            <w:vAlign w:val="bottom"/>
          </w:tcPr>
          <w:p w:rsidR="008D6244" w:rsidRPr="008D6244" w:rsidRDefault="008D6244" w:rsidP="008D6244">
            <w:pPr>
              <w:spacing w:after="0" w:line="240" w:lineRule="auto"/>
              <w:jc w:val="center"/>
              <w:rPr>
                <w:rFonts w:ascii="Arial" w:eastAsia="SimSun" w:hAnsi="Arial" w:cs="Arial"/>
                <w:b/>
                <w:bCs/>
                <w:sz w:val="20"/>
                <w:szCs w:val="20"/>
                <w:lang w:val="es-ES" w:eastAsia="zh-CN"/>
              </w:rPr>
            </w:pPr>
            <w:r w:rsidRPr="008D6244">
              <w:rPr>
                <w:rFonts w:ascii="Arial" w:eastAsia="SimSun" w:hAnsi="Arial" w:cs="Arial"/>
                <w:b/>
                <w:bCs/>
                <w:sz w:val="20"/>
                <w:szCs w:val="20"/>
                <w:lang w:val="es-ES" w:eastAsia="zh-CN"/>
              </w:rPr>
              <w:t>QUEVEDO</w:t>
            </w:r>
          </w:p>
        </w:tc>
        <w:tc>
          <w:tcPr>
            <w:tcW w:w="3176" w:type="dxa"/>
            <w:tcBorders>
              <w:top w:val="single" w:sz="8" w:space="0" w:color="auto"/>
              <w:left w:val="single" w:sz="8" w:space="0" w:color="auto"/>
              <w:bottom w:val="double" w:sz="6" w:space="0" w:color="auto"/>
              <w:right w:val="single" w:sz="8" w:space="0" w:color="auto"/>
            </w:tcBorders>
            <w:shd w:val="clear" w:color="auto" w:fill="auto"/>
            <w:vAlign w:val="bottom"/>
          </w:tcPr>
          <w:p w:rsidR="008D6244" w:rsidRPr="008D6244" w:rsidRDefault="008D6244" w:rsidP="008D6244">
            <w:pPr>
              <w:spacing w:after="0" w:line="240" w:lineRule="auto"/>
              <w:rPr>
                <w:rFonts w:ascii="Arial" w:eastAsia="SimSun" w:hAnsi="Arial" w:cs="Arial"/>
                <w:sz w:val="20"/>
                <w:szCs w:val="20"/>
                <w:lang w:val="es-ES" w:eastAsia="zh-CN"/>
              </w:rPr>
            </w:pPr>
            <w:r w:rsidRPr="008D6244">
              <w:rPr>
                <w:rFonts w:ascii="Arial" w:eastAsia="SimSun" w:hAnsi="Arial" w:cs="Arial"/>
                <w:sz w:val="20"/>
                <w:szCs w:val="20"/>
                <w:lang w:val="es-ES" w:eastAsia="zh-CN"/>
              </w:rPr>
              <w:t>SUCURSAL QUEVEDO</w:t>
            </w:r>
          </w:p>
        </w:tc>
      </w:tr>
    </w:tbl>
    <w:p w:rsidR="00070D5A" w:rsidRDefault="00070D5A" w:rsidP="00B26AC0">
      <w:pPr>
        <w:tabs>
          <w:tab w:val="left" w:pos="1440"/>
        </w:tabs>
        <w:spacing w:line="240" w:lineRule="auto"/>
      </w:pPr>
    </w:p>
    <w:p w:rsidR="00FC7185" w:rsidRPr="00FC7185" w:rsidRDefault="00FC7185" w:rsidP="00FC7185">
      <w:pPr>
        <w:jc w:val="center"/>
        <w:rPr>
          <w:rFonts w:ascii="Arial" w:hAnsi="Arial" w:cs="Arial"/>
          <w:b/>
          <w:sz w:val="28"/>
          <w:szCs w:val="28"/>
          <w:lang w:val="es-MX"/>
        </w:rPr>
      </w:pPr>
      <w:r w:rsidRPr="00FC7185">
        <w:rPr>
          <w:rFonts w:ascii="Arial" w:hAnsi="Arial" w:cs="Arial"/>
          <w:b/>
          <w:sz w:val="28"/>
          <w:szCs w:val="28"/>
          <w:lang w:val="es-MX"/>
        </w:rPr>
        <w:lastRenderedPageBreak/>
        <w:t>BIBLIOGRAFÍA</w:t>
      </w:r>
    </w:p>
    <w:p w:rsidR="00FC7185" w:rsidRPr="00FC7185" w:rsidRDefault="00FC7185" w:rsidP="00FC7185">
      <w:pPr>
        <w:jc w:val="center"/>
        <w:rPr>
          <w:rFonts w:ascii="Arial" w:hAnsi="Arial" w:cs="Arial"/>
          <w:b/>
          <w:sz w:val="28"/>
          <w:szCs w:val="28"/>
          <w:lang w:val="es-MX"/>
        </w:rPr>
      </w:pPr>
    </w:p>
    <w:p w:rsidR="00FC7185" w:rsidRPr="00FC7185" w:rsidRDefault="00FC7185" w:rsidP="00FC7185">
      <w:pPr>
        <w:numPr>
          <w:ilvl w:val="0"/>
          <w:numId w:val="29"/>
        </w:numPr>
        <w:spacing w:after="0" w:line="360" w:lineRule="auto"/>
        <w:rPr>
          <w:rStyle w:val="CitaHTML"/>
          <w:rFonts w:ascii="Arial" w:hAnsi="Arial" w:cs="Arial"/>
          <w:color w:val="auto"/>
        </w:rPr>
      </w:pPr>
      <w:r w:rsidRPr="00FC7185">
        <w:rPr>
          <w:rStyle w:val="CitaHTML"/>
          <w:rFonts w:ascii="Arial" w:hAnsi="Arial" w:cs="Arial"/>
          <w:color w:val="auto"/>
        </w:rPr>
        <w:t xml:space="preserve">Crisis Bancaria en el Ecuador </w:t>
      </w:r>
      <w:hyperlink r:id="rId65" w:history="1">
        <w:r w:rsidRPr="00FC7185">
          <w:rPr>
            <w:rStyle w:val="Hipervnculo"/>
            <w:rFonts w:ascii="Arial" w:hAnsi="Arial" w:cs="Arial"/>
            <w:color w:val="auto"/>
          </w:rPr>
          <w:t>www.eumed.net/cursecon/ecolat/ec/2007/CRISIS%20</w:t>
        </w:r>
        <w:r w:rsidRPr="00FC7185">
          <w:rPr>
            <w:rStyle w:val="Hipervnculo"/>
            <w:rFonts w:ascii="Arial" w:hAnsi="Arial" w:cs="Arial"/>
            <w:bCs/>
            <w:color w:val="auto"/>
          </w:rPr>
          <w:t>BANCARIA</w:t>
        </w:r>
        <w:r w:rsidRPr="00FC7185">
          <w:rPr>
            <w:rStyle w:val="Hipervnculo"/>
            <w:rFonts w:ascii="Arial" w:hAnsi="Arial" w:cs="Arial"/>
            <w:color w:val="auto"/>
          </w:rPr>
          <w:t>%20EN%20</w:t>
        </w:r>
        <w:r w:rsidRPr="00FC7185">
          <w:rPr>
            <w:rStyle w:val="Hipervnculo"/>
            <w:rFonts w:ascii="Arial" w:hAnsi="Arial" w:cs="Arial"/>
            <w:bCs/>
            <w:color w:val="auto"/>
          </w:rPr>
          <w:t>ECUADOR</w:t>
        </w:r>
        <w:r w:rsidRPr="00FC7185">
          <w:rPr>
            <w:rStyle w:val="Hipervnculo"/>
            <w:rFonts w:ascii="Arial" w:hAnsi="Arial" w:cs="Arial"/>
            <w:color w:val="auto"/>
          </w:rPr>
          <w:t>.htm</w:t>
        </w:r>
      </w:hyperlink>
    </w:p>
    <w:p w:rsidR="00FC7185" w:rsidRPr="00FC7185" w:rsidRDefault="00FC7185" w:rsidP="00FC7185">
      <w:pPr>
        <w:spacing w:line="360" w:lineRule="auto"/>
        <w:jc w:val="both"/>
        <w:rPr>
          <w:rStyle w:val="CitaHTML"/>
          <w:rFonts w:ascii="Arial" w:hAnsi="Arial" w:cs="Arial"/>
          <w:color w:val="auto"/>
        </w:rPr>
      </w:pPr>
    </w:p>
    <w:p w:rsidR="00FC7185" w:rsidRPr="00FC7185" w:rsidRDefault="00FC7185" w:rsidP="00FC7185">
      <w:pPr>
        <w:numPr>
          <w:ilvl w:val="0"/>
          <w:numId w:val="29"/>
        </w:numPr>
        <w:spacing w:after="0" w:line="360" w:lineRule="auto"/>
        <w:jc w:val="both"/>
        <w:rPr>
          <w:rStyle w:val="CitaHTML"/>
          <w:rFonts w:ascii="Arial" w:hAnsi="Arial" w:cs="Arial"/>
          <w:color w:val="auto"/>
        </w:rPr>
      </w:pPr>
      <w:hyperlink r:id="rId66" w:history="1">
        <w:r w:rsidRPr="00FC7185">
          <w:rPr>
            <w:rStyle w:val="Hipervnculo"/>
            <w:rFonts w:ascii="Arial" w:hAnsi="Arial" w:cs="Arial"/>
            <w:color w:val="auto"/>
          </w:rPr>
          <w:t>www.bis.org/publ/qtrpdf/r_qt0703esp_b.pdf</w:t>
        </w:r>
      </w:hyperlink>
    </w:p>
    <w:p w:rsidR="00FC7185" w:rsidRPr="00FC7185" w:rsidRDefault="00FC7185" w:rsidP="00FC7185">
      <w:pPr>
        <w:spacing w:line="360" w:lineRule="auto"/>
        <w:jc w:val="both"/>
        <w:rPr>
          <w:rFonts w:ascii="Arial" w:hAnsi="Arial" w:cs="Arial"/>
          <w:lang w:val="es-MX"/>
        </w:rPr>
      </w:pPr>
    </w:p>
    <w:p w:rsidR="00FC7185" w:rsidRPr="00FC7185" w:rsidRDefault="00FC7185" w:rsidP="00FC7185">
      <w:pPr>
        <w:numPr>
          <w:ilvl w:val="0"/>
          <w:numId w:val="29"/>
        </w:numPr>
        <w:spacing w:after="0" w:line="360" w:lineRule="auto"/>
        <w:jc w:val="both"/>
        <w:rPr>
          <w:rStyle w:val="CitaHTML"/>
          <w:rFonts w:ascii="Arial" w:hAnsi="Arial" w:cs="Arial"/>
          <w:color w:val="auto"/>
          <w:lang w:val="es-MX"/>
        </w:rPr>
      </w:pPr>
      <w:hyperlink r:id="rId67" w:history="1">
        <w:r w:rsidRPr="00FC7185">
          <w:rPr>
            <w:rStyle w:val="Hipervnculo"/>
            <w:rFonts w:ascii="Arial" w:hAnsi="Arial" w:cs="Arial"/>
            <w:color w:val="auto"/>
            <w:lang w:val="es-MX"/>
          </w:rPr>
          <w:t>www.hoy.com.ec/zhechos/2004/libro/tema14.htm</w:t>
        </w:r>
      </w:hyperlink>
    </w:p>
    <w:p w:rsidR="00FC7185" w:rsidRPr="00FC7185" w:rsidRDefault="00FC7185" w:rsidP="00FC7185">
      <w:pPr>
        <w:spacing w:line="360" w:lineRule="auto"/>
        <w:jc w:val="both"/>
        <w:rPr>
          <w:rStyle w:val="CitaHTML"/>
          <w:rFonts w:ascii="Arial" w:hAnsi="Arial" w:cs="Arial"/>
          <w:color w:val="auto"/>
          <w:lang w:val="es-MX"/>
        </w:rPr>
      </w:pPr>
    </w:p>
    <w:p w:rsidR="00FC7185" w:rsidRPr="00FC7185" w:rsidRDefault="00FC7185" w:rsidP="00FC7185">
      <w:pPr>
        <w:numPr>
          <w:ilvl w:val="0"/>
          <w:numId w:val="29"/>
        </w:numPr>
        <w:spacing w:after="0" w:line="360" w:lineRule="auto"/>
        <w:jc w:val="both"/>
        <w:rPr>
          <w:rStyle w:val="Hipervnculo"/>
          <w:rFonts w:ascii="Arial" w:hAnsi="Arial" w:cs="Arial"/>
          <w:color w:val="auto"/>
        </w:rPr>
      </w:pPr>
      <w:r w:rsidRPr="00FC7185">
        <w:rPr>
          <w:rFonts w:ascii="Arial" w:hAnsi="Arial" w:cs="Arial"/>
          <w:lang w:val="es-MX"/>
        </w:rPr>
        <w:t xml:space="preserve">Banco Central del Ecuador - </w:t>
      </w:r>
      <w:hyperlink r:id="rId68" w:history="1">
        <w:r w:rsidRPr="00FC7185">
          <w:rPr>
            <w:rStyle w:val="Hipervnculo"/>
            <w:rFonts w:ascii="Arial" w:hAnsi="Arial" w:cs="Arial"/>
            <w:color w:val="auto"/>
          </w:rPr>
          <w:t>www.bce.fin.ec/pregun1.php</w:t>
        </w:r>
      </w:hyperlink>
    </w:p>
    <w:p w:rsidR="00FC7185" w:rsidRPr="00FC7185" w:rsidRDefault="00FC7185" w:rsidP="00FC7185">
      <w:pPr>
        <w:spacing w:line="360" w:lineRule="auto"/>
        <w:jc w:val="both"/>
        <w:rPr>
          <w:rStyle w:val="Hipervnculo"/>
          <w:rFonts w:ascii="Arial" w:hAnsi="Arial" w:cs="Arial"/>
          <w:color w:val="auto"/>
        </w:rPr>
      </w:pPr>
    </w:p>
    <w:p w:rsidR="00FC7185" w:rsidRPr="00FC7185" w:rsidRDefault="00FC7185" w:rsidP="00FC7185">
      <w:pPr>
        <w:numPr>
          <w:ilvl w:val="0"/>
          <w:numId w:val="29"/>
        </w:numPr>
        <w:spacing w:after="0" w:line="360" w:lineRule="auto"/>
        <w:jc w:val="both"/>
        <w:rPr>
          <w:rStyle w:val="CitaHTML"/>
          <w:rFonts w:ascii="Arial" w:hAnsi="Arial" w:cs="Arial"/>
          <w:color w:val="auto"/>
        </w:rPr>
      </w:pPr>
      <w:r w:rsidRPr="00FC7185">
        <w:rPr>
          <w:rFonts w:ascii="Arial" w:hAnsi="Arial" w:cs="Arial"/>
          <w:lang w:val="es-MX"/>
        </w:rPr>
        <w:t>Superintendencia de Bancos –</w:t>
      </w:r>
      <w:r w:rsidRPr="00FC7185">
        <w:rPr>
          <w:rStyle w:val="Hipervnculo"/>
          <w:rFonts w:ascii="Arial" w:hAnsi="Arial" w:cs="Arial"/>
          <w:color w:val="auto"/>
        </w:rPr>
        <w:t xml:space="preserve"> </w:t>
      </w:r>
      <w:r w:rsidRPr="00FC7185">
        <w:rPr>
          <w:rStyle w:val="CitaHTML"/>
          <w:rFonts w:ascii="Arial" w:hAnsi="Arial" w:cs="Arial"/>
          <w:color w:val="auto"/>
        </w:rPr>
        <w:t xml:space="preserve"> </w:t>
      </w:r>
      <w:hyperlink r:id="rId69" w:history="1">
        <w:r w:rsidRPr="00FC7185">
          <w:rPr>
            <w:rStyle w:val="Hipervnculo"/>
            <w:rFonts w:ascii="Arial" w:hAnsi="Arial" w:cs="Arial"/>
            <w:color w:val="auto"/>
          </w:rPr>
          <w:t>www.</w:t>
        </w:r>
        <w:r w:rsidRPr="00FC7185">
          <w:rPr>
            <w:rStyle w:val="Hipervnculo"/>
            <w:rFonts w:ascii="Arial" w:hAnsi="Arial" w:cs="Arial"/>
            <w:bCs/>
            <w:color w:val="auto"/>
          </w:rPr>
          <w:t>super</w:t>
        </w:r>
        <w:r w:rsidRPr="00FC7185">
          <w:rPr>
            <w:rStyle w:val="Hipervnculo"/>
            <w:rFonts w:ascii="Arial" w:hAnsi="Arial" w:cs="Arial"/>
            <w:color w:val="auto"/>
          </w:rPr>
          <w:t>ban.gov.ec/</w:t>
        </w:r>
      </w:hyperlink>
    </w:p>
    <w:p w:rsidR="00FC7185" w:rsidRPr="00FC7185" w:rsidRDefault="00FC7185" w:rsidP="00FC7185">
      <w:pPr>
        <w:spacing w:line="360" w:lineRule="auto"/>
        <w:jc w:val="both"/>
        <w:rPr>
          <w:rStyle w:val="CitaHTML"/>
          <w:rFonts w:ascii="Arial" w:hAnsi="Arial" w:cs="Arial"/>
          <w:color w:val="auto"/>
        </w:rPr>
      </w:pPr>
    </w:p>
    <w:p w:rsidR="00FC7185" w:rsidRPr="00FC7185" w:rsidRDefault="00FC7185" w:rsidP="00FC7185">
      <w:pPr>
        <w:numPr>
          <w:ilvl w:val="0"/>
          <w:numId w:val="29"/>
        </w:numPr>
        <w:spacing w:after="0" w:line="360" w:lineRule="auto"/>
        <w:jc w:val="both"/>
        <w:rPr>
          <w:rStyle w:val="CitaHTML"/>
          <w:rFonts w:ascii="Arial" w:hAnsi="Arial" w:cs="Arial"/>
          <w:color w:val="auto"/>
        </w:rPr>
      </w:pPr>
      <w:r w:rsidRPr="00FC7185">
        <w:rPr>
          <w:rStyle w:val="CitaHTML"/>
          <w:rFonts w:ascii="Arial" w:hAnsi="Arial" w:cs="Arial"/>
          <w:color w:val="auto"/>
        </w:rPr>
        <w:t xml:space="preserve">Bolsa de Valores de Guayaquil - </w:t>
      </w:r>
      <w:hyperlink r:id="rId70" w:history="1">
        <w:r w:rsidRPr="00FC7185">
          <w:rPr>
            <w:rStyle w:val="Hipervnculo"/>
            <w:rFonts w:ascii="Arial" w:hAnsi="Arial" w:cs="Arial"/>
            <w:color w:val="auto"/>
          </w:rPr>
          <w:t>www.mundobvg.com</w:t>
        </w:r>
      </w:hyperlink>
    </w:p>
    <w:p w:rsidR="00FC7185" w:rsidRPr="00FC7185" w:rsidRDefault="00FC7185" w:rsidP="00FC7185">
      <w:pPr>
        <w:spacing w:line="360" w:lineRule="auto"/>
        <w:jc w:val="both"/>
        <w:rPr>
          <w:rStyle w:val="CitaHTML"/>
          <w:rFonts w:ascii="Arial" w:hAnsi="Arial" w:cs="Arial"/>
          <w:color w:val="auto"/>
        </w:rPr>
      </w:pPr>
    </w:p>
    <w:p w:rsidR="00FC7185" w:rsidRPr="00FC7185" w:rsidRDefault="00FC7185" w:rsidP="00FC7185">
      <w:pPr>
        <w:numPr>
          <w:ilvl w:val="0"/>
          <w:numId w:val="29"/>
        </w:numPr>
        <w:spacing w:after="0" w:line="360" w:lineRule="auto"/>
        <w:jc w:val="both"/>
        <w:rPr>
          <w:rStyle w:val="CitaHTML"/>
          <w:rFonts w:ascii="Arial" w:hAnsi="Arial" w:cs="Arial"/>
          <w:color w:val="auto"/>
        </w:rPr>
      </w:pPr>
      <w:r w:rsidRPr="00FC7185">
        <w:rPr>
          <w:rStyle w:val="CitaHTML"/>
          <w:rFonts w:ascii="Arial" w:hAnsi="Arial" w:cs="Arial"/>
          <w:color w:val="auto"/>
        </w:rPr>
        <w:t xml:space="preserve">Banco de </w:t>
      </w:r>
      <w:smartTag w:uri="urn:schemas-microsoft-com:office:smarttags" w:element="PersonName">
        <w:smartTagPr>
          <w:attr w:name="ProductID" w:val="la Producción"/>
        </w:smartTagPr>
        <w:r w:rsidRPr="00FC7185">
          <w:rPr>
            <w:rStyle w:val="CitaHTML"/>
            <w:rFonts w:ascii="Arial" w:hAnsi="Arial" w:cs="Arial"/>
            <w:color w:val="auto"/>
          </w:rPr>
          <w:t>la Producción</w:t>
        </w:r>
      </w:smartTag>
      <w:r w:rsidRPr="00FC7185">
        <w:rPr>
          <w:rStyle w:val="CitaHTML"/>
          <w:rFonts w:ascii="Arial" w:hAnsi="Arial" w:cs="Arial"/>
          <w:color w:val="auto"/>
        </w:rPr>
        <w:t xml:space="preserve"> – Memorias 1997-2007</w:t>
      </w:r>
    </w:p>
    <w:p w:rsidR="00FC7185" w:rsidRPr="00FC7185" w:rsidRDefault="00FC7185" w:rsidP="00FC7185">
      <w:pPr>
        <w:spacing w:line="360" w:lineRule="auto"/>
        <w:jc w:val="both"/>
        <w:rPr>
          <w:rStyle w:val="CitaHTML"/>
          <w:rFonts w:ascii="Arial" w:hAnsi="Arial" w:cs="Arial"/>
          <w:color w:val="auto"/>
        </w:rPr>
      </w:pPr>
    </w:p>
    <w:p w:rsidR="00FC7185" w:rsidRPr="00FC7185" w:rsidRDefault="00FC7185" w:rsidP="00FC7185">
      <w:pPr>
        <w:numPr>
          <w:ilvl w:val="0"/>
          <w:numId w:val="29"/>
        </w:numPr>
        <w:spacing w:after="0" w:line="360" w:lineRule="auto"/>
        <w:jc w:val="both"/>
        <w:rPr>
          <w:rStyle w:val="CitaHTML"/>
          <w:rFonts w:ascii="Arial" w:hAnsi="Arial" w:cs="Arial"/>
          <w:color w:val="auto"/>
          <w:lang w:val="en-US"/>
        </w:rPr>
      </w:pPr>
      <w:r w:rsidRPr="00FC7185">
        <w:rPr>
          <w:rStyle w:val="CitaHTML"/>
          <w:rFonts w:ascii="Arial" w:hAnsi="Arial" w:cs="Arial"/>
          <w:color w:val="auto"/>
          <w:lang w:val="en-US"/>
        </w:rPr>
        <w:t xml:space="preserve">Damodaran Aswath “Investment valuation, Tools and techniques for determining the value of any asset” </w:t>
      </w:r>
    </w:p>
    <w:p w:rsidR="00FC7185" w:rsidRPr="00FC7185" w:rsidRDefault="00FC7185" w:rsidP="00FC7185">
      <w:pPr>
        <w:spacing w:line="360" w:lineRule="auto"/>
        <w:jc w:val="both"/>
        <w:rPr>
          <w:rStyle w:val="CitaHTML"/>
          <w:rFonts w:ascii="Arial" w:hAnsi="Arial" w:cs="Arial"/>
          <w:color w:val="auto"/>
          <w:lang w:val="en-US"/>
        </w:rPr>
      </w:pPr>
    </w:p>
    <w:p w:rsidR="00FC7185" w:rsidRPr="00FC7185" w:rsidRDefault="00FC7185" w:rsidP="00FC7185">
      <w:pPr>
        <w:numPr>
          <w:ilvl w:val="0"/>
          <w:numId w:val="29"/>
        </w:numPr>
        <w:spacing w:after="0" w:line="360" w:lineRule="auto"/>
        <w:jc w:val="both"/>
        <w:rPr>
          <w:rStyle w:val="CitaHTML"/>
          <w:rFonts w:ascii="Arial" w:hAnsi="Arial" w:cs="Arial"/>
          <w:color w:val="auto"/>
        </w:rPr>
      </w:pPr>
      <w:r w:rsidRPr="00FC7185">
        <w:rPr>
          <w:rStyle w:val="CitaHTML"/>
          <w:rFonts w:ascii="Arial" w:hAnsi="Arial" w:cs="Arial"/>
          <w:color w:val="auto"/>
        </w:rPr>
        <w:t xml:space="preserve">Revista “Gestión” Revista Económica y Financiera de publicación mensual, Ecuador </w:t>
      </w:r>
    </w:p>
    <w:p w:rsidR="00FC7185" w:rsidRPr="00FC7185" w:rsidRDefault="00FC7185" w:rsidP="00FC7185">
      <w:pPr>
        <w:spacing w:line="360" w:lineRule="auto"/>
        <w:jc w:val="both"/>
        <w:rPr>
          <w:rStyle w:val="CitaHTML"/>
          <w:rFonts w:ascii="Arial" w:hAnsi="Arial" w:cs="Arial"/>
          <w:color w:val="auto"/>
        </w:rPr>
      </w:pPr>
    </w:p>
    <w:p w:rsidR="00FC7185" w:rsidRPr="00FC7185" w:rsidRDefault="00FC7185" w:rsidP="00FC7185">
      <w:pPr>
        <w:numPr>
          <w:ilvl w:val="0"/>
          <w:numId w:val="29"/>
        </w:numPr>
        <w:spacing w:after="0" w:line="360" w:lineRule="auto"/>
        <w:jc w:val="both"/>
        <w:rPr>
          <w:rStyle w:val="CitaHTML"/>
          <w:rFonts w:ascii="Arial" w:hAnsi="Arial" w:cs="Arial"/>
          <w:color w:val="auto"/>
        </w:rPr>
      </w:pPr>
      <w:r w:rsidRPr="00FC7185">
        <w:rPr>
          <w:rStyle w:val="CitaHTML"/>
          <w:rFonts w:ascii="Arial" w:hAnsi="Arial" w:cs="Arial"/>
          <w:color w:val="auto"/>
        </w:rPr>
        <w:t>Entrevista con el Director en Guayaquil de Produbanco -  Dr. Eduardo Ortega</w:t>
      </w:r>
    </w:p>
    <w:p w:rsidR="00FC7185" w:rsidRPr="00FC7185" w:rsidRDefault="00FC7185" w:rsidP="00FC7185">
      <w:pPr>
        <w:spacing w:line="360" w:lineRule="auto"/>
        <w:jc w:val="both"/>
        <w:rPr>
          <w:rStyle w:val="CitaHTML"/>
          <w:rFonts w:ascii="Arial" w:hAnsi="Arial" w:cs="Arial"/>
          <w:color w:val="auto"/>
        </w:rPr>
      </w:pPr>
    </w:p>
    <w:p w:rsidR="00FC7185" w:rsidRPr="00FC7185" w:rsidRDefault="00FC7185" w:rsidP="00FC7185">
      <w:pPr>
        <w:numPr>
          <w:ilvl w:val="0"/>
          <w:numId w:val="29"/>
        </w:numPr>
        <w:spacing w:after="0" w:line="360" w:lineRule="auto"/>
        <w:jc w:val="both"/>
        <w:rPr>
          <w:rStyle w:val="CitaHTML"/>
          <w:rFonts w:ascii="Arial" w:hAnsi="Arial" w:cs="Arial"/>
          <w:color w:val="auto"/>
        </w:rPr>
      </w:pPr>
      <w:r w:rsidRPr="00FC7185">
        <w:rPr>
          <w:rStyle w:val="CitaHTML"/>
          <w:rFonts w:ascii="Arial" w:hAnsi="Arial" w:cs="Arial"/>
          <w:color w:val="auto"/>
        </w:rPr>
        <w:lastRenderedPageBreak/>
        <w:t xml:space="preserve">Anotaciones de Charla de “Inducción Corporativa” </w:t>
      </w:r>
    </w:p>
    <w:p w:rsidR="00FC7185" w:rsidRPr="00FC7185" w:rsidRDefault="00FC7185" w:rsidP="00FC7185">
      <w:pPr>
        <w:spacing w:line="360" w:lineRule="auto"/>
        <w:jc w:val="both"/>
        <w:rPr>
          <w:rStyle w:val="CitaHTML"/>
          <w:rFonts w:ascii="Arial" w:hAnsi="Arial" w:cs="Arial"/>
          <w:color w:val="auto"/>
        </w:rPr>
      </w:pPr>
    </w:p>
    <w:p w:rsidR="00FC7185" w:rsidRPr="00FC7185" w:rsidRDefault="00FC7185" w:rsidP="00FC7185">
      <w:pPr>
        <w:numPr>
          <w:ilvl w:val="0"/>
          <w:numId w:val="29"/>
        </w:numPr>
        <w:spacing w:after="0" w:line="360" w:lineRule="auto"/>
        <w:jc w:val="both"/>
        <w:rPr>
          <w:rStyle w:val="CitaHTML"/>
          <w:rFonts w:ascii="Arial" w:hAnsi="Arial" w:cs="Arial"/>
          <w:color w:val="auto"/>
        </w:rPr>
      </w:pPr>
      <w:r w:rsidRPr="00FC7185">
        <w:rPr>
          <w:rStyle w:val="CitaHTML"/>
          <w:rFonts w:ascii="Arial" w:hAnsi="Arial" w:cs="Arial"/>
          <w:color w:val="auto"/>
        </w:rPr>
        <w:t>www.produbanco.com</w:t>
      </w:r>
    </w:p>
    <w:p w:rsidR="00FC7185" w:rsidRPr="00FC7185" w:rsidRDefault="00FC7185" w:rsidP="00FC7185">
      <w:pPr>
        <w:spacing w:line="360" w:lineRule="auto"/>
        <w:jc w:val="both"/>
        <w:rPr>
          <w:rStyle w:val="CitaHTML"/>
          <w:rFonts w:ascii="Arial" w:hAnsi="Arial" w:cs="Arial"/>
          <w:color w:val="auto"/>
        </w:rPr>
      </w:pPr>
    </w:p>
    <w:p w:rsidR="00FC7185" w:rsidRPr="00FC7185" w:rsidRDefault="00FC7185" w:rsidP="00FC7185">
      <w:pPr>
        <w:numPr>
          <w:ilvl w:val="0"/>
          <w:numId w:val="29"/>
        </w:numPr>
        <w:spacing w:after="0" w:line="360" w:lineRule="auto"/>
        <w:jc w:val="both"/>
        <w:rPr>
          <w:rStyle w:val="CitaHTML"/>
          <w:rFonts w:ascii="Arial" w:hAnsi="Arial" w:cs="Arial"/>
          <w:color w:val="auto"/>
        </w:rPr>
      </w:pPr>
      <w:r w:rsidRPr="00FC7185">
        <w:rPr>
          <w:rStyle w:val="CitaHTML"/>
          <w:rFonts w:ascii="Arial" w:hAnsi="Arial" w:cs="Arial"/>
          <w:color w:val="auto"/>
        </w:rPr>
        <w:t xml:space="preserve">Proyecto de Valoración Económica del Banco del Pichincha y </w:t>
      </w:r>
      <w:smartTag w:uri="urn:schemas-microsoft-com:office:smarttags" w:element="PersonName">
        <w:smartTagPr>
          <w:attr w:name="ProductID" w:val="la Contrastación"/>
        </w:smartTagPr>
        <w:r w:rsidRPr="00FC7185">
          <w:rPr>
            <w:rStyle w:val="CitaHTML"/>
            <w:rFonts w:ascii="Arial" w:hAnsi="Arial" w:cs="Arial"/>
            <w:color w:val="auto"/>
          </w:rPr>
          <w:t>la Contrastación</w:t>
        </w:r>
      </w:smartTag>
      <w:r w:rsidRPr="00FC7185">
        <w:rPr>
          <w:rStyle w:val="CitaHTML"/>
          <w:rFonts w:ascii="Arial" w:hAnsi="Arial" w:cs="Arial"/>
          <w:color w:val="auto"/>
        </w:rPr>
        <w:t xml:space="preserve"> con su Valor de Mercado – Eco. Xavier Freire y Eco. Mauro Tapia, Tesis 2005</w:t>
      </w:r>
    </w:p>
    <w:p w:rsidR="00FC7185" w:rsidRPr="00FC7185" w:rsidRDefault="00FC7185" w:rsidP="00FC7185">
      <w:pPr>
        <w:spacing w:line="360" w:lineRule="auto"/>
        <w:jc w:val="both"/>
        <w:rPr>
          <w:rStyle w:val="CitaHTML"/>
          <w:rFonts w:ascii="Arial" w:hAnsi="Arial" w:cs="Arial"/>
          <w:color w:val="auto"/>
        </w:rPr>
      </w:pPr>
    </w:p>
    <w:p w:rsidR="00FC7185" w:rsidRPr="00FC7185" w:rsidRDefault="00FC7185" w:rsidP="00FC7185">
      <w:pPr>
        <w:numPr>
          <w:ilvl w:val="0"/>
          <w:numId w:val="29"/>
        </w:numPr>
        <w:spacing w:after="0" w:line="360" w:lineRule="auto"/>
        <w:jc w:val="both"/>
        <w:rPr>
          <w:rStyle w:val="CitaHTML"/>
          <w:rFonts w:ascii="Arial" w:hAnsi="Arial" w:cs="Arial"/>
          <w:color w:val="auto"/>
        </w:rPr>
      </w:pPr>
      <w:r w:rsidRPr="00FC7185">
        <w:rPr>
          <w:rStyle w:val="CitaHTML"/>
          <w:rFonts w:ascii="Arial" w:hAnsi="Arial" w:cs="Arial"/>
          <w:color w:val="auto"/>
        </w:rPr>
        <w:t xml:space="preserve">Anotaciones Tópico de Graduación </w:t>
      </w:r>
    </w:p>
    <w:p w:rsidR="00FC7185" w:rsidRPr="00FC7185" w:rsidRDefault="00FC7185" w:rsidP="00FC7185">
      <w:pPr>
        <w:jc w:val="both"/>
        <w:rPr>
          <w:rStyle w:val="CitaHTML"/>
          <w:rFonts w:ascii="Arial" w:hAnsi="Arial" w:cs="Arial"/>
          <w:color w:val="auto"/>
        </w:rPr>
      </w:pPr>
    </w:p>
    <w:p w:rsidR="00FC7185" w:rsidRPr="00FC7185" w:rsidRDefault="00FC7185" w:rsidP="00FC7185">
      <w:pPr>
        <w:rPr>
          <w:rStyle w:val="CitaHTML"/>
          <w:rFonts w:ascii="Arial" w:hAnsi="Arial" w:cs="Arial"/>
          <w:color w:val="auto"/>
        </w:rPr>
      </w:pPr>
    </w:p>
    <w:p w:rsidR="00FC7185" w:rsidRPr="00FC7185" w:rsidRDefault="00FC7185" w:rsidP="00FC7185">
      <w:pPr>
        <w:rPr>
          <w:rStyle w:val="CitaHTML"/>
          <w:rFonts w:ascii="Arial" w:hAnsi="Arial" w:cs="Arial"/>
          <w:color w:val="auto"/>
        </w:rPr>
      </w:pPr>
    </w:p>
    <w:p w:rsidR="00FC7185" w:rsidRPr="00FC7185" w:rsidRDefault="00FC7185" w:rsidP="00FC7185">
      <w:pPr>
        <w:rPr>
          <w:rStyle w:val="CitaHTML"/>
          <w:rFonts w:ascii="Arial" w:hAnsi="Arial" w:cs="Arial"/>
          <w:color w:val="auto"/>
        </w:rPr>
      </w:pPr>
    </w:p>
    <w:p w:rsidR="00FC7185" w:rsidRPr="00FC7185" w:rsidRDefault="00FC7185" w:rsidP="00FC7185">
      <w:pPr>
        <w:rPr>
          <w:rStyle w:val="CitaHTML"/>
          <w:rFonts w:ascii="Arial" w:hAnsi="Arial" w:cs="Arial"/>
          <w:color w:val="auto"/>
        </w:rPr>
      </w:pPr>
    </w:p>
    <w:p w:rsidR="00FC7185" w:rsidRPr="00FC7185" w:rsidRDefault="00FC7185" w:rsidP="00FC7185">
      <w:pPr>
        <w:rPr>
          <w:rStyle w:val="CitaHTML"/>
          <w:rFonts w:ascii="Arial" w:hAnsi="Arial" w:cs="Arial"/>
          <w:color w:val="auto"/>
        </w:rPr>
      </w:pPr>
    </w:p>
    <w:p w:rsidR="00FC7185" w:rsidRPr="00FC7185" w:rsidRDefault="00FC7185" w:rsidP="00FC7185">
      <w:pPr>
        <w:rPr>
          <w:rFonts w:ascii="Arial" w:hAnsi="Arial" w:cs="Arial"/>
        </w:rPr>
      </w:pPr>
    </w:p>
    <w:p w:rsidR="00FC7185" w:rsidRPr="00FC7185" w:rsidRDefault="00FC7185" w:rsidP="00B26AC0">
      <w:pPr>
        <w:tabs>
          <w:tab w:val="left" w:pos="1440"/>
        </w:tabs>
        <w:spacing w:line="240" w:lineRule="auto"/>
      </w:pPr>
    </w:p>
    <w:sectPr w:rsidR="00FC7185" w:rsidRPr="00FC7185" w:rsidSect="00F27DFF">
      <w:pgSz w:w="11907" w:h="16840" w:code="9"/>
      <w:pgMar w:top="1985" w:right="1418" w:bottom="1985" w:left="2268"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C7411" w:rsidRDefault="004C7411">
      <w:pPr>
        <w:spacing w:after="0" w:line="240" w:lineRule="auto"/>
      </w:pPr>
      <w:r>
        <w:separator/>
      </w:r>
    </w:p>
  </w:endnote>
  <w:endnote w:type="continuationSeparator" w:id="1">
    <w:p w:rsidR="004C7411" w:rsidRDefault="004C741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Lucida Sans Unicode">
    <w:panose1 w:val="020B0602030504020204"/>
    <w:charset w:val="00"/>
    <w:family w:val="swiss"/>
    <w:pitch w:val="variable"/>
    <w:sig w:usb0="80000AFF" w:usb1="0000396B" w:usb2="00000000" w:usb3="00000000" w:csb0="0000003F" w:csb1="00000000"/>
  </w:font>
  <w:font w:name="Arial Black">
    <w:panose1 w:val="020B0A04020102020204"/>
    <w:charset w:val="00"/>
    <w:family w:val="swiss"/>
    <w:pitch w:val="variable"/>
    <w:sig w:usb0="00000287" w:usb1="00000000" w:usb2="00000000" w:usb3="00000000" w:csb0="0000009F" w:csb1="00000000"/>
  </w:font>
  <w:font w:name="Verdana">
    <w:panose1 w:val="020B0604030504040204"/>
    <w:charset w:val="00"/>
    <w:family w:val="swiss"/>
    <w:pitch w:val="variable"/>
    <w:sig w:usb0="20000287" w:usb1="00000000" w:usb2="00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4734" w:rsidRDefault="00534734" w:rsidP="00D32434">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534734" w:rsidRDefault="00534734" w:rsidP="0003780B">
    <w:pPr>
      <w:pStyle w:val="Piedepgina"/>
      <w:ind w:right="360"/>
      <w:jc w:val="right"/>
    </w:pPr>
  </w:p>
  <w:p w:rsidR="00534734" w:rsidRDefault="00534734">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4734" w:rsidRDefault="00534734" w:rsidP="00D32434">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3A24B0">
      <w:rPr>
        <w:rStyle w:val="Nmerodepgina"/>
        <w:noProof/>
      </w:rPr>
      <w:t>1</w:t>
    </w:r>
    <w:r>
      <w:rPr>
        <w:rStyle w:val="Nmerodepgina"/>
      </w:rPr>
      <w:fldChar w:fldCharType="end"/>
    </w:r>
  </w:p>
  <w:p w:rsidR="00534734" w:rsidRDefault="00534734" w:rsidP="0003780B">
    <w:pPr>
      <w:pStyle w:val="Piedepgina"/>
      <w:ind w:right="360"/>
      <w:jc w:val="right"/>
    </w:pPr>
  </w:p>
  <w:p w:rsidR="00534734" w:rsidRDefault="00534734">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C7411" w:rsidRDefault="004C7411">
      <w:pPr>
        <w:spacing w:after="0" w:line="240" w:lineRule="auto"/>
      </w:pPr>
      <w:r>
        <w:separator/>
      </w:r>
    </w:p>
  </w:footnote>
  <w:footnote w:type="continuationSeparator" w:id="1">
    <w:p w:rsidR="004C7411" w:rsidRDefault="004C7411">
      <w:pPr>
        <w:spacing w:after="0" w:line="240" w:lineRule="auto"/>
      </w:pPr>
      <w:r>
        <w:continuationSeparator/>
      </w:r>
    </w:p>
  </w:footnote>
  <w:footnote w:id="2">
    <w:p w:rsidR="00534734" w:rsidRDefault="00534734" w:rsidP="00E36DBC">
      <w:pPr>
        <w:tabs>
          <w:tab w:val="left" w:pos="2160"/>
        </w:tabs>
        <w:ind w:left="902"/>
        <w:jc w:val="both"/>
        <w:rPr>
          <w:rFonts w:ascii="Arial" w:hAnsi="Arial" w:cs="Arial"/>
          <w:color w:val="000000"/>
          <w:sz w:val="18"/>
          <w:szCs w:val="18"/>
          <w:lang/>
        </w:rPr>
      </w:pPr>
      <w:r>
        <w:rPr>
          <w:rStyle w:val="Smbolodenotaalpie"/>
        </w:rPr>
        <w:footnoteRef/>
      </w:r>
      <w:r>
        <w:rPr>
          <w:rFonts w:ascii="Arial" w:hAnsi="Arial" w:cs="Arial"/>
          <w:color w:val="000000"/>
          <w:spacing w:val="20"/>
          <w:sz w:val="18"/>
          <w:szCs w:val="18"/>
          <w:lang/>
        </w:rPr>
        <w:t xml:space="preserve"> Fundamentos de Administración Financiera, J.C. Van Home–J.M. Wachowicz 8ava edición. Prentice Hall, Pág. </w:t>
      </w:r>
      <w:r>
        <w:rPr>
          <w:rFonts w:ascii="Arial" w:hAnsi="Arial" w:cs="Arial"/>
          <w:color w:val="000000"/>
          <w:sz w:val="18"/>
          <w:szCs w:val="18"/>
          <w:lang/>
        </w:rPr>
        <w:t>222.</w:t>
      </w:r>
    </w:p>
    <w:p w:rsidR="00534734" w:rsidRDefault="00534734" w:rsidP="00E36DBC">
      <w:pPr>
        <w:tabs>
          <w:tab w:val="left" w:pos="2160"/>
        </w:tabs>
        <w:ind w:left="902"/>
        <w:jc w:val="both"/>
        <w:rPr>
          <w:rFonts w:ascii="Arial" w:hAnsi="Arial" w:cs="Arial"/>
          <w:color w:val="000000"/>
          <w:spacing w:val="20"/>
          <w:sz w:val="18"/>
          <w:szCs w:val="18"/>
          <w:lang/>
        </w:rPr>
      </w:pPr>
      <w:r>
        <w:rPr>
          <w:rStyle w:val="Refdenotaalpie1"/>
          <w:rFonts w:ascii="Arial" w:hAnsi="Arial" w:cs="Arial"/>
          <w:sz w:val="18"/>
          <w:szCs w:val="18"/>
          <w:lang/>
        </w:rPr>
        <w:t>2</w:t>
      </w:r>
      <w:r>
        <w:rPr>
          <w:rFonts w:ascii="Arial" w:hAnsi="Arial" w:cs="Arial"/>
          <w:sz w:val="18"/>
          <w:szCs w:val="18"/>
          <w:lang/>
        </w:rPr>
        <w:t xml:space="preserve">   </w:t>
      </w:r>
      <w:r>
        <w:rPr>
          <w:rFonts w:ascii="Arial" w:hAnsi="Arial" w:cs="Arial"/>
          <w:color w:val="000000"/>
          <w:spacing w:val="20"/>
          <w:sz w:val="18"/>
          <w:szCs w:val="18"/>
          <w:lang/>
        </w:rPr>
        <w:t>El exceso de retorno será explicado con detalle en secciones posteriores.</w:t>
      </w:r>
    </w:p>
    <w:p w:rsidR="00534734" w:rsidRDefault="00534734" w:rsidP="00E36DBC">
      <w:pPr>
        <w:pStyle w:val="Textonotapie"/>
        <w:ind w:left="0" w:firstLine="0"/>
        <w:jc w:val="both"/>
        <w:rPr>
          <w:rFonts w:ascii="Arial" w:hAnsi="Arial" w:cs="Arial"/>
          <w:sz w:val="18"/>
          <w:szCs w:val="18"/>
          <w:lang/>
        </w:rPr>
      </w:pPr>
    </w:p>
  </w:footnote>
  <w:footnote w:id="3">
    <w:p w:rsidR="004D3B27" w:rsidRDefault="004D3B27"/>
    <w:p w:rsidR="00534734" w:rsidRDefault="00534734" w:rsidP="00E36DBC">
      <w:pPr>
        <w:pStyle w:val="Textonotapie"/>
        <w:ind w:left="0" w:firstLine="0"/>
        <w:jc w:val="both"/>
        <w:rPr>
          <w:rFonts w:cs="Tahoma"/>
          <w:lang/>
        </w:rPr>
      </w:pPr>
    </w:p>
  </w:footnote>
  <w:footnote w:id="4">
    <w:p w:rsidR="00534734" w:rsidRDefault="00534734" w:rsidP="00E36DBC">
      <w:pPr>
        <w:pStyle w:val="Textonotapie"/>
        <w:tabs>
          <w:tab w:val="left" w:pos="1134"/>
        </w:tabs>
        <w:ind w:left="902" w:firstLine="0"/>
        <w:jc w:val="both"/>
        <w:rPr>
          <w:rFonts w:ascii="Arial" w:hAnsi="Arial" w:cs="Arial"/>
          <w:sz w:val="18"/>
          <w:szCs w:val="18"/>
          <w:lang/>
        </w:rPr>
      </w:pPr>
      <w:r>
        <w:rPr>
          <w:rStyle w:val="Smbolodenotaalpie"/>
        </w:rPr>
        <w:footnoteRef/>
      </w:r>
      <w:r>
        <w:rPr>
          <w:rFonts w:ascii="Arial" w:hAnsi="Arial" w:cs="Arial"/>
          <w:sz w:val="18"/>
          <w:szCs w:val="18"/>
          <w:lang/>
        </w:rPr>
        <w:tab/>
        <w:t xml:space="preserve">   Documento Publicado por National Chiao Tung University, web site</w:t>
      </w:r>
    </w:p>
    <w:p w:rsidR="00534734" w:rsidRDefault="00534734" w:rsidP="00E36DBC">
      <w:pPr>
        <w:pStyle w:val="Textonotapie"/>
        <w:ind w:left="902" w:firstLine="0"/>
        <w:jc w:val="both"/>
        <w:rPr>
          <w:rFonts w:ascii="Arial" w:hAnsi="Arial" w:cs="Arial"/>
          <w:sz w:val="18"/>
          <w:szCs w:val="18"/>
          <w:lang/>
        </w:rPr>
      </w:pPr>
      <w:r>
        <w:rPr>
          <w:rFonts w:ascii="Arial" w:hAnsi="Arial" w:cs="Arial"/>
          <w:sz w:val="18"/>
          <w:szCs w:val="18"/>
          <w:lang/>
        </w:rPr>
        <w:tab/>
        <w:t xml:space="preserve">    http://www.cc.nctu.edu.tw/eng/intro.htm</w:t>
      </w:r>
    </w:p>
    <w:p w:rsidR="00534734" w:rsidRDefault="00534734" w:rsidP="00E36DBC">
      <w:pPr>
        <w:pStyle w:val="Textonotapie"/>
        <w:ind w:left="902" w:firstLine="0"/>
        <w:jc w:val="both"/>
        <w:rPr>
          <w:rFonts w:cs="Tahoma"/>
          <w:sz w:val="18"/>
          <w:szCs w:val="18"/>
          <w:lang/>
        </w:rPr>
      </w:pP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singleLevel"/>
    <w:tmpl w:val="00000001"/>
    <w:name w:val="WW8Num2"/>
    <w:lvl w:ilvl="0">
      <w:start w:val="1"/>
      <w:numFmt w:val="bullet"/>
      <w:lvlText w:val=""/>
      <w:lvlJc w:val="left"/>
      <w:pPr>
        <w:tabs>
          <w:tab w:val="num" w:pos="720"/>
        </w:tabs>
        <w:ind w:left="720" w:hanging="360"/>
      </w:pPr>
      <w:rPr>
        <w:rFonts w:ascii="Symbol" w:hAnsi="Symbol"/>
      </w:rPr>
    </w:lvl>
  </w:abstractNum>
  <w:abstractNum w:abstractNumId="1">
    <w:nsid w:val="00000002"/>
    <w:multiLevelType w:val="singleLevel"/>
    <w:tmpl w:val="00000002"/>
    <w:name w:val="WW8Num3"/>
    <w:lvl w:ilvl="0">
      <w:start w:val="1"/>
      <w:numFmt w:val="bullet"/>
      <w:lvlText w:val=""/>
      <w:lvlJc w:val="left"/>
      <w:pPr>
        <w:tabs>
          <w:tab w:val="num" w:pos="928"/>
        </w:tabs>
        <w:ind w:left="928" w:hanging="360"/>
      </w:pPr>
      <w:rPr>
        <w:rFonts w:ascii="Symbol" w:hAnsi="Symbol"/>
      </w:rPr>
    </w:lvl>
  </w:abstractNum>
  <w:abstractNum w:abstractNumId="2">
    <w:nsid w:val="00000003"/>
    <w:multiLevelType w:val="singleLevel"/>
    <w:tmpl w:val="00000003"/>
    <w:name w:val="WW8Num4"/>
    <w:lvl w:ilvl="0">
      <w:start w:val="1"/>
      <w:numFmt w:val="bullet"/>
      <w:lvlText w:val=""/>
      <w:lvlJc w:val="left"/>
      <w:pPr>
        <w:tabs>
          <w:tab w:val="num" w:pos="720"/>
        </w:tabs>
        <w:ind w:left="720" w:hanging="360"/>
      </w:pPr>
      <w:rPr>
        <w:rFonts w:ascii="Symbol" w:hAnsi="Symbol"/>
      </w:rPr>
    </w:lvl>
  </w:abstractNum>
  <w:abstractNum w:abstractNumId="3">
    <w:nsid w:val="00000004"/>
    <w:multiLevelType w:val="singleLevel"/>
    <w:tmpl w:val="00000004"/>
    <w:name w:val="WW8Num5"/>
    <w:lvl w:ilvl="0">
      <w:start w:val="1"/>
      <w:numFmt w:val="bullet"/>
      <w:lvlText w:val=""/>
      <w:lvlJc w:val="left"/>
      <w:pPr>
        <w:tabs>
          <w:tab w:val="num" w:pos="720"/>
        </w:tabs>
        <w:ind w:left="720" w:hanging="360"/>
      </w:pPr>
      <w:rPr>
        <w:rFonts w:ascii="Symbol" w:hAnsi="Symbol" w:cs="Times New Roman"/>
      </w:rPr>
    </w:lvl>
  </w:abstractNum>
  <w:abstractNum w:abstractNumId="4">
    <w:nsid w:val="00000005"/>
    <w:multiLevelType w:val="multilevel"/>
    <w:tmpl w:val="00000005"/>
    <w:name w:val="WW8Num6"/>
    <w:lvl w:ilvl="0">
      <w:start w:val="1"/>
      <w:numFmt w:val="bullet"/>
      <w:lvlText w:val=""/>
      <w:lvlJc w:val="left"/>
      <w:pPr>
        <w:tabs>
          <w:tab w:val="num" w:pos="720"/>
        </w:tabs>
        <w:ind w:left="720" w:hanging="360"/>
      </w:pPr>
      <w:rPr>
        <w:rFonts w:ascii="Symbol" w:hAnsi="Symbol"/>
      </w:rPr>
    </w:lvl>
    <w:lvl w:ilvl="1">
      <w:start w:val="1"/>
      <w:numFmt w:val="bullet"/>
      <w:lvlText w:val=""/>
      <w:lvlJc w:val="left"/>
      <w:pPr>
        <w:tabs>
          <w:tab w:val="num" w:pos="1440"/>
        </w:tabs>
        <w:ind w:left="1440" w:hanging="360"/>
      </w:pPr>
      <w:rPr>
        <w:rFonts w:ascii="Symbol" w:hAnsi="Symbol"/>
        <w:color w:val="auto"/>
      </w:rPr>
    </w:lvl>
    <w:lvl w:ilvl="2">
      <w:start w:val="1"/>
      <w:numFmt w:val="bullet"/>
      <w:lvlText w:val=""/>
      <w:lvlJc w:val="left"/>
      <w:pPr>
        <w:tabs>
          <w:tab w:val="num" w:pos="2160"/>
        </w:tabs>
        <w:ind w:left="2160" w:hanging="360"/>
      </w:pPr>
      <w:rPr>
        <w:rFonts w:ascii="Wingdings" w:hAnsi="Wingdings"/>
      </w:rPr>
    </w:lvl>
    <w:lvl w:ilvl="3">
      <w:start w:val="1"/>
      <w:numFmt w:val="bullet"/>
      <w:lvlText w:val=""/>
      <w:lvlJc w:val="left"/>
      <w:pPr>
        <w:tabs>
          <w:tab w:val="num" w:pos="2880"/>
        </w:tabs>
        <w:ind w:left="2880" w:hanging="360"/>
      </w:pPr>
      <w:rPr>
        <w:rFonts w:ascii="Symbol" w:hAnsi="Symbol"/>
      </w:rPr>
    </w:lvl>
    <w:lvl w:ilvl="4">
      <w:start w:val="1"/>
      <w:numFmt w:val="bullet"/>
      <w:lvlText w:val="o"/>
      <w:lvlJc w:val="left"/>
      <w:pPr>
        <w:tabs>
          <w:tab w:val="num" w:pos="3600"/>
        </w:tabs>
        <w:ind w:left="3600" w:hanging="360"/>
      </w:pPr>
      <w:rPr>
        <w:rFonts w:ascii="Courier New" w:hAnsi="Courier New" w:cs="Courier New"/>
      </w:rPr>
    </w:lvl>
    <w:lvl w:ilvl="5">
      <w:start w:val="1"/>
      <w:numFmt w:val="bullet"/>
      <w:lvlText w:val=""/>
      <w:lvlJc w:val="left"/>
      <w:pPr>
        <w:tabs>
          <w:tab w:val="num" w:pos="4320"/>
        </w:tabs>
        <w:ind w:left="4320" w:hanging="360"/>
      </w:pPr>
      <w:rPr>
        <w:rFonts w:ascii="Wingdings" w:hAnsi="Wingdings"/>
      </w:rPr>
    </w:lvl>
    <w:lvl w:ilvl="6">
      <w:start w:val="1"/>
      <w:numFmt w:val="bullet"/>
      <w:lvlText w:val=""/>
      <w:lvlJc w:val="left"/>
      <w:pPr>
        <w:tabs>
          <w:tab w:val="num" w:pos="5040"/>
        </w:tabs>
        <w:ind w:left="5040" w:hanging="360"/>
      </w:pPr>
      <w:rPr>
        <w:rFonts w:ascii="Symbol" w:hAnsi="Symbol"/>
      </w:rPr>
    </w:lvl>
    <w:lvl w:ilvl="7">
      <w:start w:val="1"/>
      <w:numFmt w:val="bullet"/>
      <w:lvlText w:val="o"/>
      <w:lvlJc w:val="left"/>
      <w:pPr>
        <w:tabs>
          <w:tab w:val="num" w:pos="5760"/>
        </w:tabs>
        <w:ind w:left="5760" w:hanging="360"/>
      </w:pPr>
      <w:rPr>
        <w:rFonts w:ascii="Courier New" w:hAnsi="Courier New" w:cs="Courier New"/>
      </w:rPr>
    </w:lvl>
    <w:lvl w:ilvl="8">
      <w:start w:val="1"/>
      <w:numFmt w:val="bullet"/>
      <w:lvlText w:val=""/>
      <w:lvlJc w:val="left"/>
      <w:pPr>
        <w:tabs>
          <w:tab w:val="num" w:pos="6480"/>
        </w:tabs>
        <w:ind w:left="6480" w:hanging="360"/>
      </w:pPr>
      <w:rPr>
        <w:rFonts w:ascii="Wingdings" w:hAnsi="Wingdings"/>
      </w:rPr>
    </w:lvl>
  </w:abstractNum>
  <w:abstractNum w:abstractNumId="5">
    <w:nsid w:val="00000006"/>
    <w:multiLevelType w:val="singleLevel"/>
    <w:tmpl w:val="00000006"/>
    <w:name w:val="WW8Num7"/>
    <w:lvl w:ilvl="0">
      <w:start w:val="1"/>
      <w:numFmt w:val="bullet"/>
      <w:lvlText w:val=""/>
      <w:lvlJc w:val="left"/>
      <w:pPr>
        <w:tabs>
          <w:tab w:val="num" w:pos="1428"/>
        </w:tabs>
        <w:ind w:left="1428" w:hanging="360"/>
      </w:pPr>
      <w:rPr>
        <w:rFonts w:ascii="Symbol" w:hAnsi="Symbol"/>
      </w:rPr>
    </w:lvl>
  </w:abstractNum>
  <w:abstractNum w:abstractNumId="6">
    <w:nsid w:val="00000007"/>
    <w:multiLevelType w:val="singleLevel"/>
    <w:tmpl w:val="00000007"/>
    <w:name w:val="WW8Num8"/>
    <w:lvl w:ilvl="0">
      <w:start w:val="1"/>
      <w:numFmt w:val="bullet"/>
      <w:lvlText w:val=""/>
      <w:lvlJc w:val="left"/>
      <w:pPr>
        <w:tabs>
          <w:tab w:val="num" w:pos="1470"/>
        </w:tabs>
        <w:ind w:left="1470" w:hanging="360"/>
      </w:pPr>
      <w:rPr>
        <w:rFonts w:ascii="Wingdings" w:hAnsi="Wingdings"/>
      </w:rPr>
    </w:lvl>
  </w:abstractNum>
  <w:abstractNum w:abstractNumId="7">
    <w:nsid w:val="00000009"/>
    <w:multiLevelType w:val="singleLevel"/>
    <w:tmpl w:val="00000009"/>
    <w:name w:val="WW8Num23"/>
    <w:lvl w:ilvl="0">
      <w:start w:val="1"/>
      <w:numFmt w:val="bullet"/>
      <w:lvlText w:val=""/>
      <w:lvlJc w:val="left"/>
      <w:pPr>
        <w:tabs>
          <w:tab w:val="num" w:pos="360"/>
        </w:tabs>
        <w:ind w:left="360" w:hanging="360"/>
      </w:pPr>
      <w:rPr>
        <w:rFonts w:ascii="Symbol" w:hAnsi="Symbol"/>
      </w:rPr>
    </w:lvl>
  </w:abstractNum>
  <w:abstractNum w:abstractNumId="8">
    <w:nsid w:val="059552EA"/>
    <w:multiLevelType w:val="multilevel"/>
    <w:tmpl w:val="291461BE"/>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9">
    <w:nsid w:val="062161C7"/>
    <w:multiLevelType w:val="hybridMultilevel"/>
    <w:tmpl w:val="A9EC757C"/>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0">
    <w:nsid w:val="08C763FB"/>
    <w:multiLevelType w:val="hybridMultilevel"/>
    <w:tmpl w:val="C1F205EA"/>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1">
    <w:nsid w:val="08CD5529"/>
    <w:multiLevelType w:val="hybridMultilevel"/>
    <w:tmpl w:val="86CCA4A8"/>
    <w:lvl w:ilvl="0" w:tplc="961AF6F0">
      <w:start w:val="1"/>
      <w:numFmt w:val="bullet"/>
      <w:lvlText w:val=""/>
      <w:lvlJc w:val="left"/>
      <w:pPr>
        <w:tabs>
          <w:tab w:val="num" w:pos="720"/>
        </w:tabs>
        <w:ind w:left="720" w:hanging="360"/>
      </w:pPr>
      <w:rPr>
        <w:rFonts w:ascii="Symbol" w:hAnsi="Symbol" w:hint="default"/>
        <w:color w:val="auto"/>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2">
    <w:nsid w:val="08D46F57"/>
    <w:multiLevelType w:val="hybridMultilevel"/>
    <w:tmpl w:val="1C88F790"/>
    <w:lvl w:ilvl="0" w:tplc="0C0A000F">
      <w:start w:val="3"/>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3">
    <w:nsid w:val="094558EC"/>
    <w:multiLevelType w:val="hybridMultilevel"/>
    <w:tmpl w:val="D2E421AA"/>
    <w:lvl w:ilvl="0" w:tplc="00CAAF1C">
      <w:start w:val="3"/>
      <w:numFmt w:val="decimal"/>
      <w:lvlText w:val="%1."/>
      <w:lvlJc w:val="left"/>
      <w:pPr>
        <w:tabs>
          <w:tab w:val="num" w:pos="360"/>
        </w:tabs>
        <w:ind w:left="360" w:hanging="360"/>
      </w:pPr>
      <w:rPr>
        <w:rFonts w:hint="default"/>
      </w:rPr>
    </w:lvl>
    <w:lvl w:ilvl="1" w:tplc="3B3CFCCC">
      <w:numFmt w:val="none"/>
      <w:lvlText w:val=""/>
      <w:lvlJc w:val="left"/>
      <w:pPr>
        <w:tabs>
          <w:tab w:val="num" w:pos="360"/>
        </w:tabs>
      </w:pPr>
    </w:lvl>
    <w:lvl w:ilvl="2" w:tplc="C160162E">
      <w:numFmt w:val="none"/>
      <w:lvlText w:val=""/>
      <w:lvlJc w:val="left"/>
      <w:pPr>
        <w:tabs>
          <w:tab w:val="num" w:pos="360"/>
        </w:tabs>
      </w:pPr>
    </w:lvl>
    <w:lvl w:ilvl="3" w:tplc="34ECB70E">
      <w:numFmt w:val="none"/>
      <w:lvlText w:val=""/>
      <w:lvlJc w:val="left"/>
      <w:pPr>
        <w:tabs>
          <w:tab w:val="num" w:pos="360"/>
        </w:tabs>
      </w:pPr>
    </w:lvl>
    <w:lvl w:ilvl="4" w:tplc="383CCFA6">
      <w:numFmt w:val="none"/>
      <w:lvlText w:val=""/>
      <w:lvlJc w:val="left"/>
      <w:pPr>
        <w:tabs>
          <w:tab w:val="num" w:pos="360"/>
        </w:tabs>
      </w:pPr>
    </w:lvl>
    <w:lvl w:ilvl="5" w:tplc="8A229C98">
      <w:numFmt w:val="none"/>
      <w:lvlText w:val=""/>
      <w:lvlJc w:val="left"/>
      <w:pPr>
        <w:tabs>
          <w:tab w:val="num" w:pos="360"/>
        </w:tabs>
      </w:pPr>
    </w:lvl>
    <w:lvl w:ilvl="6" w:tplc="D9288938">
      <w:numFmt w:val="none"/>
      <w:lvlText w:val=""/>
      <w:lvlJc w:val="left"/>
      <w:pPr>
        <w:tabs>
          <w:tab w:val="num" w:pos="360"/>
        </w:tabs>
      </w:pPr>
    </w:lvl>
    <w:lvl w:ilvl="7" w:tplc="B3B4957A">
      <w:numFmt w:val="none"/>
      <w:lvlText w:val=""/>
      <w:lvlJc w:val="left"/>
      <w:pPr>
        <w:tabs>
          <w:tab w:val="num" w:pos="360"/>
        </w:tabs>
      </w:pPr>
    </w:lvl>
    <w:lvl w:ilvl="8" w:tplc="E1E6D18C">
      <w:numFmt w:val="none"/>
      <w:lvlText w:val=""/>
      <w:lvlJc w:val="left"/>
      <w:pPr>
        <w:tabs>
          <w:tab w:val="num" w:pos="360"/>
        </w:tabs>
      </w:pPr>
    </w:lvl>
  </w:abstractNum>
  <w:abstractNum w:abstractNumId="14">
    <w:nsid w:val="0C7F0334"/>
    <w:multiLevelType w:val="hybridMultilevel"/>
    <w:tmpl w:val="6D5E3322"/>
    <w:lvl w:ilvl="0" w:tplc="03C61F46">
      <w:start w:val="1"/>
      <w:numFmt w:val="decimal"/>
      <w:lvlText w:val="%1."/>
      <w:lvlJc w:val="left"/>
      <w:pPr>
        <w:ind w:left="1211" w:hanging="360"/>
      </w:pPr>
      <w:rPr>
        <w:rFonts w:hint="default"/>
        <w:sz w:val="18"/>
        <w:szCs w:val="18"/>
      </w:rPr>
    </w:lvl>
    <w:lvl w:ilvl="1" w:tplc="300A0019" w:tentative="1">
      <w:start w:val="1"/>
      <w:numFmt w:val="lowerLetter"/>
      <w:lvlText w:val="%2."/>
      <w:lvlJc w:val="left"/>
      <w:pPr>
        <w:ind w:left="1931" w:hanging="360"/>
      </w:pPr>
    </w:lvl>
    <w:lvl w:ilvl="2" w:tplc="300A001B" w:tentative="1">
      <w:start w:val="1"/>
      <w:numFmt w:val="lowerRoman"/>
      <w:lvlText w:val="%3."/>
      <w:lvlJc w:val="right"/>
      <w:pPr>
        <w:ind w:left="2651" w:hanging="180"/>
      </w:pPr>
    </w:lvl>
    <w:lvl w:ilvl="3" w:tplc="300A000F" w:tentative="1">
      <w:start w:val="1"/>
      <w:numFmt w:val="decimal"/>
      <w:lvlText w:val="%4."/>
      <w:lvlJc w:val="left"/>
      <w:pPr>
        <w:ind w:left="3371" w:hanging="360"/>
      </w:pPr>
    </w:lvl>
    <w:lvl w:ilvl="4" w:tplc="300A0019" w:tentative="1">
      <w:start w:val="1"/>
      <w:numFmt w:val="lowerLetter"/>
      <w:lvlText w:val="%5."/>
      <w:lvlJc w:val="left"/>
      <w:pPr>
        <w:ind w:left="4091" w:hanging="360"/>
      </w:pPr>
    </w:lvl>
    <w:lvl w:ilvl="5" w:tplc="300A001B" w:tentative="1">
      <w:start w:val="1"/>
      <w:numFmt w:val="lowerRoman"/>
      <w:lvlText w:val="%6."/>
      <w:lvlJc w:val="right"/>
      <w:pPr>
        <w:ind w:left="4811" w:hanging="180"/>
      </w:pPr>
    </w:lvl>
    <w:lvl w:ilvl="6" w:tplc="300A000F" w:tentative="1">
      <w:start w:val="1"/>
      <w:numFmt w:val="decimal"/>
      <w:lvlText w:val="%7."/>
      <w:lvlJc w:val="left"/>
      <w:pPr>
        <w:ind w:left="5531" w:hanging="360"/>
      </w:pPr>
    </w:lvl>
    <w:lvl w:ilvl="7" w:tplc="300A0019" w:tentative="1">
      <w:start w:val="1"/>
      <w:numFmt w:val="lowerLetter"/>
      <w:lvlText w:val="%8."/>
      <w:lvlJc w:val="left"/>
      <w:pPr>
        <w:ind w:left="6251" w:hanging="360"/>
      </w:pPr>
    </w:lvl>
    <w:lvl w:ilvl="8" w:tplc="300A001B" w:tentative="1">
      <w:start w:val="1"/>
      <w:numFmt w:val="lowerRoman"/>
      <w:lvlText w:val="%9."/>
      <w:lvlJc w:val="right"/>
      <w:pPr>
        <w:ind w:left="6971" w:hanging="180"/>
      </w:pPr>
    </w:lvl>
  </w:abstractNum>
  <w:abstractNum w:abstractNumId="15">
    <w:nsid w:val="0D3D1EDA"/>
    <w:multiLevelType w:val="multilevel"/>
    <w:tmpl w:val="7FB24D84"/>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862"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6">
    <w:nsid w:val="15120EAD"/>
    <w:multiLevelType w:val="hybridMultilevel"/>
    <w:tmpl w:val="7A9085EC"/>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7">
    <w:nsid w:val="20CC6934"/>
    <w:multiLevelType w:val="hybridMultilevel"/>
    <w:tmpl w:val="856AB138"/>
    <w:lvl w:ilvl="0" w:tplc="300A000B">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8">
    <w:nsid w:val="2D0F4C67"/>
    <w:multiLevelType w:val="hybridMultilevel"/>
    <w:tmpl w:val="6D5E3322"/>
    <w:lvl w:ilvl="0" w:tplc="03C61F46">
      <w:start w:val="1"/>
      <w:numFmt w:val="decimal"/>
      <w:lvlText w:val="%1."/>
      <w:lvlJc w:val="left"/>
      <w:pPr>
        <w:ind w:left="1211" w:hanging="360"/>
      </w:pPr>
      <w:rPr>
        <w:rFonts w:hint="default"/>
        <w:sz w:val="18"/>
        <w:szCs w:val="18"/>
      </w:rPr>
    </w:lvl>
    <w:lvl w:ilvl="1" w:tplc="300A0019" w:tentative="1">
      <w:start w:val="1"/>
      <w:numFmt w:val="lowerLetter"/>
      <w:lvlText w:val="%2."/>
      <w:lvlJc w:val="left"/>
      <w:pPr>
        <w:ind w:left="1931" w:hanging="360"/>
      </w:pPr>
    </w:lvl>
    <w:lvl w:ilvl="2" w:tplc="300A001B" w:tentative="1">
      <w:start w:val="1"/>
      <w:numFmt w:val="lowerRoman"/>
      <w:lvlText w:val="%3."/>
      <w:lvlJc w:val="right"/>
      <w:pPr>
        <w:ind w:left="2651" w:hanging="180"/>
      </w:pPr>
    </w:lvl>
    <w:lvl w:ilvl="3" w:tplc="300A000F" w:tentative="1">
      <w:start w:val="1"/>
      <w:numFmt w:val="decimal"/>
      <w:lvlText w:val="%4."/>
      <w:lvlJc w:val="left"/>
      <w:pPr>
        <w:ind w:left="3371" w:hanging="360"/>
      </w:pPr>
    </w:lvl>
    <w:lvl w:ilvl="4" w:tplc="300A0019" w:tentative="1">
      <w:start w:val="1"/>
      <w:numFmt w:val="lowerLetter"/>
      <w:lvlText w:val="%5."/>
      <w:lvlJc w:val="left"/>
      <w:pPr>
        <w:ind w:left="4091" w:hanging="360"/>
      </w:pPr>
    </w:lvl>
    <w:lvl w:ilvl="5" w:tplc="300A001B" w:tentative="1">
      <w:start w:val="1"/>
      <w:numFmt w:val="lowerRoman"/>
      <w:lvlText w:val="%6."/>
      <w:lvlJc w:val="right"/>
      <w:pPr>
        <w:ind w:left="4811" w:hanging="180"/>
      </w:pPr>
    </w:lvl>
    <w:lvl w:ilvl="6" w:tplc="300A000F" w:tentative="1">
      <w:start w:val="1"/>
      <w:numFmt w:val="decimal"/>
      <w:lvlText w:val="%7."/>
      <w:lvlJc w:val="left"/>
      <w:pPr>
        <w:ind w:left="5531" w:hanging="360"/>
      </w:pPr>
    </w:lvl>
    <w:lvl w:ilvl="7" w:tplc="300A0019" w:tentative="1">
      <w:start w:val="1"/>
      <w:numFmt w:val="lowerLetter"/>
      <w:lvlText w:val="%8."/>
      <w:lvlJc w:val="left"/>
      <w:pPr>
        <w:ind w:left="6251" w:hanging="360"/>
      </w:pPr>
    </w:lvl>
    <w:lvl w:ilvl="8" w:tplc="300A001B" w:tentative="1">
      <w:start w:val="1"/>
      <w:numFmt w:val="lowerRoman"/>
      <w:lvlText w:val="%9."/>
      <w:lvlJc w:val="right"/>
      <w:pPr>
        <w:ind w:left="6971" w:hanging="180"/>
      </w:pPr>
    </w:lvl>
  </w:abstractNum>
  <w:abstractNum w:abstractNumId="19">
    <w:nsid w:val="3CDD342D"/>
    <w:multiLevelType w:val="hybridMultilevel"/>
    <w:tmpl w:val="872C1810"/>
    <w:lvl w:ilvl="0" w:tplc="D3EA50EC">
      <w:start w:val="1"/>
      <w:numFmt w:val="bullet"/>
      <w:lvlText w:val=""/>
      <w:lvlJc w:val="left"/>
      <w:pPr>
        <w:tabs>
          <w:tab w:val="num" w:pos="1068"/>
        </w:tabs>
        <w:ind w:left="1068" w:hanging="360"/>
      </w:pPr>
      <w:rPr>
        <w:rFonts w:ascii="Wingdings" w:hAnsi="Wingdings" w:hint="default"/>
      </w:rPr>
    </w:lvl>
    <w:lvl w:ilvl="1" w:tplc="0C0A0003">
      <w:start w:val="1"/>
      <w:numFmt w:val="bullet"/>
      <w:lvlText w:val="o"/>
      <w:lvlJc w:val="left"/>
      <w:pPr>
        <w:tabs>
          <w:tab w:val="num" w:pos="1788"/>
        </w:tabs>
        <w:ind w:left="1788" w:hanging="360"/>
      </w:pPr>
      <w:rPr>
        <w:rFonts w:ascii="Courier New" w:hAnsi="Courier New" w:cs="Courier New" w:hint="default"/>
      </w:rPr>
    </w:lvl>
    <w:lvl w:ilvl="2" w:tplc="0C0A0005" w:tentative="1">
      <w:start w:val="1"/>
      <w:numFmt w:val="bullet"/>
      <w:lvlText w:val=""/>
      <w:lvlJc w:val="left"/>
      <w:pPr>
        <w:tabs>
          <w:tab w:val="num" w:pos="2508"/>
        </w:tabs>
        <w:ind w:left="2508" w:hanging="360"/>
      </w:pPr>
      <w:rPr>
        <w:rFonts w:ascii="Wingdings" w:hAnsi="Wingdings" w:hint="default"/>
      </w:rPr>
    </w:lvl>
    <w:lvl w:ilvl="3" w:tplc="0C0A0001" w:tentative="1">
      <w:start w:val="1"/>
      <w:numFmt w:val="bullet"/>
      <w:lvlText w:val=""/>
      <w:lvlJc w:val="left"/>
      <w:pPr>
        <w:tabs>
          <w:tab w:val="num" w:pos="3228"/>
        </w:tabs>
        <w:ind w:left="3228" w:hanging="360"/>
      </w:pPr>
      <w:rPr>
        <w:rFonts w:ascii="Symbol" w:hAnsi="Symbol" w:hint="default"/>
      </w:rPr>
    </w:lvl>
    <w:lvl w:ilvl="4" w:tplc="0C0A0003" w:tentative="1">
      <w:start w:val="1"/>
      <w:numFmt w:val="bullet"/>
      <w:lvlText w:val="o"/>
      <w:lvlJc w:val="left"/>
      <w:pPr>
        <w:tabs>
          <w:tab w:val="num" w:pos="3948"/>
        </w:tabs>
        <w:ind w:left="3948" w:hanging="360"/>
      </w:pPr>
      <w:rPr>
        <w:rFonts w:ascii="Courier New" w:hAnsi="Courier New" w:cs="Courier New" w:hint="default"/>
      </w:rPr>
    </w:lvl>
    <w:lvl w:ilvl="5" w:tplc="0C0A0005" w:tentative="1">
      <w:start w:val="1"/>
      <w:numFmt w:val="bullet"/>
      <w:lvlText w:val=""/>
      <w:lvlJc w:val="left"/>
      <w:pPr>
        <w:tabs>
          <w:tab w:val="num" w:pos="4668"/>
        </w:tabs>
        <w:ind w:left="4668" w:hanging="360"/>
      </w:pPr>
      <w:rPr>
        <w:rFonts w:ascii="Wingdings" w:hAnsi="Wingdings" w:hint="default"/>
      </w:rPr>
    </w:lvl>
    <w:lvl w:ilvl="6" w:tplc="0C0A0001" w:tentative="1">
      <w:start w:val="1"/>
      <w:numFmt w:val="bullet"/>
      <w:lvlText w:val=""/>
      <w:lvlJc w:val="left"/>
      <w:pPr>
        <w:tabs>
          <w:tab w:val="num" w:pos="5388"/>
        </w:tabs>
        <w:ind w:left="5388" w:hanging="360"/>
      </w:pPr>
      <w:rPr>
        <w:rFonts w:ascii="Symbol" w:hAnsi="Symbol" w:hint="default"/>
      </w:rPr>
    </w:lvl>
    <w:lvl w:ilvl="7" w:tplc="0C0A0003" w:tentative="1">
      <w:start w:val="1"/>
      <w:numFmt w:val="bullet"/>
      <w:lvlText w:val="o"/>
      <w:lvlJc w:val="left"/>
      <w:pPr>
        <w:tabs>
          <w:tab w:val="num" w:pos="6108"/>
        </w:tabs>
        <w:ind w:left="6108" w:hanging="360"/>
      </w:pPr>
      <w:rPr>
        <w:rFonts w:ascii="Courier New" w:hAnsi="Courier New" w:cs="Courier New" w:hint="default"/>
      </w:rPr>
    </w:lvl>
    <w:lvl w:ilvl="8" w:tplc="0C0A0005" w:tentative="1">
      <w:start w:val="1"/>
      <w:numFmt w:val="bullet"/>
      <w:lvlText w:val=""/>
      <w:lvlJc w:val="left"/>
      <w:pPr>
        <w:tabs>
          <w:tab w:val="num" w:pos="6828"/>
        </w:tabs>
        <w:ind w:left="6828" w:hanging="360"/>
      </w:pPr>
      <w:rPr>
        <w:rFonts w:ascii="Wingdings" w:hAnsi="Wingdings" w:hint="default"/>
      </w:rPr>
    </w:lvl>
  </w:abstractNum>
  <w:abstractNum w:abstractNumId="20">
    <w:nsid w:val="47DB513D"/>
    <w:multiLevelType w:val="multilevel"/>
    <w:tmpl w:val="CCE4E572"/>
    <w:lvl w:ilvl="0">
      <w:start w:val="3"/>
      <w:numFmt w:val="decimal"/>
      <w:lvlText w:val="%1"/>
      <w:lvlJc w:val="left"/>
      <w:pPr>
        <w:tabs>
          <w:tab w:val="num" w:pos="1050"/>
        </w:tabs>
        <w:ind w:left="1050" w:hanging="1050"/>
      </w:pPr>
      <w:rPr>
        <w:rFonts w:hint="default"/>
        <w:b/>
        <w:sz w:val="24"/>
      </w:rPr>
    </w:lvl>
    <w:lvl w:ilvl="1">
      <w:start w:val="1"/>
      <w:numFmt w:val="decimal"/>
      <w:lvlText w:val="%1.%2"/>
      <w:lvlJc w:val="left"/>
      <w:pPr>
        <w:tabs>
          <w:tab w:val="num" w:pos="1230"/>
        </w:tabs>
        <w:ind w:left="1230" w:hanging="1050"/>
      </w:pPr>
      <w:rPr>
        <w:rFonts w:hint="default"/>
        <w:b/>
        <w:sz w:val="24"/>
      </w:rPr>
    </w:lvl>
    <w:lvl w:ilvl="2">
      <w:start w:val="1"/>
      <w:numFmt w:val="decimal"/>
      <w:lvlText w:val="%1.%2.%3"/>
      <w:lvlJc w:val="left"/>
      <w:pPr>
        <w:tabs>
          <w:tab w:val="num" w:pos="1410"/>
        </w:tabs>
        <w:ind w:left="1410" w:hanging="1050"/>
      </w:pPr>
      <w:rPr>
        <w:rFonts w:hint="default"/>
        <w:b/>
        <w:sz w:val="24"/>
      </w:rPr>
    </w:lvl>
    <w:lvl w:ilvl="3">
      <w:start w:val="1"/>
      <w:numFmt w:val="decimal"/>
      <w:lvlText w:val="%1.%2.%3.%4"/>
      <w:lvlJc w:val="left"/>
      <w:pPr>
        <w:tabs>
          <w:tab w:val="num" w:pos="1590"/>
        </w:tabs>
        <w:ind w:left="1590" w:hanging="1050"/>
      </w:pPr>
      <w:rPr>
        <w:rFonts w:hint="default"/>
        <w:b/>
        <w:sz w:val="24"/>
      </w:rPr>
    </w:lvl>
    <w:lvl w:ilvl="4">
      <w:start w:val="1"/>
      <w:numFmt w:val="decimal"/>
      <w:lvlText w:val="%1.%2.%3.%4.%5"/>
      <w:lvlJc w:val="left"/>
      <w:pPr>
        <w:tabs>
          <w:tab w:val="num" w:pos="1770"/>
        </w:tabs>
        <w:ind w:left="1770" w:hanging="1050"/>
      </w:pPr>
      <w:rPr>
        <w:rFonts w:hint="default"/>
        <w:b/>
        <w:sz w:val="24"/>
      </w:rPr>
    </w:lvl>
    <w:lvl w:ilvl="5">
      <w:start w:val="1"/>
      <w:numFmt w:val="decimal"/>
      <w:lvlText w:val="%1.%2.%3.%4.%5.%6"/>
      <w:lvlJc w:val="left"/>
      <w:pPr>
        <w:tabs>
          <w:tab w:val="num" w:pos="1980"/>
        </w:tabs>
        <w:ind w:left="1980" w:hanging="1080"/>
      </w:pPr>
      <w:rPr>
        <w:rFonts w:hint="default"/>
        <w:b/>
        <w:sz w:val="24"/>
      </w:rPr>
    </w:lvl>
    <w:lvl w:ilvl="6">
      <w:start w:val="1"/>
      <w:numFmt w:val="decimal"/>
      <w:lvlText w:val="%1.%2.%3.%4.%5.%6.%7"/>
      <w:lvlJc w:val="left"/>
      <w:pPr>
        <w:tabs>
          <w:tab w:val="num" w:pos="2160"/>
        </w:tabs>
        <w:ind w:left="2160" w:hanging="1080"/>
      </w:pPr>
      <w:rPr>
        <w:rFonts w:hint="default"/>
        <w:b/>
        <w:sz w:val="24"/>
      </w:rPr>
    </w:lvl>
    <w:lvl w:ilvl="7">
      <w:start w:val="1"/>
      <w:numFmt w:val="decimal"/>
      <w:lvlText w:val="%1.%2.%3.%4.%5.%6.%7.%8"/>
      <w:lvlJc w:val="left"/>
      <w:pPr>
        <w:tabs>
          <w:tab w:val="num" w:pos="2700"/>
        </w:tabs>
        <w:ind w:left="2700" w:hanging="1440"/>
      </w:pPr>
      <w:rPr>
        <w:rFonts w:hint="default"/>
        <w:b/>
        <w:sz w:val="24"/>
      </w:rPr>
    </w:lvl>
    <w:lvl w:ilvl="8">
      <w:start w:val="1"/>
      <w:numFmt w:val="decimal"/>
      <w:lvlText w:val="%1.%2.%3.%4.%5.%6.%7.%8.%9"/>
      <w:lvlJc w:val="left"/>
      <w:pPr>
        <w:tabs>
          <w:tab w:val="num" w:pos="2880"/>
        </w:tabs>
        <w:ind w:left="2880" w:hanging="1440"/>
      </w:pPr>
      <w:rPr>
        <w:rFonts w:hint="default"/>
        <w:b/>
        <w:sz w:val="24"/>
      </w:rPr>
    </w:lvl>
  </w:abstractNum>
  <w:abstractNum w:abstractNumId="21">
    <w:nsid w:val="49D8340C"/>
    <w:multiLevelType w:val="multilevel"/>
    <w:tmpl w:val="B2D8ACC8"/>
    <w:lvl w:ilvl="0">
      <w:start w:val="3"/>
      <w:numFmt w:val="decimal"/>
      <w:lvlText w:val="%1"/>
      <w:lvlJc w:val="left"/>
      <w:pPr>
        <w:tabs>
          <w:tab w:val="num" w:pos="1155"/>
        </w:tabs>
        <w:ind w:left="1155" w:hanging="1155"/>
      </w:pPr>
      <w:rPr>
        <w:rFonts w:hint="default"/>
      </w:rPr>
    </w:lvl>
    <w:lvl w:ilvl="1">
      <w:start w:val="2"/>
      <w:numFmt w:val="decimal"/>
      <w:lvlText w:val="%1.%2"/>
      <w:lvlJc w:val="left"/>
      <w:pPr>
        <w:tabs>
          <w:tab w:val="num" w:pos="1155"/>
        </w:tabs>
        <w:ind w:left="1155" w:hanging="1155"/>
      </w:pPr>
      <w:rPr>
        <w:rFonts w:hint="default"/>
      </w:rPr>
    </w:lvl>
    <w:lvl w:ilvl="2">
      <w:start w:val="2"/>
      <w:numFmt w:val="decimal"/>
      <w:lvlText w:val="%1.%2.%3"/>
      <w:lvlJc w:val="left"/>
      <w:pPr>
        <w:tabs>
          <w:tab w:val="num" w:pos="1155"/>
        </w:tabs>
        <w:ind w:left="1155" w:hanging="1155"/>
      </w:pPr>
      <w:rPr>
        <w:rFonts w:hint="default"/>
      </w:rPr>
    </w:lvl>
    <w:lvl w:ilvl="3">
      <w:start w:val="1"/>
      <w:numFmt w:val="decimal"/>
      <w:lvlText w:val="%1.%2.%3.%4"/>
      <w:lvlJc w:val="left"/>
      <w:pPr>
        <w:tabs>
          <w:tab w:val="num" w:pos="1155"/>
        </w:tabs>
        <w:ind w:left="1155" w:hanging="1155"/>
      </w:pPr>
      <w:rPr>
        <w:rFonts w:hint="default"/>
      </w:rPr>
    </w:lvl>
    <w:lvl w:ilvl="4">
      <w:start w:val="1"/>
      <w:numFmt w:val="decimal"/>
      <w:lvlText w:val="%1.%2.%3.%4.%5"/>
      <w:lvlJc w:val="left"/>
      <w:pPr>
        <w:tabs>
          <w:tab w:val="num" w:pos="1155"/>
        </w:tabs>
        <w:ind w:left="1155" w:hanging="1155"/>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2">
    <w:nsid w:val="4CBB6CA6"/>
    <w:multiLevelType w:val="multilevel"/>
    <w:tmpl w:val="E2A0D330"/>
    <w:lvl w:ilvl="0">
      <w:start w:val="1"/>
      <w:numFmt w:val="decimal"/>
      <w:lvlText w:val="%1"/>
      <w:lvlJc w:val="left"/>
      <w:pPr>
        <w:ind w:left="360" w:hanging="360"/>
      </w:pPr>
      <w:rPr>
        <w:rFonts w:hint="default"/>
      </w:rPr>
    </w:lvl>
    <w:lvl w:ilvl="1">
      <w:start w:val="2"/>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3">
    <w:nsid w:val="4FDF6139"/>
    <w:multiLevelType w:val="multilevel"/>
    <w:tmpl w:val="413C1D60"/>
    <w:lvl w:ilvl="0">
      <w:start w:val="1"/>
      <w:numFmt w:val="decimal"/>
      <w:lvlText w:val="%1"/>
      <w:lvlJc w:val="left"/>
      <w:pPr>
        <w:ind w:left="435" w:hanging="435"/>
      </w:pPr>
      <w:rPr>
        <w:rFonts w:hint="default"/>
      </w:rPr>
    </w:lvl>
    <w:lvl w:ilvl="1">
      <w:start w:val="3"/>
      <w:numFmt w:val="decimal"/>
      <w:lvlText w:val="%1.%2"/>
      <w:lvlJc w:val="left"/>
      <w:pPr>
        <w:ind w:left="435" w:hanging="435"/>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4">
    <w:nsid w:val="58020D12"/>
    <w:multiLevelType w:val="multilevel"/>
    <w:tmpl w:val="F9A012B8"/>
    <w:lvl w:ilvl="0">
      <w:start w:val="4"/>
      <w:numFmt w:val="decimal"/>
      <w:lvlText w:val="%1"/>
      <w:lvlJc w:val="left"/>
      <w:pPr>
        <w:tabs>
          <w:tab w:val="num" w:pos="705"/>
        </w:tabs>
        <w:ind w:left="705" w:hanging="705"/>
      </w:pPr>
      <w:rPr>
        <w:rFonts w:hint="default"/>
      </w:rPr>
    </w:lvl>
    <w:lvl w:ilvl="1">
      <w:start w:val="1"/>
      <w:numFmt w:val="decimal"/>
      <w:lvlText w:val="%1.%2"/>
      <w:lvlJc w:val="left"/>
      <w:pPr>
        <w:tabs>
          <w:tab w:val="num" w:pos="705"/>
        </w:tabs>
        <w:ind w:left="705" w:hanging="70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5">
    <w:nsid w:val="676D16C2"/>
    <w:multiLevelType w:val="multilevel"/>
    <w:tmpl w:val="7FB24D84"/>
    <w:lvl w:ilvl="0">
      <w:start w:val="1"/>
      <w:numFmt w:val="decimal"/>
      <w:lvlText w:val="%1"/>
      <w:lvlJc w:val="left"/>
      <w:pPr>
        <w:ind w:left="1440" w:hanging="360"/>
      </w:pPr>
      <w:rPr>
        <w:rFonts w:hint="default"/>
      </w:rPr>
    </w:lvl>
    <w:lvl w:ilvl="1">
      <w:start w:val="3"/>
      <w:numFmt w:val="decimal"/>
      <w:lvlText w:val="%1.%2"/>
      <w:lvlJc w:val="left"/>
      <w:pPr>
        <w:ind w:left="1440" w:hanging="36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1080"/>
      </w:pPr>
      <w:rPr>
        <w:rFonts w:hint="default"/>
      </w:rPr>
    </w:lvl>
    <w:lvl w:ilvl="5">
      <w:start w:val="1"/>
      <w:numFmt w:val="decimal"/>
      <w:lvlText w:val="%1.%2.%3.%4.%5.%6"/>
      <w:lvlJc w:val="left"/>
      <w:pPr>
        <w:ind w:left="216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520" w:hanging="1440"/>
      </w:pPr>
      <w:rPr>
        <w:rFonts w:hint="default"/>
      </w:rPr>
    </w:lvl>
    <w:lvl w:ilvl="8">
      <w:start w:val="1"/>
      <w:numFmt w:val="decimal"/>
      <w:lvlText w:val="%1.%2.%3.%4.%5.%6.%7.%8.%9"/>
      <w:lvlJc w:val="left"/>
      <w:pPr>
        <w:ind w:left="2520" w:hanging="1440"/>
      </w:pPr>
      <w:rPr>
        <w:rFonts w:hint="default"/>
      </w:rPr>
    </w:lvl>
  </w:abstractNum>
  <w:abstractNum w:abstractNumId="26">
    <w:nsid w:val="76975FE7"/>
    <w:multiLevelType w:val="hybridMultilevel"/>
    <w:tmpl w:val="EA9862EE"/>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27">
    <w:nsid w:val="77BF3D62"/>
    <w:multiLevelType w:val="hybridMultilevel"/>
    <w:tmpl w:val="419C6978"/>
    <w:lvl w:ilvl="0" w:tplc="0C0A0001">
      <w:start w:val="1"/>
      <w:numFmt w:val="bullet"/>
      <w:lvlText w:val=""/>
      <w:lvlJc w:val="left"/>
      <w:pPr>
        <w:tabs>
          <w:tab w:val="num" w:pos="1174"/>
        </w:tabs>
        <w:ind w:left="1174" w:hanging="360"/>
      </w:pPr>
      <w:rPr>
        <w:rFonts w:ascii="Symbol" w:hAnsi="Symbol" w:hint="default"/>
      </w:rPr>
    </w:lvl>
    <w:lvl w:ilvl="1" w:tplc="0C0A0003" w:tentative="1">
      <w:start w:val="1"/>
      <w:numFmt w:val="bullet"/>
      <w:lvlText w:val="o"/>
      <w:lvlJc w:val="left"/>
      <w:pPr>
        <w:tabs>
          <w:tab w:val="num" w:pos="1894"/>
        </w:tabs>
        <w:ind w:left="1894" w:hanging="360"/>
      </w:pPr>
      <w:rPr>
        <w:rFonts w:ascii="Courier New" w:hAnsi="Courier New" w:cs="Courier New" w:hint="default"/>
      </w:rPr>
    </w:lvl>
    <w:lvl w:ilvl="2" w:tplc="0C0A0005" w:tentative="1">
      <w:start w:val="1"/>
      <w:numFmt w:val="bullet"/>
      <w:lvlText w:val=""/>
      <w:lvlJc w:val="left"/>
      <w:pPr>
        <w:tabs>
          <w:tab w:val="num" w:pos="2614"/>
        </w:tabs>
        <w:ind w:left="2614" w:hanging="360"/>
      </w:pPr>
      <w:rPr>
        <w:rFonts w:ascii="Wingdings" w:hAnsi="Wingdings" w:hint="default"/>
      </w:rPr>
    </w:lvl>
    <w:lvl w:ilvl="3" w:tplc="0C0A0001" w:tentative="1">
      <w:start w:val="1"/>
      <w:numFmt w:val="bullet"/>
      <w:lvlText w:val=""/>
      <w:lvlJc w:val="left"/>
      <w:pPr>
        <w:tabs>
          <w:tab w:val="num" w:pos="3334"/>
        </w:tabs>
        <w:ind w:left="3334" w:hanging="360"/>
      </w:pPr>
      <w:rPr>
        <w:rFonts w:ascii="Symbol" w:hAnsi="Symbol" w:hint="default"/>
      </w:rPr>
    </w:lvl>
    <w:lvl w:ilvl="4" w:tplc="0C0A0003" w:tentative="1">
      <w:start w:val="1"/>
      <w:numFmt w:val="bullet"/>
      <w:lvlText w:val="o"/>
      <w:lvlJc w:val="left"/>
      <w:pPr>
        <w:tabs>
          <w:tab w:val="num" w:pos="4054"/>
        </w:tabs>
        <w:ind w:left="4054" w:hanging="360"/>
      </w:pPr>
      <w:rPr>
        <w:rFonts w:ascii="Courier New" w:hAnsi="Courier New" w:cs="Courier New" w:hint="default"/>
      </w:rPr>
    </w:lvl>
    <w:lvl w:ilvl="5" w:tplc="0C0A0005" w:tentative="1">
      <w:start w:val="1"/>
      <w:numFmt w:val="bullet"/>
      <w:lvlText w:val=""/>
      <w:lvlJc w:val="left"/>
      <w:pPr>
        <w:tabs>
          <w:tab w:val="num" w:pos="4774"/>
        </w:tabs>
        <w:ind w:left="4774" w:hanging="360"/>
      </w:pPr>
      <w:rPr>
        <w:rFonts w:ascii="Wingdings" w:hAnsi="Wingdings" w:hint="default"/>
      </w:rPr>
    </w:lvl>
    <w:lvl w:ilvl="6" w:tplc="0C0A0001" w:tentative="1">
      <w:start w:val="1"/>
      <w:numFmt w:val="bullet"/>
      <w:lvlText w:val=""/>
      <w:lvlJc w:val="left"/>
      <w:pPr>
        <w:tabs>
          <w:tab w:val="num" w:pos="5494"/>
        </w:tabs>
        <w:ind w:left="5494" w:hanging="360"/>
      </w:pPr>
      <w:rPr>
        <w:rFonts w:ascii="Symbol" w:hAnsi="Symbol" w:hint="default"/>
      </w:rPr>
    </w:lvl>
    <w:lvl w:ilvl="7" w:tplc="0C0A0003" w:tentative="1">
      <w:start w:val="1"/>
      <w:numFmt w:val="bullet"/>
      <w:lvlText w:val="o"/>
      <w:lvlJc w:val="left"/>
      <w:pPr>
        <w:tabs>
          <w:tab w:val="num" w:pos="6214"/>
        </w:tabs>
        <w:ind w:left="6214" w:hanging="360"/>
      </w:pPr>
      <w:rPr>
        <w:rFonts w:ascii="Courier New" w:hAnsi="Courier New" w:cs="Courier New" w:hint="default"/>
      </w:rPr>
    </w:lvl>
    <w:lvl w:ilvl="8" w:tplc="0C0A0005" w:tentative="1">
      <w:start w:val="1"/>
      <w:numFmt w:val="bullet"/>
      <w:lvlText w:val=""/>
      <w:lvlJc w:val="left"/>
      <w:pPr>
        <w:tabs>
          <w:tab w:val="num" w:pos="6934"/>
        </w:tabs>
        <w:ind w:left="6934" w:hanging="360"/>
      </w:pPr>
      <w:rPr>
        <w:rFonts w:ascii="Wingdings" w:hAnsi="Wingdings" w:hint="default"/>
      </w:rPr>
    </w:lvl>
  </w:abstractNum>
  <w:abstractNum w:abstractNumId="28">
    <w:nsid w:val="7F3C0148"/>
    <w:multiLevelType w:val="hybridMultilevel"/>
    <w:tmpl w:val="CE9CF32C"/>
    <w:lvl w:ilvl="0" w:tplc="D3EA50EC">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14"/>
  </w:num>
  <w:num w:numId="3">
    <w:abstractNumId w:val="22"/>
  </w:num>
  <w:num w:numId="4">
    <w:abstractNumId w:val="15"/>
  </w:num>
  <w:num w:numId="5">
    <w:abstractNumId w:val="25"/>
  </w:num>
  <w:num w:numId="6">
    <w:abstractNumId w:val="23"/>
  </w:num>
  <w:num w:numId="7">
    <w:abstractNumId w:val="17"/>
  </w:num>
  <w:num w:numId="8">
    <w:abstractNumId w:val="18"/>
  </w:num>
  <w:num w:numId="9">
    <w:abstractNumId w:val="16"/>
  </w:num>
  <w:num w:numId="10">
    <w:abstractNumId w:val="0"/>
  </w:num>
  <w:num w:numId="11">
    <w:abstractNumId w:val="1"/>
  </w:num>
  <w:num w:numId="12">
    <w:abstractNumId w:val="2"/>
  </w:num>
  <w:num w:numId="13">
    <w:abstractNumId w:val="3"/>
  </w:num>
  <w:num w:numId="14">
    <w:abstractNumId w:val="4"/>
  </w:num>
  <w:num w:numId="15">
    <w:abstractNumId w:val="5"/>
  </w:num>
  <w:num w:numId="16">
    <w:abstractNumId w:val="6"/>
  </w:num>
  <w:num w:numId="17">
    <w:abstractNumId w:val="7"/>
  </w:num>
  <w:num w:numId="18">
    <w:abstractNumId w:val="27"/>
  </w:num>
  <w:num w:numId="19">
    <w:abstractNumId w:val="12"/>
  </w:num>
  <w:num w:numId="20">
    <w:abstractNumId w:val="13"/>
  </w:num>
  <w:num w:numId="21">
    <w:abstractNumId w:val="20"/>
  </w:num>
  <w:num w:numId="22">
    <w:abstractNumId w:val="21"/>
  </w:num>
  <w:num w:numId="23">
    <w:abstractNumId w:val="24"/>
  </w:num>
  <w:num w:numId="24">
    <w:abstractNumId w:val="26"/>
  </w:num>
  <w:num w:numId="25">
    <w:abstractNumId w:val="28"/>
  </w:num>
  <w:num w:numId="26">
    <w:abstractNumId w:val="19"/>
  </w:num>
  <w:num w:numId="27">
    <w:abstractNumId w:val="11"/>
  </w:num>
  <w:num w:numId="28">
    <w:abstractNumId w:val="10"/>
  </w:num>
  <w:num w:numId="29">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10"/>
  <w:displayHorizontalDrawingGridEvery w:val="2"/>
  <w:displayVerticalDrawingGridEvery w:val="2"/>
  <w:characterSpacingControl w:val="doNotCompress"/>
  <w:footnotePr>
    <w:pos w:val="beneathText"/>
    <w:footnote w:id="0"/>
    <w:footnote w:id="1"/>
  </w:footnotePr>
  <w:endnotePr>
    <w:endnote w:id="0"/>
    <w:endnote w:id="1"/>
  </w:endnotePr>
  <w:compat/>
  <w:rsids>
    <w:rsidRoot w:val="00A3014D"/>
    <w:rsid w:val="00011CC6"/>
    <w:rsid w:val="00035035"/>
    <w:rsid w:val="0003780B"/>
    <w:rsid w:val="00045D7F"/>
    <w:rsid w:val="00070B4E"/>
    <w:rsid w:val="00070D5A"/>
    <w:rsid w:val="000A2AAD"/>
    <w:rsid w:val="000B2F35"/>
    <w:rsid w:val="000C0B2E"/>
    <w:rsid w:val="00153E6C"/>
    <w:rsid w:val="0015454E"/>
    <w:rsid w:val="00162088"/>
    <w:rsid w:val="0016393E"/>
    <w:rsid w:val="00165450"/>
    <w:rsid w:val="001740C9"/>
    <w:rsid w:val="001B008E"/>
    <w:rsid w:val="0021307A"/>
    <w:rsid w:val="00226DBE"/>
    <w:rsid w:val="00230AF6"/>
    <w:rsid w:val="002417E6"/>
    <w:rsid w:val="0024494B"/>
    <w:rsid w:val="002E212C"/>
    <w:rsid w:val="002F5D4F"/>
    <w:rsid w:val="00310747"/>
    <w:rsid w:val="0031074E"/>
    <w:rsid w:val="00315E79"/>
    <w:rsid w:val="003231C2"/>
    <w:rsid w:val="00350D83"/>
    <w:rsid w:val="00360630"/>
    <w:rsid w:val="00371A15"/>
    <w:rsid w:val="00372541"/>
    <w:rsid w:val="00382E2B"/>
    <w:rsid w:val="00384BAC"/>
    <w:rsid w:val="00393CDF"/>
    <w:rsid w:val="003A24B0"/>
    <w:rsid w:val="003A7463"/>
    <w:rsid w:val="003B4B68"/>
    <w:rsid w:val="003C1A2A"/>
    <w:rsid w:val="003D7A25"/>
    <w:rsid w:val="003E1EB3"/>
    <w:rsid w:val="003E2E64"/>
    <w:rsid w:val="003E5D3C"/>
    <w:rsid w:val="003F1BD2"/>
    <w:rsid w:val="00422CB7"/>
    <w:rsid w:val="004254CE"/>
    <w:rsid w:val="00435E37"/>
    <w:rsid w:val="00445404"/>
    <w:rsid w:val="004A07FC"/>
    <w:rsid w:val="004A499C"/>
    <w:rsid w:val="004C7411"/>
    <w:rsid w:val="004D3B27"/>
    <w:rsid w:val="004F43CA"/>
    <w:rsid w:val="00524A2C"/>
    <w:rsid w:val="00534734"/>
    <w:rsid w:val="00544D61"/>
    <w:rsid w:val="00545789"/>
    <w:rsid w:val="0055481E"/>
    <w:rsid w:val="005625B2"/>
    <w:rsid w:val="00577B8D"/>
    <w:rsid w:val="00587BA3"/>
    <w:rsid w:val="005A24AF"/>
    <w:rsid w:val="005B206F"/>
    <w:rsid w:val="005C124C"/>
    <w:rsid w:val="005C294B"/>
    <w:rsid w:val="00600E99"/>
    <w:rsid w:val="0061123C"/>
    <w:rsid w:val="00630CEE"/>
    <w:rsid w:val="006314D5"/>
    <w:rsid w:val="006620D8"/>
    <w:rsid w:val="0066365C"/>
    <w:rsid w:val="006774DB"/>
    <w:rsid w:val="006778A7"/>
    <w:rsid w:val="006A471A"/>
    <w:rsid w:val="006C48E9"/>
    <w:rsid w:val="006D3003"/>
    <w:rsid w:val="006D3B87"/>
    <w:rsid w:val="00706374"/>
    <w:rsid w:val="00715280"/>
    <w:rsid w:val="007356F2"/>
    <w:rsid w:val="007524A7"/>
    <w:rsid w:val="00767052"/>
    <w:rsid w:val="00790CE3"/>
    <w:rsid w:val="008275DC"/>
    <w:rsid w:val="00842ACC"/>
    <w:rsid w:val="008431A6"/>
    <w:rsid w:val="00853A49"/>
    <w:rsid w:val="00866D24"/>
    <w:rsid w:val="00875E51"/>
    <w:rsid w:val="008D6244"/>
    <w:rsid w:val="00902663"/>
    <w:rsid w:val="009061DC"/>
    <w:rsid w:val="0091713E"/>
    <w:rsid w:val="00924A12"/>
    <w:rsid w:val="0092642E"/>
    <w:rsid w:val="009315B5"/>
    <w:rsid w:val="00951FC3"/>
    <w:rsid w:val="009565B5"/>
    <w:rsid w:val="00964217"/>
    <w:rsid w:val="00993776"/>
    <w:rsid w:val="009A3228"/>
    <w:rsid w:val="009B73EE"/>
    <w:rsid w:val="00A2504D"/>
    <w:rsid w:val="00A3014D"/>
    <w:rsid w:val="00A36213"/>
    <w:rsid w:val="00A7470F"/>
    <w:rsid w:val="00A84B71"/>
    <w:rsid w:val="00AA213A"/>
    <w:rsid w:val="00AE0404"/>
    <w:rsid w:val="00B000EC"/>
    <w:rsid w:val="00B04835"/>
    <w:rsid w:val="00B11F15"/>
    <w:rsid w:val="00B26AC0"/>
    <w:rsid w:val="00B575E0"/>
    <w:rsid w:val="00B81DB4"/>
    <w:rsid w:val="00BB0FED"/>
    <w:rsid w:val="00BB2594"/>
    <w:rsid w:val="00C440BC"/>
    <w:rsid w:val="00C75919"/>
    <w:rsid w:val="00C80CA3"/>
    <w:rsid w:val="00C8531F"/>
    <w:rsid w:val="00CD1648"/>
    <w:rsid w:val="00CD270D"/>
    <w:rsid w:val="00CF677C"/>
    <w:rsid w:val="00D0054E"/>
    <w:rsid w:val="00D273D0"/>
    <w:rsid w:val="00D32434"/>
    <w:rsid w:val="00D3424F"/>
    <w:rsid w:val="00D40475"/>
    <w:rsid w:val="00D44B39"/>
    <w:rsid w:val="00D83399"/>
    <w:rsid w:val="00D8535B"/>
    <w:rsid w:val="00D85FAB"/>
    <w:rsid w:val="00DD0614"/>
    <w:rsid w:val="00DF12EA"/>
    <w:rsid w:val="00E0414C"/>
    <w:rsid w:val="00E11170"/>
    <w:rsid w:val="00E35130"/>
    <w:rsid w:val="00E36DBC"/>
    <w:rsid w:val="00E843A7"/>
    <w:rsid w:val="00EB188C"/>
    <w:rsid w:val="00EF3DF5"/>
    <w:rsid w:val="00F07611"/>
    <w:rsid w:val="00F27DFF"/>
    <w:rsid w:val="00F606C4"/>
    <w:rsid w:val="00F819BF"/>
    <w:rsid w:val="00F849B7"/>
    <w:rsid w:val="00F9758A"/>
    <w:rsid w:val="00F979F5"/>
    <w:rsid w:val="00FB1E1E"/>
    <w:rsid w:val="00FC4F38"/>
    <w:rsid w:val="00FC5E55"/>
    <w:rsid w:val="00FC7185"/>
    <w:rsid w:val="00FE0968"/>
    <w:rsid w:val="00FE2809"/>
    <w:rsid w:val="00FF2E1A"/>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martTagType w:namespaceuri="urn:schemas-microsoft-com:office:smarttags" w:name="metricconverter"/>
  <w:shapeDefaults>
    <o:shapedefaults v:ext="edit" spidmax="2050"/>
    <o:shapelayout v:ext="edit">
      <o:idmap v:ext="edit" data="1"/>
      <o:rules v:ext="edit">
        <o:r id="V:Rule2" type="connector" idref="#_x0000_s1027"/>
        <o:r id="V:Rule4" type="connector" idref="#_x0000_s1029"/>
        <o:r id="V:Rule7" type="connector" idref="#_x0000_s1032"/>
        <o:r id="V:Rule10" type="connector" idref="#_x0000_s1079"/>
        <o:r id="V:Rule12" type="connector" idref="#_x0000_s1081"/>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0"/>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3014D"/>
    <w:pPr>
      <w:spacing w:after="200" w:line="276" w:lineRule="auto"/>
    </w:pPr>
    <w:rPr>
      <w:sz w:val="22"/>
      <w:szCs w:val="22"/>
      <w:lang w:val="es-EC" w:eastAsia="en-US"/>
    </w:rPr>
  </w:style>
  <w:style w:type="character" w:default="1" w:styleId="Fuentedeprrafopredeter">
    <w:name w:val="Default Paragraph Font"/>
    <w:uiPriority w:val="1"/>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Prrafodelista1">
    <w:name w:val="Párrafo de lista1"/>
    <w:basedOn w:val="Normal"/>
    <w:qFormat/>
    <w:rsid w:val="00A3014D"/>
    <w:pPr>
      <w:ind w:left="720"/>
      <w:contextualSpacing/>
    </w:pPr>
  </w:style>
  <w:style w:type="paragraph" w:styleId="Encabezado">
    <w:name w:val="header"/>
    <w:basedOn w:val="Normal"/>
    <w:link w:val="EncabezadoCar"/>
    <w:unhideWhenUsed/>
    <w:rsid w:val="00A3014D"/>
    <w:pPr>
      <w:tabs>
        <w:tab w:val="center" w:pos="4419"/>
        <w:tab w:val="right" w:pos="8838"/>
      </w:tabs>
      <w:spacing w:after="0" w:line="240" w:lineRule="auto"/>
    </w:pPr>
  </w:style>
  <w:style w:type="character" w:customStyle="1" w:styleId="EncabezadoCar">
    <w:name w:val="Encabezado Car"/>
    <w:basedOn w:val="Fuentedeprrafopredeter"/>
    <w:link w:val="Encabezado"/>
    <w:rsid w:val="00A3014D"/>
    <w:rPr>
      <w:rFonts w:ascii="Calibri" w:eastAsia="Calibri" w:hAnsi="Calibri" w:cs="Times New Roman"/>
    </w:rPr>
  </w:style>
  <w:style w:type="paragraph" w:styleId="Piedepgina">
    <w:name w:val="footer"/>
    <w:basedOn w:val="Normal"/>
    <w:link w:val="PiedepginaCar"/>
    <w:uiPriority w:val="99"/>
    <w:unhideWhenUsed/>
    <w:rsid w:val="00A3014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A3014D"/>
    <w:rPr>
      <w:rFonts w:ascii="Calibri" w:eastAsia="Calibri" w:hAnsi="Calibri" w:cs="Times New Roman"/>
    </w:rPr>
  </w:style>
  <w:style w:type="paragraph" w:styleId="Textodeglobo">
    <w:name w:val="Balloon Text"/>
    <w:basedOn w:val="Normal"/>
    <w:link w:val="TextodegloboCar"/>
    <w:uiPriority w:val="99"/>
    <w:semiHidden/>
    <w:unhideWhenUsed/>
    <w:rsid w:val="00A3014D"/>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A3014D"/>
    <w:rPr>
      <w:rFonts w:ascii="Tahoma" w:eastAsia="Calibri" w:hAnsi="Tahoma" w:cs="Tahoma"/>
      <w:sz w:val="16"/>
      <w:szCs w:val="16"/>
    </w:rPr>
  </w:style>
  <w:style w:type="paragraph" w:styleId="TDC1">
    <w:name w:val="toc 1"/>
    <w:basedOn w:val="Normal"/>
    <w:next w:val="Normal"/>
    <w:autoRedefine/>
    <w:semiHidden/>
    <w:rsid w:val="006A471A"/>
    <w:pPr>
      <w:tabs>
        <w:tab w:val="left" w:pos="1920"/>
        <w:tab w:val="right" w:leader="dot" w:pos="8495"/>
      </w:tabs>
      <w:spacing w:after="0" w:line="360" w:lineRule="auto"/>
      <w:ind w:left="180"/>
    </w:pPr>
    <w:rPr>
      <w:rFonts w:ascii="Arial" w:eastAsia="MS Mincho" w:hAnsi="Arial" w:cs="Arial"/>
      <w:b/>
      <w:bCs/>
      <w:caps/>
      <w:noProof/>
      <w:sz w:val="24"/>
      <w:szCs w:val="24"/>
      <w:lang w:eastAsia="es-EC"/>
    </w:rPr>
  </w:style>
  <w:style w:type="paragraph" w:styleId="TDC2">
    <w:name w:val="toc 2"/>
    <w:basedOn w:val="Normal"/>
    <w:next w:val="Normal"/>
    <w:autoRedefine/>
    <w:semiHidden/>
    <w:rsid w:val="00393CDF"/>
    <w:pPr>
      <w:spacing w:after="0" w:line="240" w:lineRule="auto"/>
      <w:ind w:left="240"/>
    </w:pPr>
    <w:rPr>
      <w:rFonts w:ascii="Times New Roman" w:eastAsia="MS Mincho" w:hAnsi="Times New Roman"/>
      <w:sz w:val="24"/>
      <w:szCs w:val="24"/>
      <w:lang w:eastAsia="es-EC"/>
    </w:rPr>
  </w:style>
  <w:style w:type="paragraph" w:styleId="TDC3">
    <w:name w:val="toc 3"/>
    <w:basedOn w:val="Normal"/>
    <w:next w:val="Normal"/>
    <w:autoRedefine/>
    <w:semiHidden/>
    <w:rsid w:val="00393CDF"/>
    <w:pPr>
      <w:tabs>
        <w:tab w:val="right" w:leader="dot" w:pos="8495"/>
      </w:tabs>
      <w:spacing w:after="0" w:line="360" w:lineRule="auto"/>
      <w:ind w:left="1080" w:hanging="600"/>
    </w:pPr>
    <w:rPr>
      <w:rFonts w:ascii="Times New Roman" w:eastAsia="MS Mincho" w:hAnsi="Times New Roman"/>
      <w:sz w:val="24"/>
      <w:szCs w:val="24"/>
      <w:lang w:eastAsia="es-EC"/>
    </w:rPr>
  </w:style>
  <w:style w:type="character" w:customStyle="1" w:styleId="Smbolodenotaalpie">
    <w:name w:val="Símbolo de nota al pie"/>
    <w:rsid w:val="00E36DBC"/>
  </w:style>
  <w:style w:type="character" w:customStyle="1" w:styleId="Refdenotaalpie1">
    <w:name w:val="Ref. de nota al pie1"/>
    <w:rsid w:val="00E36DBC"/>
    <w:rPr>
      <w:vertAlign w:val="superscript"/>
    </w:rPr>
  </w:style>
  <w:style w:type="paragraph" w:styleId="Textonotapie">
    <w:name w:val="footnote text"/>
    <w:basedOn w:val="Normal"/>
    <w:link w:val="TextonotapieCar"/>
    <w:semiHidden/>
    <w:rsid w:val="00E36DBC"/>
    <w:pPr>
      <w:widowControl w:val="0"/>
      <w:suppressLineNumbers/>
      <w:suppressAutoHyphens/>
      <w:spacing w:after="0" w:line="240" w:lineRule="auto"/>
      <w:ind w:left="283" w:hanging="283"/>
    </w:pPr>
    <w:rPr>
      <w:rFonts w:ascii="Times New Roman" w:eastAsia="Lucida Sans Unicode" w:hAnsi="Times New Roman"/>
      <w:sz w:val="20"/>
      <w:szCs w:val="20"/>
      <w:lang w:val="es-ES_tradnl"/>
    </w:rPr>
  </w:style>
  <w:style w:type="character" w:customStyle="1" w:styleId="TextonotapieCar">
    <w:name w:val="Texto nota pie Car"/>
    <w:basedOn w:val="Fuentedeprrafopredeter"/>
    <w:link w:val="Textonotapie"/>
    <w:semiHidden/>
    <w:rsid w:val="00E36DBC"/>
    <w:rPr>
      <w:rFonts w:ascii="Times New Roman" w:eastAsia="Lucida Sans Unicode" w:hAnsi="Times New Roman"/>
      <w:lang w:val="es-ES_tradnl"/>
    </w:rPr>
  </w:style>
  <w:style w:type="character" w:styleId="Hipervnculo">
    <w:name w:val="Hyperlink"/>
    <w:basedOn w:val="Fuentedeprrafopredeter"/>
    <w:rsid w:val="006774DB"/>
    <w:rPr>
      <w:color w:val="0000FF"/>
      <w:u w:val="single"/>
    </w:rPr>
  </w:style>
  <w:style w:type="paragraph" w:customStyle="1" w:styleId="Contenidodelatabla">
    <w:name w:val="Contenido de la tabla"/>
    <w:basedOn w:val="Normal"/>
    <w:rsid w:val="006774DB"/>
    <w:pPr>
      <w:widowControl w:val="0"/>
      <w:suppressLineNumbers/>
      <w:suppressAutoHyphens/>
      <w:spacing w:after="0" w:line="240" w:lineRule="auto"/>
    </w:pPr>
    <w:rPr>
      <w:rFonts w:ascii="Times New Roman" w:eastAsia="Lucida Sans Unicode" w:hAnsi="Times New Roman"/>
      <w:sz w:val="24"/>
      <w:szCs w:val="24"/>
      <w:lang w:val="es-ES_tradnl"/>
    </w:rPr>
  </w:style>
  <w:style w:type="paragraph" w:customStyle="1" w:styleId="PredeterminadoLTGliederung1">
    <w:name w:val="Predeterminado~LT~Gliederung 1"/>
    <w:rsid w:val="006774DB"/>
    <w:pPr>
      <w:widowControl w:val="0"/>
      <w:tabs>
        <w:tab w:val="left" w:pos="707"/>
        <w:tab w:val="left" w:pos="1414"/>
        <w:tab w:val="left" w:pos="2122"/>
        <w:tab w:val="left" w:pos="2829"/>
        <w:tab w:val="left" w:pos="3537"/>
        <w:tab w:val="left" w:pos="4244"/>
        <w:tab w:val="left" w:pos="4952"/>
        <w:tab w:val="left" w:pos="5659"/>
        <w:tab w:val="left" w:pos="6367"/>
        <w:tab w:val="left" w:pos="7074"/>
        <w:tab w:val="left" w:pos="7782"/>
        <w:tab w:val="left" w:pos="8489"/>
        <w:tab w:val="left" w:pos="9197"/>
        <w:tab w:val="left" w:pos="9904"/>
        <w:tab w:val="left" w:pos="10612"/>
        <w:tab w:val="left" w:pos="11319"/>
        <w:tab w:val="left" w:pos="12027"/>
        <w:tab w:val="left" w:pos="12734"/>
        <w:tab w:val="left" w:pos="13441"/>
        <w:tab w:val="left" w:pos="14149"/>
      </w:tabs>
      <w:suppressAutoHyphens/>
      <w:autoSpaceDE w:val="0"/>
      <w:spacing w:before="160" w:line="216" w:lineRule="auto"/>
      <w:ind w:left="537"/>
    </w:pPr>
    <w:rPr>
      <w:rFonts w:ascii="Lucida Sans Unicode" w:eastAsia="Lucida Sans Unicode" w:hAnsi="Lucida Sans Unicode"/>
      <w:color w:val="000000"/>
      <w:sz w:val="64"/>
      <w:szCs w:val="64"/>
      <w:lang w:val="es-ES_tradnl"/>
    </w:rPr>
  </w:style>
  <w:style w:type="paragraph" w:customStyle="1" w:styleId="Sangra2detindependiente1">
    <w:name w:val="Sangría 2 de t. independiente1"/>
    <w:basedOn w:val="Normal"/>
    <w:rsid w:val="00524A2C"/>
    <w:pPr>
      <w:suppressAutoHyphens/>
      <w:spacing w:after="0" w:line="240" w:lineRule="auto"/>
      <w:ind w:firstLine="245"/>
      <w:jc w:val="both"/>
    </w:pPr>
    <w:rPr>
      <w:rFonts w:ascii="Times New Roman" w:eastAsia="Times New Roman" w:hAnsi="Times New Roman"/>
      <w:sz w:val="20"/>
      <w:szCs w:val="20"/>
      <w:lang w:val="en-US" w:eastAsia="ar-SA"/>
    </w:rPr>
  </w:style>
  <w:style w:type="character" w:styleId="Nmerodepgina">
    <w:name w:val="page number"/>
    <w:basedOn w:val="Fuentedeprrafopredeter"/>
    <w:rsid w:val="0003780B"/>
  </w:style>
  <w:style w:type="character" w:customStyle="1" w:styleId="ec873031620-03092008">
    <w:name w:val="ec_873031620-03092008"/>
    <w:basedOn w:val="Fuentedeprrafopredeter"/>
    <w:rsid w:val="00070D5A"/>
  </w:style>
  <w:style w:type="character" w:styleId="CitaHTML">
    <w:name w:val="HTML Cite"/>
    <w:basedOn w:val="Fuentedeprrafopredeter"/>
    <w:rsid w:val="00FC7185"/>
    <w:rPr>
      <w:i w:val="0"/>
      <w:iCs w:val="0"/>
      <w:color w:val="008000"/>
    </w:rPr>
  </w:style>
</w:styles>
</file>

<file path=word/webSettings.xml><?xml version="1.0" encoding="utf-8"?>
<w:webSettings xmlns:r="http://schemas.openxmlformats.org/officeDocument/2006/relationships" xmlns:w="http://schemas.openxmlformats.org/wordprocessingml/2006/main">
  <w:divs>
    <w:div w:id="471363964">
      <w:bodyDiv w:val="1"/>
      <w:marLeft w:val="0"/>
      <w:marRight w:val="0"/>
      <w:marTop w:val="0"/>
      <w:marBottom w:val="0"/>
      <w:divBdr>
        <w:top w:val="none" w:sz="0" w:space="0" w:color="auto"/>
        <w:left w:val="none" w:sz="0" w:space="0" w:color="auto"/>
        <w:bottom w:val="none" w:sz="0" w:space="0" w:color="auto"/>
        <w:right w:val="none" w:sz="0" w:space="0" w:color="auto"/>
      </w:divBdr>
    </w:div>
    <w:div w:id="531000827">
      <w:bodyDiv w:val="1"/>
      <w:marLeft w:val="0"/>
      <w:marRight w:val="0"/>
      <w:marTop w:val="0"/>
      <w:marBottom w:val="0"/>
      <w:divBdr>
        <w:top w:val="none" w:sz="0" w:space="0" w:color="auto"/>
        <w:left w:val="none" w:sz="0" w:space="0" w:color="auto"/>
        <w:bottom w:val="none" w:sz="0" w:space="0" w:color="auto"/>
        <w:right w:val="none" w:sz="0" w:space="0" w:color="auto"/>
      </w:divBdr>
    </w:div>
    <w:div w:id="720325223">
      <w:bodyDiv w:val="1"/>
      <w:marLeft w:val="0"/>
      <w:marRight w:val="0"/>
      <w:marTop w:val="0"/>
      <w:marBottom w:val="0"/>
      <w:divBdr>
        <w:top w:val="none" w:sz="0" w:space="0" w:color="auto"/>
        <w:left w:val="none" w:sz="0" w:space="0" w:color="auto"/>
        <w:bottom w:val="none" w:sz="0" w:space="0" w:color="auto"/>
        <w:right w:val="none" w:sz="0" w:space="0" w:color="auto"/>
      </w:divBdr>
    </w:div>
    <w:div w:id="1715618060">
      <w:bodyDiv w:val="1"/>
      <w:marLeft w:val="0"/>
      <w:marRight w:val="0"/>
      <w:marTop w:val="0"/>
      <w:marBottom w:val="0"/>
      <w:divBdr>
        <w:top w:val="none" w:sz="0" w:space="0" w:color="auto"/>
        <w:left w:val="none" w:sz="0" w:space="0" w:color="auto"/>
        <w:bottom w:val="none" w:sz="0" w:space="0" w:color="auto"/>
        <w:right w:val="none" w:sz="0" w:space="0" w:color="auto"/>
      </w:divBdr>
    </w:div>
    <w:div w:id="1992326498">
      <w:bodyDiv w:val="1"/>
      <w:marLeft w:val="0"/>
      <w:marRight w:val="0"/>
      <w:marTop w:val="0"/>
      <w:marBottom w:val="0"/>
      <w:divBdr>
        <w:top w:val="none" w:sz="0" w:space="0" w:color="auto"/>
        <w:left w:val="none" w:sz="0" w:space="0" w:color="auto"/>
        <w:bottom w:val="none" w:sz="0" w:space="0" w:color="auto"/>
        <w:right w:val="none" w:sz="0" w:space="0" w:color="auto"/>
      </w:divBdr>
    </w:div>
    <w:div w:id="21411931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diagramData" Target="diagrams/data2.xml"/><Relationship Id="rId26" Type="http://schemas.openxmlformats.org/officeDocument/2006/relationships/image" Target="media/image6.png"/><Relationship Id="rId39" Type="http://schemas.openxmlformats.org/officeDocument/2006/relationships/image" Target="media/image13.emf"/><Relationship Id="rId21" Type="http://schemas.openxmlformats.org/officeDocument/2006/relationships/diagramColors" Target="diagrams/colors2.xml"/><Relationship Id="rId34" Type="http://schemas.openxmlformats.org/officeDocument/2006/relationships/oleObject" Target="embeddings/oleObject4.bin"/><Relationship Id="rId42" Type="http://schemas.openxmlformats.org/officeDocument/2006/relationships/oleObject" Target="embeddings/oleObject8.bin"/><Relationship Id="rId47" Type="http://schemas.openxmlformats.org/officeDocument/2006/relationships/chart" Target="charts/chart4.xml"/><Relationship Id="rId50" Type="http://schemas.openxmlformats.org/officeDocument/2006/relationships/chart" Target="charts/chart7.xml"/><Relationship Id="rId55" Type="http://schemas.openxmlformats.org/officeDocument/2006/relationships/chart" Target="charts/chart12.xml"/><Relationship Id="rId63" Type="http://schemas.openxmlformats.org/officeDocument/2006/relationships/image" Target="media/image17.emf"/><Relationship Id="rId68" Type="http://schemas.openxmlformats.org/officeDocument/2006/relationships/hyperlink" Target="http://www.bce.fin.ec/pregun1.php" TargetMode="External"/><Relationship Id="rId7" Type="http://schemas.openxmlformats.org/officeDocument/2006/relationships/image" Target="media/image1.png"/><Relationship Id="rId71"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diagramQuickStyle" Target="diagrams/quickStyle1.xml"/><Relationship Id="rId29" Type="http://schemas.openxmlformats.org/officeDocument/2006/relationships/image" Target="media/image8.em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png"/><Relationship Id="rId24" Type="http://schemas.openxmlformats.org/officeDocument/2006/relationships/diagramQuickStyle" Target="diagrams/quickStyle3.xml"/><Relationship Id="rId32" Type="http://schemas.openxmlformats.org/officeDocument/2006/relationships/oleObject" Target="embeddings/oleObject3.bin"/><Relationship Id="rId37" Type="http://schemas.openxmlformats.org/officeDocument/2006/relationships/image" Target="media/image12.emf"/><Relationship Id="rId40" Type="http://schemas.openxmlformats.org/officeDocument/2006/relationships/oleObject" Target="embeddings/oleObject7.bin"/><Relationship Id="rId45" Type="http://schemas.openxmlformats.org/officeDocument/2006/relationships/chart" Target="charts/chart2.xml"/><Relationship Id="rId53" Type="http://schemas.openxmlformats.org/officeDocument/2006/relationships/chart" Target="charts/chart10.xml"/><Relationship Id="rId58" Type="http://schemas.openxmlformats.org/officeDocument/2006/relationships/chart" Target="charts/chart15.xml"/><Relationship Id="rId66" Type="http://schemas.openxmlformats.org/officeDocument/2006/relationships/hyperlink" Target="http://www.bis.org/publ/qtrpdf/r_qt0703esp_b.pdf" TargetMode="External"/><Relationship Id="rId5" Type="http://schemas.openxmlformats.org/officeDocument/2006/relationships/footnotes" Target="footnotes.xml"/><Relationship Id="rId15" Type="http://schemas.openxmlformats.org/officeDocument/2006/relationships/diagramLayout" Target="diagrams/layout1.xml"/><Relationship Id="rId23" Type="http://schemas.openxmlformats.org/officeDocument/2006/relationships/diagramLayout" Target="diagrams/layout3.xml"/><Relationship Id="rId28" Type="http://schemas.openxmlformats.org/officeDocument/2006/relationships/oleObject" Target="embeddings/oleObject1.bin"/><Relationship Id="rId36" Type="http://schemas.openxmlformats.org/officeDocument/2006/relationships/oleObject" Target="embeddings/oleObject5.bin"/><Relationship Id="rId49" Type="http://schemas.openxmlformats.org/officeDocument/2006/relationships/chart" Target="charts/chart6.xml"/><Relationship Id="rId57" Type="http://schemas.openxmlformats.org/officeDocument/2006/relationships/chart" Target="charts/chart14.xml"/><Relationship Id="rId61" Type="http://schemas.openxmlformats.org/officeDocument/2006/relationships/image" Target="media/image15.png"/><Relationship Id="rId10" Type="http://schemas.openxmlformats.org/officeDocument/2006/relationships/footer" Target="footer2.xml"/><Relationship Id="rId19" Type="http://schemas.openxmlformats.org/officeDocument/2006/relationships/diagramLayout" Target="diagrams/layout2.xml"/><Relationship Id="rId31" Type="http://schemas.openxmlformats.org/officeDocument/2006/relationships/image" Target="media/image9.emf"/><Relationship Id="rId44" Type="http://schemas.openxmlformats.org/officeDocument/2006/relationships/chart" Target="charts/chart1.xml"/><Relationship Id="rId52" Type="http://schemas.openxmlformats.org/officeDocument/2006/relationships/chart" Target="charts/chart9.xml"/><Relationship Id="rId60" Type="http://schemas.openxmlformats.org/officeDocument/2006/relationships/chart" Target="charts/chart17.xml"/><Relationship Id="rId65" Type="http://schemas.openxmlformats.org/officeDocument/2006/relationships/hyperlink" Target="http://www.eumed.net/cursecon/ecolat/ec/2007/CRISIS%20BANCARIA%20EN%20ECUADOR.htm" TargetMode="Externa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diagramData" Target="diagrams/data1.xml"/><Relationship Id="rId22" Type="http://schemas.openxmlformats.org/officeDocument/2006/relationships/diagramData" Target="diagrams/data3.xml"/><Relationship Id="rId27" Type="http://schemas.openxmlformats.org/officeDocument/2006/relationships/image" Target="media/image7.emf"/><Relationship Id="rId30" Type="http://schemas.openxmlformats.org/officeDocument/2006/relationships/oleObject" Target="embeddings/oleObject2.bin"/><Relationship Id="rId35" Type="http://schemas.openxmlformats.org/officeDocument/2006/relationships/image" Target="media/image11.emf"/><Relationship Id="rId43" Type="http://schemas.openxmlformats.org/officeDocument/2006/relationships/hyperlink" Target="http://www.bce.fin.ec" TargetMode="External"/><Relationship Id="rId48" Type="http://schemas.openxmlformats.org/officeDocument/2006/relationships/chart" Target="charts/chart5.xml"/><Relationship Id="rId56" Type="http://schemas.openxmlformats.org/officeDocument/2006/relationships/chart" Target="charts/chart13.xml"/><Relationship Id="rId64" Type="http://schemas.openxmlformats.org/officeDocument/2006/relationships/image" Target="media/image18.emf"/><Relationship Id="rId69" Type="http://schemas.openxmlformats.org/officeDocument/2006/relationships/hyperlink" Target="http://www.superban.gov.ec/" TargetMode="External"/><Relationship Id="rId8" Type="http://schemas.openxmlformats.org/officeDocument/2006/relationships/image" Target="media/image2.png"/><Relationship Id="rId51" Type="http://schemas.openxmlformats.org/officeDocument/2006/relationships/chart" Target="charts/chart8.xml"/><Relationship Id="rId72" Type="http://schemas.openxmlformats.org/officeDocument/2006/relationships/theme" Target="theme/theme1.xml"/><Relationship Id="rId3" Type="http://schemas.openxmlformats.org/officeDocument/2006/relationships/settings" Target="settings.xml"/><Relationship Id="rId12" Type="http://schemas.openxmlformats.org/officeDocument/2006/relationships/image" Target="media/image4.png"/><Relationship Id="rId17" Type="http://schemas.openxmlformats.org/officeDocument/2006/relationships/diagramColors" Target="diagrams/colors1.xml"/><Relationship Id="rId25" Type="http://schemas.openxmlformats.org/officeDocument/2006/relationships/diagramColors" Target="diagrams/colors3.xml"/><Relationship Id="rId33" Type="http://schemas.openxmlformats.org/officeDocument/2006/relationships/image" Target="media/image10.emf"/><Relationship Id="rId38" Type="http://schemas.openxmlformats.org/officeDocument/2006/relationships/oleObject" Target="embeddings/oleObject6.bin"/><Relationship Id="rId46" Type="http://schemas.openxmlformats.org/officeDocument/2006/relationships/chart" Target="charts/chart3.xml"/><Relationship Id="rId59" Type="http://schemas.openxmlformats.org/officeDocument/2006/relationships/chart" Target="charts/chart16.xml"/><Relationship Id="rId67" Type="http://schemas.openxmlformats.org/officeDocument/2006/relationships/hyperlink" Target="http://www.hoy.com.ec/zhechos/2004/libro/tema14.htm" TargetMode="External"/><Relationship Id="rId20" Type="http://schemas.openxmlformats.org/officeDocument/2006/relationships/diagramQuickStyle" Target="diagrams/quickStyle2.xml"/><Relationship Id="rId41" Type="http://schemas.openxmlformats.org/officeDocument/2006/relationships/image" Target="media/image14.emf"/><Relationship Id="rId54" Type="http://schemas.openxmlformats.org/officeDocument/2006/relationships/chart" Target="charts/chart11.xml"/><Relationship Id="rId62" Type="http://schemas.openxmlformats.org/officeDocument/2006/relationships/image" Target="media/image16.png"/><Relationship Id="rId70" Type="http://schemas.openxmlformats.org/officeDocument/2006/relationships/hyperlink" Target="http://www.mundobvg.com"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Hoja_de_c_lculo_de_Microsoft_Office_Excel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Hoja_de_c_lculo_de_Microsoft_Office_Excel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Hoja_de_c_lculo_de_Microsoft_Office_Excel11.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Hoja_de_c_lculo_de_Microsoft_Office_Excel12.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Hoja_de_c_lculo_de_Microsoft_Office_Excel13.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Hoja_de_c_lculo_de_Microsoft_Office_Excel14.xlsx"/></Relationships>
</file>

<file path=word/charts/_rels/chart15.xml.rels><?xml version="1.0" encoding="UTF-8" standalone="yes"?>
<Relationships xmlns="http://schemas.openxmlformats.org/package/2006/relationships"><Relationship Id="rId1" Type="http://schemas.openxmlformats.org/officeDocument/2006/relationships/package" Target="../embeddings/Hoja_de_c_lculo_de_Microsoft_Office_Excel15.xlsx"/></Relationships>
</file>

<file path=word/charts/_rels/chart16.xml.rels><?xml version="1.0" encoding="UTF-8" standalone="yes"?>
<Relationships xmlns="http://schemas.openxmlformats.org/package/2006/relationships"><Relationship Id="rId1" Type="http://schemas.openxmlformats.org/officeDocument/2006/relationships/package" Target="../embeddings/Hoja_de_c_lculo_de_Microsoft_Office_Excel16.xlsx"/></Relationships>
</file>

<file path=word/charts/_rels/chart17.xml.rels><?xml version="1.0" encoding="UTF-8" standalone="yes"?>
<Relationships xmlns="http://schemas.openxmlformats.org/package/2006/relationships"><Relationship Id="rId1" Type="http://schemas.openxmlformats.org/officeDocument/2006/relationships/package" Target="../embeddings/Hoja_de_c_lculo_de_Microsoft_Office_Excel17.xlsx"/></Relationships>
</file>

<file path=word/charts/_rels/chart2.xml.rels><?xml version="1.0" encoding="UTF-8" standalone="yes"?>
<Relationships xmlns="http://schemas.openxmlformats.org/package/2006/relationships"><Relationship Id="rId1" Type="http://schemas.openxmlformats.org/officeDocument/2006/relationships/package" Target="../embeddings/Hoja_de_c_lculo_de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Hoja_de_c_lculo_de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Hoja_de_c_lculo_de_Microsoft_Office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Hoja_de_c_lculo_de_Microsoft_Office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Hoja_de_c_lculo_de_Microsoft_Office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Hoja_de_c_lculo_de_Microsoft_Office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Hoja_de_c_lculo_de_Microsoft_Office_Excel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Hoja_de_c_lculo_de_Microsoft_Office_Excel9.xlsx"/></Relationships>
</file>

<file path=word/charts/chart1.xml><?xml version="1.0" encoding="utf-8"?>
<c:chartSpace xmlns:c="http://schemas.openxmlformats.org/drawingml/2006/chart" xmlns:a="http://schemas.openxmlformats.org/drawingml/2006/main" xmlns:r="http://schemas.openxmlformats.org/officeDocument/2006/relationships">
  <c:lang val="es-ES"/>
  <c:chart>
    <c:title>
      <c:tx>
        <c:rich>
          <a:bodyPr/>
          <a:lstStyle/>
          <a:p>
            <a:pPr>
              <a:defRPr sz="850" b="1" i="0" u="none" strike="noStrike" baseline="0">
                <a:solidFill>
                  <a:srgbClr val="000000"/>
                </a:solidFill>
                <a:latin typeface="Arial"/>
                <a:ea typeface="Arial"/>
                <a:cs typeface="Arial"/>
              </a:defRPr>
            </a:pPr>
            <a:r>
              <a:t>Colocaciones Brutas</a:t>
            </a:r>
          </a:p>
        </c:rich>
      </c:tx>
      <c:layout>
        <c:manualLayout>
          <c:xMode val="edge"/>
          <c:yMode val="edge"/>
          <c:x val="0.29107981220657281"/>
          <c:y val="2.1834061135371188E-2"/>
        </c:manualLayout>
      </c:layout>
      <c:spPr>
        <a:noFill/>
        <a:ln w="25396">
          <a:noFill/>
        </a:ln>
      </c:spPr>
    </c:title>
    <c:plotArea>
      <c:layout>
        <c:manualLayout>
          <c:layoutTarget val="inner"/>
          <c:xMode val="edge"/>
          <c:yMode val="edge"/>
          <c:x val="0.19014084507042259"/>
          <c:y val="0.2183406113537118"/>
          <c:w val="0.61971830985915488"/>
          <c:h val="0.5240174672489083"/>
        </c:manualLayout>
      </c:layout>
      <c:lineChart>
        <c:grouping val="standard"/>
        <c:ser>
          <c:idx val="0"/>
          <c:order val="0"/>
          <c:spPr>
            <a:ln w="12698">
              <a:solidFill>
                <a:srgbClr val="000080"/>
              </a:solidFill>
              <a:prstDash val="solid"/>
            </a:ln>
          </c:spPr>
          <c:marker>
            <c:symbol val="none"/>
          </c:marker>
          <c:cat>
            <c:numRef>
              <c:f>Calculos!$C$5:$J$5</c:f>
              <c:numCache>
                <c:formatCode>General</c:formatCode>
                <c:ptCount val="8"/>
                <c:pt idx="0">
                  <c:v>2000</c:v>
                </c:pt>
                <c:pt idx="1">
                  <c:v>2001</c:v>
                </c:pt>
                <c:pt idx="2">
                  <c:v>2002</c:v>
                </c:pt>
                <c:pt idx="3">
                  <c:v>2003</c:v>
                </c:pt>
                <c:pt idx="4">
                  <c:v>2004</c:v>
                </c:pt>
                <c:pt idx="5">
                  <c:v>2005</c:v>
                </c:pt>
                <c:pt idx="6">
                  <c:v>2006</c:v>
                </c:pt>
                <c:pt idx="7">
                  <c:v>2007</c:v>
                </c:pt>
              </c:numCache>
            </c:numRef>
          </c:cat>
          <c:val>
            <c:numRef>
              <c:f>Calculos!$C$6:$J$6</c:f>
              <c:numCache>
                <c:formatCode>General</c:formatCode>
                <c:ptCount val="8"/>
                <c:pt idx="0">
                  <c:v>174914</c:v>
                </c:pt>
                <c:pt idx="1">
                  <c:v>312491</c:v>
                </c:pt>
                <c:pt idx="2">
                  <c:v>347801</c:v>
                </c:pt>
                <c:pt idx="3">
                  <c:v>362128</c:v>
                </c:pt>
                <c:pt idx="4">
                  <c:v>442248</c:v>
                </c:pt>
                <c:pt idx="5">
                  <c:v>522846</c:v>
                </c:pt>
                <c:pt idx="6">
                  <c:v>590964</c:v>
                </c:pt>
                <c:pt idx="7">
                  <c:v>635198</c:v>
                </c:pt>
              </c:numCache>
            </c:numRef>
          </c:val>
        </c:ser>
        <c:marker val="1"/>
        <c:axId val="113919104"/>
        <c:axId val="113921024"/>
      </c:lineChart>
      <c:catAx>
        <c:axId val="113919104"/>
        <c:scaling>
          <c:orientation val="minMax"/>
        </c:scaling>
        <c:axPos val="b"/>
        <c:title>
          <c:tx>
            <c:rich>
              <a:bodyPr/>
              <a:lstStyle/>
              <a:p>
                <a:pPr>
                  <a:defRPr sz="800" b="1" i="0" u="none" strike="noStrike" baseline="0">
                    <a:solidFill>
                      <a:srgbClr val="000000"/>
                    </a:solidFill>
                    <a:latin typeface="Arial"/>
                    <a:ea typeface="Arial"/>
                    <a:cs typeface="Arial"/>
                  </a:defRPr>
                </a:pPr>
                <a:r>
                  <a:t>Año</a:t>
                </a:r>
              </a:p>
            </c:rich>
          </c:tx>
          <c:layout>
            <c:manualLayout>
              <c:xMode val="edge"/>
              <c:yMode val="edge"/>
              <c:x val="0.46948356807511737"/>
              <c:y val="0.86026200873362446"/>
            </c:manualLayout>
          </c:layout>
          <c:spPr>
            <a:noFill/>
            <a:ln w="25396">
              <a:noFill/>
            </a:ln>
          </c:spPr>
        </c:title>
        <c:numFmt formatCode="General" sourceLinked="1"/>
        <c:tickLblPos val="nextTo"/>
        <c:spPr>
          <a:ln w="3175">
            <a:solidFill>
              <a:srgbClr val="000000"/>
            </a:solidFill>
            <a:prstDash val="solid"/>
          </a:ln>
        </c:spPr>
        <c:txPr>
          <a:bodyPr rot="0" vert="horz"/>
          <a:lstStyle/>
          <a:p>
            <a:pPr>
              <a:defRPr sz="800" b="0" i="0" u="none" strike="noStrike" baseline="0">
                <a:solidFill>
                  <a:srgbClr val="000000"/>
                </a:solidFill>
                <a:latin typeface="Arial"/>
                <a:ea typeface="Arial"/>
                <a:cs typeface="Arial"/>
              </a:defRPr>
            </a:pPr>
            <a:endParaRPr lang="es-ES"/>
          </a:p>
        </c:txPr>
        <c:crossAx val="113921024"/>
        <c:crosses val="autoZero"/>
        <c:auto val="1"/>
        <c:lblAlgn val="ctr"/>
        <c:lblOffset val="100"/>
        <c:tickLblSkip val="1"/>
        <c:tickMarkSkip val="1"/>
      </c:catAx>
      <c:valAx>
        <c:axId val="113921024"/>
        <c:scaling>
          <c:orientation val="minMax"/>
        </c:scaling>
        <c:axPos val="l"/>
        <c:majorGridlines>
          <c:spPr>
            <a:ln w="3175">
              <a:solidFill>
                <a:srgbClr val="000000"/>
              </a:solidFill>
              <a:prstDash val="solid"/>
            </a:ln>
          </c:spPr>
        </c:majorGridlines>
        <c:title>
          <c:tx>
            <c:rich>
              <a:bodyPr/>
              <a:lstStyle/>
              <a:p>
                <a:pPr>
                  <a:defRPr sz="800" b="1" i="0" u="none" strike="noStrike" baseline="0">
                    <a:solidFill>
                      <a:srgbClr val="000000"/>
                    </a:solidFill>
                    <a:latin typeface="Arial"/>
                    <a:ea typeface="Arial"/>
                    <a:cs typeface="Arial"/>
                  </a:defRPr>
                </a:pPr>
                <a:r>
                  <a:t>Colocaciones Brutas</a:t>
                </a:r>
              </a:p>
            </c:rich>
          </c:tx>
          <c:layout>
            <c:manualLayout>
              <c:xMode val="edge"/>
              <c:yMode val="edge"/>
              <c:x val="2.582159624413145E-2"/>
              <c:y val="0.26637554585152839"/>
            </c:manualLayout>
          </c:layout>
          <c:spPr>
            <a:noFill/>
            <a:ln w="25396">
              <a:noFill/>
            </a:ln>
          </c:spPr>
        </c:title>
        <c:numFmt formatCode="General" sourceLinked="1"/>
        <c:tickLblPos val="nextTo"/>
        <c:spPr>
          <a:ln w="3175">
            <a:solidFill>
              <a:srgbClr val="000000"/>
            </a:solidFill>
            <a:prstDash val="solid"/>
          </a:ln>
        </c:spPr>
        <c:txPr>
          <a:bodyPr rot="0" vert="horz"/>
          <a:lstStyle/>
          <a:p>
            <a:pPr>
              <a:defRPr sz="800" b="0" i="0" u="none" strike="noStrike" baseline="0">
                <a:solidFill>
                  <a:srgbClr val="000000"/>
                </a:solidFill>
                <a:latin typeface="Arial"/>
                <a:ea typeface="Arial"/>
                <a:cs typeface="Arial"/>
              </a:defRPr>
            </a:pPr>
            <a:endParaRPr lang="es-ES"/>
          </a:p>
        </c:txPr>
        <c:crossAx val="113919104"/>
        <c:crosses val="autoZero"/>
        <c:crossBetween val="between"/>
      </c:valAx>
      <c:spPr>
        <a:solidFill>
          <a:srgbClr val="C0C0C0"/>
        </a:solidFill>
        <a:ln w="12698">
          <a:solidFill>
            <a:srgbClr val="808080"/>
          </a:solidFill>
          <a:prstDash val="solid"/>
        </a:ln>
      </c:spPr>
    </c:plotArea>
    <c:legend>
      <c:legendPos val="r"/>
      <c:layout>
        <c:manualLayout>
          <c:xMode val="edge"/>
          <c:yMode val="edge"/>
          <c:wMode val="edge"/>
          <c:hMode val="edge"/>
          <c:x val="0.82159624413145538"/>
          <c:y val="0.44104803493449785"/>
          <c:w val="0.99061032863849763"/>
          <c:h val="0.52838427947598254"/>
        </c:manualLayout>
      </c:layout>
      <c:spPr>
        <a:solidFill>
          <a:srgbClr val="FFFFFF"/>
        </a:solidFill>
        <a:ln w="3175">
          <a:solidFill>
            <a:srgbClr val="000000"/>
          </a:solidFill>
          <a:prstDash val="solid"/>
        </a:ln>
      </c:spPr>
      <c:txPr>
        <a:bodyPr/>
        <a:lstStyle/>
        <a:p>
          <a:pPr>
            <a:defRPr sz="735" b="0" i="0" u="none" strike="noStrike" baseline="0">
              <a:solidFill>
                <a:srgbClr val="000000"/>
              </a:solidFill>
              <a:latin typeface="Arial"/>
              <a:ea typeface="Arial"/>
              <a:cs typeface="Arial"/>
            </a:defRPr>
          </a:pPr>
          <a:endParaRPr lang="es-ES"/>
        </a:p>
      </c:txPr>
    </c:legend>
    <c:plotVisOnly val="1"/>
    <c:dispBlanksAs val="gap"/>
  </c:chart>
  <c:spPr>
    <a:solidFill>
      <a:srgbClr val="FFFFFF"/>
    </a:solidFill>
    <a:ln w="3175">
      <a:solidFill>
        <a:srgbClr val="000000"/>
      </a:solidFill>
      <a:prstDash val="solid"/>
    </a:ln>
  </c:spPr>
  <c:txPr>
    <a:bodyPr/>
    <a:lstStyle/>
    <a:p>
      <a:pPr>
        <a:defRPr sz="800" b="0" i="0" u="none" strike="noStrike" baseline="0">
          <a:solidFill>
            <a:srgbClr val="000000"/>
          </a:solidFill>
          <a:latin typeface="Arial"/>
          <a:ea typeface="Arial"/>
          <a:cs typeface="Arial"/>
        </a:defRPr>
      </a:pPr>
      <a:endParaRPr lang="es-ES"/>
    </a:p>
  </c:txPr>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826" b="1" i="0" u="none" strike="noStrike" baseline="0">
                <a:solidFill>
                  <a:srgbClr val="000000"/>
                </a:solidFill>
                <a:latin typeface="Arial"/>
                <a:ea typeface="Arial"/>
                <a:cs typeface="Arial"/>
              </a:defRPr>
            </a:pPr>
            <a:r>
              <a:t>Gastos por Provisión</a:t>
            </a:r>
          </a:p>
        </c:rich>
      </c:tx>
      <c:layout>
        <c:manualLayout>
          <c:xMode val="edge"/>
          <c:yMode val="edge"/>
          <c:x val="0.40196084864391951"/>
          <c:y val="1.904784978800728E-2"/>
        </c:manualLayout>
      </c:layout>
      <c:spPr>
        <a:noFill/>
        <a:ln w="25429">
          <a:noFill/>
        </a:ln>
      </c:spPr>
    </c:title>
    <c:plotArea>
      <c:layout>
        <c:manualLayout>
          <c:layoutTarget val="inner"/>
          <c:xMode val="edge"/>
          <c:yMode val="edge"/>
          <c:x val="8.1699346405228773E-2"/>
          <c:y val="0.23333333333333339"/>
          <c:w val="0.77124183006535985"/>
          <c:h val="0.59047619047619049"/>
        </c:manualLayout>
      </c:layout>
      <c:lineChart>
        <c:grouping val="standard"/>
        <c:ser>
          <c:idx val="0"/>
          <c:order val="0"/>
          <c:spPr>
            <a:ln w="12714">
              <a:solidFill>
                <a:srgbClr val="000080"/>
              </a:solidFill>
              <a:prstDash val="solid"/>
            </a:ln>
          </c:spPr>
          <c:marker>
            <c:symbol val="diamond"/>
            <c:size val="5"/>
            <c:spPr>
              <a:solidFill>
                <a:srgbClr val="000080"/>
              </a:solidFill>
              <a:ln>
                <a:solidFill>
                  <a:srgbClr val="000080"/>
                </a:solidFill>
                <a:prstDash val="solid"/>
              </a:ln>
            </c:spPr>
          </c:marker>
          <c:cat>
            <c:numRef>
              <c:f>Calculos!$C$5:$J$5</c:f>
              <c:numCache>
                <c:formatCode>General</c:formatCode>
                <c:ptCount val="8"/>
                <c:pt idx="0">
                  <c:v>2000</c:v>
                </c:pt>
                <c:pt idx="1">
                  <c:v>2001</c:v>
                </c:pt>
                <c:pt idx="2">
                  <c:v>2002</c:v>
                </c:pt>
                <c:pt idx="3">
                  <c:v>2003</c:v>
                </c:pt>
                <c:pt idx="4">
                  <c:v>2004</c:v>
                </c:pt>
                <c:pt idx="5">
                  <c:v>2005</c:v>
                </c:pt>
                <c:pt idx="6">
                  <c:v>2006</c:v>
                </c:pt>
                <c:pt idx="7">
                  <c:v>2007</c:v>
                </c:pt>
              </c:numCache>
            </c:numRef>
          </c:cat>
          <c:val>
            <c:numRef>
              <c:f>Calculos!$C$16:$J$16</c:f>
              <c:numCache>
                <c:formatCode>General</c:formatCode>
                <c:ptCount val="8"/>
                <c:pt idx="0">
                  <c:v>3473</c:v>
                </c:pt>
                <c:pt idx="1">
                  <c:v>1879</c:v>
                </c:pt>
                <c:pt idx="2">
                  <c:v>3788</c:v>
                </c:pt>
                <c:pt idx="3">
                  <c:v>4590</c:v>
                </c:pt>
                <c:pt idx="4">
                  <c:v>7255</c:v>
                </c:pt>
                <c:pt idx="5">
                  <c:v>6958</c:v>
                </c:pt>
                <c:pt idx="6">
                  <c:v>6694</c:v>
                </c:pt>
                <c:pt idx="7">
                  <c:v>8362</c:v>
                </c:pt>
              </c:numCache>
            </c:numRef>
          </c:val>
        </c:ser>
        <c:marker val="1"/>
        <c:axId val="244312320"/>
        <c:axId val="244519296"/>
      </c:lineChart>
      <c:catAx>
        <c:axId val="244312320"/>
        <c:scaling>
          <c:orientation val="minMax"/>
        </c:scaling>
        <c:axPos val="b"/>
        <c:numFmt formatCode="General" sourceLinked="1"/>
        <c:tickLblPos val="nextTo"/>
        <c:spPr>
          <a:ln w="3179">
            <a:solidFill>
              <a:srgbClr val="000000"/>
            </a:solidFill>
            <a:prstDash val="solid"/>
          </a:ln>
        </c:spPr>
        <c:txPr>
          <a:bodyPr rot="0" vert="horz"/>
          <a:lstStyle/>
          <a:p>
            <a:pPr>
              <a:defRPr sz="801" b="0" i="0" u="none" strike="noStrike" baseline="0">
                <a:solidFill>
                  <a:srgbClr val="000000"/>
                </a:solidFill>
                <a:latin typeface="Arial"/>
                <a:ea typeface="Arial"/>
                <a:cs typeface="Arial"/>
              </a:defRPr>
            </a:pPr>
            <a:endParaRPr lang="es-ES"/>
          </a:p>
        </c:txPr>
        <c:crossAx val="244519296"/>
        <c:crosses val="autoZero"/>
        <c:auto val="1"/>
        <c:lblAlgn val="ctr"/>
        <c:lblOffset val="100"/>
        <c:tickLblSkip val="1"/>
        <c:tickMarkSkip val="1"/>
      </c:catAx>
      <c:valAx>
        <c:axId val="244519296"/>
        <c:scaling>
          <c:orientation val="minMax"/>
        </c:scaling>
        <c:axPos val="l"/>
        <c:majorGridlines>
          <c:spPr>
            <a:ln w="3179">
              <a:solidFill>
                <a:srgbClr val="000000"/>
              </a:solidFill>
              <a:prstDash val="solid"/>
            </a:ln>
          </c:spPr>
        </c:majorGridlines>
        <c:numFmt formatCode="General" sourceLinked="1"/>
        <c:tickLblPos val="nextTo"/>
        <c:spPr>
          <a:ln w="3179">
            <a:solidFill>
              <a:srgbClr val="000000"/>
            </a:solidFill>
            <a:prstDash val="solid"/>
          </a:ln>
        </c:spPr>
        <c:txPr>
          <a:bodyPr rot="0" vert="horz"/>
          <a:lstStyle/>
          <a:p>
            <a:pPr>
              <a:defRPr sz="801" b="0" i="0" u="none" strike="noStrike" baseline="0">
                <a:solidFill>
                  <a:srgbClr val="000000"/>
                </a:solidFill>
                <a:latin typeface="Arial"/>
                <a:ea typeface="Arial"/>
                <a:cs typeface="Arial"/>
              </a:defRPr>
            </a:pPr>
            <a:endParaRPr lang="es-ES"/>
          </a:p>
        </c:txPr>
        <c:crossAx val="244312320"/>
        <c:crosses val="autoZero"/>
        <c:crossBetween val="between"/>
      </c:valAx>
      <c:spPr>
        <a:solidFill>
          <a:srgbClr val="C0C0C0"/>
        </a:solidFill>
        <a:ln w="12714">
          <a:solidFill>
            <a:srgbClr val="808080"/>
          </a:solidFill>
          <a:prstDash val="solid"/>
        </a:ln>
      </c:spPr>
    </c:plotArea>
    <c:legend>
      <c:legendPos val="r"/>
      <c:layout>
        <c:manualLayout>
          <c:xMode val="edge"/>
          <c:yMode val="edge"/>
          <c:wMode val="edge"/>
          <c:hMode val="edge"/>
          <c:x val="0.87091498979294235"/>
          <c:y val="0.48095241940911237"/>
          <c:w val="0.99346402012248458"/>
          <c:h val="0.57619059156067054"/>
        </c:manualLayout>
      </c:layout>
      <c:spPr>
        <a:solidFill>
          <a:srgbClr val="FFFFFF"/>
        </a:solidFill>
        <a:ln w="3179">
          <a:solidFill>
            <a:srgbClr val="000000"/>
          </a:solidFill>
          <a:prstDash val="solid"/>
        </a:ln>
      </c:spPr>
      <c:txPr>
        <a:bodyPr/>
        <a:lstStyle/>
        <a:p>
          <a:pPr>
            <a:defRPr sz="736" b="0" i="0" u="none" strike="noStrike" baseline="0">
              <a:solidFill>
                <a:srgbClr val="000000"/>
              </a:solidFill>
              <a:latin typeface="Arial"/>
              <a:ea typeface="Arial"/>
              <a:cs typeface="Arial"/>
            </a:defRPr>
          </a:pPr>
          <a:endParaRPr lang="es-ES"/>
        </a:p>
      </c:txPr>
    </c:legend>
    <c:plotVisOnly val="1"/>
    <c:dispBlanksAs val="gap"/>
  </c:chart>
  <c:spPr>
    <a:solidFill>
      <a:srgbClr val="FFFFFF"/>
    </a:solidFill>
    <a:ln w="3179">
      <a:solidFill>
        <a:srgbClr val="000000"/>
      </a:solidFill>
      <a:prstDash val="solid"/>
    </a:ln>
  </c:spPr>
  <c:txPr>
    <a:bodyPr/>
    <a:lstStyle/>
    <a:p>
      <a:pPr>
        <a:defRPr sz="801" b="0" i="0" u="none" strike="noStrike" baseline="0">
          <a:solidFill>
            <a:srgbClr val="000000"/>
          </a:solidFill>
          <a:latin typeface="Arial"/>
          <a:ea typeface="Arial"/>
          <a:cs typeface="Arial"/>
        </a:defRPr>
      </a:pPr>
      <a:endParaRPr lang="es-ES"/>
    </a:p>
  </c:txPr>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873" b="1" i="0" u="none" strike="noStrike" baseline="0">
                <a:solidFill>
                  <a:srgbClr val="000000"/>
                </a:solidFill>
                <a:latin typeface="Arial"/>
                <a:ea typeface="Arial"/>
                <a:cs typeface="Arial"/>
              </a:defRPr>
            </a:pPr>
            <a:r>
              <a:t>Gastos de Operación</a:t>
            </a:r>
          </a:p>
        </c:rich>
      </c:tx>
      <c:layout>
        <c:manualLayout>
          <c:xMode val="edge"/>
          <c:yMode val="edge"/>
          <c:x val="0.40032672486397625"/>
          <c:y val="1.80179373312933E-2"/>
        </c:manualLayout>
      </c:layout>
      <c:spPr>
        <a:noFill/>
        <a:ln w="25346">
          <a:noFill/>
        </a:ln>
      </c:spPr>
    </c:title>
    <c:plotArea>
      <c:layout>
        <c:manualLayout>
          <c:layoutTarget val="inner"/>
          <c:xMode val="edge"/>
          <c:yMode val="edge"/>
          <c:x val="8.1699346405228773E-2"/>
          <c:y val="0.22972972972972969"/>
          <c:w val="0.77124183006535985"/>
          <c:h val="0.6036036036036041"/>
        </c:manualLayout>
      </c:layout>
      <c:lineChart>
        <c:grouping val="standard"/>
        <c:ser>
          <c:idx val="0"/>
          <c:order val="0"/>
          <c:spPr>
            <a:ln w="12673">
              <a:solidFill>
                <a:srgbClr val="000080"/>
              </a:solidFill>
              <a:prstDash val="solid"/>
            </a:ln>
          </c:spPr>
          <c:marker>
            <c:symbol val="diamond"/>
            <c:size val="4"/>
            <c:spPr>
              <a:solidFill>
                <a:srgbClr val="000080"/>
              </a:solidFill>
              <a:ln>
                <a:solidFill>
                  <a:srgbClr val="000080"/>
                </a:solidFill>
                <a:prstDash val="solid"/>
              </a:ln>
            </c:spPr>
          </c:marker>
          <c:cat>
            <c:numRef>
              <c:f>Calculos!$C$5:$J$5</c:f>
              <c:numCache>
                <c:formatCode>General</c:formatCode>
                <c:ptCount val="8"/>
                <c:pt idx="0">
                  <c:v>2000</c:v>
                </c:pt>
                <c:pt idx="1">
                  <c:v>2001</c:v>
                </c:pt>
                <c:pt idx="2">
                  <c:v>2002</c:v>
                </c:pt>
                <c:pt idx="3">
                  <c:v>2003</c:v>
                </c:pt>
                <c:pt idx="4">
                  <c:v>2004</c:v>
                </c:pt>
                <c:pt idx="5">
                  <c:v>2005</c:v>
                </c:pt>
                <c:pt idx="6">
                  <c:v>2006</c:v>
                </c:pt>
                <c:pt idx="7">
                  <c:v>2007</c:v>
                </c:pt>
              </c:numCache>
            </c:numRef>
          </c:cat>
          <c:val>
            <c:numRef>
              <c:f>Calculos!$C$17:$J$17</c:f>
              <c:numCache>
                <c:formatCode>General</c:formatCode>
                <c:ptCount val="8"/>
                <c:pt idx="0">
                  <c:v>12487</c:v>
                </c:pt>
                <c:pt idx="1">
                  <c:v>19090</c:v>
                </c:pt>
                <c:pt idx="2">
                  <c:v>40419</c:v>
                </c:pt>
                <c:pt idx="3">
                  <c:v>49421</c:v>
                </c:pt>
                <c:pt idx="4">
                  <c:v>55664</c:v>
                </c:pt>
                <c:pt idx="5">
                  <c:v>62781</c:v>
                </c:pt>
                <c:pt idx="6">
                  <c:v>64917</c:v>
                </c:pt>
                <c:pt idx="7">
                  <c:v>73114</c:v>
                </c:pt>
              </c:numCache>
            </c:numRef>
          </c:val>
        </c:ser>
        <c:marker val="1"/>
        <c:axId val="244526464"/>
        <c:axId val="244446720"/>
      </c:lineChart>
      <c:catAx>
        <c:axId val="244526464"/>
        <c:scaling>
          <c:orientation val="minMax"/>
        </c:scaling>
        <c:axPos val="b"/>
        <c:numFmt formatCode="General" sourceLinked="1"/>
        <c:tickLblPos val="nextTo"/>
        <c:spPr>
          <a:ln w="3168">
            <a:solidFill>
              <a:srgbClr val="000000"/>
            </a:solidFill>
            <a:prstDash val="solid"/>
          </a:ln>
        </c:spPr>
        <c:txPr>
          <a:bodyPr rot="0" vert="horz"/>
          <a:lstStyle/>
          <a:p>
            <a:pPr>
              <a:defRPr sz="798" b="0" i="0" u="none" strike="noStrike" baseline="0">
                <a:solidFill>
                  <a:srgbClr val="000000"/>
                </a:solidFill>
                <a:latin typeface="Arial"/>
                <a:ea typeface="Arial"/>
                <a:cs typeface="Arial"/>
              </a:defRPr>
            </a:pPr>
            <a:endParaRPr lang="es-ES"/>
          </a:p>
        </c:txPr>
        <c:crossAx val="244446720"/>
        <c:crosses val="autoZero"/>
        <c:auto val="1"/>
        <c:lblAlgn val="ctr"/>
        <c:lblOffset val="100"/>
        <c:tickLblSkip val="1"/>
        <c:tickMarkSkip val="1"/>
      </c:catAx>
      <c:valAx>
        <c:axId val="244446720"/>
        <c:scaling>
          <c:orientation val="minMax"/>
        </c:scaling>
        <c:axPos val="l"/>
        <c:majorGridlines>
          <c:spPr>
            <a:ln w="3168">
              <a:solidFill>
                <a:srgbClr val="000000"/>
              </a:solidFill>
              <a:prstDash val="solid"/>
            </a:ln>
          </c:spPr>
        </c:majorGridlines>
        <c:numFmt formatCode="General" sourceLinked="1"/>
        <c:tickLblPos val="nextTo"/>
        <c:spPr>
          <a:ln w="3168">
            <a:solidFill>
              <a:srgbClr val="000000"/>
            </a:solidFill>
            <a:prstDash val="solid"/>
          </a:ln>
        </c:spPr>
        <c:txPr>
          <a:bodyPr rot="0" vert="horz"/>
          <a:lstStyle/>
          <a:p>
            <a:pPr>
              <a:defRPr sz="798" b="0" i="0" u="none" strike="noStrike" baseline="0">
                <a:solidFill>
                  <a:srgbClr val="000000"/>
                </a:solidFill>
                <a:latin typeface="Arial"/>
                <a:ea typeface="Arial"/>
                <a:cs typeface="Arial"/>
              </a:defRPr>
            </a:pPr>
            <a:endParaRPr lang="es-ES"/>
          </a:p>
        </c:txPr>
        <c:crossAx val="244526464"/>
        <c:crosses val="autoZero"/>
        <c:crossBetween val="between"/>
      </c:valAx>
      <c:spPr>
        <a:solidFill>
          <a:srgbClr val="C0C0C0"/>
        </a:solidFill>
        <a:ln w="12673">
          <a:solidFill>
            <a:srgbClr val="808080"/>
          </a:solidFill>
          <a:prstDash val="solid"/>
        </a:ln>
      </c:spPr>
    </c:plotArea>
    <c:legend>
      <c:legendPos val="r"/>
      <c:layout>
        <c:manualLayout>
          <c:xMode val="edge"/>
          <c:yMode val="edge"/>
          <c:wMode val="edge"/>
          <c:hMode val="edge"/>
          <c:x val="0.87091498112820787"/>
          <c:y val="0.48648629821746248"/>
          <c:w val="0.99346407675271453"/>
          <c:h val="0.5765764824420645"/>
        </c:manualLayout>
      </c:layout>
      <c:spPr>
        <a:solidFill>
          <a:srgbClr val="FFFFFF"/>
        </a:solidFill>
        <a:ln w="3168">
          <a:solidFill>
            <a:srgbClr val="000000"/>
          </a:solidFill>
          <a:prstDash val="solid"/>
        </a:ln>
      </c:spPr>
      <c:txPr>
        <a:bodyPr/>
        <a:lstStyle/>
        <a:p>
          <a:pPr>
            <a:defRPr sz="733" b="0" i="0" u="none" strike="noStrike" baseline="0">
              <a:solidFill>
                <a:srgbClr val="000000"/>
              </a:solidFill>
              <a:latin typeface="Arial"/>
              <a:ea typeface="Arial"/>
              <a:cs typeface="Arial"/>
            </a:defRPr>
          </a:pPr>
          <a:endParaRPr lang="es-ES"/>
        </a:p>
      </c:txPr>
    </c:legend>
    <c:plotVisOnly val="1"/>
    <c:dispBlanksAs val="gap"/>
  </c:chart>
  <c:spPr>
    <a:solidFill>
      <a:srgbClr val="FFFFFF"/>
    </a:solidFill>
    <a:ln w="3168">
      <a:solidFill>
        <a:srgbClr val="000000"/>
      </a:solidFill>
      <a:prstDash val="solid"/>
    </a:ln>
  </c:spPr>
  <c:txPr>
    <a:bodyPr/>
    <a:lstStyle/>
    <a:p>
      <a:pPr>
        <a:defRPr sz="798" b="0" i="0" u="none" strike="noStrike" baseline="0">
          <a:solidFill>
            <a:srgbClr val="000000"/>
          </a:solidFill>
          <a:latin typeface="Arial"/>
          <a:ea typeface="Arial"/>
          <a:cs typeface="Arial"/>
        </a:defRPr>
      </a:pPr>
      <a:endParaRPr lang="es-ES"/>
    </a:p>
  </c:txPr>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825" b="1" i="0" u="none" strike="noStrike" baseline="0">
                <a:solidFill>
                  <a:srgbClr val="000000"/>
                </a:solidFill>
                <a:latin typeface="Arial"/>
                <a:ea typeface="Arial"/>
                <a:cs typeface="Arial"/>
              </a:defRPr>
            </a:pPr>
            <a:r>
              <a:t>Otros Ingresos</a:t>
            </a:r>
          </a:p>
        </c:rich>
      </c:tx>
      <c:layout>
        <c:manualLayout>
          <c:xMode val="edge"/>
          <c:yMode val="edge"/>
          <c:x val="0.42810457516339884"/>
          <c:y val="1.9047619047619056E-2"/>
        </c:manualLayout>
      </c:layout>
      <c:spPr>
        <a:noFill/>
        <a:ln w="25400">
          <a:noFill/>
        </a:ln>
      </c:spPr>
    </c:title>
    <c:plotArea>
      <c:layout>
        <c:manualLayout>
          <c:layoutTarget val="inner"/>
          <c:xMode val="edge"/>
          <c:yMode val="edge"/>
          <c:x val="8.1699346405228773E-2"/>
          <c:y val="0.23333333333333339"/>
          <c:w val="0.77124183006535985"/>
          <c:h val="0.59047619047619049"/>
        </c:manualLayout>
      </c:layout>
      <c:lineChart>
        <c:grouping val="standard"/>
        <c:ser>
          <c:idx val="0"/>
          <c:order val="0"/>
          <c:spPr>
            <a:ln w="12700">
              <a:solidFill>
                <a:srgbClr val="000080"/>
              </a:solidFill>
              <a:prstDash val="solid"/>
            </a:ln>
          </c:spPr>
          <c:marker>
            <c:symbol val="diamond"/>
            <c:size val="5"/>
            <c:spPr>
              <a:solidFill>
                <a:srgbClr val="000080"/>
              </a:solidFill>
              <a:ln>
                <a:solidFill>
                  <a:srgbClr val="000080"/>
                </a:solidFill>
                <a:prstDash val="solid"/>
              </a:ln>
            </c:spPr>
          </c:marker>
          <c:cat>
            <c:numRef>
              <c:f>Calculos!$C$5:$J$5</c:f>
              <c:numCache>
                <c:formatCode>General</c:formatCode>
                <c:ptCount val="8"/>
                <c:pt idx="0">
                  <c:v>2000</c:v>
                </c:pt>
                <c:pt idx="1">
                  <c:v>2001</c:v>
                </c:pt>
                <c:pt idx="2">
                  <c:v>2002</c:v>
                </c:pt>
                <c:pt idx="3">
                  <c:v>2003</c:v>
                </c:pt>
                <c:pt idx="4">
                  <c:v>2004</c:v>
                </c:pt>
                <c:pt idx="5">
                  <c:v>2005</c:v>
                </c:pt>
                <c:pt idx="6">
                  <c:v>2006</c:v>
                </c:pt>
                <c:pt idx="7">
                  <c:v>2007</c:v>
                </c:pt>
              </c:numCache>
            </c:numRef>
          </c:cat>
          <c:val>
            <c:numRef>
              <c:f>Calculos!$C$18:$J$18</c:f>
              <c:numCache>
                <c:formatCode>General</c:formatCode>
                <c:ptCount val="8"/>
                <c:pt idx="0">
                  <c:v>715</c:v>
                </c:pt>
                <c:pt idx="1">
                  <c:v>353</c:v>
                </c:pt>
                <c:pt idx="2">
                  <c:v>13742</c:v>
                </c:pt>
                <c:pt idx="3">
                  <c:v>12870</c:v>
                </c:pt>
                <c:pt idx="4">
                  <c:v>20233</c:v>
                </c:pt>
                <c:pt idx="5">
                  <c:v>8870</c:v>
                </c:pt>
                <c:pt idx="6">
                  <c:v>11977</c:v>
                </c:pt>
                <c:pt idx="7">
                  <c:v>7606</c:v>
                </c:pt>
              </c:numCache>
            </c:numRef>
          </c:val>
        </c:ser>
        <c:marker val="1"/>
        <c:axId val="244749056"/>
        <c:axId val="244750976"/>
      </c:lineChart>
      <c:catAx>
        <c:axId val="244749056"/>
        <c:scaling>
          <c:orientation val="minMax"/>
        </c:scaling>
        <c:axPos val="b"/>
        <c:numFmt formatCode="General" sourceLinked="1"/>
        <c:tickLblPos val="nextTo"/>
        <c:spPr>
          <a:ln w="3175">
            <a:solidFill>
              <a:srgbClr val="000000"/>
            </a:solidFill>
            <a:prstDash val="solid"/>
          </a:ln>
        </c:spPr>
        <c:txPr>
          <a:bodyPr rot="0" vert="horz"/>
          <a:lstStyle/>
          <a:p>
            <a:pPr>
              <a:defRPr sz="800" b="0" i="0" u="none" strike="noStrike" baseline="0">
                <a:solidFill>
                  <a:srgbClr val="000000"/>
                </a:solidFill>
                <a:latin typeface="Arial"/>
                <a:ea typeface="Arial"/>
                <a:cs typeface="Arial"/>
              </a:defRPr>
            </a:pPr>
            <a:endParaRPr lang="es-ES"/>
          </a:p>
        </c:txPr>
        <c:crossAx val="244750976"/>
        <c:crosses val="autoZero"/>
        <c:auto val="1"/>
        <c:lblAlgn val="ctr"/>
        <c:lblOffset val="100"/>
        <c:tickLblSkip val="1"/>
        <c:tickMarkSkip val="1"/>
      </c:catAx>
      <c:valAx>
        <c:axId val="244750976"/>
        <c:scaling>
          <c:orientation val="minMax"/>
        </c:scaling>
        <c:axPos val="l"/>
        <c:majorGridlines>
          <c:spPr>
            <a:ln w="3175">
              <a:solidFill>
                <a:srgbClr val="000000"/>
              </a:solidFill>
              <a:prstDash val="solid"/>
            </a:ln>
          </c:spPr>
        </c:majorGridlines>
        <c:numFmt formatCode="General" sourceLinked="1"/>
        <c:tickLblPos val="nextTo"/>
        <c:spPr>
          <a:ln w="3175">
            <a:solidFill>
              <a:srgbClr val="000000"/>
            </a:solidFill>
            <a:prstDash val="solid"/>
          </a:ln>
        </c:spPr>
        <c:txPr>
          <a:bodyPr rot="0" vert="horz"/>
          <a:lstStyle/>
          <a:p>
            <a:pPr>
              <a:defRPr sz="800" b="0" i="0" u="none" strike="noStrike" baseline="0">
                <a:solidFill>
                  <a:srgbClr val="000000"/>
                </a:solidFill>
                <a:latin typeface="Arial"/>
                <a:ea typeface="Arial"/>
                <a:cs typeface="Arial"/>
              </a:defRPr>
            </a:pPr>
            <a:endParaRPr lang="es-ES"/>
          </a:p>
        </c:txPr>
        <c:crossAx val="244749056"/>
        <c:crosses val="autoZero"/>
        <c:crossBetween val="between"/>
      </c:valAx>
      <c:spPr>
        <a:solidFill>
          <a:srgbClr val="C0C0C0"/>
        </a:solidFill>
        <a:ln w="12700">
          <a:solidFill>
            <a:srgbClr val="808080"/>
          </a:solidFill>
          <a:prstDash val="solid"/>
        </a:ln>
      </c:spPr>
    </c:plotArea>
    <c:legend>
      <c:legendPos val="r"/>
      <c:layout>
        <c:manualLayout>
          <c:xMode val="edge"/>
          <c:yMode val="edge"/>
          <c:x val="0.87091503267973913"/>
          <c:y val="0.48095238095238108"/>
          <c:w val="0.12254901960784308"/>
          <c:h val="9.5238095238095247E-2"/>
        </c:manualLayout>
      </c:layout>
      <c:spPr>
        <a:solidFill>
          <a:srgbClr val="FFFFFF"/>
        </a:solidFill>
        <a:ln w="3175">
          <a:solidFill>
            <a:srgbClr val="000000"/>
          </a:solidFill>
          <a:prstDash val="solid"/>
        </a:ln>
      </c:spPr>
      <c:txPr>
        <a:bodyPr/>
        <a:lstStyle/>
        <a:p>
          <a:pPr>
            <a:defRPr sz="735" b="0" i="0" u="none" strike="noStrike" baseline="0">
              <a:solidFill>
                <a:srgbClr val="000000"/>
              </a:solidFill>
              <a:latin typeface="Arial"/>
              <a:ea typeface="Arial"/>
              <a:cs typeface="Arial"/>
            </a:defRPr>
          </a:pPr>
          <a:endParaRPr lang="es-ES"/>
        </a:p>
      </c:txPr>
    </c:legend>
    <c:plotVisOnly val="1"/>
    <c:dispBlanksAs val="gap"/>
  </c:chart>
  <c:spPr>
    <a:solidFill>
      <a:srgbClr val="FFFFFF"/>
    </a:solidFill>
    <a:ln w="3175">
      <a:solidFill>
        <a:srgbClr val="000000"/>
      </a:solidFill>
      <a:prstDash val="solid"/>
    </a:ln>
  </c:spPr>
  <c:txPr>
    <a:bodyPr/>
    <a:lstStyle/>
    <a:p>
      <a:pPr>
        <a:defRPr sz="800" b="0" i="0" u="none" strike="noStrike" baseline="0">
          <a:solidFill>
            <a:srgbClr val="000000"/>
          </a:solidFill>
          <a:latin typeface="Arial"/>
          <a:ea typeface="Arial"/>
          <a:cs typeface="Arial"/>
        </a:defRPr>
      </a:pPr>
      <a:endParaRPr lang="es-ES"/>
    </a:p>
  </c:txPr>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825" b="1" i="0" u="none" strike="noStrike" baseline="0">
                <a:solidFill>
                  <a:srgbClr val="000000"/>
                </a:solidFill>
                <a:latin typeface="Arial"/>
                <a:ea typeface="Arial"/>
                <a:cs typeface="Arial"/>
              </a:defRPr>
            </a:pPr>
            <a:r>
              <a:t>Utilidades Financieras</a:t>
            </a:r>
          </a:p>
        </c:rich>
      </c:tx>
      <c:layout>
        <c:manualLayout>
          <c:xMode val="edge"/>
          <c:yMode val="edge"/>
          <c:x val="0.39869281045751637"/>
          <c:y val="1.9047619047619056E-2"/>
        </c:manualLayout>
      </c:layout>
      <c:spPr>
        <a:noFill/>
        <a:ln w="25400">
          <a:noFill/>
        </a:ln>
      </c:spPr>
    </c:title>
    <c:plotArea>
      <c:layout>
        <c:manualLayout>
          <c:layoutTarget val="inner"/>
          <c:xMode val="edge"/>
          <c:yMode val="edge"/>
          <c:x val="8.1699346405228773E-2"/>
          <c:y val="0.23333333333333339"/>
          <c:w val="0.77124183006535985"/>
          <c:h val="0.59047619047619049"/>
        </c:manualLayout>
      </c:layout>
      <c:lineChart>
        <c:grouping val="standard"/>
        <c:ser>
          <c:idx val="0"/>
          <c:order val="0"/>
          <c:spPr>
            <a:ln w="12700">
              <a:solidFill>
                <a:srgbClr val="000080"/>
              </a:solidFill>
              <a:prstDash val="solid"/>
            </a:ln>
          </c:spPr>
          <c:marker>
            <c:symbol val="diamond"/>
            <c:size val="5"/>
            <c:spPr>
              <a:solidFill>
                <a:srgbClr val="000080"/>
              </a:solidFill>
              <a:ln>
                <a:solidFill>
                  <a:srgbClr val="000080"/>
                </a:solidFill>
                <a:prstDash val="solid"/>
              </a:ln>
            </c:spPr>
          </c:marker>
          <c:cat>
            <c:numRef>
              <c:f>Calculos!$E$5:$J$5</c:f>
              <c:numCache>
                <c:formatCode>General</c:formatCode>
                <c:ptCount val="6"/>
                <c:pt idx="0">
                  <c:v>2002</c:v>
                </c:pt>
                <c:pt idx="1">
                  <c:v>2003</c:v>
                </c:pt>
                <c:pt idx="2">
                  <c:v>2004</c:v>
                </c:pt>
                <c:pt idx="3">
                  <c:v>2005</c:v>
                </c:pt>
                <c:pt idx="4">
                  <c:v>2006</c:v>
                </c:pt>
                <c:pt idx="5">
                  <c:v>2007</c:v>
                </c:pt>
              </c:numCache>
            </c:numRef>
          </c:cat>
          <c:val>
            <c:numRef>
              <c:f>Calculos!$E$19:$J$19</c:f>
              <c:numCache>
                <c:formatCode>General</c:formatCode>
                <c:ptCount val="6"/>
                <c:pt idx="0">
                  <c:v>4679</c:v>
                </c:pt>
                <c:pt idx="1">
                  <c:v>5907</c:v>
                </c:pt>
                <c:pt idx="2">
                  <c:v>5909</c:v>
                </c:pt>
                <c:pt idx="3">
                  <c:v>5502</c:v>
                </c:pt>
                <c:pt idx="4">
                  <c:v>7586</c:v>
                </c:pt>
                <c:pt idx="5">
                  <c:v>12081</c:v>
                </c:pt>
              </c:numCache>
            </c:numRef>
          </c:val>
        </c:ser>
        <c:marker val="1"/>
        <c:axId val="244963200"/>
        <c:axId val="244674560"/>
      </c:lineChart>
      <c:catAx>
        <c:axId val="244963200"/>
        <c:scaling>
          <c:orientation val="minMax"/>
        </c:scaling>
        <c:axPos val="b"/>
        <c:numFmt formatCode="General" sourceLinked="1"/>
        <c:tickLblPos val="nextTo"/>
        <c:spPr>
          <a:ln w="3175">
            <a:solidFill>
              <a:srgbClr val="000000"/>
            </a:solidFill>
            <a:prstDash val="solid"/>
          </a:ln>
        </c:spPr>
        <c:txPr>
          <a:bodyPr rot="0" vert="horz"/>
          <a:lstStyle/>
          <a:p>
            <a:pPr>
              <a:defRPr sz="800" b="0" i="0" u="none" strike="noStrike" baseline="0">
                <a:solidFill>
                  <a:srgbClr val="000000"/>
                </a:solidFill>
                <a:latin typeface="Arial"/>
                <a:ea typeface="Arial"/>
                <a:cs typeface="Arial"/>
              </a:defRPr>
            </a:pPr>
            <a:endParaRPr lang="es-ES"/>
          </a:p>
        </c:txPr>
        <c:crossAx val="244674560"/>
        <c:crosses val="autoZero"/>
        <c:auto val="1"/>
        <c:lblAlgn val="ctr"/>
        <c:lblOffset val="100"/>
        <c:tickLblSkip val="1"/>
        <c:tickMarkSkip val="1"/>
      </c:catAx>
      <c:valAx>
        <c:axId val="244674560"/>
        <c:scaling>
          <c:orientation val="minMax"/>
        </c:scaling>
        <c:axPos val="l"/>
        <c:majorGridlines>
          <c:spPr>
            <a:ln w="3175">
              <a:solidFill>
                <a:srgbClr val="000000"/>
              </a:solidFill>
              <a:prstDash val="solid"/>
            </a:ln>
          </c:spPr>
        </c:majorGridlines>
        <c:numFmt formatCode="General" sourceLinked="1"/>
        <c:tickLblPos val="nextTo"/>
        <c:spPr>
          <a:ln w="3175">
            <a:solidFill>
              <a:srgbClr val="000000"/>
            </a:solidFill>
            <a:prstDash val="solid"/>
          </a:ln>
        </c:spPr>
        <c:txPr>
          <a:bodyPr rot="0" vert="horz"/>
          <a:lstStyle/>
          <a:p>
            <a:pPr>
              <a:defRPr sz="800" b="0" i="0" u="none" strike="noStrike" baseline="0">
                <a:solidFill>
                  <a:srgbClr val="000000"/>
                </a:solidFill>
                <a:latin typeface="Arial"/>
                <a:ea typeface="Arial"/>
                <a:cs typeface="Arial"/>
              </a:defRPr>
            </a:pPr>
            <a:endParaRPr lang="es-ES"/>
          </a:p>
        </c:txPr>
        <c:crossAx val="244963200"/>
        <c:crosses val="autoZero"/>
        <c:crossBetween val="between"/>
      </c:valAx>
      <c:spPr>
        <a:solidFill>
          <a:srgbClr val="C0C0C0"/>
        </a:solidFill>
        <a:ln w="12700">
          <a:solidFill>
            <a:srgbClr val="808080"/>
          </a:solidFill>
          <a:prstDash val="solid"/>
        </a:ln>
      </c:spPr>
    </c:plotArea>
    <c:legend>
      <c:legendPos val="r"/>
      <c:layout>
        <c:manualLayout>
          <c:xMode val="edge"/>
          <c:yMode val="edge"/>
          <c:x val="0.87091503267973913"/>
          <c:y val="0.48095238095238108"/>
          <c:w val="0.12254901960784308"/>
          <c:h val="9.5238095238095247E-2"/>
        </c:manualLayout>
      </c:layout>
      <c:spPr>
        <a:solidFill>
          <a:srgbClr val="FFFFFF"/>
        </a:solidFill>
        <a:ln w="3175">
          <a:solidFill>
            <a:srgbClr val="000000"/>
          </a:solidFill>
          <a:prstDash val="solid"/>
        </a:ln>
      </c:spPr>
      <c:txPr>
        <a:bodyPr/>
        <a:lstStyle/>
        <a:p>
          <a:pPr>
            <a:defRPr sz="735" b="0" i="0" u="none" strike="noStrike" baseline="0">
              <a:solidFill>
                <a:srgbClr val="000000"/>
              </a:solidFill>
              <a:latin typeface="Arial"/>
              <a:ea typeface="Arial"/>
              <a:cs typeface="Arial"/>
            </a:defRPr>
          </a:pPr>
          <a:endParaRPr lang="es-ES"/>
        </a:p>
      </c:txPr>
    </c:legend>
    <c:plotVisOnly val="1"/>
    <c:dispBlanksAs val="gap"/>
  </c:chart>
  <c:spPr>
    <a:solidFill>
      <a:srgbClr val="FFFFFF"/>
    </a:solidFill>
    <a:ln w="3175">
      <a:solidFill>
        <a:srgbClr val="000000"/>
      </a:solidFill>
      <a:prstDash val="solid"/>
    </a:ln>
  </c:spPr>
  <c:txPr>
    <a:bodyPr/>
    <a:lstStyle/>
    <a:p>
      <a:pPr>
        <a:defRPr sz="800" b="0" i="0" u="none" strike="noStrike" baseline="0">
          <a:solidFill>
            <a:srgbClr val="000000"/>
          </a:solidFill>
          <a:latin typeface="Arial"/>
          <a:ea typeface="Arial"/>
          <a:cs typeface="Arial"/>
        </a:defRPr>
      </a:pPr>
      <a:endParaRPr lang="es-ES"/>
    </a:p>
  </c:txPr>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825" b="1" i="0" u="none" strike="noStrike" baseline="0">
                <a:solidFill>
                  <a:srgbClr val="000000"/>
                </a:solidFill>
                <a:latin typeface="Arial"/>
                <a:ea typeface="Arial"/>
                <a:cs typeface="Arial"/>
              </a:defRPr>
            </a:pPr>
            <a:r>
              <a:t>Imp y Part Trabajadores</a:t>
            </a:r>
          </a:p>
        </c:rich>
      </c:tx>
      <c:layout>
        <c:manualLayout>
          <c:xMode val="edge"/>
          <c:yMode val="edge"/>
          <c:x val="0.39052283999304876"/>
          <c:y val="1.9047468312692079E-2"/>
        </c:manualLayout>
      </c:layout>
      <c:spPr>
        <a:noFill/>
        <a:ln w="25386">
          <a:noFill/>
        </a:ln>
      </c:spPr>
    </c:title>
    <c:plotArea>
      <c:layout>
        <c:manualLayout>
          <c:layoutTarget val="inner"/>
          <c:xMode val="edge"/>
          <c:yMode val="edge"/>
          <c:x val="8.1699346405228773E-2"/>
          <c:y val="0.23333333333333339"/>
          <c:w val="0.77124183006535985"/>
          <c:h val="0.59047619047619049"/>
        </c:manualLayout>
      </c:layout>
      <c:lineChart>
        <c:grouping val="standard"/>
        <c:ser>
          <c:idx val="0"/>
          <c:order val="0"/>
          <c:spPr>
            <a:ln w="12693">
              <a:solidFill>
                <a:srgbClr val="000080"/>
              </a:solidFill>
              <a:prstDash val="solid"/>
            </a:ln>
          </c:spPr>
          <c:marker>
            <c:symbol val="diamond"/>
            <c:size val="4"/>
            <c:spPr>
              <a:solidFill>
                <a:srgbClr val="000080"/>
              </a:solidFill>
              <a:ln>
                <a:solidFill>
                  <a:srgbClr val="000080"/>
                </a:solidFill>
                <a:prstDash val="solid"/>
              </a:ln>
            </c:spPr>
          </c:marker>
          <c:cat>
            <c:numRef>
              <c:f>Calculos!$E$5:$J$5</c:f>
              <c:numCache>
                <c:formatCode>General</c:formatCode>
                <c:ptCount val="6"/>
                <c:pt idx="0">
                  <c:v>2002</c:v>
                </c:pt>
                <c:pt idx="1">
                  <c:v>2003</c:v>
                </c:pt>
                <c:pt idx="2">
                  <c:v>2004</c:v>
                </c:pt>
                <c:pt idx="3">
                  <c:v>2005</c:v>
                </c:pt>
                <c:pt idx="4">
                  <c:v>2006</c:v>
                </c:pt>
                <c:pt idx="5">
                  <c:v>2007</c:v>
                </c:pt>
              </c:numCache>
            </c:numRef>
          </c:cat>
          <c:val>
            <c:numRef>
              <c:f>Calculos!$E$23:$J$23</c:f>
              <c:numCache>
                <c:formatCode>General</c:formatCode>
                <c:ptCount val="6"/>
                <c:pt idx="0">
                  <c:v>6982</c:v>
                </c:pt>
                <c:pt idx="1">
                  <c:v>5482</c:v>
                </c:pt>
                <c:pt idx="2">
                  <c:v>5133</c:v>
                </c:pt>
                <c:pt idx="3">
                  <c:v>6744</c:v>
                </c:pt>
                <c:pt idx="4">
                  <c:v>12015</c:v>
                </c:pt>
                <c:pt idx="5">
                  <c:v>13644</c:v>
                </c:pt>
              </c:numCache>
            </c:numRef>
          </c:val>
        </c:ser>
        <c:marker val="1"/>
        <c:axId val="244706304"/>
        <c:axId val="244970624"/>
      </c:lineChart>
      <c:catAx>
        <c:axId val="244706304"/>
        <c:scaling>
          <c:orientation val="minMax"/>
        </c:scaling>
        <c:axPos val="b"/>
        <c:numFmt formatCode="General" sourceLinked="1"/>
        <c:tickLblPos val="nextTo"/>
        <c:spPr>
          <a:ln w="3173">
            <a:solidFill>
              <a:srgbClr val="000000"/>
            </a:solidFill>
            <a:prstDash val="solid"/>
          </a:ln>
        </c:spPr>
        <c:txPr>
          <a:bodyPr rot="0" vert="horz"/>
          <a:lstStyle/>
          <a:p>
            <a:pPr>
              <a:defRPr sz="800" b="0" i="0" u="none" strike="noStrike" baseline="0">
                <a:solidFill>
                  <a:srgbClr val="000000"/>
                </a:solidFill>
                <a:latin typeface="Arial"/>
                <a:ea typeface="Arial"/>
                <a:cs typeface="Arial"/>
              </a:defRPr>
            </a:pPr>
            <a:endParaRPr lang="es-ES"/>
          </a:p>
        </c:txPr>
        <c:crossAx val="244970624"/>
        <c:crosses val="autoZero"/>
        <c:auto val="1"/>
        <c:lblAlgn val="ctr"/>
        <c:lblOffset val="100"/>
        <c:tickLblSkip val="1"/>
        <c:tickMarkSkip val="1"/>
      </c:catAx>
      <c:valAx>
        <c:axId val="244970624"/>
        <c:scaling>
          <c:orientation val="minMax"/>
        </c:scaling>
        <c:axPos val="l"/>
        <c:majorGridlines>
          <c:spPr>
            <a:ln w="3173">
              <a:solidFill>
                <a:srgbClr val="000000"/>
              </a:solidFill>
              <a:prstDash val="solid"/>
            </a:ln>
          </c:spPr>
        </c:majorGridlines>
        <c:numFmt formatCode="General" sourceLinked="1"/>
        <c:tickLblPos val="nextTo"/>
        <c:spPr>
          <a:ln w="3173">
            <a:solidFill>
              <a:srgbClr val="000000"/>
            </a:solidFill>
            <a:prstDash val="solid"/>
          </a:ln>
        </c:spPr>
        <c:txPr>
          <a:bodyPr rot="0" vert="horz"/>
          <a:lstStyle/>
          <a:p>
            <a:pPr>
              <a:defRPr sz="800" b="0" i="0" u="none" strike="noStrike" baseline="0">
                <a:solidFill>
                  <a:srgbClr val="000000"/>
                </a:solidFill>
                <a:latin typeface="Arial"/>
                <a:ea typeface="Arial"/>
                <a:cs typeface="Arial"/>
              </a:defRPr>
            </a:pPr>
            <a:endParaRPr lang="es-ES"/>
          </a:p>
        </c:txPr>
        <c:crossAx val="244706304"/>
        <c:crosses val="autoZero"/>
        <c:crossBetween val="between"/>
      </c:valAx>
      <c:spPr>
        <a:solidFill>
          <a:srgbClr val="C0C0C0"/>
        </a:solidFill>
        <a:ln w="12693">
          <a:solidFill>
            <a:srgbClr val="808080"/>
          </a:solidFill>
          <a:prstDash val="solid"/>
        </a:ln>
      </c:spPr>
    </c:plotArea>
    <c:legend>
      <c:legendPos val="r"/>
      <c:layout>
        <c:manualLayout>
          <c:xMode val="edge"/>
          <c:yMode val="edge"/>
          <c:wMode val="edge"/>
          <c:hMode val="edge"/>
          <c:x val="0.87091498112820787"/>
          <c:y val="0.48095226790118584"/>
          <c:w val="0.99346407675271453"/>
          <c:h val="0.57619013703689081"/>
        </c:manualLayout>
      </c:layout>
      <c:spPr>
        <a:solidFill>
          <a:srgbClr val="FFFFFF"/>
        </a:solidFill>
        <a:ln w="3173">
          <a:solidFill>
            <a:srgbClr val="000000"/>
          </a:solidFill>
          <a:prstDash val="solid"/>
        </a:ln>
      </c:spPr>
      <c:txPr>
        <a:bodyPr/>
        <a:lstStyle/>
        <a:p>
          <a:pPr>
            <a:defRPr sz="735" b="0" i="0" u="none" strike="noStrike" baseline="0">
              <a:solidFill>
                <a:srgbClr val="000000"/>
              </a:solidFill>
              <a:latin typeface="Arial"/>
              <a:ea typeface="Arial"/>
              <a:cs typeface="Arial"/>
            </a:defRPr>
          </a:pPr>
          <a:endParaRPr lang="es-ES"/>
        </a:p>
      </c:txPr>
    </c:legend>
    <c:plotVisOnly val="1"/>
    <c:dispBlanksAs val="gap"/>
  </c:chart>
  <c:spPr>
    <a:solidFill>
      <a:srgbClr val="FFFFFF"/>
    </a:solidFill>
    <a:ln w="3173">
      <a:solidFill>
        <a:srgbClr val="000000"/>
      </a:solidFill>
      <a:prstDash val="solid"/>
    </a:ln>
  </c:spPr>
  <c:txPr>
    <a:bodyPr/>
    <a:lstStyle/>
    <a:p>
      <a:pPr>
        <a:defRPr sz="800" b="0" i="0" u="none" strike="noStrike" baseline="0">
          <a:solidFill>
            <a:srgbClr val="000000"/>
          </a:solidFill>
          <a:latin typeface="Arial"/>
          <a:ea typeface="Arial"/>
          <a:cs typeface="Arial"/>
        </a:defRPr>
      </a:pPr>
      <a:endParaRPr lang="es-ES"/>
    </a:p>
  </c:txPr>
  <c:externalData r:id="rId1"/>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es-ES"/>
  <c:chart>
    <c:plotArea>
      <c:layout>
        <c:manualLayout>
          <c:layoutTarget val="inner"/>
          <c:xMode val="edge"/>
          <c:yMode val="edge"/>
          <c:x val="0.10135135135135136"/>
          <c:y val="8.5470085470085472E-2"/>
          <c:w val="0.84459459459459485"/>
          <c:h val="0.66666666666666663"/>
        </c:manualLayout>
      </c:layout>
      <c:lineChart>
        <c:grouping val="standard"/>
        <c:ser>
          <c:idx val="0"/>
          <c:order val="0"/>
          <c:spPr>
            <a:ln w="25400">
              <a:solidFill>
                <a:srgbClr val="000080"/>
              </a:solidFill>
              <a:prstDash val="solid"/>
            </a:ln>
          </c:spPr>
          <c:marker>
            <c:symbol val="none"/>
          </c:marker>
          <c:cat>
            <c:numRef>
              <c:f>Calculos!$C$48:$I$48</c:f>
              <c:numCache>
                <c:formatCode>0%</c:formatCode>
                <c:ptCount val="7"/>
                <c:pt idx="0" formatCode="0.00%">
                  <c:v>-0.15000000000000005</c:v>
                </c:pt>
                <c:pt idx="1">
                  <c:v>-0.1</c:v>
                </c:pt>
                <c:pt idx="2" formatCode="0.00%">
                  <c:v>-0.05</c:v>
                </c:pt>
                <c:pt idx="3" formatCode="General">
                  <c:v>0</c:v>
                </c:pt>
                <c:pt idx="4" formatCode="0.00%">
                  <c:v>0.05</c:v>
                </c:pt>
                <c:pt idx="5">
                  <c:v>0.1</c:v>
                </c:pt>
                <c:pt idx="6" formatCode="0.00%">
                  <c:v>0.15000000000000005</c:v>
                </c:pt>
              </c:numCache>
            </c:numRef>
          </c:cat>
          <c:val>
            <c:numRef>
              <c:f>Calculos!$C$47:$I$47</c:f>
              <c:numCache>
                <c:formatCode>General</c:formatCode>
                <c:ptCount val="7"/>
                <c:pt idx="0">
                  <c:v>2.113</c:v>
                </c:pt>
                <c:pt idx="1">
                  <c:v>2.1456</c:v>
                </c:pt>
                <c:pt idx="2">
                  <c:v>2.1781999999999999</c:v>
                </c:pt>
                <c:pt idx="3">
                  <c:v>2.2107000000000001</c:v>
                </c:pt>
                <c:pt idx="4">
                  <c:v>2.243300000000001</c:v>
                </c:pt>
                <c:pt idx="5">
                  <c:v>2.2759</c:v>
                </c:pt>
                <c:pt idx="6">
                  <c:v>2.3083999999999998</c:v>
                </c:pt>
              </c:numCache>
            </c:numRef>
          </c:val>
        </c:ser>
        <c:marker val="1"/>
        <c:axId val="245318400"/>
        <c:axId val="245320320"/>
      </c:lineChart>
      <c:catAx>
        <c:axId val="245318400"/>
        <c:scaling>
          <c:orientation val="minMax"/>
        </c:scaling>
        <c:axPos val="b"/>
        <c:title>
          <c:tx>
            <c:rich>
              <a:bodyPr/>
              <a:lstStyle/>
              <a:p>
                <a:pPr>
                  <a:defRPr sz="800" b="1" i="0" u="none" strike="noStrike" baseline="0">
                    <a:solidFill>
                      <a:srgbClr val="000000"/>
                    </a:solidFill>
                    <a:latin typeface="Arial"/>
                    <a:ea typeface="Arial"/>
                    <a:cs typeface="Arial"/>
                  </a:defRPr>
                </a:pPr>
                <a:r>
                  <a:t>Varacion de la cartera</a:t>
                </a:r>
              </a:p>
            </c:rich>
          </c:tx>
          <c:layout>
            <c:manualLayout>
              <c:xMode val="edge"/>
              <c:yMode val="edge"/>
              <c:x val="0.4206081382684308"/>
              <c:y val="0.86752118010565138"/>
            </c:manualLayout>
          </c:layout>
          <c:spPr>
            <a:noFill/>
            <a:ln w="25400">
              <a:noFill/>
            </a:ln>
          </c:spPr>
        </c:title>
        <c:numFmt formatCode="0.00%" sourceLinked="1"/>
        <c:tickLblPos val="nextTo"/>
        <c:spPr>
          <a:ln w="3175">
            <a:solidFill>
              <a:srgbClr val="000000"/>
            </a:solidFill>
            <a:prstDash val="solid"/>
          </a:ln>
        </c:spPr>
        <c:txPr>
          <a:bodyPr rot="0" vert="horz"/>
          <a:lstStyle/>
          <a:p>
            <a:pPr>
              <a:defRPr sz="800" b="0" i="0" u="none" strike="noStrike" baseline="0">
                <a:solidFill>
                  <a:srgbClr val="000000"/>
                </a:solidFill>
                <a:latin typeface="Arial"/>
                <a:ea typeface="Arial"/>
                <a:cs typeface="Arial"/>
              </a:defRPr>
            </a:pPr>
            <a:endParaRPr lang="es-ES"/>
          </a:p>
        </c:txPr>
        <c:crossAx val="245320320"/>
        <c:crosses val="autoZero"/>
        <c:auto val="1"/>
        <c:lblAlgn val="ctr"/>
        <c:lblOffset val="100"/>
        <c:tickLblSkip val="1"/>
        <c:tickMarkSkip val="1"/>
      </c:catAx>
      <c:valAx>
        <c:axId val="245320320"/>
        <c:scaling>
          <c:orientation val="minMax"/>
        </c:scaling>
        <c:axPos val="l"/>
        <c:majorGridlines>
          <c:spPr>
            <a:ln w="3175">
              <a:solidFill>
                <a:srgbClr val="000000"/>
              </a:solidFill>
              <a:prstDash val="sysDash"/>
            </a:ln>
          </c:spPr>
        </c:majorGridlines>
        <c:title>
          <c:tx>
            <c:rich>
              <a:bodyPr/>
              <a:lstStyle/>
              <a:p>
                <a:pPr>
                  <a:defRPr sz="875" b="1" i="0" u="none" strike="noStrike" baseline="0">
                    <a:solidFill>
                      <a:srgbClr val="000000"/>
                    </a:solidFill>
                    <a:latin typeface="Arial"/>
                    <a:ea typeface="Arial"/>
                    <a:cs typeface="Arial"/>
                  </a:defRPr>
                </a:pPr>
                <a:r>
                  <a:t>Precio   o</a:t>
                </a:r>
              </a:p>
            </c:rich>
          </c:tx>
          <c:layout>
            <c:manualLayout>
              <c:xMode val="edge"/>
              <c:yMode val="edge"/>
              <c:x val="2.1959397932401311E-2"/>
              <c:y val="0.36324794843682501"/>
            </c:manualLayout>
          </c:layout>
          <c:spPr>
            <a:noFill/>
            <a:ln w="25400">
              <a:noFill/>
            </a:ln>
          </c:spPr>
        </c:title>
        <c:numFmt formatCode="General" sourceLinked="1"/>
        <c:tickLblPos val="nextTo"/>
        <c:spPr>
          <a:ln w="3175">
            <a:solidFill>
              <a:srgbClr val="000000"/>
            </a:solidFill>
            <a:prstDash val="solid"/>
          </a:ln>
        </c:spPr>
        <c:txPr>
          <a:bodyPr rot="0" vert="horz"/>
          <a:lstStyle/>
          <a:p>
            <a:pPr>
              <a:defRPr sz="800" b="0" i="0" u="none" strike="noStrike" baseline="0">
                <a:solidFill>
                  <a:srgbClr val="000000"/>
                </a:solidFill>
                <a:latin typeface="Arial"/>
                <a:ea typeface="Arial"/>
                <a:cs typeface="Arial"/>
              </a:defRPr>
            </a:pPr>
            <a:endParaRPr lang="es-ES"/>
          </a:p>
        </c:txPr>
        <c:crossAx val="245318400"/>
        <c:crosses val="autoZero"/>
        <c:crossBetween val="midCat"/>
      </c:valAx>
      <c:spPr>
        <a:solidFill>
          <a:srgbClr val="C0C0C0"/>
        </a:solidFill>
        <a:ln w="12700">
          <a:solidFill>
            <a:srgbClr val="808080"/>
          </a:solidFill>
          <a:prstDash val="solid"/>
        </a:ln>
      </c:spPr>
    </c:plotArea>
    <c:plotVisOnly val="1"/>
    <c:dispBlanksAs val="gap"/>
  </c:chart>
  <c:spPr>
    <a:solidFill>
      <a:srgbClr val="FFFFFF"/>
    </a:solidFill>
    <a:ln w="3175">
      <a:solidFill>
        <a:srgbClr val="000000"/>
      </a:solidFill>
      <a:prstDash val="solid"/>
    </a:ln>
  </c:spPr>
  <c:txPr>
    <a:bodyPr/>
    <a:lstStyle/>
    <a:p>
      <a:pPr>
        <a:defRPr sz="800" b="0" i="0" u="none" strike="noStrike" baseline="0">
          <a:solidFill>
            <a:srgbClr val="000000"/>
          </a:solidFill>
          <a:latin typeface="Arial"/>
          <a:ea typeface="Arial"/>
          <a:cs typeface="Arial"/>
        </a:defRPr>
      </a:pPr>
      <a:endParaRPr lang="es-ES"/>
    </a:p>
  </c:txPr>
  <c:externalData r:id="rId1"/>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es-ES"/>
  <c:chart>
    <c:plotArea>
      <c:layout>
        <c:manualLayout>
          <c:layoutTarget val="inner"/>
          <c:xMode val="edge"/>
          <c:yMode val="edge"/>
          <c:x val="8.6601307189542537E-2"/>
          <c:y val="7.9584775086505188E-2"/>
          <c:w val="0.72875816993464049"/>
          <c:h val="0.6989619377162628"/>
        </c:manualLayout>
      </c:layout>
      <c:lineChart>
        <c:grouping val="standard"/>
        <c:ser>
          <c:idx val="0"/>
          <c:order val="0"/>
          <c:spPr>
            <a:ln w="12700">
              <a:solidFill>
                <a:srgbClr val="000080"/>
              </a:solidFill>
              <a:prstDash val="solid"/>
            </a:ln>
          </c:spPr>
          <c:marker>
            <c:symbol val="diamond"/>
            <c:size val="5"/>
            <c:spPr>
              <a:solidFill>
                <a:srgbClr val="000080"/>
              </a:solidFill>
              <a:ln>
                <a:solidFill>
                  <a:srgbClr val="000080"/>
                </a:solidFill>
                <a:prstDash val="solid"/>
              </a:ln>
            </c:spPr>
          </c:marker>
          <c:cat>
            <c:numRef>
              <c:f>Calculos!$C$42:$I$42</c:f>
              <c:numCache>
                <c:formatCode>0%</c:formatCode>
                <c:ptCount val="7"/>
                <c:pt idx="0">
                  <c:v>-0.15000000000000005</c:v>
                </c:pt>
                <c:pt idx="1">
                  <c:v>-0.1</c:v>
                </c:pt>
                <c:pt idx="2">
                  <c:v>-0.05</c:v>
                </c:pt>
                <c:pt idx="3" formatCode="General">
                  <c:v>0</c:v>
                </c:pt>
                <c:pt idx="4">
                  <c:v>0.05</c:v>
                </c:pt>
                <c:pt idx="5">
                  <c:v>0.1</c:v>
                </c:pt>
                <c:pt idx="6">
                  <c:v>0.15000000000000005</c:v>
                </c:pt>
              </c:numCache>
            </c:numRef>
          </c:cat>
          <c:val>
            <c:numRef>
              <c:f>Calculos!$C$41:$I$41</c:f>
              <c:numCache>
                <c:formatCode>General</c:formatCode>
                <c:ptCount val="7"/>
                <c:pt idx="0">
                  <c:v>2.2616999999999998</c:v>
                </c:pt>
                <c:pt idx="1">
                  <c:v>2.2446999999999999</c:v>
                </c:pt>
                <c:pt idx="2">
                  <c:v>2.2277000000000009</c:v>
                </c:pt>
                <c:pt idx="3">
                  <c:v>2.2107000000000001</c:v>
                </c:pt>
                <c:pt idx="4">
                  <c:v>2.1937000000000002</c:v>
                </c:pt>
                <c:pt idx="5">
                  <c:v>2.176699999999999</c:v>
                </c:pt>
                <c:pt idx="6">
                  <c:v>2.1597</c:v>
                </c:pt>
              </c:numCache>
            </c:numRef>
          </c:val>
        </c:ser>
        <c:marker val="1"/>
        <c:axId val="244946432"/>
        <c:axId val="245440512"/>
      </c:lineChart>
      <c:catAx>
        <c:axId val="244946432"/>
        <c:scaling>
          <c:orientation val="minMax"/>
        </c:scaling>
        <c:axPos val="b"/>
        <c:title>
          <c:tx>
            <c:rich>
              <a:bodyPr/>
              <a:lstStyle/>
              <a:p>
                <a:pPr>
                  <a:defRPr sz="950" b="1" i="0" u="none" strike="noStrike" baseline="0">
                    <a:solidFill>
                      <a:srgbClr val="000000"/>
                    </a:solidFill>
                    <a:latin typeface="Arial"/>
                    <a:ea typeface="Arial"/>
                    <a:cs typeface="Arial"/>
                  </a:defRPr>
                </a:pPr>
                <a:r>
                  <a:t>Variacion % Provision</a:t>
                </a:r>
              </a:p>
            </c:rich>
          </c:tx>
          <c:layout>
            <c:manualLayout>
              <c:xMode val="edge"/>
              <c:yMode val="edge"/>
              <c:x val="0.33496736427683393"/>
              <c:y val="0.88581298305453748"/>
            </c:manualLayout>
          </c:layout>
          <c:spPr>
            <a:noFill/>
            <a:ln w="25400">
              <a:noFill/>
            </a:ln>
          </c:spPr>
        </c:title>
        <c:numFmt formatCode="0%" sourceLinked="1"/>
        <c:tickLblPos val="nextTo"/>
        <c:spPr>
          <a:ln w="3175">
            <a:solidFill>
              <a:srgbClr val="000000"/>
            </a:solidFill>
            <a:prstDash val="solid"/>
          </a:ln>
        </c:spPr>
        <c:txPr>
          <a:bodyPr rot="0" vert="horz"/>
          <a:lstStyle/>
          <a:p>
            <a:pPr>
              <a:defRPr sz="950" b="0" i="0" u="none" strike="noStrike" baseline="0">
                <a:solidFill>
                  <a:srgbClr val="000000"/>
                </a:solidFill>
                <a:latin typeface="Arial"/>
                <a:ea typeface="Arial"/>
                <a:cs typeface="Arial"/>
              </a:defRPr>
            </a:pPr>
            <a:endParaRPr lang="es-ES"/>
          </a:p>
        </c:txPr>
        <c:crossAx val="245440512"/>
        <c:crosses val="autoZero"/>
        <c:auto val="1"/>
        <c:lblAlgn val="ctr"/>
        <c:lblOffset val="100"/>
        <c:tickLblSkip val="1"/>
        <c:tickMarkSkip val="1"/>
      </c:catAx>
      <c:valAx>
        <c:axId val="245440512"/>
        <c:scaling>
          <c:orientation val="minMax"/>
        </c:scaling>
        <c:axPos val="l"/>
        <c:title>
          <c:tx>
            <c:rich>
              <a:bodyPr/>
              <a:lstStyle/>
              <a:p>
                <a:pPr>
                  <a:defRPr sz="950" b="1" i="0" u="none" strike="noStrike" baseline="0">
                    <a:solidFill>
                      <a:srgbClr val="000000"/>
                    </a:solidFill>
                    <a:latin typeface="Arial"/>
                    <a:ea typeface="Arial"/>
                    <a:cs typeface="Arial"/>
                  </a:defRPr>
                </a:pPr>
                <a:r>
                  <a:t>Precio</a:t>
                </a:r>
              </a:p>
            </c:rich>
          </c:tx>
          <c:layout>
            <c:manualLayout>
              <c:xMode val="edge"/>
              <c:yMode val="edge"/>
              <c:x val="1.6339791407652991E-2"/>
              <c:y val="0.36332184283416197"/>
            </c:manualLayout>
          </c:layout>
          <c:spPr>
            <a:noFill/>
            <a:ln w="25400">
              <a:noFill/>
            </a:ln>
          </c:spPr>
        </c:title>
        <c:numFmt formatCode="General" sourceLinked="1"/>
        <c:tickLblPos val="nextTo"/>
        <c:spPr>
          <a:ln w="3175">
            <a:solidFill>
              <a:srgbClr val="000000"/>
            </a:solidFill>
            <a:prstDash val="solid"/>
          </a:ln>
        </c:spPr>
        <c:txPr>
          <a:bodyPr rot="0" vert="horz"/>
          <a:lstStyle/>
          <a:p>
            <a:pPr>
              <a:defRPr sz="950" b="0" i="0" u="none" strike="noStrike" baseline="0">
                <a:solidFill>
                  <a:srgbClr val="000000"/>
                </a:solidFill>
                <a:latin typeface="Arial"/>
                <a:ea typeface="Arial"/>
                <a:cs typeface="Arial"/>
              </a:defRPr>
            </a:pPr>
            <a:endParaRPr lang="es-ES"/>
          </a:p>
        </c:txPr>
        <c:crossAx val="244946432"/>
        <c:crosses val="autoZero"/>
        <c:crossBetween val="midCat"/>
      </c:valAx>
      <c:spPr>
        <a:solidFill>
          <a:srgbClr val="C0C0C0"/>
        </a:solidFill>
        <a:ln w="12700">
          <a:solidFill>
            <a:srgbClr val="808080"/>
          </a:solidFill>
          <a:prstDash val="solid"/>
        </a:ln>
      </c:spPr>
    </c:plotArea>
    <c:legend>
      <c:legendPos val="r"/>
      <c:layout>
        <c:manualLayout>
          <c:xMode val="edge"/>
          <c:yMode val="edge"/>
          <c:wMode val="edge"/>
          <c:hMode val="edge"/>
          <c:x val="0.85784310678270481"/>
          <c:y val="0.3875433312771388"/>
          <c:w val="0.99346404890178186"/>
          <c:h val="0.4636680092407805"/>
        </c:manualLayout>
      </c:layout>
      <c:spPr>
        <a:solidFill>
          <a:srgbClr val="FFFFFF"/>
        </a:solidFill>
        <a:ln w="3175">
          <a:solidFill>
            <a:srgbClr val="000000"/>
          </a:solidFill>
          <a:prstDash val="solid"/>
        </a:ln>
      </c:spPr>
      <c:txPr>
        <a:bodyPr/>
        <a:lstStyle/>
        <a:p>
          <a:pPr>
            <a:defRPr sz="870" b="0" i="0" u="none" strike="noStrike" baseline="0">
              <a:solidFill>
                <a:srgbClr val="000000"/>
              </a:solidFill>
              <a:latin typeface="Arial"/>
              <a:ea typeface="Arial"/>
              <a:cs typeface="Arial"/>
            </a:defRPr>
          </a:pPr>
          <a:endParaRPr lang="es-ES"/>
        </a:p>
      </c:txPr>
    </c:legend>
    <c:plotVisOnly val="1"/>
    <c:dispBlanksAs val="gap"/>
  </c:chart>
  <c:spPr>
    <a:solidFill>
      <a:srgbClr val="FFFFFF"/>
    </a:solidFill>
    <a:ln w="3175">
      <a:solidFill>
        <a:srgbClr val="000000"/>
      </a:solidFill>
      <a:prstDash val="solid"/>
    </a:ln>
  </c:spPr>
  <c:txPr>
    <a:bodyPr/>
    <a:lstStyle/>
    <a:p>
      <a:pPr>
        <a:defRPr sz="950" b="0" i="0" u="none" strike="noStrike" baseline="0">
          <a:solidFill>
            <a:srgbClr val="000000"/>
          </a:solidFill>
          <a:latin typeface="Arial"/>
          <a:ea typeface="Arial"/>
          <a:cs typeface="Arial"/>
        </a:defRPr>
      </a:pPr>
      <a:endParaRPr lang="es-ES"/>
    </a:p>
  </c:txPr>
  <c:externalData r:id="rId1"/>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es-ES"/>
  <c:chart>
    <c:plotArea>
      <c:layout>
        <c:manualLayout>
          <c:layoutTarget val="inner"/>
          <c:xMode val="edge"/>
          <c:yMode val="edge"/>
          <c:x val="8.7301587301587255E-2"/>
          <c:y val="8.1632653061224525E-2"/>
          <c:w val="0.7333333333333335"/>
          <c:h val="0.67755102040816373"/>
        </c:manualLayout>
      </c:layout>
      <c:lineChart>
        <c:grouping val="standard"/>
        <c:ser>
          <c:idx val="0"/>
          <c:order val="0"/>
          <c:spPr>
            <a:ln w="12697">
              <a:solidFill>
                <a:srgbClr val="000080"/>
              </a:solidFill>
              <a:prstDash val="solid"/>
            </a:ln>
          </c:spPr>
          <c:marker>
            <c:symbol val="diamond"/>
            <c:size val="4"/>
            <c:spPr>
              <a:solidFill>
                <a:srgbClr val="000080"/>
              </a:solidFill>
              <a:ln>
                <a:solidFill>
                  <a:srgbClr val="000080"/>
                </a:solidFill>
                <a:prstDash val="solid"/>
              </a:ln>
            </c:spPr>
          </c:marker>
          <c:cat>
            <c:numRef>
              <c:f>Calculos!$C$42:$I$42</c:f>
              <c:numCache>
                <c:formatCode>0.0000%</c:formatCode>
                <c:ptCount val="7"/>
                <c:pt idx="0">
                  <c:v>2.8050000000000002E-3</c:v>
                </c:pt>
                <c:pt idx="1">
                  <c:v>1.2805000000000004E-2</c:v>
                </c:pt>
                <c:pt idx="2">
                  <c:v>2.2805000000000013E-2</c:v>
                </c:pt>
                <c:pt idx="3">
                  <c:v>3.2805000000000015E-2</c:v>
                </c:pt>
                <c:pt idx="4">
                  <c:v>4.2805000000000017E-2</c:v>
                </c:pt>
                <c:pt idx="5">
                  <c:v>5.2805000000000012E-2</c:v>
                </c:pt>
                <c:pt idx="6">
                  <c:v>6.2805000000000014E-2</c:v>
                </c:pt>
              </c:numCache>
            </c:numRef>
          </c:cat>
          <c:val>
            <c:numRef>
              <c:f>Calculos!$C$41:$I$41</c:f>
              <c:numCache>
                <c:formatCode>General</c:formatCode>
                <c:ptCount val="7"/>
                <c:pt idx="0">
                  <c:v>2.1381999999999999</c:v>
                </c:pt>
                <c:pt idx="1">
                  <c:v>2.1623999999999999</c:v>
                </c:pt>
                <c:pt idx="2">
                  <c:v>2.1865000000000001</c:v>
                </c:pt>
                <c:pt idx="3">
                  <c:v>2.2107000000000001</c:v>
                </c:pt>
                <c:pt idx="4">
                  <c:v>2.2349000000000001</c:v>
                </c:pt>
                <c:pt idx="5">
                  <c:v>2.2591000000000001</c:v>
                </c:pt>
                <c:pt idx="6">
                  <c:v>2.283300000000001</c:v>
                </c:pt>
              </c:numCache>
            </c:numRef>
          </c:val>
        </c:ser>
        <c:marker val="1"/>
        <c:axId val="245689344"/>
        <c:axId val="245761536"/>
      </c:lineChart>
      <c:catAx>
        <c:axId val="245689344"/>
        <c:scaling>
          <c:orientation val="minMax"/>
        </c:scaling>
        <c:axPos val="b"/>
        <c:title>
          <c:tx>
            <c:rich>
              <a:bodyPr/>
              <a:lstStyle/>
              <a:p>
                <a:pPr>
                  <a:defRPr sz="800" b="1" i="0" u="none" strike="noStrike" baseline="0">
                    <a:solidFill>
                      <a:srgbClr val="000000"/>
                    </a:solidFill>
                    <a:latin typeface="Arial"/>
                    <a:ea typeface="Arial"/>
                    <a:cs typeface="Arial"/>
                  </a:defRPr>
                </a:pPr>
                <a:r>
                  <a:t>Comisiones Cartera</a:t>
                </a:r>
              </a:p>
            </c:rich>
          </c:tx>
          <c:layout>
            <c:manualLayout>
              <c:xMode val="edge"/>
              <c:yMode val="edge"/>
              <c:x val="0.36349206349206364"/>
              <c:y val="0.86938775510204058"/>
            </c:manualLayout>
          </c:layout>
          <c:spPr>
            <a:noFill/>
            <a:ln w="25393">
              <a:noFill/>
            </a:ln>
          </c:spPr>
        </c:title>
        <c:numFmt formatCode="0.0000%" sourceLinked="1"/>
        <c:tickLblPos val="nextTo"/>
        <c:spPr>
          <a:ln w="3174">
            <a:solidFill>
              <a:srgbClr val="000000"/>
            </a:solidFill>
            <a:prstDash val="solid"/>
          </a:ln>
        </c:spPr>
        <c:txPr>
          <a:bodyPr rot="0" vert="horz"/>
          <a:lstStyle/>
          <a:p>
            <a:pPr>
              <a:defRPr sz="800" b="0" i="0" u="none" strike="noStrike" baseline="0">
                <a:solidFill>
                  <a:srgbClr val="000000"/>
                </a:solidFill>
                <a:latin typeface="Arial"/>
                <a:ea typeface="Arial"/>
                <a:cs typeface="Arial"/>
              </a:defRPr>
            </a:pPr>
            <a:endParaRPr lang="es-ES"/>
          </a:p>
        </c:txPr>
        <c:crossAx val="245761536"/>
        <c:crosses val="autoZero"/>
        <c:auto val="1"/>
        <c:lblAlgn val="ctr"/>
        <c:lblOffset val="100"/>
        <c:tickLblSkip val="1"/>
        <c:tickMarkSkip val="1"/>
      </c:catAx>
      <c:valAx>
        <c:axId val="245761536"/>
        <c:scaling>
          <c:orientation val="minMax"/>
        </c:scaling>
        <c:axPos val="l"/>
        <c:majorGridlines>
          <c:spPr>
            <a:ln w="3174">
              <a:solidFill>
                <a:srgbClr val="000000"/>
              </a:solidFill>
              <a:prstDash val="solid"/>
            </a:ln>
          </c:spPr>
        </c:majorGridlines>
        <c:title>
          <c:tx>
            <c:rich>
              <a:bodyPr/>
              <a:lstStyle/>
              <a:p>
                <a:pPr>
                  <a:defRPr sz="800" b="1" i="0" u="none" strike="noStrike" baseline="0">
                    <a:solidFill>
                      <a:srgbClr val="000000"/>
                    </a:solidFill>
                    <a:latin typeface="Arial"/>
                    <a:ea typeface="Arial"/>
                    <a:cs typeface="Arial"/>
                  </a:defRPr>
                </a:pPr>
                <a:r>
                  <a:t>Precio</a:t>
                </a:r>
              </a:p>
            </c:rich>
          </c:tx>
          <c:layout>
            <c:manualLayout>
              <c:xMode val="edge"/>
              <c:yMode val="edge"/>
              <c:x val="1.7460317460317471E-2"/>
              <c:y val="0.34285714285714292"/>
            </c:manualLayout>
          </c:layout>
          <c:spPr>
            <a:noFill/>
            <a:ln w="25393">
              <a:noFill/>
            </a:ln>
          </c:spPr>
        </c:title>
        <c:numFmt formatCode="General" sourceLinked="1"/>
        <c:tickLblPos val="nextTo"/>
        <c:spPr>
          <a:ln w="3174">
            <a:solidFill>
              <a:srgbClr val="000000"/>
            </a:solidFill>
            <a:prstDash val="solid"/>
          </a:ln>
        </c:spPr>
        <c:txPr>
          <a:bodyPr rot="0" vert="horz"/>
          <a:lstStyle/>
          <a:p>
            <a:pPr>
              <a:defRPr sz="800" b="0" i="0" u="none" strike="noStrike" baseline="0">
                <a:solidFill>
                  <a:srgbClr val="000000"/>
                </a:solidFill>
                <a:latin typeface="Arial"/>
                <a:ea typeface="Arial"/>
                <a:cs typeface="Arial"/>
              </a:defRPr>
            </a:pPr>
            <a:endParaRPr lang="es-ES"/>
          </a:p>
        </c:txPr>
        <c:crossAx val="245689344"/>
        <c:crosses val="autoZero"/>
        <c:crossBetween val="midCat"/>
      </c:valAx>
      <c:spPr>
        <a:solidFill>
          <a:srgbClr val="C0C0C0"/>
        </a:solidFill>
        <a:ln w="12697">
          <a:solidFill>
            <a:srgbClr val="808080"/>
          </a:solidFill>
          <a:prstDash val="solid"/>
        </a:ln>
      </c:spPr>
    </c:plotArea>
    <c:legend>
      <c:legendPos val="r"/>
      <c:layout>
        <c:manualLayout>
          <c:xMode val="edge"/>
          <c:yMode val="edge"/>
          <c:x val="0.87460317460317505"/>
          <c:y val="0.37959183673469388"/>
          <c:w val="0.11904761904761908"/>
          <c:h val="8.1632653061224525E-2"/>
        </c:manualLayout>
      </c:layout>
      <c:spPr>
        <a:solidFill>
          <a:srgbClr val="FFFFFF"/>
        </a:solidFill>
        <a:ln w="3174">
          <a:solidFill>
            <a:srgbClr val="000000"/>
          </a:solidFill>
          <a:prstDash val="solid"/>
        </a:ln>
      </c:spPr>
      <c:txPr>
        <a:bodyPr/>
        <a:lstStyle/>
        <a:p>
          <a:pPr>
            <a:defRPr sz="735" b="0" i="0" u="none" strike="noStrike" baseline="0">
              <a:solidFill>
                <a:srgbClr val="000000"/>
              </a:solidFill>
              <a:latin typeface="Arial"/>
              <a:ea typeface="Arial"/>
              <a:cs typeface="Arial"/>
            </a:defRPr>
          </a:pPr>
          <a:endParaRPr lang="es-ES"/>
        </a:p>
      </c:txPr>
    </c:legend>
    <c:plotVisOnly val="1"/>
    <c:dispBlanksAs val="gap"/>
  </c:chart>
  <c:spPr>
    <a:solidFill>
      <a:srgbClr val="FFFFFF"/>
    </a:solidFill>
    <a:ln w="3174">
      <a:solidFill>
        <a:srgbClr val="000000"/>
      </a:solidFill>
      <a:prstDash val="solid"/>
    </a:ln>
  </c:spPr>
  <c:txPr>
    <a:bodyPr/>
    <a:lstStyle/>
    <a:p>
      <a:pPr>
        <a:defRPr sz="800" b="0" i="0" u="none" strike="noStrike" baseline="0">
          <a:solidFill>
            <a:srgbClr val="000000"/>
          </a:solidFill>
          <a:latin typeface="Arial"/>
          <a:ea typeface="Arial"/>
          <a:cs typeface="Arial"/>
        </a:defRPr>
      </a:pPr>
      <a:endParaRPr lang="es-ES"/>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849" b="1" i="0" u="none" strike="noStrike" baseline="0">
                <a:solidFill>
                  <a:srgbClr val="000000"/>
                </a:solidFill>
                <a:latin typeface="Arial"/>
                <a:ea typeface="Arial"/>
                <a:cs typeface="Arial"/>
              </a:defRPr>
            </a:pPr>
            <a:r>
              <a:t>Fondos disponibles</a:t>
            </a:r>
          </a:p>
        </c:rich>
      </c:tx>
      <c:layout>
        <c:manualLayout>
          <c:xMode val="edge"/>
          <c:yMode val="edge"/>
          <c:x val="0.3842105161209094"/>
          <c:y val="4.2055862420182534E-2"/>
        </c:manualLayout>
      </c:layout>
      <c:spPr>
        <a:noFill/>
        <a:ln w="25360">
          <a:noFill/>
        </a:ln>
      </c:spPr>
    </c:title>
    <c:plotArea>
      <c:layout>
        <c:manualLayout>
          <c:layoutTarget val="inner"/>
          <c:xMode val="edge"/>
          <c:yMode val="edge"/>
          <c:x val="0.14210526315789479"/>
          <c:y val="0.23364485981308411"/>
          <c:w val="0.71578947368421086"/>
          <c:h val="0.49065420560747686"/>
        </c:manualLayout>
      </c:layout>
      <c:lineChart>
        <c:grouping val="standard"/>
        <c:ser>
          <c:idx val="0"/>
          <c:order val="0"/>
          <c:spPr>
            <a:ln w="12680">
              <a:solidFill>
                <a:srgbClr val="000080"/>
              </a:solidFill>
              <a:prstDash val="solid"/>
            </a:ln>
          </c:spPr>
          <c:marker>
            <c:symbol val="none"/>
          </c:marker>
          <c:cat>
            <c:numRef>
              <c:f>Calculos!$C$5:$J$5</c:f>
              <c:numCache>
                <c:formatCode>General</c:formatCode>
                <c:ptCount val="8"/>
                <c:pt idx="0">
                  <c:v>2000</c:v>
                </c:pt>
                <c:pt idx="1">
                  <c:v>2001</c:v>
                </c:pt>
                <c:pt idx="2">
                  <c:v>2002</c:v>
                </c:pt>
                <c:pt idx="3">
                  <c:v>2003</c:v>
                </c:pt>
                <c:pt idx="4">
                  <c:v>2004</c:v>
                </c:pt>
                <c:pt idx="5">
                  <c:v>2005</c:v>
                </c:pt>
                <c:pt idx="6">
                  <c:v>2006</c:v>
                </c:pt>
                <c:pt idx="7">
                  <c:v>2007</c:v>
                </c:pt>
              </c:numCache>
            </c:numRef>
          </c:cat>
          <c:val>
            <c:numRef>
              <c:f>Calculos!$C$7:$J$7</c:f>
              <c:numCache>
                <c:formatCode>General</c:formatCode>
                <c:ptCount val="8"/>
                <c:pt idx="0">
                  <c:v>100693</c:v>
                </c:pt>
                <c:pt idx="1">
                  <c:v>84343</c:v>
                </c:pt>
                <c:pt idx="2">
                  <c:v>110000</c:v>
                </c:pt>
                <c:pt idx="3">
                  <c:v>180645</c:v>
                </c:pt>
                <c:pt idx="4">
                  <c:v>271653</c:v>
                </c:pt>
                <c:pt idx="5">
                  <c:v>202570</c:v>
                </c:pt>
                <c:pt idx="6">
                  <c:v>117952</c:v>
                </c:pt>
                <c:pt idx="7">
                  <c:v>169205</c:v>
                </c:pt>
              </c:numCache>
            </c:numRef>
          </c:val>
        </c:ser>
        <c:marker val="1"/>
        <c:axId val="243354624"/>
        <c:axId val="243389568"/>
      </c:lineChart>
      <c:catAx>
        <c:axId val="243354624"/>
        <c:scaling>
          <c:orientation val="minMax"/>
        </c:scaling>
        <c:axPos val="b"/>
        <c:title>
          <c:tx>
            <c:rich>
              <a:bodyPr/>
              <a:lstStyle/>
              <a:p>
                <a:pPr>
                  <a:defRPr sz="799" b="1" i="0" u="none" strike="noStrike" baseline="0">
                    <a:solidFill>
                      <a:srgbClr val="000000"/>
                    </a:solidFill>
                    <a:latin typeface="Arial"/>
                    <a:ea typeface="Arial"/>
                    <a:cs typeface="Arial"/>
                  </a:defRPr>
                </a:pPr>
                <a:r>
                  <a:t>Año</a:t>
                </a:r>
              </a:p>
            </c:rich>
          </c:tx>
          <c:layout>
            <c:manualLayout>
              <c:xMode val="edge"/>
              <c:yMode val="edge"/>
              <c:x val="0.47719305382030186"/>
              <c:y val="0.85046734829788051"/>
            </c:manualLayout>
          </c:layout>
          <c:spPr>
            <a:noFill/>
            <a:ln w="25360">
              <a:noFill/>
            </a:ln>
          </c:spPr>
        </c:title>
        <c:numFmt formatCode="General" sourceLinked="1"/>
        <c:tickLblPos val="nextTo"/>
        <c:spPr>
          <a:ln w="3170">
            <a:solidFill>
              <a:srgbClr val="000000"/>
            </a:solidFill>
            <a:prstDash val="solid"/>
          </a:ln>
        </c:spPr>
        <c:txPr>
          <a:bodyPr rot="0" vert="horz"/>
          <a:lstStyle/>
          <a:p>
            <a:pPr>
              <a:defRPr sz="799" b="0" i="0" u="none" strike="noStrike" baseline="0">
                <a:solidFill>
                  <a:srgbClr val="000000"/>
                </a:solidFill>
                <a:latin typeface="Arial"/>
                <a:ea typeface="Arial"/>
                <a:cs typeface="Arial"/>
              </a:defRPr>
            </a:pPr>
            <a:endParaRPr lang="es-ES"/>
          </a:p>
        </c:txPr>
        <c:crossAx val="243389568"/>
        <c:crosses val="autoZero"/>
        <c:auto val="1"/>
        <c:lblAlgn val="ctr"/>
        <c:lblOffset val="100"/>
        <c:tickLblSkip val="1"/>
        <c:tickMarkSkip val="1"/>
      </c:catAx>
      <c:valAx>
        <c:axId val="243389568"/>
        <c:scaling>
          <c:orientation val="minMax"/>
        </c:scaling>
        <c:axPos val="l"/>
        <c:majorGridlines>
          <c:spPr>
            <a:ln w="3170">
              <a:solidFill>
                <a:srgbClr val="000000"/>
              </a:solidFill>
              <a:prstDash val="solid"/>
            </a:ln>
          </c:spPr>
        </c:majorGridlines>
        <c:title>
          <c:tx>
            <c:rich>
              <a:bodyPr/>
              <a:lstStyle/>
              <a:p>
                <a:pPr>
                  <a:defRPr sz="799" b="1" i="0" u="none" strike="noStrike" baseline="0">
                    <a:solidFill>
                      <a:srgbClr val="000000"/>
                    </a:solidFill>
                    <a:latin typeface="Arial"/>
                    <a:ea typeface="Arial"/>
                    <a:cs typeface="Arial"/>
                  </a:defRPr>
                </a:pPr>
                <a:r>
                  <a:t>Fondos disponibles</a:t>
                </a:r>
              </a:p>
            </c:rich>
          </c:tx>
          <c:layout>
            <c:manualLayout>
              <c:xMode val="edge"/>
              <c:yMode val="edge"/>
              <c:x val="1.929821502939439E-2"/>
              <c:y val="0.2570094409840562"/>
            </c:manualLayout>
          </c:layout>
          <c:spPr>
            <a:noFill/>
            <a:ln w="25360">
              <a:noFill/>
            </a:ln>
          </c:spPr>
        </c:title>
        <c:numFmt formatCode="General" sourceLinked="1"/>
        <c:tickLblPos val="nextTo"/>
        <c:spPr>
          <a:ln w="3170">
            <a:solidFill>
              <a:srgbClr val="000000"/>
            </a:solidFill>
            <a:prstDash val="solid"/>
          </a:ln>
        </c:spPr>
        <c:txPr>
          <a:bodyPr rot="0" vert="horz"/>
          <a:lstStyle/>
          <a:p>
            <a:pPr>
              <a:defRPr sz="799" b="0" i="0" u="none" strike="noStrike" baseline="0">
                <a:solidFill>
                  <a:srgbClr val="000000"/>
                </a:solidFill>
                <a:latin typeface="Arial"/>
                <a:ea typeface="Arial"/>
                <a:cs typeface="Arial"/>
              </a:defRPr>
            </a:pPr>
            <a:endParaRPr lang="es-ES"/>
          </a:p>
        </c:txPr>
        <c:crossAx val="243354624"/>
        <c:crosses val="autoZero"/>
        <c:crossBetween val="between"/>
      </c:valAx>
      <c:spPr>
        <a:solidFill>
          <a:srgbClr val="C0C0C0"/>
        </a:solidFill>
        <a:ln w="12680">
          <a:solidFill>
            <a:srgbClr val="808080"/>
          </a:solidFill>
          <a:prstDash val="solid"/>
        </a:ln>
      </c:spPr>
    </c:plotArea>
    <c:legend>
      <c:legendPos val="r"/>
      <c:layout>
        <c:manualLayout>
          <c:xMode val="edge"/>
          <c:yMode val="edge"/>
          <c:wMode val="edge"/>
          <c:hMode val="edge"/>
          <c:x val="0.8666666666666667"/>
          <c:y val="0.43457933429963053"/>
          <c:w val="0.99298253769939282"/>
          <c:h val="0.52803750277483952"/>
        </c:manualLayout>
      </c:layout>
      <c:spPr>
        <a:solidFill>
          <a:srgbClr val="FFFFFF"/>
        </a:solidFill>
        <a:ln w="3170">
          <a:solidFill>
            <a:srgbClr val="000000"/>
          </a:solidFill>
          <a:prstDash val="solid"/>
        </a:ln>
      </c:spPr>
      <c:txPr>
        <a:bodyPr/>
        <a:lstStyle/>
        <a:p>
          <a:pPr>
            <a:defRPr sz="734" b="0" i="0" u="none" strike="noStrike" baseline="0">
              <a:solidFill>
                <a:srgbClr val="000000"/>
              </a:solidFill>
              <a:latin typeface="Arial"/>
              <a:ea typeface="Arial"/>
              <a:cs typeface="Arial"/>
            </a:defRPr>
          </a:pPr>
          <a:endParaRPr lang="es-ES"/>
        </a:p>
      </c:txPr>
    </c:legend>
    <c:plotVisOnly val="1"/>
    <c:dispBlanksAs val="gap"/>
  </c:chart>
  <c:spPr>
    <a:solidFill>
      <a:srgbClr val="FFFFFF"/>
    </a:solidFill>
    <a:ln w="3170">
      <a:solidFill>
        <a:srgbClr val="000000"/>
      </a:solidFill>
      <a:prstDash val="solid"/>
    </a:ln>
  </c:spPr>
  <c:txPr>
    <a:bodyPr/>
    <a:lstStyle/>
    <a:p>
      <a:pPr>
        <a:defRPr sz="799" b="0" i="0" u="none" strike="noStrike" baseline="0">
          <a:solidFill>
            <a:srgbClr val="000000"/>
          </a:solidFill>
          <a:latin typeface="Arial"/>
          <a:ea typeface="Arial"/>
          <a:cs typeface="Arial"/>
        </a:defRPr>
      </a:pPr>
      <a:endParaRPr lang="es-ES"/>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973" b="1" i="0" u="none" strike="noStrike" baseline="0">
                <a:solidFill>
                  <a:srgbClr val="000000"/>
                </a:solidFill>
                <a:latin typeface="Arial"/>
                <a:ea typeface="Arial"/>
                <a:cs typeface="Arial"/>
              </a:defRPr>
            </a:pPr>
            <a:r>
              <a:t>Inversiones</a:t>
            </a:r>
          </a:p>
        </c:rich>
      </c:tx>
      <c:layout>
        <c:manualLayout>
          <c:xMode val="edge"/>
          <c:yMode val="edge"/>
          <c:x val="0.43790846748064161"/>
          <c:y val="2.0325340688346172E-2"/>
        </c:manualLayout>
      </c:layout>
      <c:spPr>
        <a:noFill/>
        <a:ln w="25337">
          <a:noFill/>
        </a:ln>
      </c:spPr>
    </c:title>
    <c:plotArea>
      <c:layout>
        <c:manualLayout>
          <c:layoutTarget val="inner"/>
          <c:xMode val="edge"/>
          <c:yMode val="edge"/>
          <c:x val="0.13235294117647067"/>
          <c:y val="0.21544715447154483"/>
          <c:w val="0.72058823529411764"/>
          <c:h val="0.54471544715447184"/>
        </c:manualLayout>
      </c:layout>
      <c:lineChart>
        <c:grouping val="standard"/>
        <c:ser>
          <c:idx val="0"/>
          <c:order val="0"/>
          <c:spPr>
            <a:ln w="12668">
              <a:solidFill>
                <a:srgbClr val="000080"/>
              </a:solidFill>
              <a:prstDash val="solid"/>
            </a:ln>
          </c:spPr>
          <c:marker>
            <c:symbol val="diamond"/>
            <c:size val="4"/>
            <c:spPr>
              <a:solidFill>
                <a:srgbClr val="000080"/>
              </a:solidFill>
              <a:ln>
                <a:solidFill>
                  <a:srgbClr val="000080"/>
                </a:solidFill>
                <a:prstDash val="solid"/>
              </a:ln>
            </c:spPr>
          </c:marker>
          <c:cat>
            <c:numRef>
              <c:f>Calculos!$C$5:$J$5</c:f>
              <c:numCache>
                <c:formatCode>General</c:formatCode>
                <c:ptCount val="8"/>
                <c:pt idx="0">
                  <c:v>2000</c:v>
                </c:pt>
                <c:pt idx="1">
                  <c:v>2001</c:v>
                </c:pt>
                <c:pt idx="2">
                  <c:v>2002</c:v>
                </c:pt>
                <c:pt idx="3">
                  <c:v>2003</c:v>
                </c:pt>
                <c:pt idx="4">
                  <c:v>2004</c:v>
                </c:pt>
                <c:pt idx="5">
                  <c:v>2005</c:v>
                </c:pt>
                <c:pt idx="6">
                  <c:v>2006</c:v>
                </c:pt>
                <c:pt idx="7">
                  <c:v>2007</c:v>
                </c:pt>
              </c:numCache>
            </c:numRef>
          </c:cat>
          <c:val>
            <c:numRef>
              <c:f>Calculos!$C$9:$J$9</c:f>
              <c:numCache>
                <c:formatCode>General</c:formatCode>
                <c:ptCount val="8"/>
                <c:pt idx="0">
                  <c:v>39367</c:v>
                </c:pt>
                <c:pt idx="1">
                  <c:v>59585</c:v>
                </c:pt>
                <c:pt idx="2">
                  <c:v>82997</c:v>
                </c:pt>
                <c:pt idx="3">
                  <c:v>91487</c:v>
                </c:pt>
                <c:pt idx="4">
                  <c:v>108960</c:v>
                </c:pt>
                <c:pt idx="5">
                  <c:v>164445</c:v>
                </c:pt>
                <c:pt idx="6">
                  <c:v>378755</c:v>
                </c:pt>
                <c:pt idx="7">
                  <c:v>424562</c:v>
                </c:pt>
              </c:numCache>
            </c:numRef>
          </c:val>
        </c:ser>
        <c:marker val="1"/>
        <c:axId val="243290880"/>
        <c:axId val="243293184"/>
      </c:lineChart>
      <c:catAx>
        <c:axId val="243290880"/>
        <c:scaling>
          <c:orientation val="minMax"/>
        </c:scaling>
        <c:axPos val="b"/>
        <c:title>
          <c:tx>
            <c:rich>
              <a:bodyPr/>
              <a:lstStyle/>
              <a:p>
                <a:pPr>
                  <a:defRPr sz="823" b="1" i="0" u="none" strike="noStrike" baseline="0">
                    <a:solidFill>
                      <a:srgbClr val="000000"/>
                    </a:solidFill>
                    <a:latin typeface="Arial"/>
                    <a:ea typeface="Arial"/>
                    <a:cs typeface="Arial"/>
                  </a:defRPr>
                </a:pPr>
                <a:r>
                  <a:t>Años</a:t>
                </a:r>
              </a:p>
            </c:rich>
          </c:tx>
          <c:layout>
            <c:manualLayout>
              <c:xMode val="edge"/>
              <c:yMode val="edge"/>
              <c:x val="0.46568616755942827"/>
              <c:y val="0.86991888725773681"/>
            </c:manualLayout>
          </c:layout>
          <c:spPr>
            <a:noFill/>
            <a:ln w="25337">
              <a:noFill/>
            </a:ln>
          </c:spPr>
        </c:title>
        <c:numFmt formatCode="General" sourceLinked="1"/>
        <c:tickLblPos val="nextTo"/>
        <c:spPr>
          <a:ln w="3167">
            <a:solidFill>
              <a:srgbClr val="000000"/>
            </a:solidFill>
            <a:prstDash val="solid"/>
          </a:ln>
        </c:spPr>
        <c:txPr>
          <a:bodyPr rot="0" vert="horz"/>
          <a:lstStyle/>
          <a:p>
            <a:pPr>
              <a:defRPr sz="823" b="0" i="0" u="none" strike="noStrike" baseline="0">
                <a:solidFill>
                  <a:srgbClr val="000000"/>
                </a:solidFill>
                <a:latin typeface="Arial"/>
                <a:ea typeface="Arial"/>
                <a:cs typeface="Arial"/>
              </a:defRPr>
            </a:pPr>
            <a:endParaRPr lang="es-ES"/>
          </a:p>
        </c:txPr>
        <c:crossAx val="243293184"/>
        <c:crosses val="autoZero"/>
        <c:auto val="1"/>
        <c:lblAlgn val="ctr"/>
        <c:lblOffset val="100"/>
        <c:tickLblSkip val="1"/>
        <c:tickMarkSkip val="1"/>
      </c:catAx>
      <c:valAx>
        <c:axId val="243293184"/>
        <c:scaling>
          <c:orientation val="minMax"/>
        </c:scaling>
        <c:axPos val="l"/>
        <c:majorGridlines>
          <c:spPr>
            <a:ln w="3167">
              <a:solidFill>
                <a:srgbClr val="000000"/>
              </a:solidFill>
              <a:prstDash val="solid"/>
            </a:ln>
          </c:spPr>
        </c:majorGridlines>
        <c:title>
          <c:tx>
            <c:rich>
              <a:bodyPr/>
              <a:lstStyle/>
              <a:p>
                <a:pPr>
                  <a:defRPr sz="823" b="1" i="0" u="none" strike="noStrike" baseline="0">
                    <a:solidFill>
                      <a:srgbClr val="000000"/>
                    </a:solidFill>
                    <a:latin typeface="Arial"/>
                    <a:ea typeface="Arial"/>
                    <a:cs typeface="Arial"/>
                  </a:defRPr>
                </a:pPr>
                <a:r>
                  <a:t>Inversiones</a:t>
                </a:r>
              </a:p>
            </c:rich>
          </c:tx>
          <c:layout>
            <c:manualLayout>
              <c:xMode val="edge"/>
              <c:yMode val="edge"/>
              <c:x val="1.7973827871871257E-2"/>
              <c:y val="0.36991918383083489"/>
            </c:manualLayout>
          </c:layout>
          <c:spPr>
            <a:noFill/>
            <a:ln w="25337">
              <a:noFill/>
            </a:ln>
          </c:spPr>
        </c:title>
        <c:numFmt formatCode="General" sourceLinked="1"/>
        <c:tickLblPos val="nextTo"/>
        <c:spPr>
          <a:ln w="3167">
            <a:solidFill>
              <a:srgbClr val="000000"/>
            </a:solidFill>
            <a:prstDash val="solid"/>
          </a:ln>
        </c:spPr>
        <c:txPr>
          <a:bodyPr rot="0" vert="horz"/>
          <a:lstStyle/>
          <a:p>
            <a:pPr>
              <a:defRPr sz="823" b="0" i="0" u="none" strike="noStrike" baseline="0">
                <a:solidFill>
                  <a:srgbClr val="000000"/>
                </a:solidFill>
                <a:latin typeface="Arial"/>
                <a:ea typeface="Arial"/>
                <a:cs typeface="Arial"/>
              </a:defRPr>
            </a:pPr>
            <a:endParaRPr lang="es-ES"/>
          </a:p>
        </c:txPr>
        <c:crossAx val="243290880"/>
        <c:crosses val="autoZero"/>
        <c:crossBetween val="between"/>
      </c:valAx>
      <c:spPr>
        <a:solidFill>
          <a:srgbClr val="C0C0C0"/>
        </a:solidFill>
        <a:ln w="12668">
          <a:solidFill>
            <a:srgbClr val="808080"/>
          </a:solidFill>
          <a:prstDash val="solid"/>
        </a:ln>
      </c:spPr>
    </c:plotArea>
    <c:legend>
      <c:legendPos val="r"/>
      <c:layout>
        <c:manualLayout>
          <c:xMode val="edge"/>
          <c:yMode val="edge"/>
          <c:wMode val="edge"/>
          <c:hMode val="edge"/>
          <c:x val="0.87091499885782453"/>
          <c:y val="0.447154529412637"/>
          <c:w val="0.99346396087700328"/>
          <c:h val="0.52845529901982591"/>
        </c:manualLayout>
      </c:layout>
      <c:spPr>
        <a:solidFill>
          <a:srgbClr val="FFFFFF"/>
        </a:solidFill>
        <a:ln w="3167">
          <a:solidFill>
            <a:srgbClr val="000000"/>
          </a:solidFill>
          <a:prstDash val="solid"/>
        </a:ln>
      </c:spPr>
      <c:txPr>
        <a:bodyPr/>
        <a:lstStyle/>
        <a:p>
          <a:pPr>
            <a:defRPr sz="753" b="0" i="0" u="none" strike="noStrike" baseline="0">
              <a:solidFill>
                <a:srgbClr val="000000"/>
              </a:solidFill>
              <a:latin typeface="Arial"/>
              <a:ea typeface="Arial"/>
              <a:cs typeface="Arial"/>
            </a:defRPr>
          </a:pPr>
          <a:endParaRPr lang="es-ES"/>
        </a:p>
      </c:txPr>
    </c:legend>
    <c:plotVisOnly val="1"/>
    <c:dispBlanksAs val="gap"/>
  </c:chart>
  <c:spPr>
    <a:solidFill>
      <a:srgbClr val="FFFFFF"/>
    </a:solidFill>
    <a:ln w="3167">
      <a:solidFill>
        <a:srgbClr val="000000"/>
      </a:solidFill>
      <a:prstDash val="solid"/>
    </a:ln>
  </c:spPr>
  <c:txPr>
    <a:bodyPr/>
    <a:lstStyle/>
    <a:p>
      <a:pPr>
        <a:defRPr sz="823" b="0" i="0" u="none" strike="noStrike" baseline="0">
          <a:solidFill>
            <a:srgbClr val="000000"/>
          </a:solidFill>
          <a:latin typeface="Arial"/>
          <a:ea typeface="Arial"/>
          <a:cs typeface="Arial"/>
        </a:defRPr>
      </a:pPr>
      <a:endParaRPr lang="es-ES"/>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873" b="1" i="0" u="none" strike="noStrike" baseline="0">
                <a:solidFill>
                  <a:srgbClr val="000000"/>
                </a:solidFill>
                <a:latin typeface="Arial"/>
                <a:ea typeface="Arial"/>
                <a:cs typeface="Arial"/>
              </a:defRPr>
            </a:pPr>
            <a:r>
              <a:t>Cartera Vencida</a:t>
            </a:r>
          </a:p>
        </c:rich>
      </c:tx>
      <c:layout>
        <c:manualLayout>
          <c:xMode val="edge"/>
          <c:yMode val="edge"/>
          <c:x val="0.42156867447406654"/>
          <c:y val="1.8018125092853967E-2"/>
        </c:manualLayout>
      </c:layout>
      <c:spPr>
        <a:noFill/>
        <a:ln w="25354">
          <a:noFill/>
        </a:ln>
      </c:spPr>
    </c:title>
    <c:plotArea>
      <c:layout>
        <c:manualLayout>
          <c:layoutTarget val="inner"/>
          <c:xMode val="edge"/>
          <c:yMode val="edge"/>
          <c:x val="8.1699346405228773E-2"/>
          <c:y val="0.22972972972972969"/>
          <c:w val="0.77124183006535985"/>
          <c:h val="0.50450450450450468"/>
        </c:manualLayout>
      </c:layout>
      <c:lineChart>
        <c:grouping val="standard"/>
        <c:ser>
          <c:idx val="0"/>
          <c:order val="0"/>
          <c:spPr>
            <a:ln w="12677">
              <a:solidFill>
                <a:srgbClr val="000080"/>
              </a:solidFill>
              <a:prstDash val="solid"/>
            </a:ln>
          </c:spPr>
          <c:marker>
            <c:symbol val="diamond"/>
            <c:size val="4"/>
            <c:spPr>
              <a:solidFill>
                <a:srgbClr val="000080"/>
              </a:solidFill>
              <a:ln>
                <a:solidFill>
                  <a:srgbClr val="000080"/>
                </a:solidFill>
                <a:prstDash val="solid"/>
              </a:ln>
            </c:spPr>
          </c:marker>
          <c:cat>
            <c:numRef>
              <c:f>Calculos!$C$5:$J$5</c:f>
              <c:numCache>
                <c:formatCode>General</c:formatCode>
                <c:ptCount val="8"/>
                <c:pt idx="0">
                  <c:v>2000</c:v>
                </c:pt>
                <c:pt idx="1">
                  <c:v>2001</c:v>
                </c:pt>
                <c:pt idx="2">
                  <c:v>2002</c:v>
                </c:pt>
                <c:pt idx="3">
                  <c:v>2003</c:v>
                </c:pt>
                <c:pt idx="4">
                  <c:v>2004</c:v>
                </c:pt>
                <c:pt idx="5">
                  <c:v>2005</c:v>
                </c:pt>
                <c:pt idx="6">
                  <c:v>2006</c:v>
                </c:pt>
                <c:pt idx="7">
                  <c:v>2007</c:v>
                </c:pt>
              </c:numCache>
            </c:numRef>
          </c:cat>
          <c:val>
            <c:numRef>
              <c:f>Calculos!$C$10:$J$10</c:f>
              <c:numCache>
                <c:formatCode>General</c:formatCode>
                <c:ptCount val="8"/>
                <c:pt idx="0">
                  <c:v>8713</c:v>
                </c:pt>
                <c:pt idx="1">
                  <c:v>7973</c:v>
                </c:pt>
                <c:pt idx="2">
                  <c:v>7203</c:v>
                </c:pt>
                <c:pt idx="3">
                  <c:v>8091</c:v>
                </c:pt>
                <c:pt idx="4">
                  <c:v>6613</c:v>
                </c:pt>
                <c:pt idx="5">
                  <c:v>9695</c:v>
                </c:pt>
                <c:pt idx="6">
                  <c:v>4297</c:v>
                </c:pt>
                <c:pt idx="7">
                  <c:v>3071</c:v>
                </c:pt>
              </c:numCache>
            </c:numRef>
          </c:val>
        </c:ser>
        <c:marker val="1"/>
        <c:axId val="243699072"/>
        <c:axId val="243520640"/>
      </c:lineChart>
      <c:catAx>
        <c:axId val="243699072"/>
        <c:scaling>
          <c:orientation val="minMax"/>
        </c:scaling>
        <c:axPos val="b"/>
        <c:title>
          <c:tx>
            <c:rich>
              <a:bodyPr/>
              <a:lstStyle/>
              <a:p>
                <a:pPr>
                  <a:defRPr sz="799" b="1" i="0" u="none" strike="noStrike" baseline="0">
                    <a:solidFill>
                      <a:srgbClr val="000000"/>
                    </a:solidFill>
                    <a:latin typeface="Arial"/>
                    <a:ea typeface="Arial"/>
                    <a:cs typeface="Arial"/>
                  </a:defRPr>
                </a:pPr>
                <a:r>
                  <a:t>Año</a:t>
                </a:r>
              </a:p>
            </c:rich>
          </c:tx>
          <c:layout>
            <c:manualLayout>
              <c:xMode val="edge"/>
              <c:yMode val="edge"/>
              <c:x val="0.44607840263621878"/>
              <c:y val="0.85585598969940091"/>
            </c:manualLayout>
          </c:layout>
          <c:spPr>
            <a:noFill/>
            <a:ln w="25354">
              <a:noFill/>
            </a:ln>
          </c:spPr>
        </c:title>
        <c:numFmt formatCode="General" sourceLinked="1"/>
        <c:tickLblPos val="nextTo"/>
        <c:spPr>
          <a:ln w="3169">
            <a:solidFill>
              <a:srgbClr val="000000"/>
            </a:solidFill>
            <a:prstDash val="solid"/>
          </a:ln>
        </c:spPr>
        <c:txPr>
          <a:bodyPr rot="0" vert="horz"/>
          <a:lstStyle/>
          <a:p>
            <a:pPr>
              <a:defRPr sz="799" b="0" i="0" u="none" strike="noStrike" baseline="0">
                <a:solidFill>
                  <a:srgbClr val="000000"/>
                </a:solidFill>
                <a:latin typeface="Arial"/>
                <a:ea typeface="Arial"/>
                <a:cs typeface="Arial"/>
              </a:defRPr>
            </a:pPr>
            <a:endParaRPr lang="es-ES"/>
          </a:p>
        </c:txPr>
        <c:crossAx val="243520640"/>
        <c:crosses val="autoZero"/>
        <c:auto val="1"/>
        <c:lblAlgn val="ctr"/>
        <c:lblOffset val="100"/>
        <c:tickLblSkip val="1"/>
        <c:tickMarkSkip val="1"/>
      </c:catAx>
      <c:valAx>
        <c:axId val="243520640"/>
        <c:scaling>
          <c:orientation val="minMax"/>
        </c:scaling>
        <c:axPos val="l"/>
        <c:majorGridlines>
          <c:spPr>
            <a:ln w="3169">
              <a:solidFill>
                <a:srgbClr val="000000"/>
              </a:solidFill>
              <a:prstDash val="solid"/>
            </a:ln>
          </c:spPr>
        </c:majorGridlines>
        <c:numFmt formatCode="General" sourceLinked="1"/>
        <c:tickLblPos val="nextTo"/>
        <c:spPr>
          <a:ln w="3169">
            <a:solidFill>
              <a:srgbClr val="000000"/>
            </a:solidFill>
            <a:prstDash val="solid"/>
          </a:ln>
        </c:spPr>
        <c:txPr>
          <a:bodyPr rot="0" vert="horz"/>
          <a:lstStyle/>
          <a:p>
            <a:pPr>
              <a:defRPr sz="799" b="0" i="0" u="none" strike="noStrike" baseline="0">
                <a:solidFill>
                  <a:srgbClr val="000000"/>
                </a:solidFill>
                <a:latin typeface="Arial"/>
                <a:ea typeface="Arial"/>
                <a:cs typeface="Arial"/>
              </a:defRPr>
            </a:pPr>
            <a:endParaRPr lang="es-ES"/>
          </a:p>
        </c:txPr>
        <c:crossAx val="243699072"/>
        <c:crosses val="autoZero"/>
        <c:crossBetween val="between"/>
      </c:valAx>
      <c:spPr>
        <a:solidFill>
          <a:srgbClr val="C0C0C0"/>
        </a:solidFill>
        <a:ln w="12677">
          <a:solidFill>
            <a:srgbClr val="808080"/>
          </a:solidFill>
          <a:prstDash val="solid"/>
        </a:ln>
      </c:spPr>
    </c:plotArea>
    <c:legend>
      <c:legendPos val="r"/>
      <c:layout>
        <c:manualLayout>
          <c:xMode val="edge"/>
          <c:yMode val="edge"/>
          <c:wMode val="edge"/>
          <c:hMode val="edge"/>
          <c:x val="0.87091499349383383"/>
          <c:y val="0.43693705739612726"/>
          <c:w val="0.99346398959013327"/>
          <c:h val="0.52702718763928091"/>
        </c:manualLayout>
      </c:layout>
      <c:spPr>
        <a:solidFill>
          <a:srgbClr val="FFFFFF"/>
        </a:solidFill>
        <a:ln w="3169">
          <a:solidFill>
            <a:srgbClr val="000000"/>
          </a:solidFill>
          <a:prstDash val="solid"/>
        </a:ln>
      </c:spPr>
      <c:txPr>
        <a:bodyPr/>
        <a:lstStyle/>
        <a:p>
          <a:pPr>
            <a:defRPr sz="734" b="0" i="0" u="none" strike="noStrike" baseline="0">
              <a:solidFill>
                <a:srgbClr val="000000"/>
              </a:solidFill>
              <a:latin typeface="Arial"/>
              <a:ea typeface="Arial"/>
              <a:cs typeface="Arial"/>
            </a:defRPr>
          </a:pPr>
          <a:endParaRPr lang="es-ES"/>
        </a:p>
      </c:txPr>
    </c:legend>
    <c:plotVisOnly val="1"/>
    <c:dispBlanksAs val="gap"/>
  </c:chart>
  <c:spPr>
    <a:solidFill>
      <a:srgbClr val="FFFFFF"/>
    </a:solidFill>
    <a:ln w="3169">
      <a:solidFill>
        <a:srgbClr val="000000"/>
      </a:solidFill>
      <a:prstDash val="solid"/>
    </a:ln>
  </c:spPr>
  <c:txPr>
    <a:bodyPr/>
    <a:lstStyle/>
    <a:p>
      <a:pPr>
        <a:defRPr sz="799" b="0" i="0" u="none" strike="noStrike" baseline="0">
          <a:solidFill>
            <a:srgbClr val="000000"/>
          </a:solidFill>
          <a:latin typeface="Arial"/>
          <a:ea typeface="Arial"/>
          <a:cs typeface="Arial"/>
        </a:defRPr>
      </a:pPr>
      <a:endParaRPr lang="es-ES"/>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800" b="1" i="0" u="none" strike="noStrike" baseline="0">
                <a:solidFill>
                  <a:srgbClr val="000000"/>
                </a:solidFill>
                <a:latin typeface="Arial"/>
                <a:ea typeface="Arial"/>
                <a:cs typeface="Arial"/>
              </a:defRPr>
            </a:pPr>
            <a:r>
              <a:t>Provisiones</a:t>
            </a:r>
          </a:p>
        </c:rich>
      </c:tx>
      <c:layout>
        <c:manualLayout>
          <c:xMode val="edge"/>
          <c:yMode val="edge"/>
          <c:x val="0.43859649122807037"/>
          <c:y val="2.0202020202020211E-2"/>
        </c:manualLayout>
      </c:layout>
      <c:spPr>
        <a:noFill/>
        <a:ln w="25400">
          <a:noFill/>
        </a:ln>
      </c:spPr>
    </c:title>
    <c:plotArea>
      <c:layout>
        <c:manualLayout>
          <c:layoutTarget val="inner"/>
          <c:xMode val="edge"/>
          <c:yMode val="edge"/>
          <c:x val="8.771929824561403E-2"/>
          <c:y val="0.24747474747474749"/>
          <c:w val="0.75964912280701791"/>
          <c:h val="0.56565656565656552"/>
        </c:manualLayout>
      </c:layout>
      <c:lineChart>
        <c:grouping val="standard"/>
        <c:ser>
          <c:idx val="0"/>
          <c:order val="0"/>
          <c:spPr>
            <a:ln w="12700">
              <a:solidFill>
                <a:srgbClr val="000080"/>
              </a:solidFill>
              <a:prstDash val="solid"/>
            </a:ln>
          </c:spPr>
          <c:marker>
            <c:symbol val="none"/>
          </c:marker>
          <c:cat>
            <c:numRef>
              <c:f>Calculos!$C$5:$J$5</c:f>
              <c:numCache>
                <c:formatCode>General</c:formatCode>
                <c:ptCount val="8"/>
                <c:pt idx="0">
                  <c:v>2000</c:v>
                </c:pt>
                <c:pt idx="1">
                  <c:v>2001</c:v>
                </c:pt>
                <c:pt idx="2">
                  <c:v>2002</c:v>
                </c:pt>
                <c:pt idx="3">
                  <c:v>2003</c:v>
                </c:pt>
                <c:pt idx="4">
                  <c:v>2004</c:v>
                </c:pt>
                <c:pt idx="5">
                  <c:v>2005</c:v>
                </c:pt>
                <c:pt idx="6">
                  <c:v>2006</c:v>
                </c:pt>
                <c:pt idx="7">
                  <c:v>2007</c:v>
                </c:pt>
              </c:numCache>
            </c:numRef>
          </c:cat>
          <c:val>
            <c:numRef>
              <c:f>Calculos!$C$11:$J$11</c:f>
              <c:numCache>
                <c:formatCode>General</c:formatCode>
                <c:ptCount val="8"/>
                <c:pt idx="0">
                  <c:v>23169</c:v>
                </c:pt>
                <c:pt idx="1">
                  <c:v>22369</c:v>
                </c:pt>
                <c:pt idx="2">
                  <c:v>17442</c:v>
                </c:pt>
                <c:pt idx="3">
                  <c:v>22095</c:v>
                </c:pt>
                <c:pt idx="4">
                  <c:v>24118</c:v>
                </c:pt>
                <c:pt idx="5">
                  <c:v>26752</c:v>
                </c:pt>
                <c:pt idx="6">
                  <c:v>21847</c:v>
                </c:pt>
                <c:pt idx="7">
                  <c:v>17317</c:v>
                </c:pt>
              </c:numCache>
            </c:numRef>
          </c:val>
        </c:ser>
        <c:marker val="1"/>
        <c:axId val="243434240"/>
        <c:axId val="243435776"/>
      </c:lineChart>
      <c:catAx>
        <c:axId val="243434240"/>
        <c:scaling>
          <c:orientation val="minMax"/>
        </c:scaling>
        <c:axPos val="b"/>
        <c:numFmt formatCode="General" sourceLinked="1"/>
        <c:tickLblPos val="nextTo"/>
        <c:spPr>
          <a:ln w="3175">
            <a:solidFill>
              <a:srgbClr val="000000"/>
            </a:solidFill>
            <a:prstDash val="solid"/>
          </a:ln>
        </c:spPr>
        <c:txPr>
          <a:bodyPr rot="0" vert="horz"/>
          <a:lstStyle/>
          <a:p>
            <a:pPr>
              <a:defRPr sz="800" b="0" i="0" u="none" strike="noStrike" baseline="0">
                <a:solidFill>
                  <a:srgbClr val="000000"/>
                </a:solidFill>
                <a:latin typeface="Arial"/>
                <a:ea typeface="Arial"/>
                <a:cs typeface="Arial"/>
              </a:defRPr>
            </a:pPr>
            <a:endParaRPr lang="es-ES"/>
          </a:p>
        </c:txPr>
        <c:crossAx val="243435776"/>
        <c:crosses val="autoZero"/>
        <c:auto val="1"/>
        <c:lblAlgn val="ctr"/>
        <c:lblOffset val="100"/>
        <c:tickLblSkip val="1"/>
        <c:tickMarkSkip val="1"/>
      </c:catAx>
      <c:valAx>
        <c:axId val="243435776"/>
        <c:scaling>
          <c:orientation val="minMax"/>
        </c:scaling>
        <c:axPos val="l"/>
        <c:majorGridlines>
          <c:spPr>
            <a:ln w="3175">
              <a:solidFill>
                <a:srgbClr val="000000"/>
              </a:solidFill>
              <a:prstDash val="solid"/>
            </a:ln>
          </c:spPr>
        </c:majorGridlines>
        <c:numFmt formatCode="General" sourceLinked="1"/>
        <c:tickLblPos val="nextTo"/>
        <c:spPr>
          <a:ln w="3175">
            <a:solidFill>
              <a:srgbClr val="000000"/>
            </a:solidFill>
            <a:prstDash val="solid"/>
          </a:ln>
        </c:spPr>
        <c:txPr>
          <a:bodyPr rot="0" vert="horz"/>
          <a:lstStyle/>
          <a:p>
            <a:pPr>
              <a:defRPr sz="800" b="0" i="0" u="none" strike="noStrike" baseline="0">
                <a:solidFill>
                  <a:srgbClr val="000000"/>
                </a:solidFill>
                <a:latin typeface="Arial"/>
                <a:ea typeface="Arial"/>
                <a:cs typeface="Arial"/>
              </a:defRPr>
            </a:pPr>
            <a:endParaRPr lang="es-ES"/>
          </a:p>
        </c:txPr>
        <c:crossAx val="243434240"/>
        <c:crosses val="autoZero"/>
        <c:crossBetween val="between"/>
      </c:valAx>
      <c:spPr>
        <a:solidFill>
          <a:srgbClr val="C0C0C0"/>
        </a:solidFill>
        <a:ln w="12700">
          <a:solidFill>
            <a:srgbClr val="808080"/>
          </a:solidFill>
          <a:prstDash val="solid"/>
        </a:ln>
      </c:spPr>
    </c:plotArea>
    <c:legend>
      <c:legendPos val="r"/>
      <c:layout>
        <c:manualLayout>
          <c:xMode val="edge"/>
          <c:yMode val="edge"/>
          <c:x val="0.8666666666666667"/>
          <c:y val="0.47979797979797989"/>
          <c:w val="0.12631578947368419"/>
          <c:h val="0.10101010101010102"/>
        </c:manualLayout>
      </c:layout>
      <c:spPr>
        <a:solidFill>
          <a:srgbClr val="FFFFFF"/>
        </a:solidFill>
        <a:ln w="3175">
          <a:solidFill>
            <a:srgbClr val="000000"/>
          </a:solidFill>
          <a:prstDash val="solid"/>
        </a:ln>
      </c:spPr>
      <c:txPr>
        <a:bodyPr/>
        <a:lstStyle/>
        <a:p>
          <a:pPr>
            <a:defRPr sz="735" b="0" i="0" u="none" strike="noStrike" baseline="0">
              <a:solidFill>
                <a:srgbClr val="000000"/>
              </a:solidFill>
              <a:latin typeface="Arial"/>
              <a:ea typeface="Arial"/>
              <a:cs typeface="Arial"/>
            </a:defRPr>
          </a:pPr>
          <a:endParaRPr lang="es-ES"/>
        </a:p>
      </c:txPr>
    </c:legend>
    <c:plotVisOnly val="1"/>
    <c:dispBlanksAs val="gap"/>
  </c:chart>
  <c:spPr>
    <a:solidFill>
      <a:srgbClr val="FFFFFF"/>
    </a:solidFill>
    <a:ln w="3175">
      <a:solidFill>
        <a:srgbClr val="000000"/>
      </a:solidFill>
      <a:prstDash val="solid"/>
    </a:ln>
  </c:spPr>
  <c:txPr>
    <a:bodyPr/>
    <a:lstStyle/>
    <a:p>
      <a:pPr>
        <a:defRPr sz="800" b="0" i="0" u="none" strike="noStrike" baseline="0">
          <a:solidFill>
            <a:srgbClr val="000000"/>
          </a:solidFill>
          <a:latin typeface="Arial"/>
          <a:ea typeface="Arial"/>
          <a:cs typeface="Arial"/>
        </a:defRPr>
      </a:pPr>
      <a:endParaRPr lang="es-ES"/>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825" b="1" i="0" u="none" strike="noStrike" baseline="0">
                <a:solidFill>
                  <a:srgbClr val="000000"/>
                </a:solidFill>
                <a:latin typeface="Arial"/>
                <a:ea typeface="Arial"/>
                <a:cs typeface="Arial"/>
              </a:defRPr>
            </a:pPr>
            <a:r>
              <a:t>Obligaciones</a:t>
            </a:r>
          </a:p>
        </c:rich>
      </c:tx>
      <c:layout>
        <c:manualLayout>
          <c:xMode val="edge"/>
          <c:yMode val="edge"/>
          <c:x val="0.43954248366013082"/>
          <c:y val="1.9047619047619056E-2"/>
        </c:manualLayout>
      </c:layout>
      <c:spPr>
        <a:noFill/>
        <a:ln w="25400">
          <a:noFill/>
        </a:ln>
      </c:spPr>
    </c:title>
    <c:plotArea>
      <c:layout>
        <c:manualLayout>
          <c:layoutTarget val="inner"/>
          <c:xMode val="edge"/>
          <c:yMode val="edge"/>
          <c:x val="0.10130718954248365"/>
          <c:y val="0.23333333333333339"/>
          <c:w val="0.7516339869281049"/>
          <c:h val="0.59047619047619049"/>
        </c:manualLayout>
      </c:layout>
      <c:lineChart>
        <c:grouping val="standard"/>
        <c:ser>
          <c:idx val="0"/>
          <c:order val="0"/>
          <c:spPr>
            <a:ln w="12700">
              <a:solidFill>
                <a:srgbClr val="000080"/>
              </a:solidFill>
              <a:prstDash val="solid"/>
            </a:ln>
          </c:spPr>
          <c:marker>
            <c:symbol val="diamond"/>
            <c:size val="5"/>
            <c:spPr>
              <a:solidFill>
                <a:srgbClr val="000080"/>
              </a:solidFill>
              <a:ln>
                <a:solidFill>
                  <a:srgbClr val="000080"/>
                </a:solidFill>
                <a:prstDash val="solid"/>
              </a:ln>
            </c:spPr>
          </c:marker>
          <c:cat>
            <c:numRef>
              <c:f>Calculos!$C$5:$J$5</c:f>
              <c:numCache>
                <c:formatCode>General</c:formatCode>
                <c:ptCount val="8"/>
                <c:pt idx="0">
                  <c:v>2000</c:v>
                </c:pt>
                <c:pt idx="1">
                  <c:v>2001</c:v>
                </c:pt>
                <c:pt idx="2">
                  <c:v>2002</c:v>
                </c:pt>
                <c:pt idx="3">
                  <c:v>2003</c:v>
                </c:pt>
                <c:pt idx="4">
                  <c:v>2004</c:v>
                </c:pt>
                <c:pt idx="5">
                  <c:v>2005</c:v>
                </c:pt>
                <c:pt idx="6">
                  <c:v>2006</c:v>
                </c:pt>
                <c:pt idx="7">
                  <c:v>2007</c:v>
                </c:pt>
              </c:numCache>
            </c:numRef>
          </c:cat>
          <c:val>
            <c:numRef>
              <c:f>Calculos!$C$8:$J$8</c:f>
              <c:numCache>
                <c:formatCode>General</c:formatCode>
                <c:ptCount val="8"/>
                <c:pt idx="0">
                  <c:v>164416</c:v>
                </c:pt>
                <c:pt idx="1">
                  <c:v>296771</c:v>
                </c:pt>
                <c:pt idx="2">
                  <c:v>490098</c:v>
                </c:pt>
                <c:pt idx="3">
                  <c:v>567528</c:v>
                </c:pt>
                <c:pt idx="4">
                  <c:v>730685</c:v>
                </c:pt>
                <c:pt idx="5">
                  <c:v>781202</c:v>
                </c:pt>
                <c:pt idx="6">
                  <c:v>864394</c:v>
                </c:pt>
                <c:pt idx="7">
                  <c:v>980729</c:v>
                </c:pt>
              </c:numCache>
            </c:numRef>
          </c:val>
        </c:ser>
        <c:marker val="1"/>
        <c:axId val="243459584"/>
        <c:axId val="243461504"/>
      </c:lineChart>
      <c:catAx>
        <c:axId val="243459584"/>
        <c:scaling>
          <c:orientation val="minMax"/>
        </c:scaling>
        <c:axPos val="b"/>
        <c:numFmt formatCode="General" sourceLinked="1"/>
        <c:tickLblPos val="nextTo"/>
        <c:spPr>
          <a:ln w="3175">
            <a:solidFill>
              <a:srgbClr val="000000"/>
            </a:solidFill>
            <a:prstDash val="solid"/>
          </a:ln>
        </c:spPr>
        <c:txPr>
          <a:bodyPr rot="0" vert="horz"/>
          <a:lstStyle/>
          <a:p>
            <a:pPr>
              <a:defRPr sz="800" b="0" i="0" u="none" strike="noStrike" baseline="0">
                <a:solidFill>
                  <a:srgbClr val="000000"/>
                </a:solidFill>
                <a:latin typeface="Arial"/>
                <a:ea typeface="Arial"/>
                <a:cs typeface="Arial"/>
              </a:defRPr>
            </a:pPr>
            <a:endParaRPr lang="es-ES"/>
          </a:p>
        </c:txPr>
        <c:crossAx val="243461504"/>
        <c:crosses val="autoZero"/>
        <c:auto val="1"/>
        <c:lblAlgn val="ctr"/>
        <c:lblOffset val="100"/>
        <c:tickLblSkip val="1"/>
        <c:tickMarkSkip val="1"/>
      </c:catAx>
      <c:valAx>
        <c:axId val="243461504"/>
        <c:scaling>
          <c:orientation val="minMax"/>
        </c:scaling>
        <c:axPos val="l"/>
        <c:majorGridlines>
          <c:spPr>
            <a:ln w="3175">
              <a:solidFill>
                <a:srgbClr val="000000"/>
              </a:solidFill>
              <a:prstDash val="solid"/>
            </a:ln>
          </c:spPr>
        </c:majorGridlines>
        <c:numFmt formatCode="General" sourceLinked="1"/>
        <c:tickLblPos val="nextTo"/>
        <c:spPr>
          <a:ln w="3175">
            <a:solidFill>
              <a:srgbClr val="000000"/>
            </a:solidFill>
            <a:prstDash val="solid"/>
          </a:ln>
        </c:spPr>
        <c:txPr>
          <a:bodyPr rot="0" vert="horz"/>
          <a:lstStyle/>
          <a:p>
            <a:pPr>
              <a:defRPr sz="800" b="0" i="0" u="none" strike="noStrike" baseline="0">
                <a:solidFill>
                  <a:srgbClr val="000000"/>
                </a:solidFill>
                <a:latin typeface="Arial"/>
                <a:ea typeface="Arial"/>
                <a:cs typeface="Arial"/>
              </a:defRPr>
            </a:pPr>
            <a:endParaRPr lang="es-ES"/>
          </a:p>
        </c:txPr>
        <c:crossAx val="243459584"/>
        <c:crosses val="autoZero"/>
        <c:crossBetween val="between"/>
      </c:valAx>
      <c:spPr>
        <a:solidFill>
          <a:srgbClr val="C0C0C0"/>
        </a:solidFill>
        <a:ln w="12700">
          <a:solidFill>
            <a:srgbClr val="808080"/>
          </a:solidFill>
          <a:prstDash val="solid"/>
        </a:ln>
      </c:spPr>
    </c:plotArea>
    <c:legend>
      <c:legendPos val="r"/>
      <c:layout>
        <c:manualLayout>
          <c:xMode val="edge"/>
          <c:yMode val="edge"/>
          <c:x val="0.87091503267973913"/>
          <c:y val="0.48095238095238108"/>
          <c:w val="0.12254901960784308"/>
          <c:h val="9.5238095238095247E-2"/>
        </c:manualLayout>
      </c:layout>
      <c:spPr>
        <a:solidFill>
          <a:srgbClr val="FFFFFF"/>
        </a:solidFill>
        <a:ln w="3175">
          <a:solidFill>
            <a:srgbClr val="000000"/>
          </a:solidFill>
          <a:prstDash val="solid"/>
        </a:ln>
      </c:spPr>
      <c:txPr>
        <a:bodyPr/>
        <a:lstStyle/>
        <a:p>
          <a:pPr>
            <a:defRPr sz="735" b="0" i="0" u="none" strike="noStrike" baseline="0">
              <a:solidFill>
                <a:srgbClr val="000000"/>
              </a:solidFill>
              <a:latin typeface="Arial"/>
              <a:ea typeface="Arial"/>
              <a:cs typeface="Arial"/>
            </a:defRPr>
          </a:pPr>
          <a:endParaRPr lang="es-ES"/>
        </a:p>
      </c:txPr>
    </c:legend>
    <c:plotVisOnly val="1"/>
    <c:dispBlanksAs val="gap"/>
  </c:chart>
  <c:spPr>
    <a:solidFill>
      <a:srgbClr val="FFFFFF"/>
    </a:solidFill>
    <a:ln w="3175">
      <a:solidFill>
        <a:srgbClr val="000000"/>
      </a:solidFill>
      <a:prstDash val="solid"/>
    </a:ln>
  </c:spPr>
  <c:txPr>
    <a:bodyPr/>
    <a:lstStyle/>
    <a:p>
      <a:pPr>
        <a:defRPr sz="800" b="0" i="0" u="none" strike="noStrike" baseline="0">
          <a:solidFill>
            <a:srgbClr val="000000"/>
          </a:solidFill>
          <a:latin typeface="Arial"/>
          <a:ea typeface="Arial"/>
          <a:cs typeface="Arial"/>
        </a:defRPr>
      </a:pPr>
      <a:endParaRPr lang="es-ES"/>
    </a:p>
  </c:tx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799" b="1" i="0" u="none" strike="noStrike" baseline="0">
                <a:solidFill>
                  <a:srgbClr val="000000"/>
                </a:solidFill>
                <a:latin typeface="Arial"/>
                <a:ea typeface="Arial"/>
                <a:cs typeface="Arial"/>
              </a:defRPr>
            </a:pPr>
            <a:r>
              <a:t>Margen Neto Interes</a:t>
            </a:r>
          </a:p>
        </c:rich>
      </c:tx>
      <c:layout>
        <c:manualLayout>
          <c:xMode val="edge"/>
          <c:yMode val="edge"/>
          <c:x val="0.40522875816993476"/>
          <c:y val="2.150537634408603E-2"/>
        </c:manualLayout>
      </c:layout>
      <c:spPr>
        <a:noFill/>
        <a:ln w="25356">
          <a:noFill/>
        </a:ln>
      </c:spPr>
    </c:title>
    <c:plotArea>
      <c:layout>
        <c:manualLayout>
          <c:layoutTarget val="inner"/>
          <c:xMode val="edge"/>
          <c:yMode val="edge"/>
          <c:x val="8.1699346405228773E-2"/>
          <c:y val="0.25806451612903231"/>
          <c:w val="0.77124183006535985"/>
          <c:h val="0.54301075268817245"/>
        </c:manualLayout>
      </c:layout>
      <c:lineChart>
        <c:grouping val="standard"/>
        <c:ser>
          <c:idx val="0"/>
          <c:order val="0"/>
          <c:spPr>
            <a:ln w="12678">
              <a:solidFill>
                <a:srgbClr val="000080"/>
              </a:solidFill>
              <a:prstDash val="solid"/>
            </a:ln>
          </c:spPr>
          <c:marker>
            <c:symbol val="diamond"/>
            <c:size val="4"/>
            <c:spPr>
              <a:solidFill>
                <a:srgbClr val="000080"/>
              </a:solidFill>
              <a:ln>
                <a:solidFill>
                  <a:srgbClr val="000080"/>
                </a:solidFill>
                <a:prstDash val="solid"/>
              </a:ln>
            </c:spPr>
          </c:marker>
          <c:cat>
            <c:numRef>
              <c:f>Calculos!$C$5:$J$5</c:f>
              <c:numCache>
                <c:formatCode>General</c:formatCode>
                <c:ptCount val="8"/>
                <c:pt idx="0">
                  <c:v>2000</c:v>
                </c:pt>
                <c:pt idx="1">
                  <c:v>2001</c:v>
                </c:pt>
                <c:pt idx="2">
                  <c:v>2002</c:v>
                </c:pt>
                <c:pt idx="3">
                  <c:v>2003</c:v>
                </c:pt>
                <c:pt idx="4">
                  <c:v>2004</c:v>
                </c:pt>
                <c:pt idx="5">
                  <c:v>2005</c:v>
                </c:pt>
                <c:pt idx="6">
                  <c:v>2006</c:v>
                </c:pt>
                <c:pt idx="7">
                  <c:v>2007</c:v>
                </c:pt>
              </c:numCache>
            </c:numRef>
          </c:cat>
          <c:val>
            <c:numRef>
              <c:f>Calculos!$C$13:$J$13</c:f>
              <c:numCache>
                <c:formatCode>General</c:formatCode>
                <c:ptCount val="8"/>
                <c:pt idx="0">
                  <c:v>17189</c:v>
                </c:pt>
                <c:pt idx="1">
                  <c:v>26273</c:v>
                </c:pt>
                <c:pt idx="2">
                  <c:v>37004</c:v>
                </c:pt>
                <c:pt idx="3">
                  <c:v>37753</c:v>
                </c:pt>
                <c:pt idx="4">
                  <c:v>35157</c:v>
                </c:pt>
                <c:pt idx="5">
                  <c:v>42869</c:v>
                </c:pt>
                <c:pt idx="6">
                  <c:v>52101</c:v>
                </c:pt>
                <c:pt idx="7">
                  <c:v>61100</c:v>
                </c:pt>
              </c:numCache>
            </c:numRef>
          </c:val>
        </c:ser>
        <c:marker val="1"/>
        <c:axId val="243845760"/>
        <c:axId val="243999488"/>
      </c:lineChart>
      <c:catAx>
        <c:axId val="243845760"/>
        <c:scaling>
          <c:orientation val="minMax"/>
        </c:scaling>
        <c:axPos val="b"/>
        <c:numFmt formatCode="General" sourceLinked="1"/>
        <c:tickLblPos val="nextTo"/>
        <c:spPr>
          <a:ln w="3169">
            <a:solidFill>
              <a:srgbClr val="000000"/>
            </a:solidFill>
            <a:prstDash val="solid"/>
          </a:ln>
        </c:spPr>
        <c:txPr>
          <a:bodyPr rot="0" vert="horz"/>
          <a:lstStyle/>
          <a:p>
            <a:pPr>
              <a:defRPr sz="799" b="0" i="0" u="none" strike="noStrike" baseline="0">
                <a:solidFill>
                  <a:srgbClr val="000000"/>
                </a:solidFill>
                <a:latin typeface="Arial"/>
                <a:ea typeface="Arial"/>
                <a:cs typeface="Arial"/>
              </a:defRPr>
            </a:pPr>
            <a:endParaRPr lang="es-ES"/>
          </a:p>
        </c:txPr>
        <c:crossAx val="243999488"/>
        <c:crosses val="autoZero"/>
        <c:auto val="1"/>
        <c:lblAlgn val="ctr"/>
        <c:lblOffset val="100"/>
        <c:tickLblSkip val="1"/>
        <c:tickMarkSkip val="1"/>
      </c:catAx>
      <c:valAx>
        <c:axId val="243999488"/>
        <c:scaling>
          <c:orientation val="minMax"/>
        </c:scaling>
        <c:axPos val="l"/>
        <c:majorGridlines>
          <c:spPr>
            <a:ln w="3169">
              <a:solidFill>
                <a:srgbClr val="000000"/>
              </a:solidFill>
              <a:prstDash val="solid"/>
            </a:ln>
          </c:spPr>
        </c:majorGridlines>
        <c:numFmt formatCode="General" sourceLinked="1"/>
        <c:tickLblPos val="nextTo"/>
        <c:spPr>
          <a:ln w="3169">
            <a:solidFill>
              <a:srgbClr val="000000"/>
            </a:solidFill>
            <a:prstDash val="solid"/>
          </a:ln>
        </c:spPr>
        <c:txPr>
          <a:bodyPr rot="0" vert="horz"/>
          <a:lstStyle/>
          <a:p>
            <a:pPr>
              <a:defRPr sz="799" b="0" i="0" u="none" strike="noStrike" baseline="0">
                <a:solidFill>
                  <a:srgbClr val="000000"/>
                </a:solidFill>
                <a:latin typeface="Arial"/>
                <a:ea typeface="Arial"/>
                <a:cs typeface="Arial"/>
              </a:defRPr>
            </a:pPr>
            <a:endParaRPr lang="es-ES"/>
          </a:p>
        </c:txPr>
        <c:crossAx val="243845760"/>
        <c:crosses val="autoZero"/>
        <c:crossBetween val="between"/>
      </c:valAx>
      <c:spPr>
        <a:solidFill>
          <a:srgbClr val="C0C0C0"/>
        </a:solidFill>
        <a:ln w="12678">
          <a:solidFill>
            <a:srgbClr val="808080"/>
          </a:solidFill>
          <a:prstDash val="solid"/>
        </a:ln>
      </c:spPr>
    </c:plotArea>
    <c:legend>
      <c:legendPos val="r"/>
      <c:layout>
        <c:manualLayout>
          <c:xMode val="edge"/>
          <c:yMode val="edge"/>
          <c:x val="0.87091503267973913"/>
          <c:y val="0.47849462365591411"/>
          <c:w val="0.12254901960784308"/>
          <c:h val="0.10752688172043016"/>
        </c:manualLayout>
      </c:layout>
      <c:spPr>
        <a:solidFill>
          <a:srgbClr val="FFFFFF"/>
        </a:solidFill>
        <a:ln w="3169">
          <a:solidFill>
            <a:srgbClr val="000000"/>
          </a:solidFill>
          <a:prstDash val="solid"/>
        </a:ln>
      </c:spPr>
      <c:txPr>
        <a:bodyPr/>
        <a:lstStyle/>
        <a:p>
          <a:pPr>
            <a:defRPr sz="734" b="0" i="0" u="none" strike="noStrike" baseline="0">
              <a:solidFill>
                <a:srgbClr val="000000"/>
              </a:solidFill>
              <a:latin typeface="Arial"/>
              <a:ea typeface="Arial"/>
              <a:cs typeface="Arial"/>
            </a:defRPr>
          </a:pPr>
          <a:endParaRPr lang="es-ES"/>
        </a:p>
      </c:txPr>
    </c:legend>
    <c:plotVisOnly val="1"/>
    <c:dispBlanksAs val="gap"/>
  </c:chart>
  <c:spPr>
    <a:solidFill>
      <a:srgbClr val="FFFFFF"/>
    </a:solidFill>
    <a:ln w="3169">
      <a:solidFill>
        <a:srgbClr val="000000"/>
      </a:solidFill>
      <a:prstDash val="solid"/>
    </a:ln>
  </c:spPr>
  <c:txPr>
    <a:bodyPr/>
    <a:lstStyle/>
    <a:p>
      <a:pPr>
        <a:defRPr sz="799" b="0" i="0" u="none" strike="noStrike" baseline="0">
          <a:solidFill>
            <a:srgbClr val="000000"/>
          </a:solidFill>
          <a:latin typeface="Arial"/>
          <a:ea typeface="Arial"/>
          <a:cs typeface="Arial"/>
        </a:defRPr>
      </a:pPr>
      <a:endParaRPr lang="es-ES"/>
    </a:p>
  </c:tx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800" b="1" i="0" u="none" strike="noStrike" baseline="0">
                <a:solidFill>
                  <a:srgbClr val="000000"/>
                </a:solidFill>
                <a:latin typeface="Arial"/>
                <a:ea typeface="Arial"/>
                <a:cs typeface="Arial"/>
              </a:defRPr>
            </a:pPr>
            <a:r>
              <a:t>Comisiones Netas</a:t>
            </a:r>
          </a:p>
        </c:rich>
      </c:tx>
      <c:layout>
        <c:manualLayout>
          <c:xMode val="edge"/>
          <c:yMode val="edge"/>
          <c:x val="0.41503267973856223"/>
          <c:y val="2.150537634408603E-2"/>
        </c:manualLayout>
      </c:layout>
      <c:spPr>
        <a:noFill/>
        <a:ln w="25400">
          <a:noFill/>
        </a:ln>
      </c:spPr>
    </c:title>
    <c:plotArea>
      <c:layout>
        <c:manualLayout>
          <c:layoutTarget val="inner"/>
          <c:xMode val="edge"/>
          <c:yMode val="edge"/>
          <c:x val="8.1699346405228773E-2"/>
          <c:y val="0.25806451612903231"/>
          <c:w val="0.77124183006535985"/>
          <c:h val="0.54301075268817245"/>
        </c:manualLayout>
      </c:layout>
      <c:lineChart>
        <c:grouping val="standard"/>
        <c:ser>
          <c:idx val="0"/>
          <c:order val="0"/>
          <c:spPr>
            <a:ln w="12700">
              <a:solidFill>
                <a:srgbClr val="000080"/>
              </a:solidFill>
              <a:prstDash val="solid"/>
            </a:ln>
          </c:spPr>
          <c:marker>
            <c:symbol val="diamond"/>
            <c:size val="5"/>
            <c:spPr>
              <a:solidFill>
                <a:srgbClr val="000080"/>
              </a:solidFill>
              <a:ln>
                <a:solidFill>
                  <a:srgbClr val="000080"/>
                </a:solidFill>
                <a:prstDash val="solid"/>
              </a:ln>
            </c:spPr>
          </c:marker>
          <c:cat>
            <c:numRef>
              <c:f>Calculos!$C$5:$J$5</c:f>
              <c:numCache>
                <c:formatCode>General</c:formatCode>
                <c:ptCount val="8"/>
                <c:pt idx="0">
                  <c:v>2000</c:v>
                </c:pt>
                <c:pt idx="1">
                  <c:v>2001</c:v>
                </c:pt>
                <c:pt idx="2">
                  <c:v>2002</c:v>
                </c:pt>
                <c:pt idx="3">
                  <c:v>2003</c:v>
                </c:pt>
                <c:pt idx="4">
                  <c:v>2004</c:v>
                </c:pt>
                <c:pt idx="5">
                  <c:v>2005</c:v>
                </c:pt>
                <c:pt idx="6">
                  <c:v>2006</c:v>
                </c:pt>
                <c:pt idx="7">
                  <c:v>2007</c:v>
                </c:pt>
              </c:numCache>
            </c:numRef>
          </c:cat>
          <c:val>
            <c:numRef>
              <c:f>Calculos!$C$14:$J$14</c:f>
              <c:numCache>
                <c:formatCode>General</c:formatCode>
                <c:ptCount val="8"/>
                <c:pt idx="0">
                  <c:v>4828</c:v>
                </c:pt>
                <c:pt idx="1">
                  <c:v>8784</c:v>
                </c:pt>
                <c:pt idx="2">
                  <c:v>12031</c:v>
                </c:pt>
                <c:pt idx="3">
                  <c:v>15191</c:v>
                </c:pt>
                <c:pt idx="4">
                  <c:v>16291</c:v>
                </c:pt>
                <c:pt idx="5">
                  <c:v>17562</c:v>
                </c:pt>
                <c:pt idx="6">
                  <c:v>18276</c:v>
                </c:pt>
                <c:pt idx="7">
                  <c:v>18318</c:v>
                </c:pt>
              </c:numCache>
            </c:numRef>
          </c:val>
        </c:ser>
        <c:marker val="1"/>
        <c:axId val="244047872"/>
        <c:axId val="244049792"/>
      </c:lineChart>
      <c:catAx>
        <c:axId val="244047872"/>
        <c:scaling>
          <c:orientation val="minMax"/>
        </c:scaling>
        <c:axPos val="b"/>
        <c:numFmt formatCode="General" sourceLinked="1"/>
        <c:tickLblPos val="nextTo"/>
        <c:spPr>
          <a:ln w="3175">
            <a:solidFill>
              <a:srgbClr val="000000"/>
            </a:solidFill>
            <a:prstDash val="solid"/>
          </a:ln>
        </c:spPr>
        <c:txPr>
          <a:bodyPr rot="0" vert="horz"/>
          <a:lstStyle/>
          <a:p>
            <a:pPr>
              <a:defRPr sz="800" b="0" i="0" u="none" strike="noStrike" baseline="0">
                <a:solidFill>
                  <a:srgbClr val="000000"/>
                </a:solidFill>
                <a:latin typeface="Arial"/>
                <a:ea typeface="Arial"/>
                <a:cs typeface="Arial"/>
              </a:defRPr>
            </a:pPr>
            <a:endParaRPr lang="es-ES"/>
          </a:p>
        </c:txPr>
        <c:crossAx val="244049792"/>
        <c:crosses val="autoZero"/>
        <c:auto val="1"/>
        <c:lblAlgn val="ctr"/>
        <c:lblOffset val="100"/>
        <c:tickLblSkip val="1"/>
        <c:tickMarkSkip val="1"/>
      </c:catAx>
      <c:valAx>
        <c:axId val="244049792"/>
        <c:scaling>
          <c:orientation val="minMax"/>
        </c:scaling>
        <c:axPos val="l"/>
        <c:majorGridlines>
          <c:spPr>
            <a:ln w="3175">
              <a:solidFill>
                <a:srgbClr val="000000"/>
              </a:solidFill>
              <a:prstDash val="solid"/>
            </a:ln>
          </c:spPr>
        </c:majorGridlines>
        <c:numFmt formatCode="General" sourceLinked="1"/>
        <c:tickLblPos val="nextTo"/>
        <c:spPr>
          <a:ln w="3175">
            <a:solidFill>
              <a:srgbClr val="000000"/>
            </a:solidFill>
            <a:prstDash val="solid"/>
          </a:ln>
        </c:spPr>
        <c:txPr>
          <a:bodyPr rot="0" vert="horz"/>
          <a:lstStyle/>
          <a:p>
            <a:pPr>
              <a:defRPr sz="800" b="0" i="0" u="none" strike="noStrike" baseline="0">
                <a:solidFill>
                  <a:srgbClr val="000000"/>
                </a:solidFill>
                <a:latin typeface="Arial"/>
                <a:ea typeface="Arial"/>
                <a:cs typeface="Arial"/>
              </a:defRPr>
            </a:pPr>
            <a:endParaRPr lang="es-ES"/>
          </a:p>
        </c:txPr>
        <c:crossAx val="244047872"/>
        <c:crosses val="autoZero"/>
        <c:crossBetween val="between"/>
      </c:valAx>
      <c:spPr>
        <a:solidFill>
          <a:srgbClr val="C0C0C0"/>
        </a:solidFill>
        <a:ln w="12700">
          <a:solidFill>
            <a:srgbClr val="808080"/>
          </a:solidFill>
          <a:prstDash val="solid"/>
        </a:ln>
      </c:spPr>
    </c:plotArea>
    <c:legend>
      <c:legendPos val="r"/>
      <c:layout>
        <c:manualLayout>
          <c:xMode val="edge"/>
          <c:yMode val="edge"/>
          <c:x val="0.87091503267973913"/>
          <c:y val="0.47849462365591411"/>
          <c:w val="0.12254901960784308"/>
          <c:h val="0.10752688172043016"/>
        </c:manualLayout>
      </c:layout>
      <c:spPr>
        <a:solidFill>
          <a:srgbClr val="FFFFFF"/>
        </a:solidFill>
        <a:ln w="3175">
          <a:solidFill>
            <a:srgbClr val="000000"/>
          </a:solidFill>
          <a:prstDash val="solid"/>
        </a:ln>
      </c:spPr>
      <c:txPr>
        <a:bodyPr/>
        <a:lstStyle/>
        <a:p>
          <a:pPr>
            <a:defRPr sz="735" b="0" i="0" u="none" strike="noStrike" baseline="0">
              <a:solidFill>
                <a:srgbClr val="000000"/>
              </a:solidFill>
              <a:latin typeface="Arial"/>
              <a:ea typeface="Arial"/>
              <a:cs typeface="Arial"/>
            </a:defRPr>
          </a:pPr>
          <a:endParaRPr lang="es-ES"/>
        </a:p>
      </c:txPr>
    </c:legend>
    <c:plotVisOnly val="1"/>
    <c:dispBlanksAs val="gap"/>
  </c:chart>
  <c:spPr>
    <a:solidFill>
      <a:srgbClr val="FFFFFF"/>
    </a:solidFill>
    <a:ln w="3175">
      <a:solidFill>
        <a:srgbClr val="000000"/>
      </a:solidFill>
      <a:prstDash val="solid"/>
    </a:ln>
  </c:spPr>
  <c:txPr>
    <a:bodyPr/>
    <a:lstStyle/>
    <a:p>
      <a:pPr>
        <a:defRPr sz="800" b="0" i="0" u="none" strike="noStrike" baseline="0">
          <a:solidFill>
            <a:srgbClr val="000000"/>
          </a:solidFill>
          <a:latin typeface="Arial"/>
          <a:ea typeface="Arial"/>
          <a:cs typeface="Arial"/>
        </a:defRPr>
      </a:pPr>
      <a:endParaRPr lang="es-ES"/>
    </a:p>
  </c:tx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800" b="1" i="0" u="none" strike="noStrike" baseline="0">
                <a:solidFill>
                  <a:srgbClr val="000000"/>
                </a:solidFill>
                <a:latin typeface="Arial"/>
                <a:ea typeface="Arial"/>
                <a:cs typeface="Arial"/>
              </a:defRPr>
            </a:pPr>
            <a:r>
              <a:t>Ingresos por Servicios</a:t>
            </a:r>
          </a:p>
        </c:rich>
      </c:tx>
      <c:layout>
        <c:manualLayout>
          <c:xMode val="edge"/>
          <c:yMode val="edge"/>
          <c:x val="0.39379084967320271"/>
          <c:y val="1.7241379310344827E-2"/>
        </c:manualLayout>
      </c:layout>
      <c:spPr>
        <a:noFill/>
        <a:ln w="25400">
          <a:noFill/>
        </a:ln>
      </c:spPr>
    </c:title>
    <c:plotArea>
      <c:layout>
        <c:manualLayout>
          <c:layoutTarget val="inner"/>
          <c:xMode val="edge"/>
          <c:yMode val="edge"/>
          <c:x val="6.8627450980392163E-2"/>
          <c:y val="0.25862068965517254"/>
          <c:w val="0.8088235294117645"/>
          <c:h val="0.57471264367816111"/>
        </c:manualLayout>
      </c:layout>
      <c:lineChart>
        <c:grouping val="standard"/>
        <c:ser>
          <c:idx val="0"/>
          <c:order val="0"/>
          <c:spPr>
            <a:ln w="12700">
              <a:solidFill>
                <a:srgbClr val="000080"/>
              </a:solidFill>
              <a:prstDash val="solid"/>
            </a:ln>
          </c:spPr>
          <c:marker>
            <c:symbol val="diamond"/>
            <c:size val="5"/>
            <c:spPr>
              <a:solidFill>
                <a:srgbClr val="000080"/>
              </a:solidFill>
              <a:ln>
                <a:solidFill>
                  <a:srgbClr val="000080"/>
                </a:solidFill>
                <a:prstDash val="solid"/>
              </a:ln>
            </c:spPr>
          </c:marker>
          <c:cat>
            <c:numRef>
              <c:f>Calculos!$C$5:$J$5</c:f>
              <c:numCache>
                <c:formatCode>General</c:formatCode>
                <c:ptCount val="8"/>
                <c:pt idx="0">
                  <c:v>2000</c:v>
                </c:pt>
                <c:pt idx="1">
                  <c:v>2001</c:v>
                </c:pt>
                <c:pt idx="2">
                  <c:v>2002</c:v>
                </c:pt>
                <c:pt idx="3">
                  <c:v>2003</c:v>
                </c:pt>
                <c:pt idx="4">
                  <c:v>2004</c:v>
                </c:pt>
                <c:pt idx="5">
                  <c:v>2005</c:v>
                </c:pt>
                <c:pt idx="6">
                  <c:v>2006</c:v>
                </c:pt>
                <c:pt idx="7">
                  <c:v>2007</c:v>
                </c:pt>
              </c:numCache>
            </c:numRef>
          </c:cat>
          <c:val>
            <c:numRef>
              <c:f>Calculos!$C$15:$J$15</c:f>
              <c:numCache>
                <c:formatCode>General</c:formatCode>
                <c:ptCount val="8"/>
                <c:pt idx="0">
                  <c:v>1421</c:v>
                </c:pt>
                <c:pt idx="1">
                  <c:v>3258</c:v>
                </c:pt>
                <c:pt idx="2">
                  <c:v>262</c:v>
                </c:pt>
                <c:pt idx="3">
                  <c:v>591</c:v>
                </c:pt>
                <c:pt idx="4">
                  <c:v>3570</c:v>
                </c:pt>
                <c:pt idx="5">
                  <c:v>20325</c:v>
                </c:pt>
                <c:pt idx="6">
                  <c:v>22627</c:v>
                </c:pt>
                <c:pt idx="7">
                  <c:v>22139</c:v>
                </c:pt>
              </c:numCache>
            </c:numRef>
          </c:val>
        </c:ser>
        <c:marker val="1"/>
        <c:axId val="244278400"/>
        <c:axId val="244280320"/>
      </c:lineChart>
      <c:catAx>
        <c:axId val="244278400"/>
        <c:scaling>
          <c:orientation val="minMax"/>
        </c:scaling>
        <c:axPos val="b"/>
        <c:numFmt formatCode="General" sourceLinked="1"/>
        <c:tickLblPos val="nextTo"/>
        <c:spPr>
          <a:ln w="3175">
            <a:solidFill>
              <a:srgbClr val="000000"/>
            </a:solidFill>
            <a:prstDash val="solid"/>
          </a:ln>
        </c:spPr>
        <c:txPr>
          <a:bodyPr rot="0" vert="horz"/>
          <a:lstStyle/>
          <a:p>
            <a:pPr>
              <a:defRPr sz="575" b="0" i="0" u="none" strike="noStrike" baseline="0">
                <a:solidFill>
                  <a:srgbClr val="000000"/>
                </a:solidFill>
                <a:latin typeface="Arial"/>
                <a:ea typeface="Arial"/>
                <a:cs typeface="Arial"/>
              </a:defRPr>
            </a:pPr>
            <a:endParaRPr lang="es-ES"/>
          </a:p>
        </c:txPr>
        <c:crossAx val="244280320"/>
        <c:crosses val="autoZero"/>
        <c:auto val="1"/>
        <c:lblAlgn val="ctr"/>
        <c:lblOffset val="100"/>
        <c:tickLblSkip val="1"/>
        <c:tickMarkSkip val="1"/>
      </c:catAx>
      <c:valAx>
        <c:axId val="244280320"/>
        <c:scaling>
          <c:orientation val="minMax"/>
        </c:scaling>
        <c:axPos val="l"/>
        <c:majorGridlines>
          <c:spPr>
            <a:ln w="3175">
              <a:solidFill>
                <a:srgbClr val="000000"/>
              </a:solidFill>
              <a:prstDash val="solid"/>
            </a:ln>
          </c:spPr>
        </c:majorGridlines>
        <c:numFmt formatCode="General" sourceLinked="1"/>
        <c:tickLblPos val="nextTo"/>
        <c:spPr>
          <a:ln w="3175">
            <a:solidFill>
              <a:srgbClr val="000000"/>
            </a:solidFill>
            <a:prstDash val="solid"/>
          </a:ln>
        </c:spPr>
        <c:txPr>
          <a:bodyPr rot="0" vert="horz"/>
          <a:lstStyle/>
          <a:p>
            <a:pPr>
              <a:defRPr sz="575" b="0" i="0" u="none" strike="noStrike" baseline="0">
                <a:solidFill>
                  <a:srgbClr val="000000"/>
                </a:solidFill>
                <a:latin typeface="Arial"/>
                <a:ea typeface="Arial"/>
                <a:cs typeface="Arial"/>
              </a:defRPr>
            </a:pPr>
            <a:endParaRPr lang="es-ES"/>
          </a:p>
        </c:txPr>
        <c:crossAx val="244278400"/>
        <c:crosses val="autoZero"/>
        <c:crossBetween val="between"/>
      </c:valAx>
      <c:spPr>
        <a:solidFill>
          <a:srgbClr val="C0C0C0"/>
        </a:solidFill>
        <a:ln w="12700">
          <a:solidFill>
            <a:srgbClr val="808080"/>
          </a:solidFill>
          <a:prstDash val="solid"/>
        </a:ln>
      </c:spPr>
    </c:plotArea>
    <c:legend>
      <c:legendPos val="r"/>
      <c:layout>
        <c:manualLayout>
          <c:xMode val="edge"/>
          <c:yMode val="edge"/>
          <c:x val="0.89542483660130745"/>
          <c:y val="0.50574712643678188"/>
          <c:w val="9.8039215686274508E-2"/>
          <c:h val="8.0459770114942528E-2"/>
        </c:manualLayout>
      </c:layout>
      <c:spPr>
        <a:solidFill>
          <a:srgbClr val="FFFFFF"/>
        </a:solidFill>
        <a:ln w="3175">
          <a:solidFill>
            <a:srgbClr val="000000"/>
          </a:solidFill>
          <a:prstDash val="solid"/>
        </a:ln>
      </c:spPr>
      <c:txPr>
        <a:bodyPr/>
        <a:lstStyle/>
        <a:p>
          <a:pPr>
            <a:defRPr sz="525" b="0" i="0" u="none" strike="noStrike" baseline="0">
              <a:solidFill>
                <a:srgbClr val="000000"/>
              </a:solidFill>
              <a:latin typeface="Arial"/>
              <a:ea typeface="Arial"/>
              <a:cs typeface="Arial"/>
            </a:defRPr>
          </a:pPr>
          <a:endParaRPr lang="es-ES"/>
        </a:p>
      </c:txPr>
    </c:legend>
    <c:plotVisOnly val="1"/>
    <c:dispBlanksAs val="gap"/>
  </c:chart>
  <c:spPr>
    <a:solidFill>
      <a:srgbClr val="FFFFFF"/>
    </a:solidFill>
    <a:ln w="3175">
      <a:solidFill>
        <a:srgbClr val="000000"/>
      </a:solidFill>
      <a:prstDash val="solid"/>
    </a:ln>
  </c:spPr>
  <c:txPr>
    <a:bodyPr/>
    <a:lstStyle/>
    <a:p>
      <a:pPr>
        <a:defRPr sz="575" b="0" i="0" u="none" strike="noStrike" baseline="0">
          <a:solidFill>
            <a:srgbClr val="000000"/>
          </a:solidFill>
          <a:latin typeface="Arial"/>
          <a:ea typeface="Arial"/>
          <a:cs typeface="Arial"/>
        </a:defRPr>
      </a:pPr>
      <a:endParaRPr lang="es-ES"/>
    </a:p>
  </c:txPr>
  <c:externalData r:id="rId1"/>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AF4171F-B41D-447A-B5B0-0D299AB5CC06}" type="doc">
      <dgm:prSet loTypeId="urn:microsoft.com/office/officeart/2005/8/layout/orgChart1" loCatId="hierarchy" qsTypeId="urn:microsoft.com/office/officeart/2005/8/quickstyle/simple3" qsCatId="simple" csTypeId="urn:microsoft.com/office/officeart/2005/8/colors/accent1_2" csCatId="accent1" phldr="1"/>
      <dgm:spPr/>
      <dgm:t>
        <a:bodyPr/>
        <a:lstStyle/>
        <a:p>
          <a:endParaRPr lang="es-EC"/>
        </a:p>
      </dgm:t>
    </dgm:pt>
    <dgm:pt modelId="{4C2ED1A1-AFAE-43FA-834B-3CCA3A3D00BC}">
      <dgm:prSet phldrT="[Texto]"/>
      <dgm:spPr/>
      <dgm:t>
        <a:bodyPr/>
        <a:lstStyle/>
        <a:p>
          <a:r>
            <a:rPr lang="es-EC" dirty="0" smtClean="0"/>
            <a:t>Junta General de Accionistas</a:t>
          </a:r>
          <a:endParaRPr lang="es-EC" dirty="0"/>
        </a:p>
      </dgm:t>
    </dgm:pt>
    <dgm:pt modelId="{632E43DD-7C8C-48EC-984D-1D712311E6D9}" type="parTrans" cxnId="{72E85A13-F90B-4E9C-AF8C-31DC4861AE46}">
      <dgm:prSet/>
      <dgm:spPr/>
      <dgm:t>
        <a:bodyPr/>
        <a:lstStyle/>
        <a:p>
          <a:endParaRPr lang="es-EC"/>
        </a:p>
      </dgm:t>
    </dgm:pt>
    <dgm:pt modelId="{F02B0F4A-2ED7-4975-9584-9F562524F01D}" type="sibTrans" cxnId="{72E85A13-F90B-4E9C-AF8C-31DC4861AE46}">
      <dgm:prSet/>
      <dgm:spPr/>
      <dgm:t>
        <a:bodyPr/>
        <a:lstStyle/>
        <a:p>
          <a:endParaRPr lang="es-EC"/>
        </a:p>
      </dgm:t>
    </dgm:pt>
    <dgm:pt modelId="{8DEB4F51-6977-4A05-8DC9-950A350127DC}" type="asst">
      <dgm:prSet phldrT="[Texto]"/>
      <dgm:spPr/>
      <dgm:t>
        <a:bodyPr/>
        <a:lstStyle/>
        <a:p>
          <a:r>
            <a:rPr lang="es-EC" dirty="0" smtClean="0"/>
            <a:t>Auditor</a:t>
          </a:r>
          <a:endParaRPr lang="es-EC" dirty="0"/>
        </a:p>
      </dgm:t>
    </dgm:pt>
    <dgm:pt modelId="{7BD7CD96-C507-44DA-8877-9DD5F3EF88DB}" type="parTrans" cxnId="{B4D35621-2188-4A86-AB66-8D8CB4468BFB}">
      <dgm:prSet/>
      <dgm:spPr/>
      <dgm:t>
        <a:bodyPr/>
        <a:lstStyle/>
        <a:p>
          <a:endParaRPr lang="es-EC"/>
        </a:p>
      </dgm:t>
    </dgm:pt>
    <dgm:pt modelId="{41D6FD43-1AFF-42BB-B952-FB1C5559B4C7}" type="sibTrans" cxnId="{B4D35621-2188-4A86-AB66-8D8CB4468BFB}">
      <dgm:prSet/>
      <dgm:spPr/>
      <dgm:t>
        <a:bodyPr/>
        <a:lstStyle/>
        <a:p>
          <a:endParaRPr lang="es-EC"/>
        </a:p>
      </dgm:t>
    </dgm:pt>
    <dgm:pt modelId="{E031C2C1-2948-4D68-96BF-8DB02FCEAE48}">
      <dgm:prSet phldrT="[Texto]"/>
      <dgm:spPr/>
      <dgm:t>
        <a:bodyPr/>
        <a:lstStyle/>
        <a:p>
          <a:r>
            <a:rPr lang="es-EC" dirty="0" smtClean="0"/>
            <a:t>Oficina de la Presidencia </a:t>
          </a:r>
        </a:p>
        <a:p>
          <a:r>
            <a:rPr lang="es-EC" dirty="0" smtClean="0"/>
            <a:t>Presidente Ejecutivo</a:t>
          </a:r>
        </a:p>
        <a:p>
          <a:r>
            <a:rPr lang="es-EC" dirty="0" err="1" smtClean="0"/>
            <a:t>Vicepresencia</a:t>
          </a:r>
          <a:endParaRPr lang="es-EC" dirty="0"/>
        </a:p>
      </dgm:t>
    </dgm:pt>
    <dgm:pt modelId="{20C04D0A-F997-4309-8C50-B247C68CF137}" type="parTrans" cxnId="{5E254B8D-A441-49A1-A102-6012A145E0C7}">
      <dgm:prSet/>
      <dgm:spPr/>
      <dgm:t>
        <a:bodyPr/>
        <a:lstStyle/>
        <a:p>
          <a:endParaRPr lang="es-EC"/>
        </a:p>
      </dgm:t>
    </dgm:pt>
    <dgm:pt modelId="{83213DDD-38A2-4CC0-BDAF-405E6C77C20A}" type="sibTrans" cxnId="{5E254B8D-A441-49A1-A102-6012A145E0C7}">
      <dgm:prSet/>
      <dgm:spPr/>
      <dgm:t>
        <a:bodyPr/>
        <a:lstStyle/>
        <a:p>
          <a:endParaRPr lang="es-EC"/>
        </a:p>
      </dgm:t>
    </dgm:pt>
    <dgm:pt modelId="{2760DAFB-3585-41B7-901D-50801739477F}">
      <dgm:prSet/>
      <dgm:spPr/>
      <dgm:t>
        <a:bodyPr/>
        <a:lstStyle/>
        <a:p>
          <a:r>
            <a:rPr lang="es-EC" dirty="0" smtClean="0"/>
            <a:t>Directorio</a:t>
          </a:r>
          <a:endParaRPr lang="es-EC" dirty="0"/>
        </a:p>
      </dgm:t>
    </dgm:pt>
    <dgm:pt modelId="{9A9775F1-1A6B-44FA-9603-3AD7386A92AF}" type="parTrans" cxnId="{1067561E-C842-4F91-A81B-7F00B453737A}">
      <dgm:prSet/>
      <dgm:spPr/>
      <dgm:t>
        <a:bodyPr/>
        <a:lstStyle/>
        <a:p>
          <a:endParaRPr lang="es-EC"/>
        </a:p>
      </dgm:t>
    </dgm:pt>
    <dgm:pt modelId="{BC10B53B-B87E-4518-9407-B16983BBF7D1}" type="sibTrans" cxnId="{1067561E-C842-4F91-A81B-7F00B453737A}">
      <dgm:prSet/>
      <dgm:spPr/>
      <dgm:t>
        <a:bodyPr/>
        <a:lstStyle/>
        <a:p>
          <a:endParaRPr lang="es-EC"/>
        </a:p>
      </dgm:t>
    </dgm:pt>
    <dgm:pt modelId="{ED41B5A6-A663-440A-8E29-F9006701A3A7}" type="asst">
      <dgm:prSet/>
      <dgm:spPr/>
      <dgm:t>
        <a:bodyPr/>
        <a:lstStyle/>
        <a:p>
          <a:r>
            <a:rPr lang="es-EC" dirty="0" smtClean="0"/>
            <a:t>Consejos Consultivos Sucursales</a:t>
          </a:r>
          <a:endParaRPr lang="es-EC" dirty="0"/>
        </a:p>
      </dgm:t>
    </dgm:pt>
    <dgm:pt modelId="{02EE61AC-35A0-47DA-A764-9CF7523E029D}" type="parTrans" cxnId="{56F6AE0F-9E1D-47FD-9B96-11D85A76FCB2}">
      <dgm:prSet/>
      <dgm:spPr/>
      <dgm:t>
        <a:bodyPr/>
        <a:lstStyle/>
        <a:p>
          <a:endParaRPr lang="es-EC"/>
        </a:p>
      </dgm:t>
    </dgm:pt>
    <dgm:pt modelId="{D4CC536E-4839-4DBF-B5D6-FDAB5F814F9F}" type="sibTrans" cxnId="{56F6AE0F-9E1D-47FD-9B96-11D85A76FCB2}">
      <dgm:prSet/>
      <dgm:spPr/>
      <dgm:t>
        <a:bodyPr/>
        <a:lstStyle/>
        <a:p>
          <a:endParaRPr lang="es-EC"/>
        </a:p>
      </dgm:t>
    </dgm:pt>
    <dgm:pt modelId="{66D9B7A7-1A26-401B-A504-4A0D68983637}" type="asst">
      <dgm:prSet/>
      <dgm:spPr/>
      <dgm:t>
        <a:bodyPr/>
        <a:lstStyle/>
        <a:p>
          <a:r>
            <a:rPr lang="es-EC" dirty="0" smtClean="0"/>
            <a:t>Comisión </a:t>
          </a:r>
        </a:p>
        <a:p>
          <a:r>
            <a:rPr lang="es-EC" dirty="0" smtClean="0"/>
            <a:t>Ejecutiva - Matriz</a:t>
          </a:r>
          <a:endParaRPr lang="es-EC" dirty="0"/>
        </a:p>
      </dgm:t>
    </dgm:pt>
    <dgm:pt modelId="{444791A4-7730-4CA3-B633-06A4DA3462D3}" type="parTrans" cxnId="{D1EFD8DE-C7E0-4269-896A-8D73B5EEF7BE}">
      <dgm:prSet/>
      <dgm:spPr/>
      <dgm:t>
        <a:bodyPr/>
        <a:lstStyle/>
        <a:p>
          <a:endParaRPr lang="es-EC"/>
        </a:p>
      </dgm:t>
    </dgm:pt>
    <dgm:pt modelId="{9B6E5921-75B6-47FF-95EC-EA6B482493D7}" type="sibTrans" cxnId="{D1EFD8DE-C7E0-4269-896A-8D73B5EEF7BE}">
      <dgm:prSet/>
      <dgm:spPr/>
      <dgm:t>
        <a:bodyPr/>
        <a:lstStyle/>
        <a:p>
          <a:endParaRPr lang="es-EC"/>
        </a:p>
      </dgm:t>
    </dgm:pt>
    <dgm:pt modelId="{8E3AAA2B-7669-42CD-B41A-B7A30075D387}" type="pres">
      <dgm:prSet presAssocID="{9AF4171F-B41D-447A-B5B0-0D299AB5CC06}" presName="hierChild1" presStyleCnt="0">
        <dgm:presLayoutVars>
          <dgm:orgChart val="1"/>
          <dgm:chPref val="1"/>
          <dgm:dir/>
          <dgm:animOne val="branch"/>
          <dgm:animLvl val="lvl"/>
          <dgm:resizeHandles/>
        </dgm:presLayoutVars>
      </dgm:prSet>
      <dgm:spPr/>
      <dgm:t>
        <a:bodyPr/>
        <a:lstStyle/>
        <a:p>
          <a:endParaRPr lang="es-EC"/>
        </a:p>
      </dgm:t>
    </dgm:pt>
    <dgm:pt modelId="{BDB8A768-CA79-4EE7-A3D6-1D6109D2B9E6}" type="pres">
      <dgm:prSet presAssocID="{4C2ED1A1-AFAE-43FA-834B-3CCA3A3D00BC}" presName="hierRoot1" presStyleCnt="0">
        <dgm:presLayoutVars>
          <dgm:hierBranch val="init"/>
        </dgm:presLayoutVars>
      </dgm:prSet>
      <dgm:spPr/>
    </dgm:pt>
    <dgm:pt modelId="{CCF4E9CF-77D3-4681-BBAE-6A2B3A1EC137}" type="pres">
      <dgm:prSet presAssocID="{4C2ED1A1-AFAE-43FA-834B-3CCA3A3D00BC}" presName="rootComposite1" presStyleCnt="0"/>
      <dgm:spPr/>
    </dgm:pt>
    <dgm:pt modelId="{AFEB3602-22C2-4AB6-82BD-E34161E5411F}" type="pres">
      <dgm:prSet presAssocID="{4C2ED1A1-AFAE-43FA-834B-3CCA3A3D00BC}" presName="rootText1" presStyleLbl="node0" presStyleIdx="0" presStyleCnt="1">
        <dgm:presLayoutVars>
          <dgm:chPref val="3"/>
        </dgm:presLayoutVars>
      </dgm:prSet>
      <dgm:spPr/>
      <dgm:t>
        <a:bodyPr/>
        <a:lstStyle/>
        <a:p>
          <a:endParaRPr lang="es-EC"/>
        </a:p>
      </dgm:t>
    </dgm:pt>
    <dgm:pt modelId="{B7DF6162-7A84-4F72-9928-582EFA0E4576}" type="pres">
      <dgm:prSet presAssocID="{4C2ED1A1-AFAE-43FA-834B-3CCA3A3D00BC}" presName="rootConnector1" presStyleLbl="node1" presStyleIdx="0" presStyleCnt="0"/>
      <dgm:spPr/>
      <dgm:t>
        <a:bodyPr/>
        <a:lstStyle/>
        <a:p>
          <a:endParaRPr lang="es-EC"/>
        </a:p>
      </dgm:t>
    </dgm:pt>
    <dgm:pt modelId="{CCF2C081-AC23-45B8-A525-B68291EC6C01}" type="pres">
      <dgm:prSet presAssocID="{4C2ED1A1-AFAE-43FA-834B-3CCA3A3D00BC}" presName="hierChild2" presStyleCnt="0"/>
      <dgm:spPr/>
    </dgm:pt>
    <dgm:pt modelId="{0141A0AA-63A7-480A-9EBB-F917489CFEF1}" type="pres">
      <dgm:prSet presAssocID="{9A9775F1-1A6B-44FA-9603-3AD7386A92AF}" presName="Name37" presStyleLbl="parChTrans1D2" presStyleIdx="0" presStyleCnt="2"/>
      <dgm:spPr/>
      <dgm:t>
        <a:bodyPr/>
        <a:lstStyle/>
        <a:p>
          <a:endParaRPr lang="es-EC"/>
        </a:p>
      </dgm:t>
    </dgm:pt>
    <dgm:pt modelId="{37E1AA7D-6584-4C36-8854-558A3AB9DDE1}" type="pres">
      <dgm:prSet presAssocID="{2760DAFB-3585-41B7-901D-50801739477F}" presName="hierRoot2" presStyleCnt="0">
        <dgm:presLayoutVars>
          <dgm:hierBranch val="init"/>
        </dgm:presLayoutVars>
      </dgm:prSet>
      <dgm:spPr/>
    </dgm:pt>
    <dgm:pt modelId="{E2E6D085-ED67-464C-92FC-82EA5FA539CC}" type="pres">
      <dgm:prSet presAssocID="{2760DAFB-3585-41B7-901D-50801739477F}" presName="rootComposite" presStyleCnt="0"/>
      <dgm:spPr/>
    </dgm:pt>
    <dgm:pt modelId="{3930372B-9D97-4E23-8CB2-CE5EBBDC2DC9}" type="pres">
      <dgm:prSet presAssocID="{2760DAFB-3585-41B7-901D-50801739477F}" presName="rootText" presStyleLbl="node2" presStyleIdx="0" presStyleCnt="1">
        <dgm:presLayoutVars>
          <dgm:chPref val="3"/>
        </dgm:presLayoutVars>
      </dgm:prSet>
      <dgm:spPr/>
      <dgm:t>
        <a:bodyPr/>
        <a:lstStyle/>
        <a:p>
          <a:endParaRPr lang="es-EC"/>
        </a:p>
      </dgm:t>
    </dgm:pt>
    <dgm:pt modelId="{0388DE08-E8F1-42AF-BBBC-0A8739AB60FC}" type="pres">
      <dgm:prSet presAssocID="{2760DAFB-3585-41B7-901D-50801739477F}" presName="rootConnector" presStyleLbl="node2" presStyleIdx="0" presStyleCnt="1"/>
      <dgm:spPr/>
      <dgm:t>
        <a:bodyPr/>
        <a:lstStyle/>
        <a:p>
          <a:endParaRPr lang="es-EC"/>
        </a:p>
      </dgm:t>
    </dgm:pt>
    <dgm:pt modelId="{AF0CB541-9DDE-45F4-B0B3-7AD6C03F9120}" type="pres">
      <dgm:prSet presAssocID="{2760DAFB-3585-41B7-901D-50801739477F}" presName="hierChild4" presStyleCnt="0"/>
      <dgm:spPr/>
    </dgm:pt>
    <dgm:pt modelId="{699FA93B-CB04-4654-A623-A8BDB9FA5BEB}" type="pres">
      <dgm:prSet presAssocID="{20C04D0A-F997-4309-8C50-B247C68CF137}" presName="Name37" presStyleLbl="parChTrans1D3" presStyleIdx="0" presStyleCnt="3"/>
      <dgm:spPr/>
      <dgm:t>
        <a:bodyPr/>
        <a:lstStyle/>
        <a:p>
          <a:endParaRPr lang="es-EC"/>
        </a:p>
      </dgm:t>
    </dgm:pt>
    <dgm:pt modelId="{CA046D75-7221-4ACB-9C18-529154543EE4}" type="pres">
      <dgm:prSet presAssocID="{E031C2C1-2948-4D68-96BF-8DB02FCEAE48}" presName="hierRoot2" presStyleCnt="0">
        <dgm:presLayoutVars>
          <dgm:hierBranch val="init"/>
        </dgm:presLayoutVars>
      </dgm:prSet>
      <dgm:spPr/>
    </dgm:pt>
    <dgm:pt modelId="{36535D29-18FD-44FE-ACD7-0C40D42731F4}" type="pres">
      <dgm:prSet presAssocID="{E031C2C1-2948-4D68-96BF-8DB02FCEAE48}" presName="rootComposite" presStyleCnt="0"/>
      <dgm:spPr/>
    </dgm:pt>
    <dgm:pt modelId="{B00611CF-C333-4F01-879C-134DC93F2331}" type="pres">
      <dgm:prSet presAssocID="{E031C2C1-2948-4D68-96BF-8DB02FCEAE48}" presName="rootText" presStyleLbl="node3" presStyleIdx="0" presStyleCnt="1" custScaleX="122651" custScaleY="111619">
        <dgm:presLayoutVars>
          <dgm:chPref val="3"/>
        </dgm:presLayoutVars>
      </dgm:prSet>
      <dgm:spPr/>
      <dgm:t>
        <a:bodyPr/>
        <a:lstStyle/>
        <a:p>
          <a:endParaRPr lang="es-EC"/>
        </a:p>
      </dgm:t>
    </dgm:pt>
    <dgm:pt modelId="{035ADC3D-617A-4062-8A89-8E5C8A851F44}" type="pres">
      <dgm:prSet presAssocID="{E031C2C1-2948-4D68-96BF-8DB02FCEAE48}" presName="rootConnector" presStyleLbl="node3" presStyleIdx="0" presStyleCnt="1"/>
      <dgm:spPr/>
      <dgm:t>
        <a:bodyPr/>
        <a:lstStyle/>
        <a:p>
          <a:endParaRPr lang="es-EC"/>
        </a:p>
      </dgm:t>
    </dgm:pt>
    <dgm:pt modelId="{7D2EDE09-B858-4709-8C7C-A6BF195B72DD}" type="pres">
      <dgm:prSet presAssocID="{E031C2C1-2948-4D68-96BF-8DB02FCEAE48}" presName="hierChild4" presStyleCnt="0"/>
      <dgm:spPr/>
    </dgm:pt>
    <dgm:pt modelId="{B19A26C7-2FCE-4840-BB73-5BC8D0A6FDF4}" type="pres">
      <dgm:prSet presAssocID="{E031C2C1-2948-4D68-96BF-8DB02FCEAE48}" presName="hierChild5" presStyleCnt="0"/>
      <dgm:spPr/>
    </dgm:pt>
    <dgm:pt modelId="{207A54B5-CA27-41F5-B715-A4F45E5FAA5A}" type="pres">
      <dgm:prSet presAssocID="{2760DAFB-3585-41B7-901D-50801739477F}" presName="hierChild5" presStyleCnt="0"/>
      <dgm:spPr/>
    </dgm:pt>
    <dgm:pt modelId="{50C66E92-4CBC-4BFE-BE16-A48ACEEF6D1D}" type="pres">
      <dgm:prSet presAssocID="{02EE61AC-35A0-47DA-A764-9CF7523E029D}" presName="Name111" presStyleLbl="parChTrans1D3" presStyleIdx="1" presStyleCnt="3"/>
      <dgm:spPr/>
      <dgm:t>
        <a:bodyPr/>
        <a:lstStyle/>
        <a:p>
          <a:endParaRPr lang="es-EC"/>
        </a:p>
      </dgm:t>
    </dgm:pt>
    <dgm:pt modelId="{D0B87DD2-1298-4ACF-8509-4926C74AB6EE}" type="pres">
      <dgm:prSet presAssocID="{ED41B5A6-A663-440A-8E29-F9006701A3A7}" presName="hierRoot3" presStyleCnt="0">
        <dgm:presLayoutVars>
          <dgm:hierBranch val="init"/>
        </dgm:presLayoutVars>
      </dgm:prSet>
      <dgm:spPr/>
    </dgm:pt>
    <dgm:pt modelId="{EEFA486B-03C3-4BF2-9405-C11B278985E7}" type="pres">
      <dgm:prSet presAssocID="{ED41B5A6-A663-440A-8E29-F9006701A3A7}" presName="rootComposite3" presStyleCnt="0"/>
      <dgm:spPr/>
    </dgm:pt>
    <dgm:pt modelId="{32AA05C3-5983-43F9-88D4-65EB36AD14E3}" type="pres">
      <dgm:prSet presAssocID="{ED41B5A6-A663-440A-8E29-F9006701A3A7}" presName="rootText3" presStyleLbl="asst2" presStyleIdx="0" presStyleCnt="2" custLinFactX="100000" custLinFactY="-24415" custLinFactNeighborX="116705" custLinFactNeighborY="-100000">
        <dgm:presLayoutVars>
          <dgm:chPref val="3"/>
        </dgm:presLayoutVars>
      </dgm:prSet>
      <dgm:spPr/>
      <dgm:t>
        <a:bodyPr/>
        <a:lstStyle/>
        <a:p>
          <a:endParaRPr lang="es-EC"/>
        </a:p>
      </dgm:t>
    </dgm:pt>
    <dgm:pt modelId="{3557112F-15B2-43D2-B401-C19710205669}" type="pres">
      <dgm:prSet presAssocID="{ED41B5A6-A663-440A-8E29-F9006701A3A7}" presName="rootConnector3" presStyleLbl="asst2" presStyleIdx="0" presStyleCnt="2"/>
      <dgm:spPr/>
      <dgm:t>
        <a:bodyPr/>
        <a:lstStyle/>
        <a:p>
          <a:endParaRPr lang="es-EC"/>
        </a:p>
      </dgm:t>
    </dgm:pt>
    <dgm:pt modelId="{D14D59D7-E7B5-4611-BA10-F41958CE8CD2}" type="pres">
      <dgm:prSet presAssocID="{ED41B5A6-A663-440A-8E29-F9006701A3A7}" presName="hierChild6" presStyleCnt="0"/>
      <dgm:spPr/>
    </dgm:pt>
    <dgm:pt modelId="{E9B2B033-975F-42FA-88B0-4841BA74C1B0}" type="pres">
      <dgm:prSet presAssocID="{ED41B5A6-A663-440A-8E29-F9006701A3A7}" presName="hierChild7" presStyleCnt="0"/>
      <dgm:spPr/>
    </dgm:pt>
    <dgm:pt modelId="{70AAC31F-D045-4E3A-943C-E959AF171BB6}" type="pres">
      <dgm:prSet presAssocID="{444791A4-7730-4CA3-B633-06A4DA3462D3}" presName="Name111" presStyleLbl="parChTrans1D3" presStyleIdx="2" presStyleCnt="3"/>
      <dgm:spPr/>
      <dgm:t>
        <a:bodyPr/>
        <a:lstStyle/>
        <a:p>
          <a:endParaRPr lang="es-EC"/>
        </a:p>
      </dgm:t>
    </dgm:pt>
    <dgm:pt modelId="{4F685FF1-26A3-415F-BA41-B2BE1F57DAC9}" type="pres">
      <dgm:prSet presAssocID="{66D9B7A7-1A26-401B-A504-4A0D68983637}" presName="hierRoot3" presStyleCnt="0">
        <dgm:presLayoutVars>
          <dgm:hierBranch val="init"/>
        </dgm:presLayoutVars>
      </dgm:prSet>
      <dgm:spPr/>
    </dgm:pt>
    <dgm:pt modelId="{2B4277A7-182F-4B06-9A0C-E10516524776}" type="pres">
      <dgm:prSet presAssocID="{66D9B7A7-1A26-401B-A504-4A0D68983637}" presName="rootComposite3" presStyleCnt="0"/>
      <dgm:spPr/>
    </dgm:pt>
    <dgm:pt modelId="{57564463-0279-4865-9024-1553A1E38EE0}" type="pres">
      <dgm:prSet presAssocID="{66D9B7A7-1A26-401B-A504-4A0D68983637}" presName="rootText3" presStyleLbl="asst2" presStyleIdx="1" presStyleCnt="2" custLinFactY="-100000" custLinFactNeighborX="75585" custLinFactNeighborY="-165256">
        <dgm:presLayoutVars>
          <dgm:chPref val="3"/>
        </dgm:presLayoutVars>
      </dgm:prSet>
      <dgm:spPr/>
      <dgm:t>
        <a:bodyPr/>
        <a:lstStyle/>
        <a:p>
          <a:endParaRPr lang="es-EC"/>
        </a:p>
      </dgm:t>
    </dgm:pt>
    <dgm:pt modelId="{7698B60A-64DD-4222-ACAB-684B75124F5A}" type="pres">
      <dgm:prSet presAssocID="{66D9B7A7-1A26-401B-A504-4A0D68983637}" presName="rootConnector3" presStyleLbl="asst2" presStyleIdx="1" presStyleCnt="2"/>
      <dgm:spPr/>
      <dgm:t>
        <a:bodyPr/>
        <a:lstStyle/>
        <a:p>
          <a:endParaRPr lang="es-EC"/>
        </a:p>
      </dgm:t>
    </dgm:pt>
    <dgm:pt modelId="{2D0DA802-1BD7-4EEF-BE88-5CB503FD6ADC}" type="pres">
      <dgm:prSet presAssocID="{66D9B7A7-1A26-401B-A504-4A0D68983637}" presName="hierChild6" presStyleCnt="0"/>
      <dgm:spPr/>
    </dgm:pt>
    <dgm:pt modelId="{98B2606B-CEE7-4154-A243-0D97F2477044}" type="pres">
      <dgm:prSet presAssocID="{66D9B7A7-1A26-401B-A504-4A0D68983637}" presName="hierChild7" presStyleCnt="0"/>
      <dgm:spPr/>
    </dgm:pt>
    <dgm:pt modelId="{975E2D29-EE4E-4B16-8729-751370684A74}" type="pres">
      <dgm:prSet presAssocID="{4C2ED1A1-AFAE-43FA-834B-3CCA3A3D00BC}" presName="hierChild3" presStyleCnt="0"/>
      <dgm:spPr/>
    </dgm:pt>
    <dgm:pt modelId="{B48E5F08-235B-4780-979D-D100B21B0F24}" type="pres">
      <dgm:prSet presAssocID="{7BD7CD96-C507-44DA-8877-9DD5F3EF88DB}" presName="Name111" presStyleLbl="parChTrans1D2" presStyleIdx="1" presStyleCnt="2"/>
      <dgm:spPr/>
      <dgm:t>
        <a:bodyPr/>
        <a:lstStyle/>
        <a:p>
          <a:endParaRPr lang="es-EC"/>
        </a:p>
      </dgm:t>
    </dgm:pt>
    <dgm:pt modelId="{59170C39-12E5-4CE9-9596-085572266910}" type="pres">
      <dgm:prSet presAssocID="{8DEB4F51-6977-4A05-8DC9-950A350127DC}" presName="hierRoot3" presStyleCnt="0">
        <dgm:presLayoutVars>
          <dgm:hierBranch val="init"/>
        </dgm:presLayoutVars>
      </dgm:prSet>
      <dgm:spPr/>
    </dgm:pt>
    <dgm:pt modelId="{DEFBA0A5-61D6-40B3-A2C4-59A7291FBA01}" type="pres">
      <dgm:prSet presAssocID="{8DEB4F51-6977-4A05-8DC9-950A350127DC}" presName="rootComposite3" presStyleCnt="0"/>
      <dgm:spPr/>
    </dgm:pt>
    <dgm:pt modelId="{23E1E550-24A9-4AAE-B5AA-3C4253C6CDDF}" type="pres">
      <dgm:prSet presAssocID="{8DEB4F51-6977-4A05-8DC9-950A350127DC}" presName="rootText3" presStyleLbl="asst1" presStyleIdx="0" presStyleCnt="1">
        <dgm:presLayoutVars>
          <dgm:chPref val="3"/>
        </dgm:presLayoutVars>
      </dgm:prSet>
      <dgm:spPr/>
      <dgm:t>
        <a:bodyPr/>
        <a:lstStyle/>
        <a:p>
          <a:endParaRPr lang="es-EC"/>
        </a:p>
      </dgm:t>
    </dgm:pt>
    <dgm:pt modelId="{3116CD1C-F186-44B5-A554-9D9317416C60}" type="pres">
      <dgm:prSet presAssocID="{8DEB4F51-6977-4A05-8DC9-950A350127DC}" presName="rootConnector3" presStyleLbl="asst1" presStyleIdx="0" presStyleCnt="1"/>
      <dgm:spPr/>
      <dgm:t>
        <a:bodyPr/>
        <a:lstStyle/>
        <a:p>
          <a:endParaRPr lang="es-EC"/>
        </a:p>
      </dgm:t>
    </dgm:pt>
    <dgm:pt modelId="{010F407A-CF00-4C35-BE60-1C2F77F6BD3C}" type="pres">
      <dgm:prSet presAssocID="{8DEB4F51-6977-4A05-8DC9-950A350127DC}" presName="hierChild6" presStyleCnt="0"/>
      <dgm:spPr/>
    </dgm:pt>
    <dgm:pt modelId="{5B69207C-596F-496F-B68A-6BF930868F44}" type="pres">
      <dgm:prSet presAssocID="{8DEB4F51-6977-4A05-8DC9-950A350127DC}" presName="hierChild7" presStyleCnt="0"/>
      <dgm:spPr/>
    </dgm:pt>
  </dgm:ptLst>
  <dgm:cxnLst>
    <dgm:cxn modelId="{1F5F4DE8-EF5A-4345-8AC1-BE1975AAB70F}" type="presOf" srcId="{02EE61AC-35A0-47DA-A764-9CF7523E029D}" destId="{50C66E92-4CBC-4BFE-BE16-A48ACEEF6D1D}" srcOrd="0" destOrd="0" presId="urn:microsoft.com/office/officeart/2005/8/layout/orgChart1"/>
    <dgm:cxn modelId="{FF5741F7-E467-44E0-ACCB-F9269D520CB5}" type="presOf" srcId="{8DEB4F51-6977-4A05-8DC9-950A350127DC}" destId="{23E1E550-24A9-4AAE-B5AA-3C4253C6CDDF}" srcOrd="0" destOrd="0" presId="urn:microsoft.com/office/officeart/2005/8/layout/orgChart1"/>
    <dgm:cxn modelId="{F55D5F8A-A302-4B97-866B-694426BC6664}" type="presOf" srcId="{4C2ED1A1-AFAE-43FA-834B-3CCA3A3D00BC}" destId="{AFEB3602-22C2-4AB6-82BD-E34161E5411F}" srcOrd="0" destOrd="0" presId="urn:microsoft.com/office/officeart/2005/8/layout/orgChart1"/>
    <dgm:cxn modelId="{0A979C25-F59D-4B17-903B-C0BB573E29A0}" type="presOf" srcId="{2760DAFB-3585-41B7-901D-50801739477F}" destId="{0388DE08-E8F1-42AF-BBBC-0A8739AB60FC}" srcOrd="1" destOrd="0" presId="urn:microsoft.com/office/officeart/2005/8/layout/orgChart1"/>
    <dgm:cxn modelId="{5E254B8D-A441-49A1-A102-6012A145E0C7}" srcId="{2760DAFB-3585-41B7-901D-50801739477F}" destId="{E031C2C1-2948-4D68-96BF-8DB02FCEAE48}" srcOrd="0" destOrd="0" parTransId="{20C04D0A-F997-4309-8C50-B247C68CF137}" sibTransId="{83213DDD-38A2-4CC0-BDAF-405E6C77C20A}"/>
    <dgm:cxn modelId="{A61CDCDE-52D4-474F-9B38-A09E080BECC5}" type="presOf" srcId="{ED41B5A6-A663-440A-8E29-F9006701A3A7}" destId="{32AA05C3-5983-43F9-88D4-65EB36AD14E3}" srcOrd="0" destOrd="0" presId="urn:microsoft.com/office/officeart/2005/8/layout/orgChart1"/>
    <dgm:cxn modelId="{1615FC81-4FA8-41B6-9381-BEB1EFF469EC}" type="presOf" srcId="{7BD7CD96-C507-44DA-8877-9DD5F3EF88DB}" destId="{B48E5F08-235B-4780-979D-D100B21B0F24}" srcOrd="0" destOrd="0" presId="urn:microsoft.com/office/officeart/2005/8/layout/orgChart1"/>
    <dgm:cxn modelId="{B4D35621-2188-4A86-AB66-8D8CB4468BFB}" srcId="{4C2ED1A1-AFAE-43FA-834B-3CCA3A3D00BC}" destId="{8DEB4F51-6977-4A05-8DC9-950A350127DC}" srcOrd="0" destOrd="0" parTransId="{7BD7CD96-C507-44DA-8877-9DD5F3EF88DB}" sibTransId="{41D6FD43-1AFF-42BB-B952-FB1C5559B4C7}"/>
    <dgm:cxn modelId="{A9AE97E8-6643-4183-B0AA-5A2F4494E619}" type="presOf" srcId="{2760DAFB-3585-41B7-901D-50801739477F}" destId="{3930372B-9D97-4E23-8CB2-CE5EBBDC2DC9}" srcOrd="0" destOrd="0" presId="urn:microsoft.com/office/officeart/2005/8/layout/orgChart1"/>
    <dgm:cxn modelId="{2C202153-AE42-4584-80E9-D3E41F74DB0C}" type="presOf" srcId="{9A9775F1-1A6B-44FA-9603-3AD7386A92AF}" destId="{0141A0AA-63A7-480A-9EBB-F917489CFEF1}" srcOrd="0" destOrd="0" presId="urn:microsoft.com/office/officeart/2005/8/layout/orgChart1"/>
    <dgm:cxn modelId="{62BFEDA5-E5B1-4DF4-858E-4C97658223C8}" type="presOf" srcId="{66D9B7A7-1A26-401B-A504-4A0D68983637}" destId="{57564463-0279-4865-9024-1553A1E38EE0}" srcOrd="0" destOrd="0" presId="urn:microsoft.com/office/officeart/2005/8/layout/orgChart1"/>
    <dgm:cxn modelId="{71E32F99-A765-4203-90A7-C908A91E8794}" type="presOf" srcId="{444791A4-7730-4CA3-B633-06A4DA3462D3}" destId="{70AAC31F-D045-4E3A-943C-E959AF171BB6}" srcOrd="0" destOrd="0" presId="urn:microsoft.com/office/officeart/2005/8/layout/orgChart1"/>
    <dgm:cxn modelId="{85C1741A-669A-42A6-AFDA-FA889A8B3604}" type="presOf" srcId="{4C2ED1A1-AFAE-43FA-834B-3CCA3A3D00BC}" destId="{B7DF6162-7A84-4F72-9928-582EFA0E4576}" srcOrd="1" destOrd="0" presId="urn:microsoft.com/office/officeart/2005/8/layout/orgChart1"/>
    <dgm:cxn modelId="{B530AD8B-6C5A-47DA-A207-262A2E7D9781}" type="presOf" srcId="{9AF4171F-B41D-447A-B5B0-0D299AB5CC06}" destId="{8E3AAA2B-7669-42CD-B41A-B7A30075D387}" srcOrd="0" destOrd="0" presId="urn:microsoft.com/office/officeart/2005/8/layout/orgChart1"/>
    <dgm:cxn modelId="{E68602CD-84E5-4A86-85FF-9D415A136D23}" type="presOf" srcId="{8DEB4F51-6977-4A05-8DC9-950A350127DC}" destId="{3116CD1C-F186-44B5-A554-9D9317416C60}" srcOrd="1" destOrd="0" presId="urn:microsoft.com/office/officeart/2005/8/layout/orgChart1"/>
    <dgm:cxn modelId="{AF4C6BD0-37DC-4272-B9F3-D9A59D40DB4F}" type="presOf" srcId="{E031C2C1-2948-4D68-96BF-8DB02FCEAE48}" destId="{035ADC3D-617A-4062-8A89-8E5C8A851F44}" srcOrd="1" destOrd="0" presId="urn:microsoft.com/office/officeart/2005/8/layout/orgChart1"/>
    <dgm:cxn modelId="{CE3AB2BE-42CE-4E64-94FC-53627328B510}" type="presOf" srcId="{20C04D0A-F997-4309-8C50-B247C68CF137}" destId="{699FA93B-CB04-4654-A623-A8BDB9FA5BEB}" srcOrd="0" destOrd="0" presId="urn:microsoft.com/office/officeart/2005/8/layout/orgChart1"/>
    <dgm:cxn modelId="{5B74BD6E-F731-494C-BF78-14E80E8CC60C}" type="presOf" srcId="{66D9B7A7-1A26-401B-A504-4A0D68983637}" destId="{7698B60A-64DD-4222-ACAB-684B75124F5A}" srcOrd="1" destOrd="0" presId="urn:microsoft.com/office/officeart/2005/8/layout/orgChart1"/>
    <dgm:cxn modelId="{F1F406A6-8D10-4789-9C82-E3D8C378A55B}" type="presOf" srcId="{ED41B5A6-A663-440A-8E29-F9006701A3A7}" destId="{3557112F-15B2-43D2-B401-C19710205669}" srcOrd="1" destOrd="0" presId="urn:microsoft.com/office/officeart/2005/8/layout/orgChart1"/>
    <dgm:cxn modelId="{72E85A13-F90B-4E9C-AF8C-31DC4861AE46}" srcId="{9AF4171F-B41D-447A-B5B0-0D299AB5CC06}" destId="{4C2ED1A1-AFAE-43FA-834B-3CCA3A3D00BC}" srcOrd="0" destOrd="0" parTransId="{632E43DD-7C8C-48EC-984D-1D712311E6D9}" sibTransId="{F02B0F4A-2ED7-4975-9584-9F562524F01D}"/>
    <dgm:cxn modelId="{D1EFD8DE-C7E0-4269-896A-8D73B5EEF7BE}" srcId="{2760DAFB-3585-41B7-901D-50801739477F}" destId="{66D9B7A7-1A26-401B-A504-4A0D68983637}" srcOrd="2" destOrd="0" parTransId="{444791A4-7730-4CA3-B633-06A4DA3462D3}" sibTransId="{9B6E5921-75B6-47FF-95EC-EA6B482493D7}"/>
    <dgm:cxn modelId="{1067561E-C842-4F91-A81B-7F00B453737A}" srcId="{4C2ED1A1-AFAE-43FA-834B-3CCA3A3D00BC}" destId="{2760DAFB-3585-41B7-901D-50801739477F}" srcOrd="1" destOrd="0" parTransId="{9A9775F1-1A6B-44FA-9603-3AD7386A92AF}" sibTransId="{BC10B53B-B87E-4518-9407-B16983BBF7D1}"/>
    <dgm:cxn modelId="{979DB7B1-6BDB-4BE9-899C-BEF1CEF44A8F}" type="presOf" srcId="{E031C2C1-2948-4D68-96BF-8DB02FCEAE48}" destId="{B00611CF-C333-4F01-879C-134DC93F2331}" srcOrd="0" destOrd="0" presId="urn:microsoft.com/office/officeart/2005/8/layout/orgChart1"/>
    <dgm:cxn modelId="{56F6AE0F-9E1D-47FD-9B96-11D85A76FCB2}" srcId="{2760DAFB-3585-41B7-901D-50801739477F}" destId="{ED41B5A6-A663-440A-8E29-F9006701A3A7}" srcOrd="1" destOrd="0" parTransId="{02EE61AC-35A0-47DA-A764-9CF7523E029D}" sibTransId="{D4CC536E-4839-4DBF-B5D6-FDAB5F814F9F}"/>
    <dgm:cxn modelId="{7EF64F8B-0C44-4A38-8FD9-3B0F25ABAC0A}" type="presParOf" srcId="{8E3AAA2B-7669-42CD-B41A-B7A30075D387}" destId="{BDB8A768-CA79-4EE7-A3D6-1D6109D2B9E6}" srcOrd="0" destOrd="0" presId="urn:microsoft.com/office/officeart/2005/8/layout/orgChart1"/>
    <dgm:cxn modelId="{4CAC3391-E304-4AA2-9FC8-3C602FB3CFB4}" type="presParOf" srcId="{BDB8A768-CA79-4EE7-A3D6-1D6109D2B9E6}" destId="{CCF4E9CF-77D3-4681-BBAE-6A2B3A1EC137}" srcOrd="0" destOrd="0" presId="urn:microsoft.com/office/officeart/2005/8/layout/orgChart1"/>
    <dgm:cxn modelId="{F925F5CF-E49D-4F08-B0A8-C31453FA246F}" type="presParOf" srcId="{CCF4E9CF-77D3-4681-BBAE-6A2B3A1EC137}" destId="{AFEB3602-22C2-4AB6-82BD-E34161E5411F}" srcOrd="0" destOrd="0" presId="urn:microsoft.com/office/officeart/2005/8/layout/orgChart1"/>
    <dgm:cxn modelId="{C8664468-6C1D-4EA7-8812-EF778887929E}" type="presParOf" srcId="{CCF4E9CF-77D3-4681-BBAE-6A2B3A1EC137}" destId="{B7DF6162-7A84-4F72-9928-582EFA0E4576}" srcOrd="1" destOrd="0" presId="urn:microsoft.com/office/officeart/2005/8/layout/orgChart1"/>
    <dgm:cxn modelId="{0A39EA8A-83FE-4D3E-B575-698B6BF4E375}" type="presParOf" srcId="{BDB8A768-CA79-4EE7-A3D6-1D6109D2B9E6}" destId="{CCF2C081-AC23-45B8-A525-B68291EC6C01}" srcOrd="1" destOrd="0" presId="urn:microsoft.com/office/officeart/2005/8/layout/orgChart1"/>
    <dgm:cxn modelId="{623F14D3-E32B-4C17-8282-E66188B5F0A6}" type="presParOf" srcId="{CCF2C081-AC23-45B8-A525-B68291EC6C01}" destId="{0141A0AA-63A7-480A-9EBB-F917489CFEF1}" srcOrd="0" destOrd="0" presId="urn:microsoft.com/office/officeart/2005/8/layout/orgChart1"/>
    <dgm:cxn modelId="{4632DF24-FBF6-4AAF-91AE-89BCCF0CB6AD}" type="presParOf" srcId="{CCF2C081-AC23-45B8-A525-B68291EC6C01}" destId="{37E1AA7D-6584-4C36-8854-558A3AB9DDE1}" srcOrd="1" destOrd="0" presId="urn:microsoft.com/office/officeart/2005/8/layout/orgChart1"/>
    <dgm:cxn modelId="{532AAD8B-9A20-40DD-BA47-6A5DCEC8EAFF}" type="presParOf" srcId="{37E1AA7D-6584-4C36-8854-558A3AB9DDE1}" destId="{E2E6D085-ED67-464C-92FC-82EA5FA539CC}" srcOrd="0" destOrd="0" presId="urn:microsoft.com/office/officeart/2005/8/layout/orgChart1"/>
    <dgm:cxn modelId="{27282F2D-DB4F-4FB7-8094-9031F816FB2E}" type="presParOf" srcId="{E2E6D085-ED67-464C-92FC-82EA5FA539CC}" destId="{3930372B-9D97-4E23-8CB2-CE5EBBDC2DC9}" srcOrd="0" destOrd="0" presId="urn:microsoft.com/office/officeart/2005/8/layout/orgChart1"/>
    <dgm:cxn modelId="{E9909B6D-7FA2-4BDF-BABF-71A7160740BC}" type="presParOf" srcId="{E2E6D085-ED67-464C-92FC-82EA5FA539CC}" destId="{0388DE08-E8F1-42AF-BBBC-0A8739AB60FC}" srcOrd="1" destOrd="0" presId="urn:microsoft.com/office/officeart/2005/8/layout/orgChart1"/>
    <dgm:cxn modelId="{467C7B11-29BF-42CF-A808-8F4EA0FE2F35}" type="presParOf" srcId="{37E1AA7D-6584-4C36-8854-558A3AB9DDE1}" destId="{AF0CB541-9DDE-45F4-B0B3-7AD6C03F9120}" srcOrd="1" destOrd="0" presId="urn:microsoft.com/office/officeart/2005/8/layout/orgChart1"/>
    <dgm:cxn modelId="{3E7B1A80-FC49-4DE3-9D06-F84409C2AA9D}" type="presParOf" srcId="{AF0CB541-9DDE-45F4-B0B3-7AD6C03F9120}" destId="{699FA93B-CB04-4654-A623-A8BDB9FA5BEB}" srcOrd="0" destOrd="0" presId="urn:microsoft.com/office/officeart/2005/8/layout/orgChart1"/>
    <dgm:cxn modelId="{DE9C19BC-6911-4A33-919A-71D5ED001E87}" type="presParOf" srcId="{AF0CB541-9DDE-45F4-B0B3-7AD6C03F9120}" destId="{CA046D75-7221-4ACB-9C18-529154543EE4}" srcOrd="1" destOrd="0" presId="urn:microsoft.com/office/officeart/2005/8/layout/orgChart1"/>
    <dgm:cxn modelId="{0676C8AB-BBC7-4F17-8966-C1B919F177AE}" type="presParOf" srcId="{CA046D75-7221-4ACB-9C18-529154543EE4}" destId="{36535D29-18FD-44FE-ACD7-0C40D42731F4}" srcOrd="0" destOrd="0" presId="urn:microsoft.com/office/officeart/2005/8/layout/orgChart1"/>
    <dgm:cxn modelId="{4CB44C80-2E49-420A-BCC3-F89963F28CD3}" type="presParOf" srcId="{36535D29-18FD-44FE-ACD7-0C40D42731F4}" destId="{B00611CF-C333-4F01-879C-134DC93F2331}" srcOrd="0" destOrd="0" presId="urn:microsoft.com/office/officeart/2005/8/layout/orgChart1"/>
    <dgm:cxn modelId="{3D61216D-74BA-481D-BAF8-6D10B64BE0B1}" type="presParOf" srcId="{36535D29-18FD-44FE-ACD7-0C40D42731F4}" destId="{035ADC3D-617A-4062-8A89-8E5C8A851F44}" srcOrd="1" destOrd="0" presId="urn:microsoft.com/office/officeart/2005/8/layout/orgChart1"/>
    <dgm:cxn modelId="{4FDC36E6-E4C7-46C3-8CC5-1D3CECBDBB50}" type="presParOf" srcId="{CA046D75-7221-4ACB-9C18-529154543EE4}" destId="{7D2EDE09-B858-4709-8C7C-A6BF195B72DD}" srcOrd="1" destOrd="0" presId="urn:microsoft.com/office/officeart/2005/8/layout/orgChart1"/>
    <dgm:cxn modelId="{33DA08BC-0D3D-4AEF-85B3-2726F09294AB}" type="presParOf" srcId="{CA046D75-7221-4ACB-9C18-529154543EE4}" destId="{B19A26C7-2FCE-4840-BB73-5BC8D0A6FDF4}" srcOrd="2" destOrd="0" presId="urn:microsoft.com/office/officeart/2005/8/layout/orgChart1"/>
    <dgm:cxn modelId="{2D09D1FB-0ED0-4A5E-8910-179CB4E12E39}" type="presParOf" srcId="{37E1AA7D-6584-4C36-8854-558A3AB9DDE1}" destId="{207A54B5-CA27-41F5-B715-A4F45E5FAA5A}" srcOrd="2" destOrd="0" presId="urn:microsoft.com/office/officeart/2005/8/layout/orgChart1"/>
    <dgm:cxn modelId="{CA528476-0BD8-47E5-A0CB-5CB74BEBA2CB}" type="presParOf" srcId="{207A54B5-CA27-41F5-B715-A4F45E5FAA5A}" destId="{50C66E92-4CBC-4BFE-BE16-A48ACEEF6D1D}" srcOrd="0" destOrd="0" presId="urn:microsoft.com/office/officeart/2005/8/layout/orgChart1"/>
    <dgm:cxn modelId="{20D99793-7861-415D-9524-F33D814729F0}" type="presParOf" srcId="{207A54B5-CA27-41F5-B715-A4F45E5FAA5A}" destId="{D0B87DD2-1298-4ACF-8509-4926C74AB6EE}" srcOrd="1" destOrd="0" presId="urn:microsoft.com/office/officeart/2005/8/layout/orgChart1"/>
    <dgm:cxn modelId="{85D4591A-9E2F-4B79-87E3-C536C21887C8}" type="presParOf" srcId="{D0B87DD2-1298-4ACF-8509-4926C74AB6EE}" destId="{EEFA486B-03C3-4BF2-9405-C11B278985E7}" srcOrd="0" destOrd="0" presId="urn:microsoft.com/office/officeart/2005/8/layout/orgChart1"/>
    <dgm:cxn modelId="{C0E49546-8424-4D2E-BB42-EAA70591DBA9}" type="presParOf" srcId="{EEFA486B-03C3-4BF2-9405-C11B278985E7}" destId="{32AA05C3-5983-43F9-88D4-65EB36AD14E3}" srcOrd="0" destOrd="0" presId="urn:microsoft.com/office/officeart/2005/8/layout/orgChart1"/>
    <dgm:cxn modelId="{8B1E9971-9C6B-48F3-A5F4-F766E5C7CA03}" type="presParOf" srcId="{EEFA486B-03C3-4BF2-9405-C11B278985E7}" destId="{3557112F-15B2-43D2-B401-C19710205669}" srcOrd="1" destOrd="0" presId="urn:microsoft.com/office/officeart/2005/8/layout/orgChart1"/>
    <dgm:cxn modelId="{06452FBD-9469-4B4F-BEC5-CBB28EDA868C}" type="presParOf" srcId="{D0B87DD2-1298-4ACF-8509-4926C74AB6EE}" destId="{D14D59D7-E7B5-4611-BA10-F41958CE8CD2}" srcOrd="1" destOrd="0" presId="urn:microsoft.com/office/officeart/2005/8/layout/orgChart1"/>
    <dgm:cxn modelId="{601893A7-A3D8-4B2A-A221-18631D713ABA}" type="presParOf" srcId="{D0B87DD2-1298-4ACF-8509-4926C74AB6EE}" destId="{E9B2B033-975F-42FA-88B0-4841BA74C1B0}" srcOrd="2" destOrd="0" presId="urn:microsoft.com/office/officeart/2005/8/layout/orgChart1"/>
    <dgm:cxn modelId="{FCD6C388-14ED-4AE3-8022-F7AE77FB2714}" type="presParOf" srcId="{207A54B5-CA27-41F5-B715-A4F45E5FAA5A}" destId="{70AAC31F-D045-4E3A-943C-E959AF171BB6}" srcOrd="2" destOrd="0" presId="urn:microsoft.com/office/officeart/2005/8/layout/orgChart1"/>
    <dgm:cxn modelId="{485784E0-7ED8-4C26-9E56-E739FE53B28E}" type="presParOf" srcId="{207A54B5-CA27-41F5-B715-A4F45E5FAA5A}" destId="{4F685FF1-26A3-415F-BA41-B2BE1F57DAC9}" srcOrd="3" destOrd="0" presId="urn:microsoft.com/office/officeart/2005/8/layout/orgChart1"/>
    <dgm:cxn modelId="{F3310ABD-BAA5-4372-AA47-D63F6F9FFE2F}" type="presParOf" srcId="{4F685FF1-26A3-415F-BA41-B2BE1F57DAC9}" destId="{2B4277A7-182F-4B06-9A0C-E10516524776}" srcOrd="0" destOrd="0" presId="urn:microsoft.com/office/officeart/2005/8/layout/orgChart1"/>
    <dgm:cxn modelId="{D65F9948-CDA5-4609-9C60-5FC82197AC66}" type="presParOf" srcId="{2B4277A7-182F-4B06-9A0C-E10516524776}" destId="{57564463-0279-4865-9024-1553A1E38EE0}" srcOrd="0" destOrd="0" presId="urn:microsoft.com/office/officeart/2005/8/layout/orgChart1"/>
    <dgm:cxn modelId="{F16260D7-F941-40FE-A3A6-2C9DBD8460D8}" type="presParOf" srcId="{2B4277A7-182F-4B06-9A0C-E10516524776}" destId="{7698B60A-64DD-4222-ACAB-684B75124F5A}" srcOrd="1" destOrd="0" presId="urn:microsoft.com/office/officeart/2005/8/layout/orgChart1"/>
    <dgm:cxn modelId="{8C98841E-5574-4918-BFF5-B43C8B9B4B8F}" type="presParOf" srcId="{4F685FF1-26A3-415F-BA41-B2BE1F57DAC9}" destId="{2D0DA802-1BD7-4EEF-BE88-5CB503FD6ADC}" srcOrd="1" destOrd="0" presId="urn:microsoft.com/office/officeart/2005/8/layout/orgChart1"/>
    <dgm:cxn modelId="{4EDC2036-F304-4F5F-AF10-C9271E527E7C}" type="presParOf" srcId="{4F685FF1-26A3-415F-BA41-B2BE1F57DAC9}" destId="{98B2606B-CEE7-4154-A243-0D97F2477044}" srcOrd="2" destOrd="0" presId="urn:microsoft.com/office/officeart/2005/8/layout/orgChart1"/>
    <dgm:cxn modelId="{4D35FF58-4C89-4338-8488-AB034AF2C991}" type="presParOf" srcId="{BDB8A768-CA79-4EE7-A3D6-1D6109D2B9E6}" destId="{975E2D29-EE4E-4B16-8729-751370684A74}" srcOrd="2" destOrd="0" presId="urn:microsoft.com/office/officeart/2005/8/layout/orgChart1"/>
    <dgm:cxn modelId="{E9DE492C-3122-47F4-A104-6BE1333EDD65}" type="presParOf" srcId="{975E2D29-EE4E-4B16-8729-751370684A74}" destId="{B48E5F08-235B-4780-979D-D100B21B0F24}" srcOrd="0" destOrd="0" presId="urn:microsoft.com/office/officeart/2005/8/layout/orgChart1"/>
    <dgm:cxn modelId="{CA5D5695-43C0-4C18-8749-5EA64A1B08F0}" type="presParOf" srcId="{975E2D29-EE4E-4B16-8729-751370684A74}" destId="{59170C39-12E5-4CE9-9596-085572266910}" srcOrd="1" destOrd="0" presId="urn:microsoft.com/office/officeart/2005/8/layout/orgChart1"/>
    <dgm:cxn modelId="{D65C6FCF-B341-4C02-9FA2-7C6595429698}" type="presParOf" srcId="{59170C39-12E5-4CE9-9596-085572266910}" destId="{DEFBA0A5-61D6-40B3-A2C4-59A7291FBA01}" srcOrd="0" destOrd="0" presId="urn:microsoft.com/office/officeart/2005/8/layout/orgChart1"/>
    <dgm:cxn modelId="{E42EB643-9431-449A-B693-4C49F4C88952}" type="presParOf" srcId="{DEFBA0A5-61D6-40B3-A2C4-59A7291FBA01}" destId="{23E1E550-24A9-4AAE-B5AA-3C4253C6CDDF}" srcOrd="0" destOrd="0" presId="urn:microsoft.com/office/officeart/2005/8/layout/orgChart1"/>
    <dgm:cxn modelId="{6D9A6EDF-FA42-431C-9C2D-5012460D7BE2}" type="presParOf" srcId="{DEFBA0A5-61D6-40B3-A2C4-59A7291FBA01}" destId="{3116CD1C-F186-44B5-A554-9D9317416C60}" srcOrd="1" destOrd="0" presId="urn:microsoft.com/office/officeart/2005/8/layout/orgChart1"/>
    <dgm:cxn modelId="{7FA3862C-6662-41B0-B0EF-F6C64DF545EB}" type="presParOf" srcId="{59170C39-12E5-4CE9-9596-085572266910}" destId="{010F407A-CF00-4C35-BE60-1C2F77F6BD3C}" srcOrd="1" destOrd="0" presId="urn:microsoft.com/office/officeart/2005/8/layout/orgChart1"/>
    <dgm:cxn modelId="{AAA2211D-C8EE-40B2-801E-C99443B65915}" type="presParOf" srcId="{59170C39-12E5-4CE9-9596-085572266910}" destId="{5B69207C-596F-496F-B68A-6BF930868F44}" srcOrd="2" destOrd="0" presId="urn:microsoft.com/office/officeart/2005/8/layout/orgChart1"/>
  </dgm:cxnLst>
  <dgm:bg/>
  <dgm:whole/>
</dgm:dataModel>
</file>

<file path=word/diagrams/data2.xml><?xml version="1.0" encoding="utf-8"?>
<dgm:dataModel xmlns:dgm="http://schemas.openxmlformats.org/drawingml/2006/diagram" xmlns:a="http://schemas.openxmlformats.org/drawingml/2006/main">
  <dgm:ptLst>
    <dgm:pt modelId="{F3C310DA-66C0-4006-A9F9-7EB92D53F111}" type="doc">
      <dgm:prSet loTypeId="urn:microsoft.com/office/officeart/2005/8/layout/orgChart1" loCatId="hierarchy" qsTypeId="urn:microsoft.com/office/officeart/2005/8/quickstyle/simple3" qsCatId="simple" csTypeId="urn:microsoft.com/office/officeart/2005/8/colors/accent1_2" csCatId="accent1" phldr="1"/>
      <dgm:spPr/>
      <dgm:t>
        <a:bodyPr/>
        <a:lstStyle/>
        <a:p>
          <a:endParaRPr lang="es-EC"/>
        </a:p>
      </dgm:t>
    </dgm:pt>
    <dgm:pt modelId="{580A5BFF-80CC-4582-B4AC-93F28C494891}">
      <dgm:prSet phldrT="[Texto]" custT="1"/>
      <dgm:spPr/>
      <dgm:t>
        <a:bodyPr/>
        <a:lstStyle/>
        <a:p>
          <a:r>
            <a:rPr lang="es-EC" sz="1000" dirty="0" smtClean="0"/>
            <a:t>Presidencia  Ejecutiva</a:t>
          </a:r>
        </a:p>
      </dgm:t>
    </dgm:pt>
    <dgm:pt modelId="{44D5B749-0AA7-4BBE-8E3D-4FE89D6B267A}" type="parTrans" cxnId="{A9C9846B-FC04-412D-9673-84756D0FE71A}">
      <dgm:prSet/>
      <dgm:spPr/>
      <dgm:t>
        <a:bodyPr/>
        <a:lstStyle/>
        <a:p>
          <a:endParaRPr lang="es-EC"/>
        </a:p>
      </dgm:t>
    </dgm:pt>
    <dgm:pt modelId="{F34DFB29-DD3F-4E6E-B0E8-9AEC015AB26C}" type="sibTrans" cxnId="{A9C9846B-FC04-412D-9673-84756D0FE71A}">
      <dgm:prSet/>
      <dgm:spPr/>
      <dgm:t>
        <a:bodyPr/>
        <a:lstStyle/>
        <a:p>
          <a:endParaRPr lang="es-EC"/>
        </a:p>
      </dgm:t>
    </dgm:pt>
    <dgm:pt modelId="{3F52DE0E-993C-4AB6-A872-0006E0E56810}" type="asst">
      <dgm:prSet phldrT="[Texto]" custT="1"/>
      <dgm:spPr>
        <a:gradFill rotWithShape="0">
          <a:gsLst>
            <a:gs pos="0">
              <a:srgbClr val="03D4A8"/>
            </a:gs>
            <a:gs pos="25000">
              <a:srgbClr val="21D6E0"/>
            </a:gs>
            <a:gs pos="75000">
              <a:srgbClr val="0087E6"/>
            </a:gs>
            <a:gs pos="100000">
              <a:srgbClr val="005CBF"/>
            </a:gs>
          </a:gsLst>
          <a:lin ang="16200000" scaled="0"/>
        </a:gradFill>
      </dgm:spPr>
      <dgm:t>
        <a:bodyPr/>
        <a:lstStyle/>
        <a:p>
          <a:r>
            <a:rPr lang="es-EC" sz="1000" dirty="0" smtClean="0"/>
            <a:t>Auditoria</a:t>
          </a:r>
          <a:endParaRPr lang="es-EC" sz="1000" dirty="0"/>
        </a:p>
      </dgm:t>
    </dgm:pt>
    <dgm:pt modelId="{E0814E23-696B-491D-9977-CAA4750E46E1}" type="parTrans" cxnId="{E9BB6D23-EB36-4382-A7E8-C1F62FBE43FC}">
      <dgm:prSet/>
      <dgm:spPr/>
      <dgm:t>
        <a:bodyPr/>
        <a:lstStyle/>
        <a:p>
          <a:endParaRPr lang="es-EC"/>
        </a:p>
      </dgm:t>
    </dgm:pt>
    <dgm:pt modelId="{10AFE8BC-A211-4287-B58B-D22ED14E63A0}" type="sibTrans" cxnId="{E9BB6D23-EB36-4382-A7E8-C1F62FBE43FC}">
      <dgm:prSet/>
      <dgm:spPr/>
      <dgm:t>
        <a:bodyPr/>
        <a:lstStyle/>
        <a:p>
          <a:endParaRPr lang="es-EC"/>
        </a:p>
      </dgm:t>
    </dgm:pt>
    <dgm:pt modelId="{44F9CC7F-7395-4DC7-AC68-5526EF523B5D}">
      <dgm:prSet phldrT="[Texto]" custT="1"/>
      <dgm:spPr>
        <a:gradFill rotWithShape="0">
          <a:gsLst>
            <a:gs pos="0">
              <a:srgbClr val="DDEBCF"/>
            </a:gs>
            <a:gs pos="50000">
              <a:srgbClr val="9CB86E"/>
            </a:gs>
            <a:gs pos="100000">
              <a:srgbClr val="156B13"/>
            </a:gs>
          </a:gsLst>
          <a:lin ang="16200000" scaled="0"/>
        </a:gradFill>
      </dgm:spPr>
      <dgm:t>
        <a:bodyPr/>
        <a:lstStyle/>
        <a:p>
          <a:r>
            <a:rPr lang="es-EC" sz="800" dirty="0" smtClean="0"/>
            <a:t>Banca Corporativa y Empresarial</a:t>
          </a:r>
          <a:endParaRPr lang="es-EC" sz="800" dirty="0"/>
        </a:p>
      </dgm:t>
    </dgm:pt>
    <dgm:pt modelId="{D75203A7-F308-4444-91E9-CECE54B7A9B4}" type="parTrans" cxnId="{36CF9987-7E16-4F05-BBD0-853E1F52B2FB}">
      <dgm:prSet/>
      <dgm:spPr/>
      <dgm:t>
        <a:bodyPr/>
        <a:lstStyle/>
        <a:p>
          <a:endParaRPr lang="es-EC"/>
        </a:p>
      </dgm:t>
    </dgm:pt>
    <dgm:pt modelId="{EC58C1CE-9C55-4769-B00D-FD60F965585C}" type="sibTrans" cxnId="{36CF9987-7E16-4F05-BBD0-853E1F52B2FB}">
      <dgm:prSet/>
      <dgm:spPr/>
      <dgm:t>
        <a:bodyPr/>
        <a:lstStyle/>
        <a:p>
          <a:endParaRPr lang="es-EC"/>
        </a:p>
      </dgm:t>
    </dgm:pt>
    <dgm:pt modelId="{9118622C-20A8-46A1-AAC7-5DA1106BCA0C}">
      <dgm:prSet phldrT="[Texto]" custT="1"/>
      <dgm:spPr>
        <a:gradFill rotWithShape="0">
          <a:gsLst>
            <a:gs pos="0">
              <a:schemeClr val="accent3">
                <a:lumMod val="60000"/>
                <a:lumOff val="40000"/>
              </a:schemeClr>
            </a:gs>
            <a:gs pos="50000">
              <a:srgbClr val="9CB86E"/>
            </a:gs>
            <a:gs pos="100000">
              <a:srgbClr val="156B13"/>
            </a:gs>
          </a:gsLst>
          <a:lin ang="16200000" scaled="0"/>
        </a:gradFill>
      </dgm:spPr>
      <dgm:t>
        <a:bodyPr/>
        <a:lstStyle/>
        <a:p>
          <a:r>
            <a:rPr lang="es-EC" sz="800" dirty="0" smtClean="0"/>
            <a:t>Banca Personal - Pymes </a:t>
          </a:r>
          <a:endParaRPr lang="es-EC" sz="800" dirty="0"/>
        </a:p>
      </dgm:t>
    </dgm:pt>
    <dgm:pt modelId="{84B649E5-CF5A-410B-BEF3-9D584055D164}" type="parTrans" cxnId="{FB37D6AC-2444-4731-BCEF-542AE5E3FF86}">
      <dgm:prSet/>
      <dgm:spPr/>
      <dgm:t>
        <a:bodyPr/>
        <a:lstStyle/>
        <a:p>
          <a:endParaRPr lang="es-EC"/>
        </a:p>
      </dgm:t>
    </dgm:pt>
    <dgm:pt modelId="{F477B3F8-95AE-4D8E-8D49-14B03CD23184}" type="sibTrans" cxnId="{FB37D6AC-2444-4731-BCEF-542AE5E3FF86}">
      <dgm:prSet/>
      <dgm:spPr/>
      <dgm:t>
        <a:bodyPr/>
        <a:lstStyle/>
        <a:p>
          <a:endParaRPr lang="es-EC"/>
        </a:p>
      </dgm:t>
    </dgm:pt>
    <dgm:pt modelId="{413793C1-E7E8-4449-8DFF-8343DEA28301}">
      <dgm:prSet phldrT="[Texto]" custT="1"/>
      <dgm:spPr>
        <a:gradFill rotWithShape="0">
          <a:gsLst>
            <a:gs pos="0">
              <a:schemeClr val="accent3">
                <a:lumMod val="60000"/>
                <a:lumOff val="40000"/>
              </a:schemeClr>
            </a:gs>
            <a:gs pos="50000">
              <a:srgbClr val="9CB86E"/>
            </a:gs>
            <a:gs pos="100000">
              <a:srgbClr val="156B13"/>
            </a:gs>
          </a:gsLst>
          <a:lin ang="16200000" scaled="0"/>
        </a:gradFill>
      </dgm:spPr>
      <dgm:t>
        <a:bodyPr/>
        <a:lstStyle/>
        <a:p>
          <a:r>
            <a:rPr lang="es-EC" sz="900" dirty="0" smtClean="0"/>
            <a:t>Canales</a:t>
          </a:r>
          <a:endParaRPr lang="es-EC" sz="900" dirty="0"/>
        </a:p>
      </dgm:t>
    </dgm:pt>
    <dgm:pt modelId="{CD69BCB0-3026-49F6-906D-5E5C14BF226E}" type="parTrans" cxnId="{2052F5C0-3016-4C5B-91B4-2E160B11A06C}">
      <dgm:prSet/>
      <dgm:spPr/>
      <dgm:t>
        <a:bodyPr/>
        <a:lstStyle/>
        <a:p>
          <a:endParaRPr lang="es-EC"/>
        </a:p>
      </dgm:t>
    </dgm:pt>
    <dgm:pt modelId="{C090E6E9-CDD3-4874-A65F-5F69D8A316FC}" type="sibTrans" cxnId="{2052F5C0-3016-4C5B-91B4-2E160B11A06C}">
      <dgm:prSet/>
      <dgm:spPr/>
      <dgm:t>
        <a:bodyPr/>
        <a:lstStyle/>
        <a:p>
          <a:endParaRPr lang="es-EC"/>
        </a:p>
      </dgm:t>
    </dgm:pt>
    <dgm:pt modelId="{3044CDC3-6770-44F0-AC9E-218E7E72858F}" type="asst">
      <dgm:prSet custT="1"/>
      <dgm:spPr>
        <a:gradFill rotWithShape="0">
          <a:gsLst>
            <a:gs pos="0">
              <a:srgbClr val="03D4A8"/>
            </a:gs>
            <a:gs pos="25000">
              <a:srgbClr val="21D6E0"/>
            </a:gs>
            <a:gs pos="75000">
              <a:srgbClr val="0087E6"/>
            </a:gs>
            <a:gs pos="100000">
              <a:srgbClr val="005CBF"/>
            </a:gs>
          </a:gsLst>
          <a:lin ang="16200000" scaled="0"/>
        </a:gradFill>
      </dgm:spPr>
      <dgm:t>
        <a:bodyPr/>
        <a:lstStyle/>
        <a:p>
          <a:r>
            <a:rPr lang="es-EC" sz="1000" dirty="0" smtClean="0"/>
            <a:t>Asesoría Legal</a:t>
          </a:r>
          <a:endParaRPr lang="es-EC" sz="1000" dirty="0"/>
        </a:p>
      </dgm:t>
    </dgm:pt>
    <dgm:pt modelId="{22D48B5F-18B7-4FE3-9698-DAC89120C0FA}" type="parTrans" cxnId="{1C5AC96D-C0A3-4B27-B174-93B4A798D50C}">
      <dgm:prSet/>
      <dgm:spPr/>
      <dgm:t>
        <a:bodyPr/>
        <a:lstStyle/>
        <a:p>
          <a:endParaRPr lang="es-EC"/>
        </a:p>
      </dgm:t>
    </dgm:pt>
    <dgm:pt modelId="{1A6EE076-EB3A-43CD-9CBD-D469861EAB45}" type="sibTrans" cxnId="{1C5AC96D-C0A3-4B27-B174-93B4A798D50C}">
      <dgm:prSet/>
      <dgm:spPr/>
      <dgm:t>
        <a:bodyPr/>
        <a:lstStyle/>
        <a:p>
          <a:endParaRPr lang="es-EC"/>
        </a:p>
      </dgm:t>
    </dgm:pt>
    <dgm:pt modelId="{7D982FE1-568F-4274-866D-5E150EFAFC01}" type="asst">
      <dgm:prSet custT="1"/>
      <dgm:spPr>
        <a:gradFill rotWithShape="0">
          <a:gsLst>
            <a:gs pos="0">
              <a:srgbClr val="03D4A8"/>
            </a:gs>
            <a:gs pos="25000">
              <a:srgbClr val="21D6E0"/>
            </a:gs>
            <a:gs pos="75000">
              <a:srgbClr val="0087E6"/>
            </a:gs>
            <a:gs pos="100000">
              <a:srgbClr val="005CBF"/>
            </a:gs>
          </a:gsLst>
          <a:lin ang="16200000" scaled="0"/>
        </a:gradFill>
      </dgm:spPr>
      <dgm:t>
        <a:bodyPr/>
        <a:lstStyle/>
        <a:p>
          <a:r>
            <a:rPr lang="es-EC" sz="800" dirty="0" smtClean="0"/>
            <a:t>Cumplimiento  Normativo </a:t>
          </a:r>
          <a:endParaRPr lang="es-EC" sz="800" dirty="0"/>
        </a:p>
      </dgm:t>
    </dgm:pt>
    <dgm:pt modelId="{FB013C81-474F-4D99-8CDC-671B27B297F9}" type="parTrans" cxnId="{6D2330BC-98EC-46BD-961C-14527911CCD9}">
      <dgm:prSet/>
      <dgm:spPr/>
      <dgm:t>
        <a:bodyPr/>
        <a:lstStyle/>
        <a:p>
          <a:endParaRPr lang="es-EC"/>
        </a:p>
      </dgm:t>
    </dgm:pt>
    <dgm:pt modelId="{914CF7A5-84D6-416C-B366-1C35A8564661}" type="sibTrans" cxnId="{6D2330BC-98EC-46BD-961C-14527911CCD9}">
      <dgm:prSet/>
      <dgm:spPr/>
      <dgm:t>
        <a:bodyPr/>
        <a:lstStyle/>
        <a:p>
          <a:endParaRPr lang="es-EC"/>
        </a:p>
      </dgm:t>
    </dgm:pt>
    <dgm:pt modelId="{C4BC0A0E-53CA-4941-9BB6-BE1F6F7E83C6}">
      <dgm:prSet custT="1"/>
      <dgm:spPr>
        <a:gradFill rotWithShape="0">
          <a:gsLst>
            <a:gs pos="0">
              <a:schemeClr val="accent3">
                <a:lumMod val="60000"/>
                <a:lumOff val="40000"/>
              </a:schemeClr>
            </a:gs>
            <a:gs pos="50000">
              <a:srgbClr val="9CB86E"/>
            </a:gs>
            <a:gs pos="100000">
              <a:srgbClr val="156B13"/>
            </a:gs>
          </a:gsLst>
          <a:lin ang="16200000" scaled="0"/>
        </a:gradFill>
      </dgm:spPr>
      <dgm:t>
        <a:bodyPr/>
        <a:lstStyle/>
        <a:p>
          <a:r>
            <a:rPr lang="es-EC" sz="800" dirty="0" smtClean="0"/>
            <a:t>Banca Privada</a:t>
          </a:r>
          <a:endParaRPr lang="es-EC" sz="800" dirty="0"/>
        </a:p>
      </dgm:t>
    </dgm:pt>
    <dgm:pt modelId="{F0ED88E3-1F64-4848-BF6C-AE5B18B9682F}" type="parTrans" cxnId="{A5B79D34-CBF0-470C-882D-792BE9611275}">
      <dgm:prSet/>
      <dgm:spPr/>
      <dgm:t>
        <a:bodyPr/>
        <a:lstStyle/>
        <a:p>
          <a:endParaRPr lang="es-EC"/>
        </a:p>
      </dgm:t>
    </dgm:pt>
    <dgm:pt modelId="{81B37DC4-1B91-45B9-A9CA-8524B5B8FD3B}" type="sibTrans" cxnId="{A5B79D34-CBF0-470C-882D-792BE9611275}">
      <dgm:prSet/>
      <dgm:spPr/>
      <dgm:t>
        <a:bodyPr/>
        <a:lstStyle/>
        <a:p>
          <a:endParaRPr lang="es-EC"/>
        </a:p>
      </dgm:t>
    </dgm:pt>
    <dgm:pt modelId="{40C6DEEC-E7D5-47E4-B846-0C7800918B61}">
      <dgm:prSet custT="1"/>
      <dgm:spPr>
        <a:gradFill rotWithShape="0">
          <a:gsLst>
            <a:gs pos="0">
              <a:schemeClr val="accent3">
                <a:lumMod val="60000"/>
                <a:lumOff val="40000"/>
              </a:schemeClr>
            </a:gs>
            <a:gs pos="50000">
              <a:srgbClr val="9CB86E"/>
            </a:gs>
            <a:gs pos="100000">
              <a:srgbClr val="156B13"/>
            </a:gs>
          </a:gsLst>
          <a:lin ang="16200000" scaled="0"/>
        </a:gradFill>
      </dgm:spPr>
      <dgm:t>
        <a:bodyPr/>
        <a:lstStyle/>
        <a:p>
          <a:r>
            <a:rPr lang="es-EC" sz="800" dirty="0" err="1" smtClean="0"/>
            <a:t>Produfondos</a:t>
          </a:r>
          <a:endParaRPr lang="es-EC" sz="800" dirty="0" smtClean="0"/>
        </a:p>
        <a:p>
          <a:r>
            <a:rPr lang="es-EC" sz="800" dirty="0" err="1" smtClean="0"/>
            <a:t>Produvalores</a:t>
          </a:r>
          <a:endParaRPr lang="es-EC" sz="800" dirty="0" smtClean="0"/>
        </a:p>
        <a:p>
          <a:r>
            <a:rPr lang="es-EC" sz="800" dirty="0" smtClean="0"/>
            <a:t>Mercado de Capitales</a:t>
          </a:r>
          <a:endParaRPr lang="es-EC" sz="800" dirty="0"/>
        </a:p>
      </dgm:t>
    </dgm:pt>
    <dgm:pt modelId="{69BA5D61-A60E-4231-8697-8CDE3BAF3553}" type="parTrans" cxnId="{2F834805-0EAE-467D-8DB0-C0E78FEA3DFB}">
      <dgm:prSet/>
      <dgm:spPr/>
      <dgm:t>
        <a:bodyPr/>
        <a:lstStyle/>
        <a:p>
          <a:endParaRPr lang="es-EC"/>
        </a:p>
      </dgm:t>
    </dgm:pt>
    <dgm:pt modelId="{37BD1C95-6E3A-4129-9ADC-F00961125695}" type="sibTrans" cxnId="{2F834805-0EAE-467D-8DB0-C0E78FEA3DFB}">
      <dgm:prSet/>
      <dgm:spPr/>
      <dgm:t>
        <a:bodyPr/>
        <a:lstStyle/>
        <a:p>
          <a:endParaRPr lang="es-EC"/>
        </a:p>
      </dgm:t>
    </dgm:pt>
    <dgm:pt modelId="{801CF301-CA56-4D82-A0D2-974F645802E8}">
      <dgm:prSet custT="1"/>
      <dgm:spPr>
        <a:gradFill rotWithShape="0">
          <a:gsLst>
            <a:gs pos="0">
              <a:schemeClr val="accent2">
                <a:lumMod val="60000"/>
                <a:lumOff val="40000"/>
              </a:schemeClr>
            </a:gs>
            <a:gs pos="30000">
              <a:srgbClr val="D49E6C"/>
            </a:gs>
            <a:gs pos="70000">
              <a:srgbClr val="A65528"/>
            </a:gs>
            <a:gs pos="100000">
              <a:srgbClr val="663012"/>
            </a:gs>
          </a:gsLst>
          <a:lin ang="16200000" scaled="0"/>
        </a:gradFill>
      </dgm:spPr>
      <dgm:t>
        <a:bodyPr/>
        <a:lstStyle/>
        <a:p>
          <a:r>
            <a:rPr lang="es-EC" sz="900" dirty="0" smtClean="0"/>
            <a:t>Tesorería</a:t>
          </a:r>
          <a:endParaRPr lang="es-EC" sz="900" dirty="0"/>
        </a:p>
      </dgm:t>
    </dgm:pt>
    <dgm:pt modelId="{2BB435DD-25DD-4BC3-8625-1D5D1BE8A88D}" type="parTrans" cxnId="{8CB9B4A9-0350-47DD-95BA-80623B5DDA17}">
      <dgm:prSet/>
      <dgm:spPr/>
      <dgm:t>
        <a:bodyPr/>
        <a:lstStyle/>
        <a:p>
          <a:endParaRPr lang="es-EC"/>
        </a:p>
      </dgm:t>
    </dgm:pt>
    <dgm:pt modelId="{C8C75AC0-C990-45D4-B878-95AD277E7ABE}" type="sibTrans" cxnId="{8CB9B4A9-0350-47DD-95BA-80623B5DDA17}">
      <dgm:prSet/>
      <dgm:spPr/>
      <dgm:t>
        <a:bodyPr/>
        <a:lstStyle/>
        <a:p>
          <a:endParaRPr lang="es-EC"/>
        </a:p>
      </dgm:t>
    </dgm:pt>
    <dgm:pt modelId="{F8A6A317-15EA-46B3-B04F-E21B4D43232E}">
      <dgm:prSet/>
      <dgm:spPr>
        <a:gradFill rotWithShape="0">
          <a:gsLst>
            <a:gs pos="0">
              <a:schemeClr val="accent2">
                <a:lumMod val="60000"/>
                <a:lumOff val="40000"/>
              </a:schemeClr>
            </a:gs>
            <a:gs pos="30000">
              <a:srgbClr val="D49E6C"/>
            </a:gs>
            <a:gs pos="70000">
              <a:srgbClr val="A65528"/>
            </a:gs>
            <a:gs pos="100000">
              <a:srgbClr val="663012"/>
            </a:gs>
          </a:gsLst>
          <a:lin ang="16200000" scaled="0"/>
        </a:gradFill>
      </dgm:spPr>
      <dgm:t>
        <a:bodyPr/>
        <a:lstStyle/>
        <a:p>
          <a:r>
            <a:rPr lang="es-EC" dirty="0" smtClean="0"/>
            <a:t>Riesgos</a:t>
          </a:r>
          <a:endParaRPr lang="es-EC" dirty="0"/>
        </a:p>
      </dgm:t>
    </dgm:pt>
    <dgm:pt modelId="{10D77F0A-2471-477B-BCD9-527DD8E1EE71}" type="parTrans" cxnId="{C5DF58FB-5039-4AB0-84DF-1132724E47FC}">
      <dgm:prSet/>
      <dgm:spPr/>
      <dgm:t>
        <a:bodyPr/>
        <a:lstStyle/>
        <a:p>
          <a:endParaRPr lang="es-EC"/>
        </a:p>
      </dgm:t>
    </dgm:pt>
    <dgm:pt modelId="{DE93744E-F228-46F6-8DCC-4568AF7A7FF8}" type="sibTrans" cxnId="{C5DF58FB-5039-4AB0-84DF-1132724E47FC}">
      <dgm:prSet/>
      <dgm:spPr/>
      <dgm:t>
        <a:bodyPr/>
        <a:lstStyle/>
        <a:p>
          <a:endParaRPr lang="es-EC"/>
        </a:p>
      </dgm:t>
    </dgm:pt>
    <dgm:pt modelId="{E94F06C9-DDC7-4FD0-9200-AF316FE2ED3D}">
      <dgm:prSet/>
      <dgm:spPr>
        <a:gradFill rotWithShape="0">
          <a:gsLst>
            <a:gs pos="0">
              <a:schemeClr val="accent2">
                <a:lumMod val="60000"/>
                <a:lumOff val="40000"/>
              </a:schemeClr>
            </a:gs>
            <a:gs pos="30000">
              <a:srgbClr val="D49E6C"/>
            </a:gs>
            <a:gs pos="70000">
              <a:srgbClr val="A65528"/>
            </a:gs>
            <a:gs pos="100000">
              <a:srgbClr val="663012"/>
            </a:gs>
          </a:gsLst>
          <a:lin ang="16200000" scaled="0"/>
        </a:gradFill>
      </dgm:spPr>
      <dgm:t>
        <a:bodyPr/>
        <a:lstStyle/>
        <a:p>
          <a:r>
            <a:rPr lang="es-EC" dirty="0" smtClean="0"/>
            <a:t>Operaciones y Tecnología</a:t>
          </a:r>
          <a:endParaRPr lang="es-EC" dirty="0"/>
        </a:p>
      </dgm:t>
    </dgm:pt>
    <dgm:pt modelId="{9B4E0AC9-CDC5-40E8-888A-D1173DE70727}" type="parTrans" cxnId="{B75A44B3-D021-4D1F-A906-E984126FC138}">
      <dgm:prSet/>
      <dgm:spPr/>
      <dgm:t>
        <a:bodyPr/>
        <a:lstStyle/>
        <a:p>
          <a:endParaRPr lang="es-EC"/>
        </a:p>
      </dgm:t>
    </dgm:pt>
    <dgm:pt modelId="{7DE953DF-E410-481F-A4E8-E3395ECA6B5C}" type="sibTrans" cxnId="{B75A44B3-D021-4D1F-A906-E984126FC138}">
      <dgm:prSet/>
      <dgm:spPr/>
      <dgm:t>
        <a:bodyPr/>
        <a:lstStyle/>
        <a:p>
          <a:endParaRPr lang="es-EC"/>
        </a:p>
      </dgm:t>
    </dgm:pt>
    <dgm:pt modelId="{A1A6D8DD-DE17-4467-B62A-9601DFA21879}">
      <dgm:prSet/>
      <dgm:spPr>
        <a:gradFill rotWithShape="0">
          <a:gsLst>
            <a:gs pos="0">
              <a:srgbClr val="03D4A8"/>
            </a:gs>
            <a:gs pos="25000">
              <a:srgbClr val="21D6E0"/>
            </a:gs>
            <a:gs pos="75000">
              <a:srgbClr val="0087E6"/>
            </a:gs>
            <a:gs pos="100000">
              <a:srgbClr val="005CBF"/>
            </a:gs>
          </a:gsLst>
          <a:lin ang="16200000" scaled="0"/>
        </a:gradFill>
      </dgm:spPr>
      <dgm:t>
        <a:bodyPr/>
        <a:lstStyle/>
        <a:p>
          <a:r>
            <a:rPr lang="es-EC" dirty="0" smtClean="0"/>
            <a:t>Finanzas</a:t>
          </a:r>
          <a:endParaRPr lang="es-EC" dirty="0"/>
        </a:p>
      </dgm:t>
    </dgm:pt>
    <dgm:pt modelId="{B89D11C4-F9B1-4DE4-8D0E-C82A00750165}" type="parTrans" cxnId="{D595D067-1CCD-412A-BC05-859DABE2FA57}">
      <dgm:prSet/>
      <dgm:spPr/>
      <dgm:t>
        <a:bodyPr/>
        <a:lstStyle/>
        <a:p>
          <a:endParaRPr lang="es-EC"/>
        </a:p>
      </dgm:t>
    </dgm:pt>
    <dgm:pt modelId="{0275339D-737A-4BC6-910A-6C47DC433290}" type="sibTrans" cxnId="{D595D067-1CCD-412A-BC05-859DABE2FA57}">
      <dgm:prSet/>
      <dgm:spPr/>
      <dgm:t>
        <a:bodyPr/>
        <a:lstStyle/>
        <a:p>
          <a:endParaRPr lang="es-EC"/>
        </a:p>
      </dgm:t>
    </dgm:pt>
    <dgm:pt modelId="{13DFC083-6754-4CF0-AE48-36E6B946430B}">
      <dgm:prSet/>
      <dgm:spPr>
        <a:gradFill rotWithShape="0">
          <a:gsLst>
            <a:gs pos="0">
              <a:srgbClr val="03D4A8"/>
            </a:gs>
            <a:gs pos="25000">
              <a:srgbClr val="21D6E0"/>
            </a:gs>
            <a:gs pos="75000">
              <a:srgbClr val="0087E6"/>
            </a:gs>
            <a:gs pos="100000">
              <a:srgbClr val="005CBF"/>
            </a:gs>
          </a:gsLst>
          <a:lin ang="16200000" scaled="0"/>
        </a:gradFill>
      </dgm:spPr>
      <dgm:t>
        <a:bodyPr/>
        <a:lstStyle/>
        <a:p>
          <a:r>
            <a:rPr lang="es-EC" dirty="0" smtClean="0"/>
            <a:t>Eficiencia y Productividad</a:t>
          </a:r>
          <a:endParaRPr lang="es-EC" dirty="0"/>
        </a:p>
      </dgm:t>
    </dgm:pt>
    <dgm:pt modelId="{E7DBC8C8-BBE1-4B6B-BC17-E315B3D31F6F}" type="parTrans" cxnId="{F7683CD1-BB93-41CF-8648-F286FB82D962}">
      <dgm:prSet/>
      <dgm:spPr/>
      <dgm:t>
        <a:bodyPr/>
        <a:lstStyle/>
        <a:p>
          <a:endParaRPr lang="es-EC"/>
        </a:p>
      </dgm:t>
    </dgm:pt>
    <dgm:pt modelId="{763103F0-603A-4CB5-9C48-A54127DE6E8F}" type="sibTrans" cxnId="{F7683CD1-BB93-41CF-8648-F286FB82D962}">
      <dgm:prSet/>
      <dgm:spPr/>
      <dgm:t>
        <a:bodyPr/>
        <a:lstStyle/>
        <a:p>
          <a:endParaRPr lang="es-EC"/>
        </a:p>
      </dgm:t>
    </dgm:pt>
    <dgm:pt modelId="{27B5FF68-F067-4BBB-B7B0-ED958E1BD9E7}" type="asst">
      <dgm:prSet custT="1"/>
      <dgm:spPr>
        <a:gradFill rotWithShape="0">
          <a:gsLst>
            <a:gs pos="0">
              <a:schemeClr val="accent2">
                <a:lumMod val="60000"/>
                <a:lumOff val="40000"/>
              </a:schemeClr>
            </a:gs>
            <a:gs pos="30000">
              <a:srgbClr val="D49E6C"/>
            </a:gs>
            <a:gs pos="70000">
              <a:srgbClr val="A65528"/>
            </a:gs>
            <a:gs pos="100000">
              <a:srgbClr val="663012"/>
            </a:gs>
          </a:gsLst>
          <a:lin ang="16200000" scaled="0"/>
        </a:gradFill>
      </dgm:spPr>
      <dgm:t>
        <a:bodyPr/>
        <a:lstStyle/>
        <a:p>
          <a:r>
            <a:rPr lang="es-EC" sz="800" dirty="0" smtClean="0"/>
            <a:t>Vicepresidente Ejecutivo</a:t>
          </a:r>
        </a:p>
        <a:p>
          <a:r>
            <a:rPr lang="es-EC" sz="800" dirty="0" smtClean="0"/>
            <a:t>RRHH Y Administración</a:t>
          </a:r>
          <a:endParaRPr lang="es-EC" sz="800" dirty="0"/>
        </a:p>
      </dgm:t>
    </dgm:pt>
    <dgm:pt modelId="{E9C1BE79-76C9-4FE5-9EB8-98644A4E07B3}" type="parTrans" cxnId="{4A301DBF-9970-466E-9A13-B5470B2FB03C}">
      <dgm:prSet/>
      <dgm:spPr/>
      <dgm:t>
        <a:bodyPr/>
        <a:lstStyle/>
        <a:p>
          <a:endParaRPr lang="es-EC"/>
        </a:p>
      </dgm:t>
    </dgm:pt>
    <dgm:pt modelId="{97D2C332-C8B0-45C6-9518-17721C165647}" type="sibTrans" cxnId="{4A301DBF-9970-466E-9A13-B5470B2FB03C}">
      <dgm:prSet/>
      <dgm:spPr/>
      <dgm:t>
        <a:bodyPr/>
        <a:lstStyle/>
        <a:p>
          <a:endParaRPr lang="es-EC"/>
        </a:p>
      </dgm:t>
    </dgm:pt>
    <dgm:pt modelId="{F7645BDA-62B5-4681-9A64-B105857C5E8B}" type="pres">
      <dgm:prSet presAssocID="{F3C310DA-66C0-4006-A9F9-7EB92D53F111}" presName="hierChild1" presStyleCnt="0">
        <dgm:presLayoutVars>
          <dgm:orgChart val="1"/>
          <dgm:chPref val="1"/>
          <dgm:dir/>
          <dgm:animOne val="branch"/>
          <dgm:animLvl val="lvl"/>
          <dgm:resizeHandles/>
        </dgm:presLayoutVars>
      </dgm:prSet>
      <dgm:spPr/>
      <dgm:t>
        <a:bodyPr/>
        <a:lstStyle/>
        <a:p>
          <a:endParaRPr lang="es-EC"/>
        </a:p>
      </dgm:t>
    </dgm:pt>
    <dgm:pt modelId="{3265C521-2F97-48D0-A710-CFE33E458E35}" type="pres">
      <dgm:prSet presAssocID="{580A5BFF-80CC-4582-B4AC-93F28C494891}" presName="hierRoot1" presStyleCnt="0">
        <dgm:presLayoutVars>
          <dgm:hierBranch val="init"/>
        </dgm:presLayoutVars>
      </dgm:prSet>
      <dgm:spPr/>
    </dgm:pt>
    <dgm:pt modelId="{7ADC6AB1-0F6D-4E96-B9CF-5443AC20F85F}" type="pres">
      <dgm:prSet presAssocID="{580A5BFF-80CC-4582-B4AC-93F28C494891}" presName="rootComposite1" presStyleCnt="0"/>
      <dgm:spPr/>
    </dgm:pt>
    <dgm:pt modelId="{BE7610FD-E15D-4C15-9CDC-17667D08ADE7}" type="pres">
      <dgm:prSet presAssocID="{580A5BFF-80CC-4582-B4AC-93F28C494891}" presName="rootText1" presStyleLbl="node0" presStyleIdx="0" presStyleCnt="1" custScaleX="194989" custScaleY="172521">
        <dgm:presLayoutVars>
          <dgm:chPref val="3"/>
        </dgm:presLayoutVars>
      </dgm:prSet>
      <dgm:spPr/>
      <dgm:t>
        <a:bodyPr/>
        <a:lstStyle/>
        <a:p>
          <a:endParaRPr lang="es-EC"/>
        </a:p>
      </dgm:t>
    </dgm:pt>
    <dgm:pt modelId="{F11A7062-11F3-4AE7-987A-4B98AC89C14A}" type="pres">
      <dgm:prSet presAssocID="{580A5BFF-80CC-4582-B4AC-93F28C494891}" presName="rootConnector1" presStyleLbl="node1" presStyleIdx="0" presStyleCnt="0"/>
      <dgm:spPr/>
      <dgm:t>
        <a:bodyPr/>
        <a:lstStyle/>
        <a:p>
          <a:endParaRPr lang="es-EC"/>
        </a:p>
      </dgm:t>
    </dgm:pt>
    <dgm:pt modelId="{80B8B816-79BC-42DB-8ECF-A0AF8A8329FA}" type="pres">
      <dgm:prSet presAssocID="{580A5BFF-80CC-4582-B4AC-93F28C494891}" presName="hierChild2" presStyleCnt="0"/>
      <dgm:spPr/>
    </dgm:pt>
    <dgm:pt modelId="{A508B66F-3093-4981-927D-C0FAC1C97A8C}" type="pres">
      <dgm:prSet presAssocID="{D75203A7-F308-4444-91E9-CECE54B7A9B4}" presName="Name37" presStyleLbl="parChTrans1D2" presStyleIdx="0" presStyleCnt="14"/>
      <dgm:spPr/>
      <dgm:t>
        <a:bodyPr/>
        <a:lstStyle/>
        <a:p>
          <a:endParaRPr lang="es-EC"/>
        </a:p>
      </dgm:t>
    </dgm:pt>
    <dgm:pt modelId="{EBB92517-1EEF-470E-B38C-086AB521573A}" type="pres">
      <dgm:prSet presAssocID="{44F9CC7F-7395-4DC7-AC68-5526EF523B5D}" presName="hierRoot2" presStyleCnt="0">
        <dgm:presLayoutVars>
          <dgm:hierBranch val="init"/>
        </dgm:presLayoutVars>
      </dgm:prSet>
      <dgm:spPr/>
    </dgm:pt>
    <dgm:pt modelId="{FC36ACBF-5734-4F2E-9F51-E2BCD27B204A}" type="pres">
      <dgm:prSet presAssocID="{44F9CC7F-7395-4DC7-AC68-5526EF523B5D}" presName="rootComposite" presStyleCnt="0"/>
      <dgm:spPr/>
    </dgm:pt>
    <dgm:pt modelId="{1F39A94C-5A0F-47BD-8E6B-9C78CB0D042D}" type="pres">
      <dgm:prSet presAssocID="{44F9CC7F-7395-4DC7-AC68-5526EF523B5D}" presName="rootText" presStyleLbl="node2" presStyleIdx="0" presStyleCnt="10" custScaleX="166450" custScaleY="191904">
        <dgm:presLayoutVars>
          <dgm:chPref val="3"/>
        </dgm:presLayoutVars>
      </dgm:prSet>
      <dgm:spPr/>
      <dgm:t>
        <a:bodyPr/>
        <a:lstStyle/>
        <a:p>
          <a:endParaRPr lang="es-EC"/>
        </a:p>
      </dgm:t>
    </dgm:pt>
    <dgm:pt modelId="{E2FBF5EB-F2B3-4C87-AAA7-861A575124F1}" type="pres">
      <dgm:prSet presAssocID="{44F9CC7F-7395-4DC7-AC68-5526EF523B5D}" presName="rootConnector" presStyleLbl="node2" presStyleIdx="0" presStyleCnt="10"/>
      <dgm:spPr/>
      <dgm:t>
        <a:bodyPr/>
        <a:lstStyle/>
        <a:p>
          <a:endParaRPr lang="es-EC"/>
        </a:p>
      </dgm:t>
    </dgm:pt>
    <dgm:pt modelId="{0EF43F66-34CD-424D-B6EE-827AE27DD234}" type="pres">
      <dgm:prSet presAssocID="{44F9CC7F-7395-4DC7-AC68-5526EF523B5D}" presName="hierChild4" presStyleCnt="0"/>
      <dgm:spPr/>
    </dgm:pt>
    <dgm:pt modelId="{E9139974-86F8-4379-99A2-C29C0F6AC78B}" type="pres">
      <dgm:prSet presAssocID="{44F9CC7F-7395-4DC7-AC68-5526EF523B5D}" presName="hierChild5" presStyleCnt="0"/>
      <dgm:spPr/>
    </dgm:pt>
    <dgm:pt modelId="{C778511A-8E32-4EBF-B52D-6A0AC0C34895}" type="pres">
      <dgm:prSet presAssocID="{84B649E5-CF5A-410B-BEF3-9D584055D164}" presName="Name37" presStyleLbl="parChTrans1D2" presStyleIdx="1" presStyleCnt="14"/>
      <dgm:spPr/>
      <dgm:t>
        <a:bodyPr/>
        <a:lstStyle/>
        <a:p>
          <a:endParaRPr lang="es-EC"/>
        </a:p>
      </dgm:t>
    </dgm:pt>
    <dgm:pt modelId="{5E49DA68-349F-42C0-96AF-286168C81C6A}" type="pres">
      <dgm:prSet presAssocID="{9118622C-20A8-46A1-AAC7-5DA1106BCA0C}" presName="hierRoot2" presStyleCnt="0">
        <dgm:presLayoutVars>
          <dgm:hierBranch val="init"/>
        </dgm:presLayoutVars>
      </dgm:prSet>
      <dgm:spPr/>
    </dgm:pt>
    <dgm:pt modelId="{3B112152-21DC-4749-A19A-675801D1D3ED}" type="pres">
      <dgm:prSet presAssocID="{9118622C-20A8-46A1-AAC7-5DA1106BCA0C}" presName="rootComposite" presStyleCnt="0"/>
      <dgm:spPr/>
    </dgm:pt>
    <dgm:pt modelId="{E7723813-C0DB-49EC-BC07-5C572EE1DA88}" type="pres">
      <dgm:prSet presAssocID="{9118622C-20A8-46A1-AAC7-5DA1106BCA0C}" presName="rootText" presStyleLbl="node2" presStyleIdx="1" presStyleCnt="10" custScaleX="141396" custScaleY="186884">
        <dgm:presLayoutVars>
          <dgm:chPref val="3"/>
        </dgm:presLayoutVars>
      </dgm:prSet>
      <dgm:spPr/>
      <dgm:t>
        <a:bodyPr/>
        <a:lstStyle/>
        <a:p>
          <a:endParaRPr lang="es-EC"/>
        </a:p>
      </dgm:t>
    </dgm:pt>
    <dgm:pt modelId="{4F682C75-F186-4659-8138-49C3A29FE6DC}" type="pres">
      <dgm:prSet presAssocID="{9118622C-20A8-46A1-AAC7-5DA1106BCA0C}" presName="rootConnector" presStyleLbl="node2" presStyleIdx="1" presStyleCnt="10"/>
      <dgm:spPr/>
      <dgm:t>
        <a:bodyPr/>
        <a:lstStyle/>
        <a:p>
          <a:endParaRPr lang="es-EC"/>
        </a:p>
      </dgm:t>
    </dgm:pt>
    <dgm:pt modelId="{B3797FFA-1E11-49CF-8169-D5D1412C9E26}" type="pres">
      <dgm:prSet presAssocID="{9118622C-20A8-46A1-AAC7-5DA1106BCA0C}" presName="hierChild4" presStyleCnt="0"/>
      <dgm:spPr/>
    </dgm:pt>
    <dgm:pt modelId="{C47FD7DE-2D17-4C8D-93A3-AACBD5ABC4AF}" type="pres">
      <dgm:prSet presAssocID="{9118622C-20A8-46A1-AAC7-5DA1106BCA0C}" presName="hierChild5" presStyleCnt="0"/>
      <dgm:spPr/>
    </dgm:pt>
    <dgm:pt modelId="{D854CB2D-03F1-4D21-86AE-AAA15FDF9C2B}" type="pres">
      <dgm:prSet presAssocID="{CD69BCB0-3026-49F6-906D-5E5C14BF226E}" presName="Name37" presStyleLbl="parChTrans1D2" presStyleIdx="2" presStyleCnt="14"/>
      <dgm:spPr/>
      <dgm:t>
        <a:bodyPr/>
        <a:lstStyle/>
        <a:p>
          <a:endParaRPr lang="es-EC"/>
        </a:p>
      </dgm:t>
    </dgm:pt>
    <dgm:pt modelId="{259EE239-124B-4D11-B596-5F50369CE2DC}" type="pres">
      <dgm:prSet presAssocID="{413793C1-E7E8-4449-8DFF-8343DEA28301}" presName="hierRoot2" presStyleCnt="0">
        <dgm:presLayoutVars>
          <dgm:hierBranch val="init"/>
        </dgm:presLayoutVars>
      </dgm:prSet>
      <dgm:spPr/>
    </dgm:pt>
    <dgm:pt modelId="{5CA85A95-80AC-44A3-9F1F-F167615B0A49}" type="pres">
      <dgm:prSet presAssocID="{413793C1-E7E8-4449-8DFF-8343DEA28301}" presName="rootComposite" presStyleCnt="0"/>
      <dgm:spPr/>
    </dgm:pt>
    <dgm:pt modelId="{9E87B7C9-586B-4360-9FBA-3867C2461DEA}" type="pres">
      <dgm:prSet presAssocID="{413793C1-E7E8-4449-8DFF-8343DEA28301}" presName="rootText" presStyleLbl="node2" presStyleIdx="2" presStyleCnt="10" custScaleX="111301" custScaleY="190056">
        <dgm:presLayoutVars>
          <dgm:chPref val="3"/>
        </dgm:presLayoutVars>
      </dgm:prSet>
      <dgm:spPr/>
      <dgm:t>
        <a:bodyPr/>
        <a:lstStyle/>
        <a:p>
          <a:endParaRPr lang="es-EC"/>
        </a:p>
      </dgm:t>
    </dgm:pt>
    <dgm:pt modelId="{769A6D42-7201-4B2B-8349-CE4BB066A71E}" type="pres">
      <dgm:prSet presAssocID="{413793C1-E7E8-4449-8DFF-8343DEA28301}" presName="rootConnector" presStyleLbl="node2" presStyleIdx="2" presStyleCnt="10"/>
      <dgm:spPr/>
      <dgm:t>
        <a:bodyPr/>
        <a:lstStyle/>
        <a:p>
          <a:endParaRPr lang="es-EC"/>
        </a:p>
      </dgm:t>
    </dgm:pt>
    <dgm:pt modelId="{09D7F719-7BDE-43CB-8300-71173ED7CAF0}" type="pres">
      <dgm:prSet presAssocID="{413793C1-E7E8-4449-8DFF-8343DEA28301}" presName="hierChild4" presStyleCnt="0"/>
      <dgm:spPr/>
    </dgm:pt>
    <dgm:pt modelId="{2767E2FD-0260-4396-B390-729B16A7C240}" type="pres">
      <dgm:prSet presAssocID="{413793C1-E7E8-4449-8DFF-8343DEA28301}" presName="hierChild5" presStyleCnt="0"/>
      <dgm:spPr/>
    </dgm:pt>
    <dgm:pt modelId="{078CB879-0BF4-4FAC-8C14-79D3F249A029}" type="pres">
      <dgm:prSet presAssocID="{F0ED88E3-1F64-4848-BF6C-AE5B18B9682F}" presName="Name37" presStyleLbl="parChTrans1D2" presStyleIdx="3" presStyleCnt="14"/>
      <dgm:spPr/>
      <dgm:t>
        <a:bodyPr/>
        <a:lstStyle/>
        <a:p>
          <a:endParaRPr lang="es-EC"/>
        </a:p>
      </dgm:t>
    </dgm:pt>
    <dgm:pt modelId="{3A28F2D8-BB45-4125-8864-F8D9577AF4D7}" type="pres">
      <dgm:prSet presAssocID="{C4BC0A0E-53CA-4941-9BB6-BE1F6F7E83C6}" presName="hierRoot2" presStyleCnt="0">
        <dgm:presLayoutVars>
          <dgm:hierBranch val="init"/>
        </dgm:presLayoutVars>
      </dgm:prSet>
      <dgm:spPr/>
    </dgm:pt>
    <dgm:pt modelId="{2B49BCEF-BAC3-4CB6-82CA-BD704F3F15E0}" type="pres">
      <dgm:prSet presAssocID="{C4BC0A0E-53CA-4941-9BB6-BE1F6F7E83C6}" presName="rootComposite" presStyleCnt="0"/>
      <dgm:spPr/>
    </dgm:pt>
    <dgm:pt modelId="{A9D5E78E-3B1B-4A8C-B71B-22D0C01AFE03}" type="pres">
      <dgm:prSet presAssocID="{C4BC0A0E-53CA-4941-9BB6-BE1F6F7E83C6}" presName="rootText" presStyleLbl="node2" presStyleIdx="3" presStyleCnt="10" custScaleX="110320" custScaleY="195601">
        <dgm:presLayoutVars>
          <dgm:chPref val="3"/>
        </dgm:presLayoutVars>
      </dgm:prSet>
      <dgm:spPr/>
      <dgm:t>
        <a:bodyPr/>
        <a:lstStyle/>
        <a:p>
          <a:endParaRPr lang="es-EC"/>
        </a:p>
      </dgm:t>
    </dgm:pt>
    <dgm:pt modelId="{0404060C-5290-45F4-997D-65C63D1CF53A}" type="pres">
      <dgm:prSet presAssocID="{C4BC0A0E-53CA-4941-9BB6-BE1F6F7E83C6}" presName="rootConnector" presStyleLbl="node2" presStyleIdx="3" presStyleCnt="10"/>
      <dgm:spPr/>
      <dgm:t>
        <a:bodyPr/>
        <a:lstStyle/>
        <a:p>
          <a:endParaRPr lang="es-EC"/>
        </a:p>
      </dgm:t>
    </dgm:pt>
    <dgm:pt modelId="{B1FA896B-196D-40EB-AAF6-28E0C815A993}" type="pres">
      <dgm:prSet presAssocID="{C4BC0A0E-53CA-4941-9BB6-BE1F6F7E83C6}" presName="hierChild4" presStyleCnt="0"/>
      <dgm:spPr/>
    </dgm:pt>
    <dgm:pt modelId="{7A3841C6-CFCF-496A-BC3E-284B5F3DCDEF}" type="pres">
      <dgm:prSet presAssocID="{C4BC0A0E-53CA-4941-9BB6-BE1F6F7E83C6}" presName="hierChild5" presStyleCnt="0"/>
      <dgm:spPr/>
    </dgm:pt>
    <dgm:pt modelId="{696B5EFE-9193-4384-A234-68B430A248D4}" type="pres">
      <dgm:prSet presAssocID="{69BA5D61-A60E-4231-8697-8CDE3BAF3553}" presName="Name37" presStyleLbl="parChTrans1D2" presStyleIdx="4" presStyleCnt="14"/>
      <dgm:spPr/>
      <dgm:t>
        <a:bodyPr/>
        <a:lstStyle/>
        <a:p>
          <a:endParaRPr lang="es-EC"/>
        </a:p>
      </dgm:t>
    </dgm:pt>
    <dgm:pt modelId="{D7500CA6-8C1C-4BD1-9C01-616784468A16}" type="pres">
      <dgm:prSet presAssocID="{40C6DEEC-E7D5-47E4-B846-0C7800918B61}" presName="hierRoot2" presStyleCnt="0">
        <dgm:presLayoutVars>
          <dgm:hierBranch val="init"/>
        </dgm:presLayoutVars>
      </dgm:prSet>
      <dgm:spPr/>
    </dgm:pt>
    <dgm:pt modelId="{F66C2152-84E8-42C8-80F8-C3820BC7704F}" type="pres">
      <dgm:prSet presAssocID="{40C6DEEC-E7D5-47E4-B846-0C7800918B61}" presName="rootComposite" presStyleCnt="0"/>
      <dgm:spPr/>
    </dgm:pt>
    <dgm:pt modelId="{633D0D5F-89E5-4A22-9AE3-6A2A0528A0D7}" type="pres">
      <dgm:prSet presAssocID="{40C6DEEC-E7D5-47E4-B846-0C7800918B61}" presName="rootText" presStyleLbl="node2" presStyleIdx="4" presStyleCnt="10" custScaleX="234432" custScaleY="230561">
        <dgm:presLayoutVars>
          <dgm:chPref val="3"/>
        </dgm:presLayoutVars>
      </dgm:prSet>
      <dgm:spPr/>
      <dgm:t>
        <a:bodyPr/>
        <a:lstStyle/>
        <a:p>
          <a:endParaRPr lang="es-EC"/>
        </a:p>
      </dgm:t>
    </dgm:pt>
    <dgm:pt modelId="{5EBDA96A-DD3C-4C25-A14B-4853F3437238}" type="pres">
      <dgm:prSet presAssocID="{40C6DEEC-E7D5-47E4-B846-0C7800918B61}" presName="rootConnector" presStyleLbl="node2" presStyleIdx="4" presStyleCnt="10"/>
      <dgm:spPr/>
      <dgm:t>
        <a:bodyPr/>
        <a:lstStyle/>
        <a:p>
          <a:endParaRPr lang="es-EC"/>
        </a:p>
      </dgm:t>
    </dgm:pt>
    <dgm:pt modelId="{2AB6651E-60BA-420E-B8B4-9EEE35030A1E}" type="pres">
      <dgm:prSet presAssocID="{40C6DEEC-E7D5-47E4-B846-0C7800918B61}" presName="hierChild4" presStyleCnt="0"/>
      <dgm:spPr/>
    </dgm:pt>
    <dgm:pt modelId="{F76DFFCB-D7D6-4259-A9BE-5B9C1CC0BEA8}" type="pres">
      <dgm:prSet presAssocID="{40C6DEEC-E7D5-47E4-B846-0C7800918B61}" presName="hierChild5" presStyleCnt="0"/>
      <dgm:spPr/>
    </dgm:pt>
    <dgm:pt modelId="{3C1A412D-081A-4D84-89B4-C6FAF6DCF226}" type="pres">
      <dgm:prSet presAssocID="{2BB435DD-25DD-4BC3-8625-1D5D1BE8A88D}" presName="Name37" presStyleLbl="parChTrans1D2" presStyleIdx="5" presStyleCnt="14"/>
      <dgm:spPr/>
      <dgm:t>
        <a:bodyPr/>
        <a:lstStyle/>
        <a:p>
          <a:endParaRPr lang="es-EC"/>
        </a:p>
      </dgm:t>
    </dgm:pt>
    <dgm:pt modelId="{306E9A22-E664-48BC-AD8B-4CD8BF90FCA7}" type="pres">
      <dgm:prSet presAssocID="{801CF301-CA56-4D82-A0D2-974F645802E8}" presName="hierRoot2" presStyleCnt="0">
        <dgm:presLayoutVars>
          <dgm:hierBranch val="init"/>
        </dgm:presLayoutVars>
      </dgm:prSet>
      <dgm:spPr/>
    </dgm:pt>
    <dgm:pt modelId="{7323A581-C94C-45E1-8B29-18E99419B733}" type="pres">
      <dgm:prSet presAssocID="{801CF301-CA56-4D82-A0D2-974F645802E8}" presName="rootComposite" presStyleCnt="0"/>
      <dgm:spPr/>
    </dgm:pt>
    <dgm:pt modelId="{88D7D482-4748-4D56-B7BC-6FDFE43CD652}" type="pres">
      <dgm:prSet presAssocID="{801CF301-CA56-4D82-A0D2-974F645802E8}" presName="rootText" presStyleLbl="node2" presStyleIdx="5" presStyleCnt="10" custScaleX="122747" custScaleY="222413">
        <dgm:presLayoutVars>
          <dgm:chPref val="3"/>
        </dgm:presLayoutVars>
      </dgm:prSet>
      <dgm:spPr/>
      <dgm:t>
        <a:bodyPr/>
        <a:lstStyle/>
        <a:p>
          <a:endParaRPr lang="es-EC"/>
        </a:p>
      </dgm:t>
    </dgm:pt>
    <dgm:pt modelId="{BA14E3F9-024A-4E2C-96F2-947E821FFB05}" type="pres">
      <dgm:prSet presAssocID="{801CF301-CA56-4D82-A0D2-974F645802E8}" presName="rootConnector" presStyleLbl="node2" presStyleIdx="5" presStyleCnt="10"/>
      <dgm:spPr/>
      <dgm:t>
        <a:bodyPr/>
        <a:lstStyle/>
        <a:p>
          <a:endParaRPr lang="es-EC"/>
        </a:p>
      </dgm:t>
    </dgm:pt>
    <dgm:pt modelId="{FA2C2E35-21A1-4101-843C-0D3CFE01937F}" type="pres">
      <dgm:prSet presAssocID="{801CF301-CA56-4D82-A0D2-974F645802E8}" presName="hierChild4" presStyleCnt="0"/>
      <dgm:spPr/>
    </dgm:pt>
    <dgm:pt modelId="{314C0C94-66BA-40F0-860E-98BF2FC3C5EF}" type="pres">
      <dgm:prSet presAssocID="{801CF301-CA56-4D82-A0D2-974F645802E8}" presName="hierChild5" presStyleCnt="0"/>
      <dgm:spPr/>
    </dgm:pt>
    <dgm:pt modelId="{7AF374DD-B772-4C5F-86C9-9C09FEA72EA9}" type="pres">
      <dgm:prSet presAssocID="{10D77F0A-2471-477B-BCD9-527DD8E1EE71}" presName="Name37" presStyleLbl="parChTrans1D2" presStyleIdx="6" presStyleCnt="14"/>
      <dgm:spPr/>
      <dgm:t>
        <a:bodyPr/>
        <a:lstStyle/>
        <a:p>
          <a:endParaRPr lang="es-EC"/>
        </a:p>
      </dgm:t>
    </dgm:pt>
    <dgm:pt modelId="{344F0F5F-5427-47CA-B2C0-3FF46E2EE586}" type="pres">
      <dgm:prSet presAssocID="{F8A6A317-15EA-46B3-B04F-E21B4D43232E}" presName="hierRoot2" presStyleCnt="0">
        <dgm:presLayoutVars>
          <dgm:hierBranch val="init"/>
        </dgm:presLayoutVars>
      </dgm:prSet>
      <dgm:spPr/>
    </dgm:pt>
    <dgm:pt modelId="{4366C6E4-37BC-4177-8B4A-1F5A9CA3687D}" type="pres">
      <dgm:prSet presAssocID="{F8A6A317-15EA-46B3-B04F-E21B4D43232E}" presName="rootComposite" presStyleCnt="0"/>
      <dgm:spPr/>
    </dgm:pt>
    <dgm:pt modelId="{51254020-B8B7-4D8D-A871-664EDCA52C0C}" type="pres">
      <dgm:prSet presAssocID="{F8A6A317-15EA-46B3-B04F-E21B4D43232E}" presName="rootText" presStyleLbl="node2" presStyleIdx="6" presStyleCnt="10" custScaleX="130642" custScaleY="192584">
        <dgm:presLayoutVars>
          <dgm:chPref val="3"/>
        </dgm:presLayoutVars>
      </dgm:prSet>
      <dgm:spPr/>
      <dgm:t>
        <a:bodyPr/>
        <a:lstStyle/>
        <a:p>
          <a:endParaRPr lang="es-EC"/>
        </a:p>
      </dgm:t>
    </dgm:pt>
    <dgm:pt modelId="{C2473476-6B14-4020-AC5B-1F9243DBFC35}" type="pres">
      <dgm:prSet presAssocID="{F8A6A317-15EA-46B3-B04F-E21B4D43232E}" presName="rootConnector" presStyleLbl="node2" presStyleIdx="6" presStyleCnt="10"/>
      <dgm:spPr/>
      <dgm:t>
        <a:bodyPr/>
        <a:lstStyle/>
        <a:p>
          <a:endParaRPr lang="es-EC"/>
        </a:p>
      </dgm:t>
    </dgm:pt>
    <dgm:pt modelId="{11B8C3BF-BB59-473A-AA41-EBB74AFF487C}" type="pres">
      <dgm:prSet presAssocID="{F8A6A317-15EA-46B3-B04F-E21B4D43232E}" presName="hierChild4" presStyleCnt="0"/>
      <dgm:spPr/>
    </dgm:pt>
    <dgm:pt modelId="{8B20AEC4-2323-4710-91DA-F195DC9E8F15}" type="pres">
      <dgm:prSet presAssocID="{F8A6A317-15EA-46B3-B04F-E21B4D43232E}" presName="hierChild5" presStyleCnt="0"/>
      <dgm:spPr/>
    </dgm:pt>
    <dgm:pt modelId="{0BEA8209-5F2A-4AC7-8A3B-3255B8D3B727}" type="pres">
      <dgm:prSet presAssocID="{9B4E0AC9-CDC5-40E8-888A-D1173DE70727}" presName="Name37" presStyleLbl="parChTrans1D2" presStyleIdx="7" presStyleCnt="14"/>
      <dgm:spPr/>
      <dgm:t>
        <a:bodyPr/>
        <a:lstStyle/>
        <a:p>
          <a:endParaRPr lang="es-EC"/>
        </a:p>
      </dgm:t>
    </dgm:pt>
    <dgm:pt modelId="{DF32ABF4-5B2B-4765-A720-A9ED5F4842C7}" type="pres">
      <dgm:prSet presAssocID="{E94F06C9-DDC7-4FD0-9200-AF316FE2ED3D}" presName="hierRoot2" presStyleCnt="0">
        <dgm:presLayoutVars>
          <dgm:hierBranch val="init"/>
        </dgm:presLayoutVars>
      </dgm:prSet>
      <dgm:spPr/>
    </dgm:pt>
    <dgm:pt modelId="{D5AFA0A0-2090-458A-B3F3-D266428DEFD5}" type="pres">
      <dgm:prSet presAssocID="{E94F06C9-DDC7-4FD0-9200-AF316FE2ED3D}" presName="rootComposite" presStyleCnt="0"/>
      <dgm:spPr/>
    </dgm:pt>
    <dgm:pt modelId="{A8AFCC58-B48A-4B51-8489-6B9562816B16}" type="pres">
      <dgm:prSet presAssocID="{E94F06C9-DDC7-4FD0-9200-AF316FE2ED3D}" presName="rootText" presStyleLbl="node2" presStyleIdx="7" presStyleCnt="10" custScaleX="133123" custScaleY="197983">
        <dgm:presLayoutVars>
          <dgm:chPref val="3"/>
        </dgm:presLayoutVars>
      </dgm:prSet>
      <dgm:spPr/>
      <dgm:t>
        <a:bodyPr/>
        <a:lstStyle/>
        <a:p>
          <a:endParaRPr lang="es-EC"/>
        </a:p>
      </dgm:t>
    </dgm:pt>
    <dgm:pt modelId="{117DA03F-57B7-436F-950D-1FC411093443}" type="pres">
      <dgm:prSet presAssocID="{E94F06C9-DDC7-4FD0-9200-AF316FE2ED3D}" presName="rootConnector" presStyleLbl="node2" presStyleIdx="7" presStyleCnt="10"/>
      <dgm:spPr/>
      <dgm:t>
        <a:bodyPr/>
        <a:lstStyle/>
        <a:p>
          <a:endParaRPr lang="es-EC"/>
        </a:p>
      </dgm:t>
    </dgm:pt>
    <dgm:pt modelId="{0352B5C9-B1C4-4F41-B476-3E58AD6E45AC}" type="pres">
      <dgm:prSet presAssocID="{E94F06C9-DDC7-4FD0-9200-AF316FE2ED3D}" presName="hierChild4" presStyleCnt="0"/>
      <dgm:spPr/>
    </dgm:pt>
    <dgm:pt modelId="{45F4DAF4-2961-4CEC-8631-1AD9EACDE091}" type="pres">
      <dgm:prSet presAssocID="{E94F06C9-DDC7-4FD0-9200-AF316FE2ED3D}" presName="hierChild5" presStyleCnt="0"/>
      <dgm:spPr/>
    </dgm:pt>
    <dgm:pt modelId="{E97649F4-211B-48A6-A492-2BB261F916B3}" type="pres">
      <dgm:prSet presAssocID="{B89D11C4-F9B1-4DE4-8D0E-C82A00750165}" presName="Name37" presStyleLbl="parChTrans1D2" presStyleIdx="8" presStyleCnt="14"/>
      <dgm:spPr/>
      <dgm:t>
        <a:bodyPr/>
        <a:lstStyle/>
        <a:p>
          <a:endParaRPr lang="es-EC"/>
        </a:p>
      </dgm:t>
    </dgm:pt>
    <dgm:pt modelId="{639E9DE5-461B-4650-9C4F-E23CB0DE7342}" type="pres">
      <dgm:prSet presAssocID="{A1A6D8DD-DE17-4467-B62A-9601DFA21879}" presName="hierRoot2" presStyleCnt="0">
        <dgm:presLayoutVars>
          <dgm:hierBranch val="init"/>
        </dgm:presLayoutVars>
      </dgm:prSet>
      <dgm:spPr/>
    </dgm:pt>
    <dgm:pt modelId="{D2433092-FD87-4835-ABC8-27FF75AD337F}" type="pres">
      <dgm:prSet presAssocID="{A1A6D8DD-DE17-4467-B62A-9601DFA21879}" presName="rootComposite" presStyleCnt="0"/>
      <dgm:spPr/>
    </dgm:pt>
    <dgm:pt modelId="{9253D831-92DD-45F8-B5F3-8E36C9730AD0}" type="pres">
      <dgm:prSet presAssocID="{A1A6D8DD-DE17-4467-B62A-9601DFA21879}" presName="rootText" presStyleLbl="node2" presStyleIdx="8" presStyleCnt="10" custScaleX="133287" custScaleY="193453">
        <dgm:presLayoutVars>
          <dgm:chPref val="3"/>
        </dgm:presLayoutVars>
      </dgm:prSet>
      <dgm:spPr/>
      <dgm:t>
        <a:bodyPr/>
        <a:lstStyle/>
        <a:p>
          <a:endParaRPr lang="es-EC"/>
        </a:p>
      </dgm:t>
    </dgm:pt>
    <dgm:pt modelId="{02313925-2FCE-4E9C-A363-B2B9BFE599EA}" type="pres">
      <dgm:prSet presAssocID="{A1A6D8DD-DE17-4467-B62A-9601DFA21879}" presName="rootConnector" presStyleLbl="node2" presStyleIdx="8" presStyleCnt="10"/>
      <dgm:spPr/>
      <dgm:t>
        <a:bodyPr/>
        <a:lstStyle/>
        <a:p>
          <a:endParaRPr lang="es-EC"/>
        </a:p>
      </dgm:t>
    </dgm:pt>
    <dgm:pt modelId="{57B7DFCC-3C8B-4F9D-9C80-ABCC37287BE8}" type="pres">
      <dgm:prSet presAssocID="{A1A6D8DD-DE17-4467-B62A-9601DFA21879}" presName="hierChild4" presStyleCnt="0"/>
      <dgm:spPr/>
    </dgm:pt>
    <dgm:pt modelId="{336972B3-1F15-4E93-B5EF-CEF7759A5E43}" type="pres">
      <dgm:prSet presAssocID="{A1A6D8DD-DE17-4467-B62A-9601DFA21879}" presName="hierChild5" presStyleCnt="0"/>
      <dgm:spPr/>
    </dgm:pt>
    <dgm:pt modelId="{51082E82-071C-4AD1-A4BC-5C41F77FFD8D}" type="pres">
      <dgm:prSet presAssocID="{E7DBC8C8-BBE1-4B6B-BC17-E315B3D31F6F}" presName="Name37" presStyleLbl="parChTrans1D2" presStyleIdx="9" presStyleCnt="14"/>
      <dgm:spPr/>
      <dgm:t>
        <a:bodyPr/>
        <a:lstStyle/>
        <a:p>
          <a:endParaRPr lang="es-EC"/>
        </a:p>
      </dgm:t>
    </dgm:pt>
    <dgm:pt modelId="{4C48E7BA-0AFE-49E5-A9B1-A56D79B2A902}" type="pres">
      <dgm:prSet presAssocID="{13DFC083-6754-4CF0-AE48-36E6B946430B}" presName="hierRoot2" presStyleCnt="0">
        <dgm:presLayoutVars>
          <dgm:hierBranch val="init"/>
        </dgm:presLayoutVars>
      </dgm:prSet>
      <dgm:spPr/>
    </dgm:pt>
    <dgm:pt modelId="{B6CCFEEC-E379-448D-B193-36DB160D6574}" type="pres">
      <dgm:prSet presAssocID="{13DFC083-6754-4CF0-AE48-36E6B946430B}" presName="rootComposite" presStyleCnt="0"/>
      <dgm:spPr/>
    </dgm:pt>
    <dgm:pt modelId="{B588CAB2-D247-49DF-9D98-6CF6A102788E}" type="pres">
      <dgm:prSet presAssocID="{13DFC083-6754-4CF0-AE48-36E6B946430B}" presName="rootText" presStyleLbl="node2" presStyleIdx="9" presStyleCnt="10" custScaleX="103473" custScaleY="174623">
        <dgm:presLayoutVars>
          <dgm:chPref val="3"/>
        </dgm:presLayoutVars>
      </dgm:prSet>
      <dgm:spPr/>
      <dgm:t>
        <a:bodyPr/>
        <a:lstStyle/>
        <a:p>
          <a:endParaRPr lang="es-EC"/>
        </a:p>
      </dgm:t>
    </dgm:pt>
    <dgm:pt modelId="{57C35889-E87C-4FA1-8B78-E4528C6153CE}" type="pres">
      <dgm:prSet presAssocID="{13DFC083-6754-4CF0-AE48-36E6B946430B}" presName="rootConnector" presStyleLbl="node2" presStyleIdx="9" presStyleCnt="10"/>
      <dgm:spPr/>
      <dgm:t>
        <a:bodyPr/>
        <a:lstStyle/>
        <a:p>
          <a:endParaRPr lang="es-EC"/>
        </a:p>
      </dgm:t>
    </dgm:pt>
    <dgm:pt modelId="{490B9B15-DEB8-4168-BE7E-68BD46DED3D0}" type="pres">
      <dgm:prSet presAssocID="{13DFC083-6754-4CF0-AE48-36E6B946430B}" presName="hierChild4" presStyleCnt="0"/>
      <dgm:spPr/>
    </dgm:pt>
    <dgm:pt modelId="{D39157B0-EABE-4138-B68F-2D722761F1C7}" type="pres">
      <dgm:prSet presAssocID="{13DFC083-6754-4CF0-AE48-36E6B946430B}" presName="hierChild5" presStyleCnt="0"/>
      <dgm:spPr/>
    </dgm:pt>
    <dgm:pt modelId="{1629CD9E-583F-45C6-BB09-AA2E8ACD691F}" type="pres">
      <dgm:prSet presAssocID="{580A5BFF-80CC-4582-B4AC-93F28C494891}" presName="hierChild3" presStyleCnt="0"/>
      <dgm:spPr/>
    </dgm:pt>
    <dgm:pt modelId="{96777993-BDD7-4E9B-A511-0C683B926149}" type="pres">
      <dgm:prSet presAssocID="{E0814E23-696B-491D-9977-CAA4750E46E1}" presName="Name111" presStyleLbl="parChTrans1D2" presStyleIdx="10" presStyleCnt="14"/>
      <dgm:spPr/>
      <dgm:t>
        <a:bodyPr/>
        <a:lstStyle/>
        <a:p>
          <a:endParaRPr lang="es-EC"/>
        </a:p>
      </dgm:t>
    </dgm:pt>
    <dgm:pt modelId="{B2DAE521-3BAB-4BEF-8B37-11B0DC57EF79}" type="pres">
      <dgm:prSet presAssocID="{3F52DE0E-993C-4AB6-A872-0006E0E56810}" presName="hierRoot3" presStyleCnt="0">
        <dgm:presLayoutVars>
          <dgm:hierBranch val="init"/>
        </dgm:presLayoutVars>
      </dgm:prSet>
      <dgm:spPr/>
    </dgm:pt>
    <dgm:pt modelId="{21D652F6-22D3-4A38-8A9C-638EA2688B90}" type="pres">
      <dgm:prSet presAssocID="{3F52DE0E-993C-4AB6-A872-0006E0E56810}" presName="rootComposite3" presStyleCnt="0"/>
      <dgm:spPr/>
    </dgm:pt>
    <dgm:pt modelId="{7C97E701-BC8D-4634-8AE2-A8336108B294}" type="pres">
      <dgm:prSet presAssocID="{3F52DE0E-993C-4AB6-A872-0006E0E56810}" presName="rootText3" presStyleLbl="asst1" presStyleIdx="0" presStyleCnt="4" custScaleX="164445" custScaleY="153431">
        <dgm:presLayoutVars>
          <dgm:chPref val="3"/>
        </dgm:presLayoutVars>
      </dgm:prSet>
      <dgm:spPr/>
      <dgm:t>
        <a:bodyPr/>
        <a:lstStyle/>
        <a:p>
          <a:endParaRPr lang="es-EC"/>
        </a:p>
      </dgm:t>
    </dgm:pt>
    <dgm:pt modelId="{BA18DAB6-B90E-4B8A-9EF7-2867CE6A7E73}" type="pres">
      <dgm:prSet presAssocID="{3F52DE0E-993C-4AB6-A872-0006E0E56810}" presName="rootConnector3" presStyleLbl="asst1" presStyleIdx="0" presStyleCnt="4"/>
      <dgm:spPr/>
      <dgm:t>
        <a:bodyPr/>
        <a:lstStyle/>
        <a:p>
          <a:endParaRPr lang="es-EC"/>
        </a:p>
      </dgm:t>
    </dgm:pt>
    <dgm:pt modelId="{9DDE7BB0-10E7-4C60-9F5B-0BC42983950A}" type="pres">
      <dgm:prSet presAssocID="{3F52DE0E-993C-4AB6-A872-0006E0E56810}" presName="hierChild6" presStyleCnt="0"/>
      <dgm:spPr/>
    </dgm:pt>
    <dgm:pt modelId="{23AA4F02-F12D-49ED-8357-4A60CB281462}" type="pres">
      <dgm:prSet presAssocID="{3F52DE0E-993C-4AB6-A872-0006E0E56810}" presName="hierChild7" presStyleCnt="0"/>
      <dgm:spPr/>
    </dgm:pt>
    <dgm:pt modelId="{012BD3FF-054F-4363-AA2E-4981A8E34244}" type="pres">
      <dgm:prSet presAssocID="{22D48B5F-18B7-4FE3-9698-DAC89120C0FA}" presName="Name111" presStyleLbl="parChTrans1D2" presStyleIdx="11" presStyleCnt="14"/>
      <dgm:spPr/>
      <dgm:t>
        <a:bodyPr/>
        <a:lstStyle/>
        <a:p>
          <a:endParaRPr lang="es-EC"/>
        </a:p>
      </dgm:t>
    </dgm:pt>
    <dgm:pt modelId="{D2A977BF-DE3E-42F1-B7DC-B4032F9D0236}" type="pres">
      <dgm:prSet presAssocID="{3044CDC3-6770-44F0-AC9E-218E7E72858F}" presName="hierRoot3" presStyleCnt="0">
        <dgm:presLayoutVars>
          <dgm:hierBranch val="init"/>
        </dgm:presLayoutVars>
      </dgm:prSet>
      <dgm:spPr/>
    </dgm:pt>
    <dgm:pt modelId="{D4BD5DA5-D140-4E53-A37C-55180C6D43CE}" type="pres">
      <dgm:prSet presAssocID="{3044CDC3-6770-44F0-AC9E-218E7E72858F}" presName="rootComposite3" presStyleCnt="0"/>
      <dgm:spPr/>
    </dgm:pt>
    <dgm:pt modelId="{59E7AD25-DC16-4866-922D-5985C4D4458A}" type="pres">
      <dgm:prSet presAssocID="{3044CDC3-6770-44F0-AC9E-218E7E72858F}" presName="rootText3" presStyleLbl="asst1" presStyleIdx="1" presStyleCnt="4" custScaleX="178755" custScaleY="126716">
        <dgm:presLayoutVars>
          <dgm:chPref val="3"/>
        </dgm:presLayoutVars>
      </dgm:prSet>
      <dgm:spPr/>
      <dgm:t>
        <a:bodyPr/>
        <a:lstStyle/>
        <a:p>
          <a:endParaRPr lang="es-EC"/>
        </a:p>
      </dgm:t>
    </dgm:pt>
    <dgm:pt modelId="{8C4B7F39-3B3C-4987-87C2-87960A732A90}" type="pres">
      <dgm:prSet presAssocID="{3044CDC3-6770-44F0-AC9E-218E7E72858F}" presName="rootConnector3" presStyleLbl="asst1" presStyleIdx="1" presStyleCnt="4"/>
      <dgm:spPr/>
      <dgm:t>
        <a:bodyPr/>
        <a:lstStyle/>
        <a:p>
          <a:endParaRPr lang="es-EC"/>
        </a:p>
      </dgm:t>
    </dgm:pt>
    <dgm:pt modelId="{F4949C9A-3BDA-4EB7-9555-341A3A87A5F8}" type="pres">
      <dgm:prSet presAssocID="{3044CDC3-6770-44F0-AC9E-218E7E72858F}" presName="hierChild6" presStyleCnt="0"/>
      <dgm:spPr/>
    </dgm:pt>
    <dgm:pt modelId="{2BC26E7D-A152-410A-9A53-33E5B9BD34C3}" type="pres">
      <dgm:prSet presAssocID="{3044CDC3-6770-44F0-AC9E-218E7E72858F}" presName="hierChild7" presStyleCnt="0"/>
      <dgm:spPr/>
    </dgm:pt>
    <dgm:pt modelId="{DDE8A473-DD43-4E5A-B636-30E3B0030A64}" type="pres">
      <dgm:prSet presAssocID="{FB013C81-474F-4D99-8CDC-671B27B297F9}" presName="Name111" presStyleLbl="parChTrans1D2" presStyleIdx="12" presStyleCnt="14"/>
      <dgm:spPr/>
      <dgm:t>
        <a:bodyPr/>
        <a:lstStyle/>
        <a:p>
          <a:endParaRPr lang="es-EC"/>
        </a:p>
      </dgm:t>
    </dgm:pt>
    <dgm:pt modelId="{FBAFCB5F-9DC0-4CCF-8B52-F3A3D4F72DF6}" type="pres">
      <dgm:prSet presAssocID="{7D982FE1-568F-4274-866D-5E150EFAFC01}" presName="hierRoot3" presStyleCnt="0">
        <dgm:presLayoutVars>
          <dgm:hierBranch val="init"/>
        </dgm:presLayoutVars>
      </dgm:prSet>
      <dgm:spPr/>
    </dgm:pt>
    <dgm:pt modelId="{74210286-EAAF-48DC-9318-3600FC262574}" type="pres">
      <dgm:prSet presAssocID="{7D982FE1-568F-4274-866D-5E150EFAFC01}" presName="rootComposite3" presStyleCnt="0"/>
      <dgm:spPr/>
    </dgm:pt>
    <dgm:pt modelId="{04E1E8D3-0C6C-47C7-AAA0-79DDAA4E3D62}" type="pres">
      <dgm:prSet presAssocID="{7D982FE1-568F-4274-866D-5E150EFAFC01}" presName="rootText3" presStyleLbl="asst1" presStyleIdx="2" presStyleCnt="4" custScaleX="171358" custScaleY="248650" custLinFactNeighborX="-3261" custLinFactNeighborY="-19499">
        <dgm:presLayoutVars>
          <dgm:chPref val="3"/>
        </dgm:presLayoutVars>
      </dgm:prSet>
      <dgm:spPr/>
      <dgm:t>
        <a:bodyPr/>
        <a:lstStyle/>
        <a:p>
          <a:endParaRPr lang="es-EC"/>
        </a:p>
      </dgm:t>
    </dgm:pt>
    <dgm:pt modelId="{BE931623-62BF-49BF-B07B-F0302DFE9275}" type="pres">
      <dgm:prSet presAssocID="{7D982FE1-568F-4274-866D-5E150EFAFC01}" presName="rootConnector3" presStyleLbl="asst1" presStyleIdx="2" presStyleCnt="4"/>
      <dgm:spPr/>
      <dgm:t>
        <a:bodyPr/>
        <a:lstStyle/>
        <a:p>
          <a:endParaRPr lang="es-EC"/>
        </a:p>
      </dgm:t>
    </dgm:pt>
    <dgm:pt modelId="{4802F858-4AC4-4BB2-9F78-61EFC4196E03}" type="pres">
      <dgm:prSet presAssocID="{7D982FE1-568F-4274-866D-5E150EFAFC01}" presName="hierChild6" presStyleCnt="0"/>
      <dgm:spPr/>
    </dgm:pt>
    <dgm:pt modelId="{847039B7-E570-415F-8C5C-0E23290C1A17}" type="pres">
      <dgm:prSet presAssocID="{7D982FE1-568F-4274-866D-5E150EFAFC01}" presName="hierChild7" presStyleCnt="0"/>
      <dgm:spPr/>
    </dgm:pt>
    <dgm:pt modelId="{00092B37-3477-49D0-9E7F-BA946829957F}" type="pres">
      <dgm:prSet presAssocID="{E9C1BE79-76C9-4FE5-9EB8-98644A4E07B3}" presName="Name111" presStyleLbl="parChTrans1D2" presStyleIdx="13" presStyleCnt="14"/>
      <dgm:spPr/>
      <dgm:t>
        <a:bodyPr/>
        <a:lstStyle/>
        <a:p>
          <a:endParaRPr lang="es-EC"/>
        </a:p>
      </dgm:t>
    </dgm:pt>
    <dgm:pt modelId="{D59F434B-4594-4975-A5C5-F3AC7D17F776}" type="pres">
      <dgm:prSet presAssocID="{27B5FF68-F067-4BBB-B7B0-ED958E1BD9E7}" presName="hierRoot3" presStyleCnt="0">
        <dgm:presLayoutVars>
          <dgm:hierBranch val="init"/>
        </dgm:presLayoutVars>
      </dgm:prSet>
      <dgm:spPr/>
    </dgm:pt>
    <dgm:pt modelId="{ECE58095-1594-4718-AA65-111F70E47F64}" type="pres">
      <dgm:prSet presAssocID="{27B5FF68-F067-4BBB-B7B0-ED958E1BD9E7}" presName="rootComposite3" presStyleCnt="0"/>
      <dgm:spPr/>
    </dgm:pt>
    <dgm:pt modelId="{48DDA162-AA43-4ADD-816B-B65530A293F4}" type="pres">
      <dgm:prSet presAssocID="{27B5FF68-F067-4BBB-B7B0-ED958E1BD9E7}" presName="rootText3" presStyleLbl="asst1" presStyleIdx="3" presStyleCnt="4" custScaleX="219719" custScaleY="256551">
        <dgm:presLayoutVars>
          <dgm:chPref val="3"/>
        </dgm:presLayoutVars>
      </dgm:prSet>
      <dgm:spPr/>
      <dgm:t>
        <a:bodyPr/>
        <a:lstStyle/>
        <a:p>
          <a:endParaRPr lang="es-EC"/>
        </a:p>
      </dgm:t>
    </dgm:pt>
    <dgm:pt modelId="{4375D763-ACEB-4D17-B38E-CE80FE0680A2}" type="pres">
      <dgm:prSet presAssocID="{27B5FF68-F067-4BBB-B7B0-ED958E1BD9E7}" presName="rootConnector3" presStyleLbl="asst1" presStyleIdx="3" presStyleCnt="4"/>
      <dgm:spPr/>
      <dgm:t>
        <a:bodyPr/>
        <a:lstStyle/>
        <a:p>
          <a:endParaRPr lang="es-EC"/>
        </a:p>
      </dgm:t>
    </dgm:pt>
    <dgm:pt modelId="{0B78AFC5-3BB0-4DDA-9C66-969124FBB6D7}" type="pres">
      <dgm:prSet presAssocID="{27B5FF68-F067-4BBB-B7B0-ED958E1BD9E7}" presName="hierChild6" presStyleCnt="0"/>
      <dgm:spPr/>
    </dgm:pt>
    <dgm:pt modelId="{127858BB-71EF-4A84-9E66-F10D92D0483C}" type="pres">
      <dgm:prSet presAssocID="{27B5FF68-F067-4BBB-B7B0-ED958E1BD9E7}" presName="hierChild7" presStyleCnt="0"/>
      <dgm:spPr/>
    </dgm:pt>
  </dgm:ptLst>
  <dgm:cxnLst>
    <dgm:cxn modelId="{927EFCFF-BC39-4830-99B5-4AE8E2F8669B}" type="presOf" srcId="{A1A6D8DD-DE17-4467-B62A-9601DFA21879}" destId="{02313925-2FCE-4E9C-A363-B2B9BFE599EA}" srcOrd="1" destOrd="0" presId="urn:microsoft.com/office/officeart/2005/8/layout/orgChart1"/>
    <dgm:cxn modelId="{C5DF58FB-5039-4AB0-84DF-1132724E47FC}" srcId="{580A5BFF-80CC-4582-B4AC-93F28C494891}" destId="{F8A6A317-15EA-46B3-B04F-E21B4D43232E}" srcOrd="9" destOrd="0" parTransId="{10D77F0A-2471-477B-BCD9-527DD8E1EE71}" sibTransId="{DE93744E-F228-46F6-8DCC-4568AF7A7FF8}"/>
    <dgm:cxn modelId="{8C3CD945-827E-4B16-BC20-A38F98A620FA}" type="presOf" srcId="{801CF301-CA56-4D82-A0D2-974F645802E8}" destId="{88D7D482-4748-4D56-B7BC-6FDFE43CD652}" srcOrd="0" destOrd="0" presId="urn:microsoft.com/office/officeart/2005/8/layout/orgChart1"/>
    <dgm:cxn modelId="{8CB9B4A9-0350-47DD-95BA-80623B5DDA17}" srcId="{580A5BFF-80CC-4582-B4AC-93F28C494891}" destId="{801CF301-CA56-4D82-A0D2-974F645802E8}" srcOrd="8" destOrd="0" parTransId="{2BB435DD-25DD-4BC3-8625-1D5D1BE8A88D}" sibTransId="{C8C75AC0-C990-45D4-B878-95AD277E7ABE}"/>
    <dgm:cxn modelId="{0B70DFDF-377C-4C43-99B3-8D11585AB7A4}" type="presOf" srcId="{F0ED88E3-1F64-4848-BF6C-AE5B18B9682F}" destId="{078CB879-0BF4-4FAC-8C14-79D3F249A029}" srcOrd="0" destOrd="0" presId="urn:microsoft.com/office/officeart/2005/8/layout/orgChart1"/>
    <dgm:cxn modelId="{36CF9987-7E16-4F05-BBD0-853E1F52B2FB}" srcId="{580A5BFF-80CC-4582-B4AC-93F28C494891}" destId="{44F9CC7F-7395-4DC7-AC68-5526EF523B5D}" srcOrd="1" destOrd="0" parTransId="{D75203A7-F308-4444-91E9-CECE54B7A9B4}" sibTransId="{EC58C1CE-9C55-4769-B00D-FD60F965585C}"/>
    <dgm:cxn modelId="{5B16DBAC-E0A5-4A76-A30C-8BBF3E9FAA1D}" type="presOf" srcId="{C4BC0A0E-53CA-4941-9BB6-BE1F6F7E83C6}" destId="{0404060C-5290-45F4-997D-65C63D1CF53A}" srcOrd="1" destOrd="0" presId="urn:microsoft.com/office/officeart/2005/8/layout/orgChart1"/>
    <dgm:cxn modelId="{D11322D9-0C50-4732-A1C8-CF68F533ED42}" type="presOf" srcId="{E94F06C9-DDC7-4FD0-9200-AF316FE2ED3D}" destId="{A8AFCC58-B48A-4B51-8489-6B9562816B16}" srcOrd="0" destOrd="0" presId="urn:microsoft.com/office/officeart/2005/8/layout/orgChart1"/>
    <dgm:cxn modelId="{E9BB6D23-EB36-4382-A7E8-C1F62FBE43FC}" srcId="{580A5BFF-80CC-4582-B4AC-93F28C494891}" destId="{3F52DE0E-993C-4AB6-A872-0006E0E56810}" srcOrd="0" destOrd="0" parTransId="{E0814E23-696B-491D-9977-CAA4750E46E1}" sibTransId="{10AFE8BC-A211-4287-B58B-D22ED14E63A0}"/>
    <dgm:cxn modelId="{1C5AC96D-C0A3-4B27-B174-93B4A798D50C}" srcId="{580A5BFF-80CC-4582-B4AC-93F28C494891}" destId="{3044CDC3-6770-44F0-AC9E-218E7E72858F}" srcOrd="4" destOrd="0" parTransId="{22D48B5F-18B7-4FE3-9698-DAC89120C0FA}" sibTransId="{1A6EE076-EB3A-43CD-9CBD-D469861EAB45}"/>
    <dgm:cxn modelId="{D595D067-1CCD-412A-BC05-859DABE2FA57}" srcId="{580A5BFF-80CC-4582-B4AC-93F28C494891}" destId="{A1A6D8DD-DE17-4467-B62A-9601DFA21879}" srcOrd="11" destOrd="0" parTransId="{B89D11C4-F9B1-4DE4-8D0E-C82A00750165}" sibTransId="{0275339D-737A-4BC6-910A-6C47DC433290}"/>
    <dgm:cxn modelId="{A8B2E59B-67C2-471E-B666-6BEEF31FCE50}" type="presOf" srcId="{3044CDC3-6770-44F0-AC9E-218E7E72858F}" destId="{59E7AD25-DC16-4866-922D-5985C4D4458A}" srcOrd="0" destOrd="0" presId="urn:microsoft.com/office/officeart/2005/8/layout/orgChart1"/>
    <dgm:cxn modelId="{FB37D6AC-2444-4731-BCEF-542AE5E3FF86}" srcId="{580A5BFF-80CC-4582-B4AC-93F28C494891}" destId="{9118622C-20A8-46A1-AAC7-5DA1106BCA0C}" srcOrd="2" destOrd="0" parTransId="{84B649E5-CF5A-410B-BEF3-9D584055D164}" sibTransId="{F477B3F8-95AE-4D8E-8D49-14B03CD23184}"/>
    <dgm:cxn modelId="{B75A44B3-D021-4D1F-A906-E984126FC138}" srcId="{580A5BFF-80CC-4582-B4AC-93F28C494891}" destId="{E94F06C9-DDC7-4FD0-9200-AF316FE2ED3D}" srcOrd="10" destOrd="0" parTransId="{9B4E0AC9-CDC5-40E8-888A-D1173DE70727}" sibTransId="{7DE953DF-E410-481F-A4E8-E3395ECA6B5C}"/>
    <dgm:cxn modelId="{88D4B5DC-AD43-4EBF-B94E-C6ACC3CBDF59}" type="presOf" srcId="{3F52DE0E-993C-4AB6-A872-0006E0E56810}" destId="{7C97E701-BC8D-4634-8AE2-A8336108B294}" srcOrd="0" destOrd="0" presId="urn:microsoft.com/office/officeart/2005/8/layout/orgChart1"/>
    <dgm:cxn modelId="{2CADA8E5-39E8-49CC-9B82-C20AA2B748DF}" type="presOf" srcId="{7D982FE1-568F-4274-866D-5E150EFAFC01}" destId="{BE931623-62BF-49BF-B07B-F0302DFE9275}" srcOrd="1" destOrd="0" presId="urn:microsoft.com/office/officeart/2005/8/layout/orgChart1"/>
    <dgm:cxn modelId="{CE14F6FE-66DE-4930-8799-2D7EA41F30B9}" type="presOf" srcId="{44F9CC7F-7395-4DC7-AC68-5526EF523B5D}" destId="{E2FBF5EB-F2B3-4C87-AAA7-861A575124F1}" srcOrd="1" destOrd="0" presId="urn:microsoft.com/office/officeart/2005/8/layout/orgChart1"/>
    <dgm:cxn modelId="{263E192C-D8EC-4A72-BBBA-0FA7499B5DC9}" type="presOf" srcId="{580A5BFF-80CC-4582-B4AC-93F28C494891}" destId="{F11A7062-11F3-4AE7-987A-4B98AC89C14A}" srcOrd="1" destOrd="0" presId="urn:microsoft.com/office/officeart/2005/8/layout/orgChart1"/>
    <dgm:cxn modelId="{5F830E12-D567-40FE-AA4F-ECAEFAEDFED0}" type="presOf" srcId="{F3C310DA-66C0-4006-A9F9-7EB92D53F111}" destId="{F7645BDA-62B5-4681-9A64-B105857C5E8B}" srcOrd="0" destOrd="0" presId="urn:microsoft.com/office/officeart/2005/8/layout/orgChart1"/>
    <dgm:cxn modelId="{289B47CD-49F1-4B15-A8D6-B3C02641AF7F}" type="presOf" srcId="{84B649E5-CF5A-410B-BEF3-9D584055D164}" destId="{C778511A-8E32-4EBF-B52D-6A0AC0C34895}" srcOrd="0" destOrd="0" presId="urn:microsoft.com/office/officeart/2005/8/layout/orgChart1"/>
    <dgm:cxn modelId="{F7683CD1-BB93-41CF-8648-F286FB82D962}" srcId="{580A5BFF-80CC-4582-B4AC-93F28C494891}" destId="{13DFC083-6754-4CF0-AE48-36E6B946430B}" srcOrd="12" destOrd="0" parTransId="{E7DBC8C8-BBE1-4B6B-BC17-E315B3D31F6F}" sibTransId="{763103F0-603A-4CB5-9C48-A54127DE6E8F}"/>
    <dgm:cxn modelId="{6C9896BB-38D5-46ED-B45F-A60D0603716A}" type="presOf" srcId="{7D982FE1-568F-4274-866D-5E150EFAFC01}" destId="{04E1E8D3-0C6C-47C7-AAA0-79DDAA4E3D62}" srcOrd="0" destOrd="0" presId="urn:microsoft.com/office/officeart/2005/8/layout/orgChart1"/>
    <dgm:cxn modelId="{792C4732-B7CE-463F-84E2-FF2B57CEB288}" type="presOf" srcId="{CD69BCB0-3026-49F6-906D-5E5C14BF226E}" destId="{D854CB2D-03F1-4D21-86AE-AAA15FDF9C2B}" srcOrd="0" destOrd="0" presId="urn:microsoft.com/office/officeart/2005/8/layout/orgChart1"/>
    <dgm:cxn modelId="{2052F5C0-3016-4C5B-91B4-2E160B11A06C}" srcId="{580A5BFF-80CC-4582-B4AC-93F28C494891}" destId="{413793C1-E7E8-4449-8DFF-8343DEA28301}" srcOrd="3" destOrd="0" parTransId="{CD69BCB0-3026-49F6-906D-5E5C14BF226E}" sibTransId="{C090E6E9-CDD3-4874-A65F-5F69D8A316FC}"/>
    <dgm:cxn modelId="{09A6C88D-3170-472B-8857-4FCC0F9BD0F4}" type="presOf" srcId="{E9C1BE79-76C9-4FE5-9EB8-98644A4E07B3}" destId="{00092B37-3477-49D0-9E7F-BA946829957F}" srcOrd="0" destOrd="0" presId="urn:microsoft.com/office/officeart/2005/8/layout/orgChart1"/>
    <dgm:cxn modelId="{A3E5ABCD-90FE-48D0-AE58-FC4F72EBB013}" type="presOf" srcId="{40C6DEEC-E7D5-47E4-B846-0C7800918B61}" destId="{633D0D5F-89E5-4A22-9AE3-6A2A0528A0D7}" srcOrd="0" destOrd="0" presId="urn:microsoft.com/office/officeart/2005/8/layout/orgChart1"/>
    <dgm:cxn modelId="{A9C9846B-FC04-412D-9673-84756D0FE71A}" srcId="{F3C310DA-66C0-4006-A9F9-7EB92D53F111}" destId="{580A5BFF-80CC-4582-B4AC-93F28C494891}" srcOrd="0" destOrd="0" parTransId="{44D5B749-0AA7-4BBE-8E3D-4FE89D6B267A}" sibTransId="{F34DFB29-DD3F-4E6E-B0E8-9AEC015AB26C}"/>
    <dgm:cxn modelId="{78A11D63-2A5B-4252-9414-C94C8FB682C6}" type="presOf" srcId="{69BA5D61-A60E-4231-8697-8CDE3BAF3553}" destId="{696B5EFE-9193-4384-A234-68B430A248D4}" srcOrd="0" destOrd="0" presId="urn:microsoft.com/office/officeart/2005/8/layout/orgChart1"/>
    <dgm:cxn modelId="{91585BE2-26B5-4D36-BB15-98522A0100E3}" type="presOf" srcId="{2BB435DD-25DD-4BC3-8625-1D5D1BE8A88D}" destId="{3C1A412D-081A-4D84-89B4-C6FAF6DCF226}" srcOrd="0" destOrd="0" presId="urn:microsoft.com/office/officeart/2005/8/layout/orgChart1"/>
    <dgm:cxn modelId="{C871115E-469E-4B60-AB5F-5E75F00A6F01}" type="presOf" srcId="{9118622C-20A8-46A1-AAC7-5DA1106BCA0C}" destId="{4F682C75-F186-4659-8138-49C3A29FE6DC}" srcOrd="1" destOrd="0" presId="urn:microsoft.com/office/officeart/2005/8/layout/orgChart1"/>
    <dgm:cxn modelId="{47CB70FE-08B7-494A-B468-EE67DEE48A43}" type="presOf" srcId="{13DFC083-6754-4CF0-AE48-36E6B946430B}" destId="{B588CAB2-D247-49DF-9D98-6CF6A102788E}" srcOrd="0" destOrd="0" presId="urn:microsoft.com/office/officeart/2005/8/layout/orgChart1"/>
    <dgm:cxn modelId="{4B84EE12-14B8-44A5-B36D-6E3D9A90715A}" type="presOf" srcId="{27B5FF68-F067-4BBB-B7B0-ED958E1BD9E7}" destId="{4375D763-ACEB-4D17-B38E-CE80FE0680A2}" srcOrd="1" destOrd="0" presId="urn:microsoft.com/office/officeart/2005/8/layout/orgChart1"/>
    <dgm:cxn modelId="{799BCA4F-65D0-42A8-BCEB-8B2B6F63F5C5}" type="presOf" srcId="{A1A6D8DD-DE17-4467-B62A-9601DFA21879}" destId="{9253D831-92DD-45F8-B5F3-8E36C9730AD0}" srcOrd="0" destOrd="0" presId="urn:microsoft.com/office/officeart/2005/8/layout/orgChart1"/>
    <dgm:cxn modelId="{8A70C932-7842-447A-9AA2-2323E5438A4F}" type="presOf" srcId="{413793C1-E7E8-4449-8DFF-8343DEA28301}" destId="{769A6D42-7201-4B2B-8349-CE4BB066A71E}" srcOrd="1" destOrd="0" presId="urn:microsoft.com/office/officeart/2005/8/layout/orgChart1"/>
    <dgm:cxn modelId="{DAF505D5-BDD2-4BEE-9C0F-B037ADF2898F}" type="presOf" srcId="{C4BC0A0E-53CA-4941-9BB6-BE1F6F7E83C6}" destId="{A9D5E78E-3B1B-4A8C-B71B-22D0C01AFE03}" srcOrd="0" destOrd="0" presId="urn:microsoft.com/office/officeart/2005/8/layout/orgChart1"/>
    <dgm:cxn modelId="{6D2330BC-98EC-46BD-961C-14527911CCD9}" srcId="{580A5BFF-80CC-4582-B4AC-93F28C494891}" destId="{7D982FE1-568F-4274-866D-5E150EFAFC01}" srcOrd="5" destOrd="0" parTransId="{FB013C81-474F-4D99-8CDC-671B27B297F9}" sibTransId="{914CF7A5-84D6-416C-B366-1C35A8564661}"/>
    <dgm:cxn modelId="{3A7040FA-1DFA-47CA-AB52-6AEDC05F6AB8}" type="presOf" srcId="{E0814E23-696B-491D-9977-CAA4750E46E1}" destId="{96777993-BDD7-4E9B-A511-0C683B926149}" srcOrd="0" destOrd="0" presId="urn:microsoft.com/office/officeart/2005/8/layout/orgChart1"/>
    <dgm:cxn modelId="{BC54B1AF-40D1-4F4C-8490-CCEF7170D58E}" type="presOf" srcId="{3044CDC3-6770-44F0-AC9E-218E7E72858F}" destId="{8C4B7F39-3B3C-4987-87C2-87960A732A90}" srcOrd="1" destOrd="0" presId="urn:microsoft.com/office/officeart/2005/8/layout/orgChart1"/>
    <dgm:cxn modelId="{E31F6468-E7B7-47C1-96EB-473084402A0D}" type="presOf" srcId="{FB013C81-474F-4D99-8CDC-671B27B297F9}" destId="{DDE8A473-DD43-4E5A-B636-30E3B0030A64}" srcOrd="0" destOrd="0" presId="urn:microsoft.com/office/officeart/2005/8/layout/orgChart1"/>
    <dgm:cxn modelId="{342ACFF6-99EF-4135-B1EE-3DB1372357B9}" type="presOf" srcId="{9B4E0AC9-CDC5-40E8-888A-D1173DE70727}" destId="{0BEA8209-5F2A-4AC7-8A3B-3255B8D3B727}" srcOrd="0" destOrd="0" presId="urn:microsoft.com/office/officeart/2005/8/layout/orgChart1"/>
    <dgm:cxn modelId="{0773A48A-5FFC-4E01-AE17-4C6A5CF71C44}" type="presOf" srcId="{44F9CC7F-7395-4DC7-AC68-5526EF523B5D}" destId="{1F39A94C-5A0F-47BD-8E6B-9C78CB0D042D}" srcOrd="0" destOrd="0" presId="urn:microsoft.com/office/officeart/2005/8/layout/orgChart1"/>
    <dgm:cxn modelId="{943D3212-2932-4CD0-A802-B1EE7D5D090B}" type="presOf" srcId="{9118622C-20A8-46A1-AAC7-5DA1106BCA0C}" destId="{E7723813-C0DB-49EC-BC07-5C572EE1DA88}" srcOrd="0" destOrd="0" presId="urn:microsoft.com/office/officeart/2005/8/layout/orgChart1"/>
    <dgm:cxn modelId="{4A301DBF-9970-466E-9A13-B5470B2FB03C}" srcId="{580A5BFF-80CC-4582-B4AC-93F28C494891}" destId="{27B5FF68-F067-4BBB-B7B0-ED958E1BD9E7}" srcOrd="13" destOrd="0" parTransId="{E9C1BE79-76C9-4FE5-9EB8-98644A4E07B3}" sibTransId="{97D2C332-C8B0-45C6-9518-17721C165647}"/>
    <dgm:cxn modelId="{0D46939F-AE82-431C-BBE8-19913B0A7BDE}" type="presOf" srcId="{10D77F0A-2471-477B-BCD9-527DD8E1EE71}" destId="{7AF374DD-B772-4C5F-86C9-9C09FEA72EA9}" srcOrd="0" destOrd="0" presId="urn:microsoft.com/office/officeart/2005/8/layout/orgChart1"/>
    <dgm:cxn modelId="{89073BB3-2BD6-4EEA-9D21-D036DDF0BB90}" type="presOf" srcId="{27B5FF68-F067-4BBB-B7B0-ED958E1BD9E7}" destId="{48DDA162-AA43-4ADD-816B-B65530A293F4}" srcOrd="0" destOrd="0" presId="urn:microsoft.com/office/officeart/2005/8/layout/orgChart1"/>
    <dgm:cxn modelId="{78AB7EA9-95EF-4760-8E95-A583853C7D5A}" type="presOf" srcId="{801CF301-CA56-4D82-A0D2-974F645802E8}" destId="{BA14E3F9-024A-4E2C-96F2-947E821FFB05}" srcOrd="1" destOrd="0" presId="urn:microsoft.com/office/officeart/2005/8/layout/orgChart1"/>
    <dgm:cxn modelId="{A5B79D34-CBF0-470C-882D-792BE9611275}" srcId="{580A5BFF-80CC-4582-B4AC-93F28C494891}" destId="{C4BC0A0E-53CA-4941-9BB6-BE1F6F7E83C6}" srcOrd="6" destOrd="0" parTransId="{F0ED88E3-1F64-4848-BF6C-AE5B18B9682F}" sibTransId="{81B37DC4-1B91-45B9-A9CA-8524B5B8FD3B}"/>
    <dgm:cxn modelId="{B02B884D-0432-4D08-945F-AA3DE8FA8685}" type="presOf" srcId="{22D48B5F-18B7-4FE3-9698-DAC89120C0FA}" destId="{012BD3FF-054F-4363-AA2E-4981A8E34244}" srcOrd="0" destOrd="0" presId="urn:microsoft.com/office/officeart/2005/8/layout/orgChart1"/>
    <dgm:cxn modelId="{C5D1DCD5-5B22-451E-84C9-6DB59E0EA028}" type="presOf" srcId="{E7DBC8C8-BBE1-4B6B-BC17-E315B3D31F6F}" destId="{51082E82-071C-4AD1-A4BC-5C41F77FFD8D}" srcOrd="0" destOrd="0" presId="urn:microsoft.com/office/officeart/2005/8/layout/orgChart1"/>
    <dgm:cxn modelId="{376D1E0C-2B3F-4C91-8100-242BD8D89C8B}" type="presOf" srcId="{13DFC083-6754-4CF0-AE48-36E6B946430B}" destId="{57C35889-E87C-4FA1-8B78-E4528C6153CE}" srcOrd="1" destOrd="0" presId="urn:microsoft.com/office/officeart/2005/8/layout/orgChart1"/>
    <dgm:cxn modelId="{BD72B5F6-601A-4FBA-8C84-A81040F40B7C}" type="presOf" srcId="{580A5BFF-80CC-4582-B4AC-93F28C494891}" destId="{BE7610FD-E15D-4C15-9CDC-17667D08ADE7}" srcOrd="0" destOrd="0" presId="urn:microsoft.com/office/officeart/2005/8/layout/orgChart1"/>
    <dgm:cxn modelId="{2F834805-0EAE-467D-8DB0-C0E78FEA3DFB}" srcId="{580A5BFF-80CC-4582-B4AC-93F28C494891}" destId="{40C6DEEC-E7D5-47E4-B846-0C7800918B61}" srcOrd="7" destOrd="0" parTransId="{69BA5D61-A60E-4231-8697-8CDE3BAF3553}" sibTransId="{37BD1C95-6E3A-4129-9ADC-F00961125695}"/>
    <dgm:cxn modelId="{E2A175B1-604A-4757-B555-5953877483B9}" type="presOf" srcId="{3F52DE0E-993C-4AB6-A872-0006E0E56810}" destId="{BA18DAB6-B90E-4B8A-9EF7-2867CE6A7E73}" srcOrd="1" destOrd="0" presId="urn:microsoft.com/office/officeart/2005/8/layout/orgChart1"/>
    <dgm:cxn modelId="{45D6284C-E6C0-4C8C-AF61-F941067D3139}" type="presOf" srcId="{413793C1-E7E8-4449-8DFF-8343DEA28301}" destId="{9E87B7C9-586B-4360-9FBA-3867C2461DEA}" srcOrd="0" destOrd="0" presId="urn:microsoft.com/office/officeart/2005/8/layout/orgChart1"/>
    <dgm:cxn modelId="{3F932DE8-0EFF-467F-9B5B-C01F1ADA74D4}" type="presOf" srcId="{E94F06C9-DDC7-4FD0-9200-AF316FE2ED3D}" destId="{117DA03F-57B7-436F-950D-1FC411093443}" srcOrd="1" destOrd="0" presId="urn:microsoft.com/office/officeart/2005/8/layout/orgChart1"/>
    <dgm:cxn modelId="{CD1A9D1B-3B4E-43B6-8DD3-5D86101E0EAF}" type="presOf" srcId="{40C6DEEC-E7D5-47E4-B846-0C7800918B61}" destId="{5EBDA96A-DD3C-4C25-A14B-4853F3437238}" srcOrd="1" destOrd="0" presId="urn:microsoft.com/office/officeart/2005/8/layout/orgChart1"/>
    <dgm:cxn modelId="{3B79F756-DD38-471A-8B4B-9DBCE0D49D0C}" type="presOf" srcId="{F8A6A317-15EA-46B3-B04F-E21B4D43232E}" destId="{C2473476-6B14-4020-AC5B-1F9243DBFC35}" srcOrd="1" destOrd="0" presId="urn:microsoft.com/office/officeart/2005/8/layout/orgChart1"/>
    <dgm:cxn modelId="{375C84F5-0AF9-473A-9C95-D7B216B032B0}" type="presOf" srcId="{F8A6A317-15EA-46B3-B04F-E21B4D43232E}" destId="{51254020-B8B7-4D8D-A871-664EDCA52C0C}" srcOrd="0" destOrd="0" presId="urn:microsoft.com/office/officeart/2005/8/layout/orgChart1"/>
    <dgm:cxn modelId="{A5817267-E848-40AB-8D0B-70CD4E79427B}" type="presOf" srcId="{B89D11C4-F9B1-4DE4-8D0E-C82A00750165}" destId="{E97649F4-211B-48A6-A492-2BB261F916B3}" srcOrd="0" destOrd="0" presId="urn:microsoft.com/office/officeart/2005/8/layout/orgChart1"/>
    <dgm:cxn modelId="{3A38FC90-BD34-4F0B-851C-B1CBF1AD203A}" type="presOf" srcId="{D75203A7-F308-4444-91E9-CECE54B7A9B4}" destId="{A508B66F-3093-4981-927D-C0FAC1C97A8C}" srcOrd="0" destOrd="0" presId="urn:microsoft.com/office/officeart/2005/8/layout/orgChart1"/>
    <dgm:cxn modelId="{81EB90E6-5A2B-4AB5-860E-7E2F6BA1EDAD}" type="presParOf" srcId="{F7645BDA-62B5-4681-9A64-B105857C5E8B}" destId="{3265C521-2F97-48D0-A710-CFE33E458E35}" srcOrd="0" destOrd="0" presId="urn:microsoft.com/office/officeart/2005/8/layout/orgChart1"/>
    <dgm:cxn modelId="{B1B50B17-7C55-43C5-9D63-38388D7AF627}" type="presParOf" srcId="{3265C521-2F97-48D0-A710-CFE33E458E35}" destId="{7ADC6AB1-0F6D-4E96-B9CF-5443AC20F85F}" srcOrd="0" destOrd="0" presId="urn:microsoft.com/office/officeart/2005/8/layout/orgChart1"/>
    <dgm:cxn modelId="{55E031FE-631A-43A3-B42C-7A9E1C2D6471}" type="presParOf" srcId="{7ADC6AB1-0F6D-4E96-B9CF-5443AC20F85F}" destId="{BE7610FD-E15D-4C15-9CDC-17667D08ADE7}" srcOrd="0" destOrd="0" presId="urn:microsoft.com/office/officeart/2005/8/layout/orgChart1"/>
    <dgm:cxn modelId="{A1B45990-1ECB-4FFA-9564-68B4534DECD0}" type="presParOf" srcId="{7ADC6AB1-0F6D-4E96-B9CF-5443AC20F85F}" destId="{F11A7062-11F3-4AE7-987A-4B98AC89C14A}" srcOrd="1" destOrd="0" presId="urn:microsoft.com/office/officeart/2005/8/layout/orgChart1"/>
    <dgm:cxn modelId="{2E25D3CA-E8B6-4303-B0C1-441627A28350}" type="presParOf" srcId="{3265C521-2F97-48D0-A710-CFE33E458E35}" destId="{80B8B816-79BC-42DB-8ECF-A0AF8A8329FA}" srcOrd="1" destOrd="0" presId="urn:microsoft.com/office/officeart/2005/8/layout/orgChart1"/>
    <dgm:cxn modelId="{31FF982A-2170-4434-8FA1-C5C42234F7BA}" type="presParOf" srcId="{80B8B816-79BC-42DB-8ECF-A0AF8A8329FA}" destId="{A508B66F-3093-4981-927D-C0FAC1C97A8C}" srcOrd="0" destOrd="0" presId="urn:microsoft.com/office/officeart/2005/8/layout/orgChart1"/>
    <dgm:cxn modelId="{2ACA462B-58A8-4F8B-AD73-FDEC1836FF3A}" type="presParOf" srcId="{80B8B816-79BC-42DB-8ECF-A0AF8A8329FA}" destId="{EBB92517-1EEF-470E-B38C-086AB521573A}" srcOrd="1" destOrd="0" presId="urn:microsoft.com/office/officeart/2005/8/layout/orgChart1"/>
    <dgm:cxn modelId="{FB8A2590-A4F3-4C4B-AA89-83F7F109F71E}" type="presParOf" srcId="{EBB92517-1EEF-470E-B38C-086AB521573A}" destId="{FC36ACBF-5734-4F2E-9F51-E2BCD27B204A}" srcOrd="0" destOrd="0" presId="urn:microsoft.com/office/officeart/2005/8/layout/orgChart1"/>
    <dgm:cxn modelId="{FB483C78-0C90-46EA-ACAC-24ACC3ADE4BE}" type="presParOf" srcId="{FC36ACBF-5734-4F2E-9F51-E2BCD27B204A}" destId="{1F39A94C-5A0F-47BD-8E6B-9C78CB0D042D}" srcOrd="0" destOrd="0" presId="urn:microsoft.com/office/officeart/2005/8/layout/orgChart1"/>
    <dgm:cxn modelId="{396F17B9-0357-4818-80C3-192B9E003988}" type="presParOf" srcId="{FC36ACBF-5734-4F2E-9F51-E2BCD27B204A}" destId="{E2FBF5EB-F2B3-4C87-AAA7-861A575124F1}" srcOrd="1" destOrd="0" presId="urn:microsoft.com/office/officeart/2005/8/layout/orgChart1"/>
    <dgm:cxn modelId="{1F27F503-4D6A-40AE-83B8-1E5AB556AA22}" type="presParOf" srcId="{EBB92517-1EEF-470E-B38C-086AB521573A}" destId="{0EF43F66-34CD-424D-B6EE-827AE27DD234}" srcOrd="1" destOrd="0" presId="urn:microsoft.com/office/officeart/2005/8/layout/orgChart1"/>
    <dgm:cxn modelId="{D3458314-C6CE-4D57-A8FC-5745BB7F9DA3}" type="presParOf" srcId="{EBB92517-1EEF-470E-B38C-086AB521573A}" destId="{E9139974-86F8-4379-99A2-C29C0F6AC78B}" srcOrd="2" destOrd="0" presId="urn:microsoft.com/office/officeart/2005/8/layout/orgChart1"/>
    <dgm:cxn modelId="{1CA7FF72-380B-40E4-BC32-BED21B9D0F06}" type="presParOf" srcId="{80B8B816-79BC-42DB-8ECF-A0AF8A8329FA}" destId="{C778511A-8E32-4EBF-B52D-6A0AC0C34895}" srcOrd="2" destOrd="0" presId="urn:microsoft.com/office/officeart/2005/8/layout/orgChart1"/>
    <dgm:cxn modelId="{E65E6345-76AF-424D-AC70-698148255FBB}" type="presParOf" srcId="{80B8B816-79BC-42DB-8ECF-A0AF8A8329FA}" destId="{5E49DA68-349F-42C0-96AF-286168C81C6A}" srcOrd="3" destOrd="0" presId="urn:microsoft.com/office/officeart/2005/8/layout/orgChart1"/>
    <dgm:cxn modelId="{78D03CBF-D0BA-491B-8C9F-A8AFDBB9443D}" type="presParOf" srcId="{5E49DA68-349F-42C0-96AF-286168C81C6A}" destId="{3B112152-21DC-4749-A19A-675801D1D3ED}" srcOrd="0" destOrd="0" presId="urn:microsoft.com/office/officeart/2005/8/layout/orgChart1"/>
    <dgm:cxn modelId="{431FED13-AD45-4BB9-ACAC-76F6C118E16D}" type="presParOf" srcId="{3B112152-21DC-4749-A19A-675801D1D3ED}" destId="{E7723813-C0DB-49EC-BC07-5C572EE1DA88}" srcOrd="0" destOrd="0" presId="urn:microsoft.com/office/officeart/2005/8/layout/orgChart1"/>
    <dgm:cxn modelId="{C90E4093-2FC7-46C0-A110-2F0CD452F4A3}" type="presParOf" srcId="{3B112152-21DC-4749-A19A-675801D1D3ED}" destId="{4F682C75-F186-4659-8138-49C3A29FE6DC}" srcOrd="1" destOrd="0" presId="urn:microsoft.com/office/officeart/2005/8/layout/orgChart1"/>
    <dgm:cxn modelId="{07F992EA-A3DF-4AA5-885C-816A3F9712BC}" type="presParOf" srcId="{5E49DA68-349F-42C0-96AF-286168C81C6A}" destId="{B3797FFA-1E11-49CF-8169-D5D1412C9E26}" srcOrd="1" destOrd="0" presId="urn:microsoft.com/office/officeart/2005/8/layout/orgChart1"/>
    <dgm:cxn modelId="{8C481DE9-780F-45F9-A2CE-CFE58035A966}" type="presParOf" srcId="{5E49DA68-349F-42C0-96AF-286168C81C6A}" destId="{C47FD7DE-2D17-4C8D-93A3-AACBD5ABC4AF}" srcOrd="2" destOrd="0" presId="urn:microsoft.com/office/officeart/2005/8/layout/orgChart1"/>
    <dgm:cxn modelId="{92CCC351-6E49-49C4-A6CD-0F718449C502}" type="presParOf" srcId="{80B8B816-79BC-42DB-8ECF-A0AF8A8329FA}" destId="{D854CB2D-03F1-4D21-86AE-AAA15FDF9C2B}" srcOrd="4" destOrd="0" presId="urn:microsoft.com/office/officeart/2005/8/layout/orgChart1"/>
    <dgm:cxn modelId="{7BEB876C-3054-4131-93CB-8AED0A740C91}" type="presParOf" srcId="{80B8B816-79BC-42DB-8ECF-A0AF8A8329FA}" destId="{259EE239-124B-4D11-B596-5F50369CE2DC}" srcOrd="5" destOrd="0" presId="urn:microsoft.com/office/officeart/2005/8/layout/orgChart1"/>
    <dgm:cxn modelId="{77ED7B31-4614-4DB6-B3AA-1248EE9656E7}" type="presParOf" srcId="{259EE239-124B-4D11-B596-5F50369CE2DC}" destId="{5CA85A95-80AC-44A3-9F1F-F167615B0A49}" srcOrd="0" destOrd="0" presId="urn:microsoft.com/office/officeart/2005/8/layout/orgChart1"/>
    <dgm:cxn modelId="{96037CFA-255A-4699-BFF6-8BE99736FAC5}" type="presParOf" srcId="{5CA85A95-80AC-44A3-9F1F-F167615B0A49}" destId="{9E87B7C9-586B-4360-9FBA-3867C2461DEA}" srcOrd="0" destOrd="0" presId="urn:microsoft.com/office/officeart/2005/8/layout/orgChart1"/>
    <dgm:cxn modelId="{BFB3C7EE-B8F8-40A3-B001-7EE690C0E1E1}" type="presParOf" srcId="{5CA85A95-80AC-44A3-9F1F-F167615B0A49}" destId="{769A6D42-7201-4B2B-8349-CE4BB066A71E}" srcOrd="1" destOrd="0" presId="urn:microsoft.com/office/officeart/2005/8/layout/orgChart1"/>
    <dgm:cxn modelId="{FC64DAE3-A91F-4272-9E3F-C6371D42446F}" type="presParOf" srcId="{259EE239-124B-4D11-B596-5F50369CE2DC}" destId="{09D7F719-7BDE-43CB-8300-71173ED7CAF0}" srcOrd="1" destOrd="0" presId="urn:microsoft.com/office/officeart/2005/8/layout/orgChart1"/>
    <dgm:cxn modelId="{AA3109BF-ACA0-40E5-AB35-2C78F92C6CB9}" type="presParOf" srcId="{259EE239-124B-4D11-B596-5F50369CE2DC}" destId="{2767E2FD-0260-4396-B390-729B16A7C240}" srcOrd="2" destOrd="0" presId="urn:microsoft.com/office/officeart/2005/8/layout/orgChart1"/>
    <dgm:cxn modelId="{D0AFDF77-CFA6-4B87-A7FA-A4AF64958F38}" type="presParOf" srcId="{80B8B816-79BC-42DB-8ECF-A0AF8A8329FA}" destId="{078CB879-0BF4-4FAC-8C14-79D3F249A029}" srcOrd="6" destOrd="0" presId="urn:microsoft.com/office/officeart/2005/8/layout/orgChart1"/>
    <dgm:cxn modelId="{75AE3E1E-301A-402A-B126-17E976503109}" type="presParOf" srcId="{80B8B816-79BC-42DB-8ECF-A0AF8A8329FA}" destId="{3A28F2D8-BB45-4125-8864-F8D9577AF4D7}" srcOrd="7" destOrd="0" presId="urn:microsoft.com/office/officeart/2005/8/layout/orgChart1"/>
    <dgm:cxn modelId="{B8166CB9-8E81-4039-97C5-652B9DF6EFC4}" type="presParOf" srcId="{3A28F2D8-BB45-4125-8864-F8D9577AF4D7}" destId="{2B49BCEF-BAC3-4CB6-82CA-BD704F3F15E0}" srcOrd="0" destOrd="0" presId="urn:microsoft.com/office/officeart/2005/8/layout/orgChart1"/>
    <dgm:cxn modelId="{2FD11C76-5068-4D58-AA0E-B84B98EA1F72}" type="presParOf" srcId="{2B49BCEF-BAC3-4CB6-82CA-BD704F3F15E0}" destId="{A9D5E78E-3B1B-4A8C-B71B-22D0C01AFE03}" srcOrd="0" destOrd="0" presId="urn:microsoft.com/office/officeart/2005/8/layout/orgChart1"/>
    <dgm:cxn modelId="{A50DE548-0F6E-49BA-8CD5-C1EBB682214F}" type="presParOf" srcId="{2B49BCEF-BAC3-4CB6-82CA-BD704F3F15E0}" destId="{0404060C-5290-45F4-997D-65C63D1CF53A}" srcOrd="1" destOrd="0" presId="urn:microsoft.com/office/officeart/2005/8/layout/orgChart1"/>
    <dgm:cxn modelId="{3708607E-07C6-4347-90B8-50AF9BD4C4D0}" type="presParOf" srcId="{3A28F2D8-BB45-4125-8864-F8D9577AF4D7}" destId="{B1FA896B-196D-40EB-AAF6-28E0C815A993}" srcOrd="1" destOrd="0" presId="urn:microsoft.com/office/officeart/2005/8/layout/orgChart1"/>
    <dgm:cxn modelId="{6DB08BCF-CA9E-4D82-89E7-559396600776}" type="presParOf" srcId="{3A28F2D8-BB45-4125-8864-F8D9577AF4D7}" destId="{7A3841C6-CFCF-496A-BC3E-284B5F3DCDEF}" srcOrd="2" destOrd="0" presId="urn:microsoft.com/office/officeart/2005/8/layout/orgChart1"/>
    <dgm:cxn modelId="{DA9417E8-0138-4753-802C-D88802061095}" type="presParOf" srcId="{80B8B816-79BC-42DB-8ECF-A0AF8A8329FA}" destId="{696B5EFE-9193-4384-A234-68B430A248D4}" srcOrd="8" destOrd="0" presId="urn:microsoft.com/office/officeart/2005/8/layout/orgChart1"/>
    <dgm:cxn modelId="{EF2C2887-CA0A-4BBE-B1C2-8CCD2ED31535}" type="presParOf" srcId="{80B8B816-79BC-42DB-8ECF-A0AF8A8329FA}" destId="{D7500CA6-8C1C-4BD1-9C01-616784468A16}" srcOrd="9" destOrd="0" presId="urn:microsoft.com/office/officeart/2005/8/layout/orgChart1"/>
    <dgm:cxn modelId="{AE93500A-0609-4A23-9B77-F259A89A56FD}" type="presParOf" srcId="{D7500CA6-8C1C-4BD1-9C01-616784468A16}" destId="{F66C2152-84E8-42C8-80F8-C3820BC7704F}" srcOrd="0" destOrd="0" presId="urn:microsoft.com/office/officeart/2005/8/layout/orgChart1"/>
    <dgm:cxn modelId="{744042F8-2FFC-4083-AB01-5DA8ED20D139}" type="presParOf" srcId="{F66C2152-84E8-42C8-80F8-C3820BC7704F}" destId="{633D0D5F-89E5-4A22-9AE3-6A2A0528A0D7}" srcOrd="0" destOrd="0" presId="urn:microsoft.com/office/officeart/2005/8/layout/orgChart1"/>
    <dgm:cxn modelId="{82C95403-7AF0-45AA-B4CB-6FB04F428C20}" type="presParOf" srcId="{F66C2152-84E8-42C8-80F8-C3820BC7704F}" destId="{5EBDA96A-DD3C-4C25-A14B-4853F3437238}" srcOrd="1" destOrd="0" presId="urn:microsoft.com/office/officeart/2005/8/layout/orgChart1"/>
    <dgm:cxn modelId="{131EFAD1-359D-4C41-9B99-77D763C7B850}" type="presParOf" srcId="{D7500CA6-8C1C-4BD1-9C01-616784468A16}" destId="{2AB6651E-60BA-420E-B8B4-9EEE35030A1E}" srcOrd="1" destOrd="0" presId="urn:microsoft.com/office/officeart/2005/8/layout/orgChart1"/>
    <dgm:cxn modelId="{B8A65EF0-56F0-4FD8-B8D8-9FEA357E729F}" type="presParOf" srcId="{D7500CA6-8C1C-4BD1-9C01-616784468A16}" destId="{F76DFFCB-D7D6-4259-A9BE-5B9C1CC0BEA8}" srcOrd="2" destOrd="0" presId="urn:microsoft.com/office/officeart/2005/8/layout/orgChart1"/>
    <dgm:cxn modelId="{9BC03E6E-D17D-47F6-BD50-DE83707B8626}" type="presParOf" srcId="{80B8B816-79BC-42DB-8ECF-A0AF8A8329FA}" destId="{3C1A412D-081A-4D84-89B4-C6FAF6DCF226}" srcOrd="10" destOrd="0" presId="urn:microsoft.com/office/officeart/2005/8/layout/orgChart1"/>
    <dgm:cxn modelId="{16C90BBA-F190-461C-8F33-38CD5D07AD9A}" type="presParOf" srcId="{80B8B816-79BC-42DB-8ECF-A0AF8A8329FA}" destId="{306E9A22-E664-48BC-AD8B-4CD8BF90FCA7}" srcOrd="11" destOrd="0" presId="urn:microsoft.com/office/officeart/2005/8/layout/orgChart1"/>
    <dgm:cxn modelId="{8BBE6973-32F9-4BB2-B6EB-E7AB7F7C67BC}" type="presParOf" srcId="{306E9A22-E664-48BC-AD8B-4CD8BF90FCA7}" destId="{7323A581-C94C-45E1-8B29-18E99419B733}" srcOrd="0" destOrd="0" presId="urn:microsoft.com/office/officeart/2005/8/layout/orgChart1"/>
    <dgm:cxn modelId="{3799C74D-1EC5-4376-9E77-3172A4E0D00A}" type="presParOf" srcId="{7323A581-C94C-45E1-8B29-18E99419B733}" destId="{88D7D482-4748-4D56-B7BC-6FDFE43CD652}" srcOrd="0" destOrd="0" presId="urn:microsoft.com/office/officeart/2005/8/layout/orgChart1"/>
    <dgm:cxn modelId="{4105100A-EF07-4593-BE0E-15FEBCEB14E4}" type="presParOf" srcId="{7323A581-C94C-45E1-8B29-18E99419B733}" destId="{BA14E3F9-024A-4E2C-96F2-947E821FFB05}" srcOrd="1" destOrd="0" presId="urn:microsoft.com/office/officeart/2005/8/layout/orgChart1"/>
    <dgm:cxn modelId="{7C3E8FE4-E160-452C-B0AF-2A747B5E16BB}" type="presParOf" srcId="{306E9A22-E664-48BC-AD8B-4CD8BF90FCA7}" destId="{FA2C2E35-21A1-4101-843C-0D3CFE01937F}" srcOrd="1" destOrd="0" presId="urn:microsoft.com/office/officeart/2005/8/layout/orgChart1"/>
    <dgm:cxn modelId="{E0129F9B-A558-471A-8AC8-1A68FED80B79}" type="presParOf" srcId="{306E9A22-E664-48BC-AD8B-4CD8BF90FCA7}" destId="{314C0C94-66BA-40F0-860E-98BF2FC3C5EF}" srcOrd="2" destOrd="0" presId="urn:microsoft.com/office/officeart/2005/8/layout/orgChart1"/>
    <dgm:cxn modelId="{9CC9FA40-8A9E-4002-A51E-50081257D098}" type="presParOf" srcId="{80B8B816-79BC-42DB-8ECF-A0AF8A8329FA}" destId="{7AF374DD-B772-4C5F-86C9-9C09FEA72EA9}" srcOrd="12" destOrd="0" presId="urn:microsoft.com/office/officeart/2005/8/layout/orgChart1"/>
    <dgm:cxn modelId="{2DBBA1D9-3C5D-427F-9F21-7C99E7D9F876}" type="presParOf" srcId="{80B8B816-79BC-42DB-8ECF-A0AF8A8329FA}" destId="{344F0F5F-5427-47CA-B2C0-3FF46E2EE586}" srcOrd="13" destOrd="0" presId="urn:microsoft.com/office/officeart/2005/8/layout/orgChart1"/>
    <dgm:cxn modelId="{45E978E6-D401-43A4-AB4B-982AB4E5D6D6}" type="presParOf" srcId="{344F0F5F-5427-47CA-B2C0-3FF46E2EE586}" destId="{4366C6E4-37BC-4177-8B4A-1F5A9CA3687D}" srcOrd="0" destOrd="0" presId="urn:microsoft.com/office/officeart/2005/8/layout/orgChart1"/>
    <dgm:cxn modelId="{851A8F3A-C123-4C36-BA33-0F929152B5B0}" type="presParOf" srcId="{4366C6E4-37BC-4177-8B4A-1F5A9CA3687D}" destId="{51254020-B8B7-4D8D-A871-664EDCA52C0C}" srcOrd="0" destOrd="0" presId="urn:microsoft.com/office/officeart/2005/8/layout/orgChart1"/>
    <dgm:cxn modelId="{3B950C7A-919F-45D4-9DD5-CAD94AA32302}" type="presParOf" srcId="{4366C6E4-37BC-4177-8B4A-1F5A9CA3687D}" destId="{C2473476-6B14-4020-AC5B-1F9243DBFC35}" srcOrd="1" destOrd="0" presId="urn:microsoft.com/office/officeart/2005/8/layout/orgChart1"/>
    <dgm:cxn modelId="{08E3D126-1569-403F-AEB0-E159CBC1C94E}" type="presParOf" srcId="{344F0F5F-5427-47CA-B2C0-3FF46E2EE586}" destId="{11B8C3BF-BB59-473A-AA41-EBB74AFF487C}" srcOrd="1" destOrd="0" presId="urn:microsoft.com/office/officeart/2005/8/layout/orgChart1"/>
    <dgm:cxn modelId="{36F0C8C1-84C5-4450-BE23-A45D3EFD15EE}" type="presParOf" srcId="{344F0F5F-5427-47CA-B2C0-3FF46E2EE586}" destId="{8B20AEC4-2323-4710-91DA-F195DC9E8F15}" srcOrd="2" destOrd="0" presId="urn:microsoft.com/office/officeart/2005/8/layout/orgChart1"/>
    <dgm:cxn modelId="{5DED0552-4A0F-4613-AF20-74459940E9F7}" type="presParOf" srcId="{80B8B816-79BC-42DB-8ECF-A0AF8A8329FA}" destId="{0BEA8209-5F2A-4AC7-8A3B-3255B8D3B727}" srcOrd="14" destOrd="0" presId="urn:microsoft.com/office/officeart/2005/8/layout/orgChart1"/>
    <dgm:cxn modelId="{E640B1A6-7F10-436A-98FB-1E6F4BAB03F7}" type="presParOf" srcId="{80B8B816-79BC-42DB-8ECF-A0AF8A8329FA}" destId="{DF32ABF4-5B2B-4765-A720-A9ED5F4842C7}" srcOrd="15" destOrd="0" presId="urn:microsoft.com/office/officeart/2005/8/layout/orgChart1"/>
    <dgm:cxn modelId="{9245071E-B232-4D55-AE76-A12FA7E36136}" type="presParOf" srcId="{DF32ABF4-5B2B-4765-A720-A9ED5F4842C7}" destId="{D5AFA0A0-2090-458A-B3F3-D266428DEFD5}" srcOrd="0" destOrd="0" presId="urn:microsoft.com/office/officeart/2005/8/layout/orgChart1"/>
    <dgm:cxn modelId="{2CCE6D90-79FA-4976-B3B1-CDE0B14354EB}" type="presParOf" srcId="{D5AFA0A0-2090-458A-B3F3-D266428DEFD5}" destId="{A8AFCC58-B48A-4B51-8489-6B9562816B16}" srcOrd="0" destOrd="0" presId="urn:microsoft.com/office/officeart/2005/8/layout/orgChart1"/>
    <dgm:cxn modelId="{B33C2194-D5C5-4C82-A2A6-A8FE7D55AD6C}" type="presParOf" srcId="{D5AFA0A0-2090-458A-B3F3-D266428DEFD5}" destId="{117DA03F-57B7-436F-950D-1FC411093443}" srcOrd="1" destOrd="0" presId="urn:microsoft.com/office/officeart/2005/8/layout/orgChart1"/>
    <dgm:cxn modelId="{BA266874-75D9-42C6-B748-BA832F37DBB5}" type="presParOf" srcId="{DF32ABF4-5B2B-4765-A720-A9ED5F4842C7}" destId="{0352B5C9-B1C4-4F41-B476-3E58AD6E45AC}" srcOrd="1" destOrd="0" presId="urn:microsoft.com/office/officeart/2005/8/layout/orgChart1"/>
    <dgm:cxn modelId="{7AA84FEA-15CD-4496-9A31-4B3BD3CC96E2}" type="presParOf" srcId="{DF32ABF4-5B2B-4765-A720-A9ED5F4842C7}" destId="{45F4DAF4-2961-4CEC-8631-1AD9EACDE091}" srcOrd="2" destOrd="0" presId="urn:microsoft.com/office/officeart/2005/8/layout/orgChart1"/>
    <dgm:cxn modelId="{61511AD3-DAFD-4384-936C-5C66C2DB875E}" type="presParOf" srcId="{80B8B816-79BC-42DB-8ECF-A0AF8A8329FA}" destId="{E97649F4-211B-48A6-A492-2BB261F916B3}" srcOrd="16" destOrd="0" presId="urn:microsoft.com/office/officeart/2005/8/layout/orgChart1"/>
    <dgm:cxn modelId="{C9F5B196-941F-4A6A-8217-3E6550A344CF}" type="presParOf" srcId="{80B8B816-79BC-42DB-8ECF-A0AF8A8329FA}" destId="{639E9DE5-461B-4650-9C4F-E23CB0DE7342}" srcOrd="17" destOrd="0" presId="urn:microsoft.com/office/officeart/2005/8/layout/orgChart1"/>
    <dgm:cxn modelId="{FD7CFA15-FA4D-4CD0-98C2-6F804ECFEE3A}" type="presParOf" srcId="{639E9DE5-461B-4650-9C4F-E23CB0DE7342}" destId="{D2433092-FD87-4835-ABC8-27FF75AD337F}" srcOrd="0" destOrd="0" presId="urn:microsoft.com/office/officeart/2005/8/layout/orgChart1"/>
    <dgm:cxn modelId="{E43B9707-E713-4D8E-A9B8-14151B10ADCC}" type="presParOf" srcId="{D2433092-FD87-4835-ABC8-27FF75AD337F}" destId="{9253D831-92DD-45F8-B5F3-8E36C9730AD0}" srcOrd="0" destOrd="0" presId="urn:microsoft.com/office/officeart/2005/8/layout/orgChart1"/>
    <dgm:cxn modelId="{DA753EF7-F776-4406-AAFB-F60121B1777F}" type="presParOf" srcId="{D2433092-FD87-4835-ABC8-27FF75AD337F}" destId="{02313925-2FCE-4E9C-A363-B2B9BFE599EA}" srcOrd="1" destOrd="0" presId="urn:microsoft.com/office/officeart/2005/8/layout/orgChart1"/>
    <dgm:cxn modelId="{55550647-5398-486F-8D17-B54295D3CCDB}" type="presParOf" srcId="{639E9DE5-461B-4650-9C4F-E23CB0DE7342}" destId="{57B7DFCC-3C8B-4F9D-9C80-ABCC37287BE8}" srcOrd="1" destOrd="0" presId="urn:microsoft.com/office/officeart/2005/8/layout/orgChart1"/>
    <dgm:cxn modelId="{946B60DB-613F-4ED3-ACED-EC5A65D590F3}" type="presParOf" srcId="{639E9DE5-461B-4650-9C4F-E23CB0DE7342}" destId="{336972B3-1F15-4E93-B5EF-CEF7759A5E43}" srcOrd="2" destOrd="0" presId="urn:microsoft.com/office/officeart/2005/8/layout/orgChart1"/>
    <dgm:cxn modelId="{3D24B097-4A1E-4FD5-8484-F20DA5857D6A}" type="presParOf" srcId="{80B8B816-79BC-42DB-8ECF-A0AF8A8329FA}" destId="{51082E82-071C-4AD1-A4BC-5C41F77FFD8D}" srcOrd="18" destOrd="0" presId="urn:microsoft.com/office/officeart/2005/8/layout/orgChart1"/>
    <dgm:cxn modelId="{FD0B12F8-1A44-4302-8CF3-7821C5E1DA1B}" type="presParOf" srcId="{80B8B816-79BC-42DB-8ECF-A0AF8A8329FA}" destId="{4C48E7BA-0AFE-49E5-A9B1-A56D79B2A902}" srcOrd="19" destOrd="0" presId="urn:microsoft.com/office/officeart/2005/8/layout/orgChart1"/>
    <dgm:cxn modelId="{C90C897E-5D13-4653-897F-C5C481974E56}" type="presParOf" srcId="{4C48E7BA-0AFE-49E5-A9B1-A56D79B2A902}" destId="{B6CCFEEC-E379-448D-B193-36DB160D6574}" srcOrd="0" destOrd="0" presId="urn:microsoft.com/office/officeart/2005/8/layout/orgChart1"/>
    <dgm:cxn modelId="{FC23278E-581B-4A3D-B43E-BB831C645EBF}" type="presParOf" srcId="{B6CCFEEC-E379-448D-B193-36DB160D6574}" destId="{B588CAB2-D247-49DF-9D98-6CF6A102788E}" srcOrd="0" destOrd="0" presId="urn:microsoft.com/office/officeart/2005/8/layout/orgChart1"/>
    <dgm:cxn modelId="{295747A8-57EF-4339-B62B-159D8803AF50}" type="presParOf" srcId="{B6CCFEEC-E379-448D-B193-36DB160D6574}" destId="{57C35889-E87C-4FA1-8B78-E4528C6153CE}" srcOrd="1" destOrd="0" presId="urn:microsoft.com/office/officeart/2005/8/layout/orgChart1"/>
    <dgm:cxn modelId="{9F55C82D-753E-456A-A6AF-E968EFB1B52B}" type="presParOf" srcId="{4C48E7BA-0AFE-49E5-A9B1-A56D79B2A902}" destId="{490B9B15-DEB8-4168-BE7E-68BD46DED3D0}" srcOrd="1" destOrd="0" presId="urn:microsoft.com/office/officeart/2005/8/layout/orgChart1"/>
    <dgm:cxn modelId="{BAFA221F-F37E-4834-8096-257E6B394B32}" type="presParOf" srcId="{4C48E7BA-0AFE-49E5-A9B1-A56D79B2A902}" destId="{D39157B0-EABE-4138-B68F-2D722761F1C7}" srcOrd="2" destOrd="0" presId="urn:microsoft.com/office/officeart/2005/8/layout/orgChart1"/>
    <dgm:cxn modelId="{8E17D28E-6635-4652-9776-951D2274EA2A}" type="presParOf" srcId="{3265C521-2F97-48D0-A710-CFE33E458E35}" destId="{1629CD9E-583F-45C6-BB09-AA2E8ACD691F}" srcOrd="2" destOrd="0" presId="urn:microsoft.com/office/officeart/2005/8/layout/orgChart1"/>
    <dgm:cxn modelId="{E771514B-C865-4736-9D74-C55A9524EE38}" type="presParOf" srcId="{1629CD9E-583F-45C6-BB09-AA2E8ACD691F}" destId="{96777993-BDD7-4E9B-A511-0C683B926149}" srcOrd="0" destOrd="0" presId="urn:microsoft.com/office/officeart/2005/8/layout/orgChart1"/>
    <dgm:cxn modelId="{949BD8B2-1054-4659-B206-2A8E886324E7}" type="presParOf" srcId="{1629CD9E-583F-45C6-BB09-AA2E8ACD691F}" destId="{B2DAE521-3BAB-4BEF-8B37-11B0DC57EF79}" srcOrd="1" destOrd="0" presId="urn:microsoft.com/office/officeart/2005/8/layout/orgChart1"/>
    <dgm:cxn modelId="{A336DE36-BFDA-47A2-9D70-5B34A6CD6081}" type="presParOf" srcId="{B2DAE521-3BAB-4BEF-8B37-11B0DC57EF79}" destId="{21D652F6-22D3-4A38-8A9C-638EA2688B90}" srcOrd="0" destOrd="0" presId="urn:microsoft.com/office/officeart/2005/8/layout/orgChart1"/>
    <dgm:cxn modelId="{74D262FA-DA87-40DA-99B8-5F5CE98CFAE7}" type="presParOf" srcId="{21D652F6-22D3-4A38-8A9C-638EA2688B90}" destId="{7C97E701-BC8D-4634-8AE2-A8336108B294}" srcOrd="0" destOrd="0" presId="urn:microsoft.com/office/officeart/2005/8/layout/orgChart1"/>
    <dgm:cxn modelId="{1DE57D86-150E-45F1-BD48-1041C9540A75}" type="presParOf" srcId="{21D652F6-22D3-4A38-8A9C-638EA2688B90}" destId="{BA18DAB6-B90E-4B8A-9EF7-2867CE6A7E73}" srcOrd="1" destOrd="0" presId="urn:microsoft.com/office/officeart/2005/8/layout/orgChart1"/>
    <dgm:cxn modelId="{75A36758-EC0C-4F35-AB54-78EA822956DD}" type="presParOf" srcId="{B2DAE521-3BAB-4BEF-8B37-11B0DC57EF79}" destId="{9DDE7BB0-10E7-4C60-9F5B-0BC42983950A}" srcOrd="1" destOrd="0" presId="urn:microsoft.com/office/officeart/2005/8/layout/orgChart1"/>
    <dgm:cxn modelId="{CCF949C7-60DB-4302-9B3D-2BF39B2A2649}" type="presParOf" srcId="{B2DAE521-3BAB-4BEF-8B37-11B0DC57EF79}" destId="{23AA4F02-F12D-49ED-8357-4A60CB281462}" srcOrd="2" destOrd="0" presId="urn:microsoft.com/office/officeart/2005/8/layout/orgChart1"/>
    <dgm:cxn modelId="{A12E0AB3-E15E-4D29-B1D7-9F2CDACC86E3}" type="presParOf" srcId="{1629CD9E-583F-45C6-BB09-AA2E8ACD691F}" destId="{012BD3FF-054F-4363-AA2E-4981A8E34244}" srcOrd="2" destOrd="0" presId="urn:microsoft.com/office/officeart/2005/8/layout/orgChart1"/>
    <dgm:cxn modelId="{9851DEC3-BA43-438E-8E02-965900D53D8E}" type="presParOf" srcId="{1629CD9E-583F-45C6-BB09-AA2E8ACD691F}" destId="{D2A977BF-DE3E-42F1-B7DC-B4032F9D0236}" srcOrd="3" destOrd="0" presId="urn:microsoft.com/office/officeart/2005/8/layout/orgChart1"/>
    <dgm:cxn modelId="{6A3F5F70-76E0-4D00-9920-0965C9C243D8}" type="presParOf" srcId="{D2A977BF-DE3E-42F1-B7DC-B4032F9D0236}" destId="{D4BD5DA5-D140-4E53-A37C-55180C6D43CE}" srcOrd="0" destOrd="0" presId="urn:microsoft.com/office/officeart/2005/8/layout/orgChart1"/>
    <dgm:cxn modelId="{CC80127D-EFA4-4D02-983A-CA8CA1AEBDCC}" type="presParOf" srcId="{D4BD5DA5-D140-4E53-A37C-55180C6D43CE}" destId="{59E7AD25-DC16-4866-922D-5985C4D4458A}" srcOrd="0" destOrd="0" presId="urn:microsoft.com/office/officeart/2005/8/layout/orgChart1"/>
    <dgm:cxn modelId="{1567CF43-4465-4136-B295-22BD649DAB98}" type="presParOf" srcId="{D4BD5DA5-D140-4E53-A37C-55180C6D43CE}" destId="{8C4B7F39-3B3C-4987-87C2-87960A732A90}" srcOrd="1" destOrd="0" presId="urn:microsoft.com/office/officeart/2005/8/layout/orgChart1"/>
    <dgm:cxn modelId="{F1AA3B26-CDEB-43A2-B985-70A210ED11EA}" type="presParOf" srcId="{D2A977BF-DE3E-42F1-B7DC-B4032F9D0236}" destId="{F4949C9A-3BDA-4EB7-9555-341A3A87A5F8}" srcOrd="1" destOrd="0" presId="urn:microsoft.com/office/officeart/2005/8/layout/orgChart1"/>
    <dgm:cxn modelId="{AB86DD35-AF5A-44E1-ABC6-D0393905B836}" type="presParOf" srcId="{D2A977BF-DE3E-42F1-B7DC-B4032F9D0236}" destId="{2BC26E7D-A152-410A-9A53-33E5B9BD34C3}" srcOrd="2" destOrd="0" presId="urn:microsoft.com/office/officeart/2005/8/layout/orgChart1"/>
    <dgm:cxn modelId="{C6379E19-1E3C-41C0-A8FD-9B249E90D2EE}" type="presParOf" srcId="{1629CD9E-583F-45C6-BB09-AA2E8ACD691F}" destId="{DDE8A473-DD43-4E5A-B636-30E3B0030A64}" srcOrd="4" destOrd="0" presId="urn:microsoft.com/office/officeart/2005/8/layout/orgChart1"/>
    <dgm:cxn modelId="{A845502D-23F1-438F-B7EE-7A811BD11991}" type="presParOf" srcId="{1629CD9E-583F-45C6-BB09-AA2E8ACD691F}" destId="{FBAFCB5F-9DC0-4CCF-8B52-F3A3D4F72DF6}" srcOrd="5" destOrd="0" presId="urn:microsoft.com/office/officeart/2005/8/layout/orgChart1"/>
    <dgm:cxn modelId="{1AA18261-F925-433E-8B35-09B35490B9AE}" type="presParOf" srcId="{FBAFCB5F-9DC0-4CCF-8B52-F3A3D4F72DF6}" destId="{74210286-EAAF-48DC-9318-3600FC262574}" srcOrd="0" destOrd="0" presId="urn:microsoft.com/office/officeart/2005/8/layout/orgChart1"/>
    <dgm:cxn modelId="{926EBFA2-0D92-4F26-A31F-7A594793446C}" type="presParOf" srcId="{74210286-EAAF-48DC-9318-3600FC262574}" destId="{04E1E8D3-0C6C-47C7-AAA0-79DDAA4E3D62}" srcOrd="0" destOrd="0" presId="urn:microsoft.com/office/officeart/2005/8/layout/orgChart1"/>
    <dgm:cxn modelId="{1B846F0A-0361-4B64-B2FB-E4FD1705FC6D}" type="presParOf" srcId="{74210286-EAAF-48DC-9318-3600FC262574}" destId="{BE931623-62BF-49BF-B07B-F0302DFE9275}" srcOrd="1" destOrd="0" presId="urn:microsoft.com/office/officeart/2005/8/layout/orgChart1"/>
    <dgm:cxn modelId="{485C62AD-4623-458C-9215-3CA16D9416B5}" type="presParOf" srcId="{FBAFCB5F-9DC0-4CCF-8B52-F3A3D4F72DF6}" destId="{4802F858-4AC4-4BB2-9F78-61EFC4196E03}" srcOrd="1" destOrd="0" presId="urn:microsoft.com/office/officeart/2005/8/layout/orgChart1"/>
    <dgm:cxn modelId="{26BA9807-C2EE-4665-A477-E586845958A1}" type="presParOf" srcId="{FBAFCB5F-9DC0-4CCF-8B52-F3A3D4F72DF6}" destId="{847039B7-E570-415F-8C5C-0E23290C1A17}" srcOrd="2" destOrd="0" presId="urn:microsoft.com/office/officeart/2005/8/layout/orgChart1"/>
    <dgm:cxn modelId="{6B6D7126-2854-4104-904A-DDE58F5DEE39}" type="presParOf" srcId="{1629CD9E-583F-45C6-BB09-AA2E8ACD691F}" destId="{00092B37-3477-49D0-9E7F-BA946829957F}" srcOrd="6" destOrd="0" presId="urn:microsoft.com/office/officeart/2005/8/layout/orgChart1"/>
    <dgm:cxn modelId="{87A4F0DA-7619-401B-B789-45F2499FCD75}" type="presParOf" srcId="{1629CD9E-583F-45C6-BB09-AA2E8ACD691F}" destId="{D59F434B-4594-4975-A5C5-F3AC7D17F776}" srcOrd="7" destOrd="0" presId="urn:microsoft.com/office/officeart/2005/8/layout/orgChart1"/>
    <dgm:cxn modelId="{3977F096-4C13-43BF-ACC3-9B4B0E9BA1A9}" type="presParOf" srcId="{D59F434B-4594-4975-A5C5-F3AC7D17F776}" destId="{ECE58095-1594-4718-AA65-111F70E47F64}" srcOrd="0" destOrd="0" presId="urn:microsoft.com/office/officeart/2005/8/layout/orgChart1"/>
    <dgm:cxn modelId="{975937A6-144E-4B19-982B-D204492A4DA3}" type="presParOf" srcId="{ECE58095-1594-4718-AA65-111F70E47F64}" destId="{48DDA162-AA43-4ADD-816B-B65530A293F4}" srcOrd="0" destOrd="0" presId="urn:microsoft.com/office/officeart/2005/8/layout/orgChart1"/>
    <dgm:cxn modelId="{233D0179-3186-41B3-A3B3-5D34883BB83E}" type="presParOf" srcId="{ECE58095-1594-4718-AA65-111F70E47F64}" destId="{4375D763-ACEB-4D17-B38E-CE80FE0680A2}" srcOrd="1" destOrd="0" presId="urn:microsoft.com/office/officeart/2005/8/layout/orgChart1"/>
    <dgm:cxn modelId="{A70C36A3-EB39-4AB5-BE8E-7B510BCF36B9}" type="presParOf" srcId="{D59F434B-4594-4975-A5C5-F3AC7D17F776}" destId="{0B78AFC5-3BB0-4DDA-9C66-969124FBB6D7}" srcOrd="1" destOrd="0" presId="urn:microsoft.com/office/officeart/2005/8/layout/orgChart1"/>
    <dgm:cxn modelId="{21C13342-B720-4044-9897-4F874267F4C8}" type="presParOf" srcId="{D59F434B-4594-4975-A5C5-F3AC7D17F776}" destId="{127858BB-71EF-4A84-9E66-F10D92D0483C}" srcOrd="2" destOrd="0" presId="urn:microsoft.com/office/officeart/2005/8/layout/orgChart1"/>
  </dgm:cxnLst>
  <dgm:bg/>
  <dgm:whole/>
</dgm:dataModel>
</file>

<file path=word/diagrams/data3.xml><?xml version="1.0" encoding="utf-8"?>
<dgm:dataModel xmlns:dgm="http://schemas.openxmlformats.org/drawingml/2006/diagram" xmlns:a="http://schemas.openxmlformats.org/drawingml/2006/main">
  <dgm:ptLst>
    <dgm:pt modelId="{D4359239-782F-49F4-BF7B-62BB89E0FFD4}" type="doc">
      <dgm:prSet loTypeId="urn:microsoft.com/office/officeart/2005/8/layout/process1" loCatId="process" qsTypeId="urn:microsoft.com/office/officeart/2005/8/quickstyle/simple1" qsCatId="simple" csTypeId="urn:microsoft.com/office/officeart/2005/8/colors/accent1_2" csCatId="accent1" phldr="1"/>
      <dgm:spPr/>
    </dgm:pt>
    <dgm:pt modelId="{D820BDBD-8DC4-411C-8C8D-AC6CDF62C78C}">
      <dgm:prSet phldrT="[Texto]" custT="1"/>
      <dgm:spPr>
        <a:gradFill rotWithShape="0">
          <a:gsLst>
            <a:gs pos="0">
              <a:srgbClr val="DDEBCF"/>
            </a:gs>
            <a:gs pos="50000">
              <a:srgbClr val="9CB86E"/>
            </a:gs>
            <a:gs pos="100000">
              <a:srgbClr val="156B13"/>
            </a:gs>
          </a:gsLst>
          <a:lin ang="16200000" scaled="0"/>
        </a:gradFill>
      </dgm:spPr>
      <dgm:t>
        <a:bodyPr/>
        <a:lstStyle/>
        <a:p>
          <a:r>
            <a:rPr lang="es-EC" sz="1200" dirty="0" smtClean="0">
              <a:latin typeface="Arial" pitchFamily="34" charset="0"/>
              <a:cs typeface="Arial" pitchFamily="34" charset="0"/>
            </a:rPr>
            <a:t>Áreas de Negocio</a:t>
          </a:r>
          <a:endParaRPr lang="es-EC" sz="1200" dirty="0">
            <a:latin typeface="Arial" pitchFamily="34" charset="0"/>
            <a:cs typeface="Arial" pitchFamily="34" charset="0"/>
          </a:endParaRPr>
        </a:p>
      </dgm:t>
    </dgm:pt>
    <dgm:pt modelId="{22D26B2C-B084-454E-9D89-7FF5CA2DE79C}" type="parTrans" cxnId="{1004E680-02ED-4AB9-AA8E-FC303F2556A7}">
      <dgm:prSet/>
      <dgm:spPr/>
      <dgm:t>
        <a:bodyPr/>
        <a:lstStyle/>
        <a:p>
          <a:endParaRPr lang="es-EC"/>
        </a:p>
      </dgm:t>
    </dgm:pt>
    <dgm:pt modelId="{89103485-6F10-47FA-B0A0-AD68463FC321}" type="sibTrans" cxnId="{1004E680-02ED-4AB9-AA8E-FC303F2556A7}">
      <dgm:prSet/>
      <dgm:spPr/>
      <dgm:t>
        <a:bodyPr/>
        <a:lstStyle/>
        <a:p>
          <a:endParaRPr lang="es-EC"/>
        </a:p>
      </dgm:t>
    </dgm:pt>
    <dgm:pt modelId="{F303C126-DB18-403D-9A9E-7018647379CE}">
      <dgm:prSet phldrT="[Texto]" custT="1"/>
      <dgm:spPr>
        <a:gradFill rotWithShape="0">
          <a:gsLst>
            <a:gs pos="0">
              <a:srgbClr val="D6B19C"/>
            </a:gs>
            <a:gs pos="30000">
              <a:srgbClr val="D49E6C"/>
            </a:gs>
            <a:gs pos="70000">
              <a:srgbClr val="A65528"/>
            </a:gs>
            <a:gs pos="100000">
              <a:srgbClr val="663012"/>
            </a:gs>
          </a:gsLst>
          <a:lin ang="16200000" scaled="0"/>
        </a:gradFill>
      </dgm:spPr>
      <dgm:t>
        <a:bodyPr/>
        <a:lstStyle/>
        <a:p>
          <a:r>
            <a:rPr lang="es-EC" sz="1200" dirty="0" smtClean="0">
              <a:latin typeface="Arial" pitchFamily="34" charset="0"/>
              <a:cs typeface="Arial" pitchFamily="34" charset="0"/>
            </a:rPr>
            <a:t>Áreas de Soporte</a:t>
          </a:r>
          <a:endParaRPr lang="es-EC" sz="1200" dirty="0">
            <a:latin typeface="Arial" pitchFamily="34" charset="0"/>
            <a:cs typeface="Arial" pitchFamily="34" charset="0"/>
          </a:endParaRPr>
        </a:p>
      </dgm:t>
    </dgm:pt>
    <dgm:pt modelId="{36F125AF-1313-47AE-90F1-5D0EB88985E2}" type="parTrans" cxnId="{081B20FE-144B-419A-887A-225BCB1FA145}">
      <dgm:prSet/>
      <dgm:spPr/>
      <dgm:t>
        <a:bodyPr/>
        <a:lstStyle/>
        <a:p>
          <a:endParaRPr lang="es-EC"/>
        </a:p>
      </dgm:t>
    </dgm:pt>
    <dgm:pt modelId="{3787296E-0B99-42E7-A067-7CBE2CB22C79}" type="sibTrans" cxnId="{081B20FE-144B-419A-887A-225BCB1FA145}">
      <dgm:prSet/>
      <dgm:spPr/>
      <dgm:t>
        <a:bodyPr/>
        <a:lstStyle/>
        <a:p>
          <a:endParaRPr lang="es-EC"/>
        </a:p>
      </dgm:t>
    </dgm:pt>
    <dgm:pt modelId="{38B67CAC-1FD8-4C15-900E-A90ADF37E9E6}">
      <dgm:prSet phldrT="[Texto]" custT="1"/>
      <dgm:spPr>
        <a:gradFill rotWithShape="0">
          <a:gsLst>
            <a:gs pos="0">
              <a:srgbClr val="03D4A8"/>
            </a:gs>
            <a:gs pos="25000">
              <a:srgbClr val="21D6E0"/>
            </a:gs>
            <a:gs pos="75000">
              <a:srgbClr val="0087E6"/>
            </a:gs>
            <a:gs pos="100000">
              <a:srgbClr val="005CBF"/>
            </a:gs>
          </a:gsLst>
          <a:lin ang="16200000" scaled="0"/>
        </a:gradFill>
      </dgm:spPr>
      <dgm:t>
        <a:bodyPr/>
        <a:lstStyle/>
        <a:p>
          <a:r>
            <a:rPr lang="es-EC" sz="1200" dirty="0" smtClean="0">
              <a:latin typeface="Arial" pitchFamily="34" charset="0"/>
              <a:cs typeface="Arial" pitchFamily="34" charset="0"/>
            </a:rPr>
            <a:t>Áreas de Staff</a:t>
          </a:r>
          <a:endParaRPr lang="es-EC" sz="1200" dirty="0">
            <a:latin typeface="Arial" pitchFamily="34" charset="0"/>
            <a:cs typeface="Arial" pitchFamily="34" charset="0"/>
          </a:endParaRPr>
        </a:p>
      </dgm:t>
    </dgm:pt>
    <dgm:pt modelId="{CE24EA6A-88C6-47B1-83AB-5DDF93A2A505}" type="parTrans" cxnId="{2DB7BE42-0197-442F-9261-775D2E2A2D34}">
      <dgm:prSet/>
      <dgm:spPr/>
      <dgm:t>
        <a:bodyPr/>
        <a:lstStyle/>
        <a:p>
          <a:endParaRPr lang="es-EC"/>
        </a:p>
      </dgm:t>
    </dgm:pt>
    <dgm:pt modelId="{6A97F71E-90AE-4C17-8E47-CCCC32B281A5}" type="sibTrans" cxnId="{2DB7BE42-0197-442F-9261-775D2E2A2D34}">
      <dgm:prSet/>
      <dgm:spPr/>
      <dgm:t>
        <a:bodyPr/>
        <a:lstStyle/>
        <a:p>
          <a:endParaRPr lang="es-EC"/>
        </a:p>
      </dgm:t>
    </dgm:pt>
    <dgm:pt modelId="{24A953B0-3F85-44DD-9282-C758467E2EF9}" type="pres">
      <dgm:prSet presAssocID="{D4359239-782F-49F4-BF7B-62BB89E0FFD4}" presName="Name0" presStyleCnt="0">
        <dgm:presLayoutVars>
          <dgm:dir/>
          <dgm:resizeHandles val="exact"/>
        </dgm:presLayoutVars>
      </dgm:prSet>
      <dgm:spPr/>
    </dgm:pt>
    <dgm:pt modelId="{558A66DC-C2DD-447C-A325-7FD9AA7D1D5A}" type="pres">
      <dgm:prSet presAssocID="{D820BDBD-8DC4-411C-8C8D-AC6CDF62C78C}" presName="node" presStyleLbl="node1" presStyleIdx="0" presStyleCnt="3" custScaleX="66256" custScaleY="36573">
        <dgm:presLayoutVars>
          <dgm:bulletEnabled val="1"/>
        </dgm:presLayoutVars>
      </dgm:prSet>
      <dgm:spPr/>
      <dgm:t>
        <a:bodyPr/>
        <a:lstStyle/>
        <a:p>
          <a:endParaRPr lang="es-EC"/>
        </a:p>
      </dgm:t>
    </dgm:pt>
    <dgm:pt modelId="{255E2E21-51DC-4155-849F-BB2E1440E0BC}" type="pres">
      <dgm:prSet presAssocID="{89103485-6F10-47FA-B0A0-AD68463FC321}" presName="sibTrans" presStyleLbl="sibTrans2D1" presStyleIdx="0" presStyleCnt="2" custScaleX="92879" custScaleY="34492"/>
      <dgm:spPr/>
      <dgm:t>
        <a:bodyPr/>
        <a:lstStyle/>
        <a:p>
          <a:endParaRPr lang="es-EC"/>
        </a:p>
      </dgm:t>
    </dgm:pt>
    <dgm:pt modelId="{0AC09ADF-C172-484B-A549-4C11F32A5253}" type="pres">
      <dgm:prSet presAssocID="{89103485-6F10-47FA-B0A0-AD68463FC321}" presName="connectorText" presStyleLbl="sibTrans2D1" presStyleIdx="0" presStyleCnt="2"/>
      <dgm:spPr/>
      <dgm:t>
        <a:bodyPr/>
        <a:lstStyle/>
        <a:p>
          <a:endParaRPr lang="es-EC"/>
        </a:p>
      </dgm:t>
    </dgm:pt>
    <dgm:pt modelId="{E0F65B70-1EF2-4942-9592-5D5CBAE6D64C}" type="pres">
      <dgm:prSet presAssocID="{F303C126-DB18-403D-9A9E-7018647379CE}" presName="node" presStyleLbl="node1" presStyleIdx="1" presStyleCnt="3" custScaleX="60979" custScaleY="36148">
        <dgm:presLayoutVars>
          <dgm:bulletEnabled val="1"/>
        </dgm:presLayoutVars>
      </dgm:prSet>
      <dgm:spPr/>
      <dgm:t>
        <a:bodyPr/>
        <a:lstStyle/>
        <a:p>
          <a:endParaRPr lang="es-EC"/>
        </a:p>
      </dgm:t>
    </dgm:pt>
    <dgm:pt modelId="{A681BD20-6D70-403D-A1A3-9880CB514CF0}" type="pres">
      <dgm:prSet presAssocID="{3787296E-0B99-42E7-A067-7CBE2CB22C79}" presName="sibTrans" presStyleLbl="sibTrans2D1" presStyleIdx="1" presStyleCnt="2" custScaleX="89205" custScaleY="41093"/>
      <dgm:spPr/>
      <dgm:t>
        <a:bodyPr/>
        <a:lstStyle/>
        <a:p>
          <a:endParaRPr lang="es-EC"/>
        </a:p>
      </dgm:t>
    </dgm:pt>
    <dgm:pt modelId="{DE937D04-BB01-40A2-AF36-EE2BB74EEFC4}" type="pres">
      <dgm:prSet presAssocID="{3787296E-0B99-42E7-A067-7CBE2CB22C79}" presName="connectorText" presStyleLbl="sibTrans2D1" presStyleIdx="1" presStyleCnt="2"/>
      <dgm:spPr/>
      <dgm:t>
        <a:bodyPr/>
        <a:lstStyle/>
        <a:p>
          <a:endParaRPr lang="es-EC"/>
        </a:p>
      </dgm:t>
    </dgm:pt>
    <dgm:pt modelId="{75D1CF5C-D8E7-41A0-8833-69C8AE7AC5C9}" type="pres">
      <dgm:prSet presAssocID="{38B67CAC-1FD8-4C15-900E-A90ADF37E9E6}" presName="node" presStyleLbl="node1" presStyleIdx="2" presStyleCnt="3" custScaleX="51878" custScaleY="35416">
        <dgm:presLayoutVars>
          <dgm:bulletEnabled val="1"/>
        </dgm:presLayoutVars>
      </dgm:prSet>
      <dgm:spPr/>
      <dgm:t>
        <a:bodyPr/>
        <a:lstStyle/>
        <a:p>
          <a:endParaRPr lang="es-EC"/>
        </a:p>
      </dgm:t>
    </dgm:pt>
  </dgm:ptLst>
  <dgm:cxnLst>
    <dgm:cxn modelId="{2DB7BE42-0197-442F-9261-775D2E2A2D34}" srcId="{D4359239-782F-49F4-BF7B-62BB89E0FFD4}" destId="{38B67CAC-1FD8-4C15-900E-A90ADF37E9E6}" srcOrd="2" destOrd="0" parTransId="{CE24EA6A-88C6-47B1-83AB-5DDF93A2A505}" sibTransId="{6A97F71E-90AE-4C17-8E47-CCCC32B281A5}"/>
    <dgm:cxn modelId="{081B20FE-144B-419A-887A-225BCB1FA145}" srcId="{D4359239-782F-49F4-BF7B-62BB89E0FFD4}" destId="{F303C126-DB18-403D-9A9E-7018647379CE}" srcOrd="1" destOrd="0" parTransId="{36F125AF-1313-47AE-90F1-5D0EB88985E2}" sibTransId="{3787296E-0B99-42E7-A067-7CBE2CB22C79}"/>
    <dgm:cxn modelId="{97895043-EAB9-4BF7-B6F2-066B2BFE94C6}" type="presOf" srcId="{38B67CAC-1FD8-4C15-900E-A90ADF37E9E6}" destId="{75D1CF5C-D8E7-41A0-8833-69C8AE7AC5C9}" srcOrd="0" destOrd="0" presId="urn:microsoft.com/office/officeart/2005/8/layout/process1"/>
    <dgm:cxn modelId="{5B985FB2-B41F-40D6-A565-753EDAC4394E}" type="presOf" srcId="{F303C126-DB18-403D-9A9E-7018647379CE}" destId="{E0F65B70-1EF2-4942-9592-5D5CBAE6D64C}" srcOrd="0" destOrd="0" presId="urn:microsoft.com/office/officeart/2005/8/layout/process1"/>
    <dgm:cxn modelId="{58FBAE90-7425-443C-8890-3ED50375D44F}" type="presOf" srcId="{89103485-6F10-47FA-B0A0-AD68463FC321}" destId="{255E2E21-51DC-4155-849F-BB2E1440E0BC}" srcOrd="0" destOrd="0" presId="urn:microsoft.com/office/officeart/2005/8/layout/process1"/>
    <dgm:cxn modelId="{8B2ED60C-4FDC-4F8B-94E2-1FCC398AA08C}" type="presOf" srcId="{3787296E-0B99-42E7-A067-7CBE2CB22C79}" destId="{A681BD20-6D70-403D-A1A3-9880CB514CF0}" srcOrd="0" destOrd="0" presId="urn:microsoft.com/office/officeart/2005/8/layout/process1"/>
    <dgm:cxn modelId="{8AF87CAE-FD00-4DA2-9608-B1E77BFC2163}" type="presOf" srcId="{89103485-6F10-47FA-B0A0-AD68463FC321}" destId="{0AC09ADF-C172-484B-A549-4C11F32A5253}" srcOrd="1" destOrd="0" presId="urn:microsoft.com/office/officeart/2005/8/layout/process1"/>
    <dgm:cxn modelId="{1004E680-02ED-4AB9-AA8E-FC303F2556A7}" srcId="{D4359239-782F-49F4-BF7B-62BB89E0FFD4}" destId="{D820BDBD-8DC4-411C-8C8D-AC6CDF62C78C}" srcOrd="0" destOrd="0" parTransId="{22D26B2C-B084-454E-9D89-7FF5CA2DE79C}" sibTransId="{89103485-6F10-47FA-B0A0-AD68463FC321}"/>
    <dgm:cxn modelId="{B29E9FAA-F155-420B-881F-F299F61F6F4F}" type="presOf" srcId="{D4359239-782F-49F4-BF7B-62BB89E0FFD4}" destId="{24A953B0-3F85-44DD-9282-C758467E2EF9}" srcOrd="0" destOrd="0" presId="urn:microsoft.com/office/officeart/2005/8/layout/process1"/>
    <dgm:cxn modelId="{88FFAB32-E365-409D-B0FC-0FA92E81D34E}" type="presOf" srcId="{3787296E-0B99-42E7-A067-7CBE2CB22C79}" destId="{DE937D04-BB01-40A2-AF36-EE2BB74EEFC4}" srcOrd="1" destOrd="0" presId="urn:microsoft.com/office/officeart/2005/8/layout/process1"/>
    <dgm:cxn modelId="{517130C1-9CF8-4DCA-8342-A4AEBEDC163A}" type="presOf" srcId="{D820BDBD-8DC4-411C-8C8D-AC6CDF62C78C}" destId="{558A66DC-C2DD-447C-A325-7FD9AA7D1D5A}" srcOrd="0" destOrd="0" presId="urn:microsoft.com/office/officeart/2005/8/layout/process1"/>
    <dgm:cxn modelId="{85F788F4-9752-4C44-8D71-74063A6EB53A}" type="presParOf" srcId="{24A953B0-3F85-44DD-9282-C758467E2EF9}" destId="{558A66DC-C2DD-447C-A325-7FD9AA7D1D5A}" srcOrd="0" destOrd="0" presId="urn:microsoft.com/office/officeart/2005/8/layout/process1"/>
    <dgm:cxn modelId="{96E6D37A-87D9-4368-A71E-FC1AE967FCCE}" type="presParOf" srcId="{24A953B0-3F85-44DD-9282-C758467E2EF9}" destId="{255E2E21-51DC-4155-849F-BB2E1440E0BC}" srcOrd="1" destOrd="0" presId="urn:microsoft.com/office/officeart/2005/8/layout/process1"/>
    <dgm:cxn modelId="{440897F3-7867-4226-A730-FB01C37549E9}" type="presParOf" srcId="{255E2E21-51DC-4155-849F-BB2E1440E0BC}" destId="{0AC09ADF-C172-484B-A549-4C11F32A5253}" srcOrd="0" destOrd="0" presId="urn:microsoft.com/office/officeart/2005/8/layout/process1"/>
    <dgm:cxn modelId="{CF3B9E4C-946E-4FF5-B729-F7D1502323E6}" type="presParOf" srcId="{24A953B0-3F85-44DD-9282-C758467E2EF9}" destId="{E0F65B70-1EF2-4942-9592-5D5CBAE6D64C}" srcOrd="2" destOrd="0" presId="urn:microsoft.com/office/officeart/2005/8/layout/process1"/>
    <dgm:cxn modelId="{C99344E4-7E3A-4CDE-9D93-88535A22F961}" type="presParOf" srcId="{24A953B0-3F85-44DD-9282-C758467E2EF9}" destId="{A681BD20-6D70-403D-A1A3-9880CB514CF0}" srcOrd="3" destOrd="0" presId="urn:microsoft.com/office/officeart/2005/8/layout/process1"/>
    <dgm:cxn modelId="{958B8A9D-6708-4693-8E59-D4D0B3273877}" type="presParOf" srcId="{A681BD20-6D70-403D-A1A3-9880CB514CF0}" destId="{DE937D04-BB01-40A2-AF36-EE2BB74EEFC4}" srcOrd="0" destOrd="0" presId="urn:microsoft.com/office/officeart/2005/8/layout/process1"/>
    <dgm:cxn modelId="{5468C223-46AE-4B7E-B544-B09DE879A89A}" type="presParOf" srcId="{24A953B0-3F85-44DD-9282-C758467E2EF9}" destId="{75D1CF5C-D8E7-41A0-8833-69C8AE7AC5C9}" srcOrd="4" destOrd="0" presId="urn:microsoft.com/office/officeart/2005/8/layout/process1"/>
  </dgm:cxnLst>
  <dgm:bg/>
  <dgm:whole/>
</dgm:dataModel>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127</Pages>
  <Words>19350</Words>
  <Characters>106430</Characters>
  <Application>Microsoft Office Word</Application>
  <DocSecurity>0</DocSecurity>
  <Lines>886</Lines>
  <Paragraphs>251</Paragraphs>
  <ScaleCrop>false</ScaleCrop>
  <HeadingPairs>
    <vt:vector size="2" baseType="variant">
      <vt:variant>
        <vt:lpstr>Título</vt:lpstr>
      </vt:variant>
      <vt:variant>
        <vt:i4>1</vt:i4>
      </vt:variant>
    </vt:vector>
  </HeadingPairs>
  <TitlesOfParts>
    <vt:vector size="1" baseType="lpstr">
      <vt:lpstr> </vt:lpstr>
    </vt:vector>
  </TitlesOfParts>
  <Company/>
  <LinksUpToDate>false</LinksUpToDate>
  <CharactersWithSpaces>125529</CharactersWithSpaces>
  <SharedDoc>false</SharedDoc>
  <HLinks>
    <vt:vector size="138" baseType="variant">
      <vt:variant>
        <vt:i4>6225994</vt:i4>
      </vt:variant>
      <vt:variant>
        <vt:i4>93</vt:i4>
      </vt:variant>
      <vt:variant>
        <vt:i4>0</vt:i4>
      </vt:variant>
      <vt:variant>
        <vt:i4>5</vt:i4>
      </vt:variant>
      <vt:variant>
        <vt:lpwstr>http://www.mundobvg.com/</vt:lpwstr>
      </vt:variant>
      <vt:variant>
        <vt:lpwstr/>
      </vt:variant>
      <vt:variant>
        <vt:i4>3604536</vt:i4>
      </vt:variant>
      <vt:variant>
        <vt:i4>90</vt:i4>
      </vt:variant>
      <vt:variant>
        <vt:i4>0</vt:i4>
      </vt:variant>
      <vt:variant>
        <vt:i4>5</vt:i4>
      </vt:variant>
      <vt:variant>
        <vt:lpwstr>http://www.superban.gov.ec/</vt:lpwstr>
      </vt:variant>
      <vt:variant>
        <vt:lpwstr/>
      </vt:variant>
      <vt:variant>
        <vt:i4>5439512</vt:i4>
      </vt:variant>
      <vt:variant>
        <vt:i4>87</vt:i4>
      </vt:variant>
      <vt:variant>
        <vt:i4>0</vt:i4>
      </vt:variant>
      <vt:variant>
        <vt:i4>5</vt:i4>
      </vt:variant>
      <vt:variant>
        <vt:lpwstr>http://www.bce.fin.ec/pregun1.php</vt:lpwstr>
      </vt:variant>
      <vt:variant>
        <vt:lpwstr/>
      </vt:variant>
      <vt:variant>
        <vt:i4>2228342</vt:i4>
      </vt:variant>
      <vt:variant>
        <vt:i4>84</vt:i4>
      </vt:variant>
      <vt:variant>
        <vt:i4>0</vt:i4>
      </vt:variant>
      <vt:variant>
        <vt:i4>5</vt:i4>
      </vt:variant>
      <vt:variant>
        <vt:lpwstr>http://www.hoy.com.ec/zhechos/2004/libro/tema14.htm</vt:lpwstr>
      </vt:variant>
      <vt:variant>
        <vt:lpwstr/>
      </vt:variant>
      <vt:variant>
        <vt:i4>983122</vt:i4>
      </vt:variant>
      <vt:variant>
        <vt:i4>81</vt:i4>
      </vt:variant>
      <vt:variant>
        <vt:i4>0</vt:i4>
      </vt:variant>
      <vt:variant>
        <vt:i4>5</vt:i4>
      </vt:variant>
      <vt:variant>
        <vt:lpwstr>http://www.bis.org/publ/qtrpdf/r_qt0703esp_b.pdf</vt:lpwstr>
      </vt:variant>
      <vt:variant>
        <vt:lpwstr/>
      </vt:variant>
      <vt:variant>
        <vt:i4>8323187</vt:i4>
      </vt:variant>
      <vt:variant>
        <vt:i4>78</vt:i4>
      </vt:variant>
      <vt:variant>
        <vt:i4>0</vt:i4>
      </vt:variant>
      <vt:variant>
        <vt:i4>5</vt:i4>
      </vt:variant>
      <vt:variant>
        <vt:lpwstr>http://www.eumed.net/cursecon/ecolat/ec/2007/CRISIS BANCARIA EN ECUADOR.htm</vt:lpwstr>
      </vt:variant>
      <vt:variant>
        <vt:lpwstr/>
      </vt:variant>
      <vt:variant>
        <vt:i4>7209017</vt:i4>
      </vt:variant>
      <vt:variant>
        <vt:i4>69</vt:i4>
      </vt:variant>
      <vt:variant>
        <vt:i4>0</vt:i4>
      </vt:variant>
      <vt:variant>
        <vt:i4>5</vt:i4>
      </vt:variant>
      <vt:variant>
        <vt:lpwstr>http://www.bce.fin.ec/</vt:lpwstr>
      </vt:variant>
      <vt:variant>
        <vt:lpwstr/>
      </vt:variant>
      <vt:variant>
        <vt:i4>1376315</vt:i4>
      </vt:variant>
      <vt:variant>
        <vt:i4>45</vt:i4>
      </vt:variant>
      <vt:variant>
        <vt:i4>0</vt:i4>
      </vt:variant>
      <vt:variant>
        <vt:i4>5</vt:i4>
      </vt:variant>
      <vt:variant>
        <vt:lpwstr/>
      </vt:variant>
      <vt:variant>
        <vt:lpwstr>_Toc122704835</vt:lpwstr>
      </vt:variant>
      <vt:variant>
        <vt:i4>1376315</vt:i4>
      </vt:variant>
      <vt:variant>
        <vt:i4>42</vt:i4>
      </vt:variant>
      <vt:variant>
        <vt:i4>0</vt:i4>
      </vt:variant>
      <vt:variant>
        <vt:i4>5</vt:i4>
      </vt:variant>
      <vt:variant>
        <vt:lpwstr/>
      </vt:variant>
      <vt:variant>
        <vt:lpwstr>_Toc122704835</vt:lpwstr>
      </vt:variant>
      <vt:variant>
        <vt:i4>1245243</vt:i4>
      </vt:variant>
      <vt:variant>
        <vt:i4>39</vt:i4>
      </vt:variant>
      <vt:variant>
        <vt:i4>0</vt:i4>
      </vt:variant>
      <vt:variant>
        <vt:i4>5</vt:i4>
      </vt:variant>
      <vt:variant>
        <vt:lpwstr/>
      </vt:variant>
      <vt:variant>
        <vt:lpwstr>_Toc122704853</vt:lpwstr>
      </vt:variant>
      <vt:variant>
        <vt:i4>1376315</vt:i4>
      </vt:variant>
      <vt:variant>
        <vt:i4>36</vt:i4>
      </vt:variant>
      <vt:variant>
        <vt:i4>0</vt:i4>
      </vt:variant>
      <vt:variant>
        <vt:i4>5</vt:i4>
      </vt:variant>
      <vt:variant>
        <vt:lpwstr/>
      </vt:variant>
      <vt:variant>
        <vt:lpwstr>_Toc122704835</vt:lpwstr>
      </vt:variant>
      <vt:variant>
        <vt:i4>1376315</vt:i4>
      </vt:variant>
      <vt:variant>
        <vt:i4>33</vt:i4>
      </vt:variant>
      <vt:variant>
        <vt:i4>0</vt:i4>
      </vt:variant>
      <vt:variant>
        <vt:i4>5</vt:i4>
      </vt:variant>
      <vt:variant>
        <vt:lpwstr/>
      </vt:variant>
      <vt:variant>
        <vt:lpwstr>_Toc122704835</vt:lpwstr>
      </vt:variant>
      <vt:variant>
        <vt:i4>1245243</vt:i4>
      </vt:variant>
      <vt:variant>
        <vt:i4>30</vt:i4>
      </vt:variant>
      <vt:variant>
        <vt:i4>0</vt:i4>
      </vt:variant>
      <vt:variant>
        <vt:i4>5</vt:i4>
      </vt:variant>
      <vt:variant>
        <vt:lpwstr/>
      </vt:variant>
      <vt:variant>
        <vt:lpwstr>_Toc122704853</vt:lpwstr>
      </vt:variant>
      <vt:variant>
        <vt:i4>1376315</vt:i4>
      </vt:variant>
      <vt:variant>
        <vt:i4>27</vt:i4>
      </vt:variant>
      <vt:variant>
        <vt:i4>0</vt:i4>
      </vt:variant>
      <vt:variant>
        <vt:i4>5</vt:i4>
      </vt:variant>
      <vt:variant>
        <vt:lpwstr/>
      </vt:variant>
      <vt:variant>
        <vt:lpwstr>_Toc122704835</vt:lpwstr>
      </vt:variant>
      <vt:variant>
        <vt:i4>1376315</vt:i4>
      </vt:variant>
      <vt:variant>
        <vt:i4>24</vt:i4>
      </vt:variant>
      <vt:variant>
        <vt:i4>0</vt:i4>
      </vt:variant>
      <vt:variant>
        <vt:i4>5</vt:i4>
      </vt:variant>
      <vt:variant>
        <vt:lpwstr/>
      </vt:variant>
      <vt:variant>
        <vt:lpwstr>_Toc122704839</vt:lpwstr>
      </vt:variant>
      <vt:variant>
        <vt:i4>1376315</vt:i4>
      </vt:variant>
      <vt:variant>
        <vt:i4>21</vt:i4>
      </vt:variant>
      <vt:variant>
        <vt:i4>0</vt:i4>
      </vt:variant>
      <vt:variant>
        <vt:i4>5</vt:i4>
      </vt:variant>
      <vt:variant>
        <vt:lpwstr/>
      </vt:variant>
      <vt:variant>
        <vt:lpwstr>_Toc122704838</vt:lpwstr>
      </vt:variant>
      <vt:variant>
        <vt:i4>1376315</vt:i4>
      </vt:variant>
      <vt:variant>
        <vt:i4>18</vt:i4>
      </vt:variant>
      <vt:variant>
        <vt:i4>0</vt:i4>
      </vt:variant>
      <vt:variant>
        <vt:i4>5</vt:i4>
      </vt:variant>
      <vt:variant>
        <vt:lpwstr/>
      </vt:variant>
      <vt:variant>
        <vt:lpwstr>_Toc122704838</vt:lpwstr>
      </vt:variant>
      <vt:variant>
        <vt:i4>1376315</vt:i4>
      </vt:variant>
      <vt:variant>
        <vt:i4>15</vt:i4>
      </vt:variant>
      <vt:variant>
        <vt:i4>0</vt:i4>
      </vt:variant>
      <vt:variant>
        <vt:i4>5</vt:i4>
      </vt:variant>
      <vt:variant>
        <vt:lpwstr/>
      </vt:variant>
      <vt:variant>
        <vt:lpwstr>_Toc122704835</vt:lpwstr>
      </vt:variant>
      <vt:variant>
        <vt:i4>1376315</vt:i4>
      </vt:variant>
      <vt:variant>
        <vt:i4>12</vt:i4>
      </vt:variant>
      <vt:variant>
        <vt:i4>0</vt:i4>
      </vt:variant>
      <vt:variant>
        <vt:i4>5</vt:i4>
      </vt:variant>
      <vt:variant>
        <vt:lpwstr/>
      </vt:variant>
      <vt:variant>
        <vt:lpwstr>_Toc122704837</vt:lpwstr>
      </vt:variant>
      <vt:variant>
        <vt:i4>1376315</vt:i4>
      </vt:variant>
      <vt:variant>
        <vt:i4>9</vt:i4>
      </vt:variant>
      <vt:variant>
        <vt:i4>0</vt:i4>
      </vt:variant>
      <vt:variant>
        <vt:i4>5</vt:i4>
      </vt:variant>
      <vt:variant>
        <vt:lpwstr/>
      </vt:variant>
      <vt:variant>
        <vt:lpwstr>_Toc122704836</vt:lpwstr>
      </vt:variant>
      <vt:variant>
        <vt:i4>1376315</vt:i4>
      </vt:variant>
      <vt:variant>
        <vt:i4>6</vt:i4>
      </vt:variant>
      <vt:variant>
        <vt:i4>0</vt:i4>
      </vt:variant>
      <vt:variant>
        <vt:i4>5</vt:i4>
      </vt:variant>
      <vt:variant>
        <vt:lpwstr/>
      </vt:variant>
      <vt:variant>
        <vt:lpwstr>_Toc122704835</vt:lpwstr>
      </vt:variant>
      <vt:variant>
        <vt:i4>1376315</vt:i4>
      </vt:variant>
      <vt:variant>
        <vt:i4>3</vt:i4>
      </vt:variant>
      <vt:variant>
        <vt:i4>0</vt:i4>
      </vt:variant>
      <vt:variant>
        <vt:i4>5</vt:i4>
      </vt:variant>
      <vt:variant>
        <vt:lpwstr/>
      </vt:variant>
      <vt:variant>
        <vt:lpwstr>_Toc122704835</vt:lpwstr>
      </vt:variant>
      <vt:variant>
        <vt:i4>1376315</vt:i4>
      </vt:variant>
      <vt:variant>
        <vt:i4>0</vt:i4>
      </vt:variant>
      <vt:variant>
        <vt:i4>0</vt:i4>
      </vt:variant>
      <vt:variant>
        <vt:i4>5</vt:i4>
      </vt:variant>
      <vt:variant>
        <vt:lpwstr/>
      </vt:variant>
      <vt:variant>
        <vt:lpwstr>_Toc122704834</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t</dc:creator>
  <cp:keywords/>
  <dc:description/>
  <cp:lastModifiedBy>Administrador</cp:lastModifiedBy>
  <cp:revision>2</cp:revision>
  <cp:lastPrinted>2008-09-16T04:58:00Z</cp:lastPrinted>
  <dcterms:created xsi:type="dcterms:W3CDTF">2009-11-10T16:14:00Z</dcterms:created>
  <dcterms:modified xsi:type="dcterms:W3CDTF">2009-11-10T16:14:00Z</dcterms:modified>
</cp:coreProperties>
</file>